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2B3" w:rsidRDefault="003912B3">
      <w:pPr>
        <w:spacing w:before="0" w:after="160"/>
        <w:rPr>
          <w:rFonts w:ascii="HelveticaNeueLT Std Lt" w:hAnsi="HelveticaNeueLT Std Lt" w:cs="HelveticaNeueLT Std Lt"/>
          <w:color w:val="000000"/>
          <w:sz w:val="20"/>
        </w:rPr>
      </w:pPr>
      <w:r>
        <w:rPr>
          <w:rFonts w:ascii="HelveticaNeueLT Std Lt" w:hAnsi="HelveticaNeueLT Std Lt" w:cs="HelveticaNeueLT Std Lt"/>
          <w:color w:val="000000"/>
          <w:sz w:val="20"/>
        </w:rPr>
        <w:br w:type="page"/>
      </w:r>
    </w:p>
    <w:p w:rsidR="00521B3A" w:rsidRDefault="00521B3A" w:rsidP="00521B3A">
      <w:pPr>
        <w:pStyle w:val="Title"/>
      </w:pPr>
      <w:r>
        <w:lastRenderedPageBreak/>
        <w:t>Corporate Plan 2022-23</w:t>
      </w:r>
    </w:p>
    <w:p w:rsidR="00C65404" w:rsidRDefault="00C65404" w:rsidP="002308F6">
      <w:pPr>
        <w:rPr>
          <w:rFonts w:ascii="HelveticaNeueLT Std Lt" w:hAnsi="HelveticaNeueLT Std Lt" w:cs="HelveticaNeueLT Std Lt"/>
          <w:color w:val="000000"/>
          <w:sz w:val="20"/>
        </w:rPr>
      </w:pPr>
    </w:p>
    <w:p w:rsidR="00F367C5" w:rsidRPr="00D63D68" w:rsidRDefault="00567DF1" w:rsidP="002C2FB3">
      <w:pPr>
        <w:pStyle w:val="Normalmorespace"/>
      </w:pPr>
      <w:r>
        <w:t>Copyright notice – 2022</w:t>
      </w:r>
    </w:p>
    <w:p w:rsidR="00D63D68" w:rsidRPr="00D84D85" w:rsidRDefault="00D63D68" w:rsidP="00D63D68">
      <w:pPr>
        <w:spacing w:before="280" w:line="240" w:lineRule="auto"/>
        <w:rPr>
          <w:rStyle w:val="BodytextBOLD"/>
        </w:rPr>
      </w:pPr>
      <w:r w:rsidRPr="00D84D85">
        <w:rPr>
          <w:rStyle w:val="BodytextBOLD"/>
        </w:rPr>
        <w:t>Notice identifying other material or rights in this publication:</w:t>
      </w:r>
    </w:p>
    <w:p w:rsidR="0073534A" w:rsidRPr="00B219E7" w:rsidRDefault="0073534A" w:rsidP="00ED212D">
      <w:pPr>
        <w:pStyle w:val="ListParagraph"/>
        <w:numPr>
          <w:ilvl w:val="0"/>
          <w:numId w:val="3"/>
        </w:numPr>
        <w:spacing w:before="120" w:after="180" w:line="280" w:lineRule="atLeast"/>
        <w:rPr>
          <w:rFonts w:cstheme="minorHAnsi"/>
          <w:color w:val="000000"/>
        </w:rPr>
      </w:pPr>
      <w:r w:rsidRPr="00B219E7">
        <w:rPr>
          <w:rFonts w:cstheme="minorHAnsi"/>
          <w:color w:val="000000"/>
        </w:rPr>
        <w:t xml:space="preserve">Australian Commonwealth Coat of Arms — not Licensed under Creative Commons, see </w:t>
      </w:r>
      <w:hyperlink r:id="rId11" w:history="1">
        <w:r w:rsidRPr="00074B82">
          <w:rPr>
            <w:rStyle w:val="Hyperlink"/>
            <w:rFonts w:cs="Arial"/>
            <w:szCs w:val="20"/>
          </w:rPr>
          <w:t>Australian Commonwealth Coat of Arms</w:t>
        </w:r>
      </w:hyperlink>
    </w:p>
    <w:p w:rsidR="0073534A" w:rsidRDefault="0073534A" w:rsidP="00ED212D">
      <w:pPr>
        <w:numPr>
          <w:ilvl w:val="0"/>
          <w:numId w:val="3"/>
        </w:numPr>
        <w:spacing w:before="160" w:after="120" w:line="240" w:lineRule="auto"/>
        <w:contextualSpacing/>
        <w:rPr>
          <w:rFonts w:cs="Arial"/>
          <w:sz w:val="20"/>
          <w:szCs w:val="20"/>
        </w:rPr>
      </w:pPr>
      <w:r>
        <w:rPr>
          <w:sz w:val="20"/>
          <w:szCs w:val="20"/>
        </w:rPr>
        <w:t>Certain images and photographs (as marked) — not licensed under Creative Commons</w:t>
      </w:r>
    </w:p>
    <w:p w:rsidR="0073534A" w:rsidRDefault="0073534A" w:rsidP="002C2FB3">
      <w:pPr>
        <w:pStyle w:val="Normalmorespace"/>
      </w:pPr>
      <w:r>
        <w:t>If you are deaf or have a hearing or speech impairment, you can use the National Relay Service to contact any of the Department of Social Services listed phone numbers.</w:t>
      </w:r>
    </w:p>
    <w:p w:rsidR="0073534A" w:rsidRDefault="0073534A" w:rsidP="002C2FB3">
      <w:pPr>
        <w:pStyle w:val="Normalmorespace"/>
      </w:pPr>
      <w:r>
        <w:t>TTY users — phone 133 677 and ask for the phone number you wish to contact.</w:t>
      </w:r>
    </w:p>
    <w:p w:rsidR="0073534A" w:rsidRDefault="0073534A" w:rsidP="002C2FB3">
      <w:pPr>
        <w:pStyle w:val="Normalmorespace"/>
      </w:pPr>
      <w:r>
        <w:t>Speak and Listen users — phone 1300 555 727 and ask for the phone number you wish to contact.</w:t>
      </w:r>
    </w:p>
    <w:p w:rsidR="0073534A" w:rsidRDefault="0073534A" w:rsidP="002C2FB3">
      <w:pPr>
        <w:pStyle w:val="Normalmorespace"/>
      </w:pPr>
      <w:r>
        <w:t>Internet relay users — visit the National Relay Service at</w:t>
      </w:r>
      <w:r w:rsidRPr="0043522C">
        <w:t xml:space="preserve"> </w:t>
      </w:r>
      <w:hyperlink r:id="rId12" w:history="1">
        <w:r w:rsidRPr="00AD241A">
          <w:rPr>
            <w:rStyle w:val="Hyperlink"/>
          </w:rPr>
          <w:t>https://www.communications.gov.au/what-we-do/phone/services-people-disability/accesshub/national-relay-service</w:t>
        </w:r>
      </w:hyperlink>
    </w:p>
    <w:p w:rsidR="0073534A" w:rsidRDefault="0073534A" w:rsidP="002C2FB3">
      <w:pPr>
        <w:pStyle w:val="Normalmorespace"/>
      </w:pPr>
      <w:r>
        <w:t>Aboriginal and Torres Strait Islander people are advised this publication may contain images or names of</w:t>
      </w:r>
      <w:r w:rsidR="003233FD">
        <w:t> </w:t>
      </w:r>
      <w:r>
        <w:t>deceased people.</w:t>
      </w:r>
    </w:p>
    <w:p w:rsidR="00567DF1" w:rsidRDefault="0073534A" w:rsidP="0069570C">
      <w:pPr>
        <w:pStyle w:val="Normalmorespace"/>
      </w:pPr>
      <w:r>
        <w:t>Cover image</w:t>
      </w:r>
      <w:r w:rsidR="0069570C">
        <w:t>s</w:t>
      </w:r>
      <w:r w:rsidRPr="001C6390">
        <w:rPr>
          <w:rFonts w:cs="Arial"/>
        </w:rPr>
        <w:t>:</w:t>
      </w:r>
      <w:r w:rsidR="0069570C" w:rsidRPr="001C6390">
        <w:rPr>
          <w:rFonts w:cs="Arial"/>
        </w:rPr>
        <w:t xml:space="preserve"> </w:t>
      </w:r>
      <w:r w:rsidR="001C6390" w:rsidRPr="001C6390">
        <w:rPr>
          <w:rFonts w:cs="Arial"/>
          <w:color w:val="242424"/>
          <w:shd w:val="clear" w:color="auto" w:fill="FFFFFF"/>
        </w:rPr>
        <w:t>Suzanne Allen (woman in the background), and Mehar Sehgal (left) and Varun Sehgal (righ</w:t>
      </w:r>
      <w:r w:rsidR="001C6390" w:rsidRPr="00722636">
        <w:rPr>
          <w:rFonts w:cs="Arial"/>
          <w:color w:val="242424"/>
          <w:shd w:val="clear" w:color="auto" w:fill="FFFFFF"/>
        </w:rPr>
        <w:t>t)</w:t>
      </w:r>
      <w:r w:rsidR="00722636">
        <w:rPr>
          <w:rFonts w:cs="Arial"/>
          <w:color w:val="242424"/>
          <w:shd w:val="clear" w:color="auto" w:fill="FFFFFF"/>
        </w:rPr>
        <w:t>.</w:t>
      </w:r>
      <w:r w:rsidR="001C6390" w:rsidRPr="00722636" w:rsidDel="001C6390">
        <w:rPr>
          <w:rFonts w:cs="Arial"/>
        </w:rPr>
        <w:t xml:space="preserve"> </w:t>
      </w:r>
    </w:p>
    <w:p w:rsidR="00596FFB" w:rsidRDefault="00596FFB">
      <w:pPr>
        <w:spacing w:before="0" w:after="160"/>
        <w:rPr>
          <w:rFonts w:ascii="Georgia" w:eastAsiaTheme="majorEastAsia" w:hAnsi="Georgia" w:cstheme="majorBidi"/>
          <w:color w:val="005A70"/>
          <w:sz w:val="48"/>
          <w:szCs w:val="36"/>
        </w:rPr>
      </w:pPr>
      <w:r>
        <w:br w:type="page"/>
      </w:r>
    </w:p>
    <w:p w:rsidR="008D31F3" w:rsidRDefault="00584749" w:rsidP="00762037">
      <w:pPr>
        <w:pStyle w:val="Heading1"/>
        <w:spacing w:after="40"/>
      </w:pPr>
      <w:bookmarkStart w:id="0" w:name="_Toc428353188"/>
      <w:bookmarkStart w:id="1" w:name="_Toc456337120"/>
      <w:bookmarkStart w:id="2" w:name="_Toc456338305"/>
      <w:bookmarkStart w:id="3" w:name="_Toc456968747"/>
      <w:bookmarkStart w:id="4" w:name="_Toc457386963"/>
      <w:bookmarkStart w:id="5" w:name="_Toc457890474"/>
      <w:bookmarkStart w:id="6" w:name="_Toc458178605"/>
      <w:bookmarkStart w:id="7" w:name="_Toc485972608"/>
      <w:bookmarkStart w:id="8" w:name="_Toc485302843"/>
      <w:bookmarkStart w:id="9" w:name="_Toc521500206"/>
      <w:bookmarkStart w:id="10" w:name="_Toc47604288"/>
      <w:bookmarkStart w:id="11" w:name="_Toc111026096"/>
      <w:bookmarkStart w:id="12" w:name="_Toc483836212"/>
      <w:bookmarkStart w:id="13" w:name="_Toc483838701"/>
      <w:r>
        <w:rPr>
          <w:noProof/>
          <w:lang w:eastAsia="en-AU"/>
        </w:rPr>
        <w:lastRenderedPageBreak/>
        <w:drawing>
          <wp:anchor distT="0" distB="0" distL="114300" distR="114300" simplePos="0" relativeHeight="251681801" behindDoc="0" locked="0" layoutInCell="1" allowOverlap="1" wp14:anchorId="5CE6A656" wp14:editId="69E29949">
            <wp:simplePos x="0" y="0"/>
            <wp:positionH relativeFrom="column">
              <wp:posOffset>4702175</wp:posOffset>
            </wp:positionH>
            <wp:positionV relativeFrom="paragraph">
              <wp:posOffset>400050</wp:posOffset>
            </wp:positionV>
            <wp:extent cx="1832610" cy="2113280"/>
            <wp:effectExtent l="0" t="0" r="0" b="1270"/>
            <wp:wrapSquare wrapText="bothSides"/>
            <wp:docPr id="671" name="Picture 475" descr="This image contains a photo of Secretary Ray Griggs." title="Photo of Secretary Gr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intranet/PublishingImages/executive/ray-griggs-sm.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3261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1F3">
        <w:t>Secretary’s foreword</w:t>
      </w:r>
      <w:bookmarkEnd w:id="0"/>
      <w:bookmarkEnd w:id="1"/>
      <w:bookmarkEnd w:id="2"/>
      <w:bookmarkEnd w:id="3"/>
      <w:bookmarkEnd w:id="4"/>
      <w:bookmarkEnd w:id="5"/>
      <w:bookmarkEnd w:id="6"/>
      <w:bookmarkEnd w:id="7"/>
      <w:bookmarkEnd w:id="8"/>
      <w:bookmarkEnd w:id="9"/>
      <w:bookmarkEnd w:id="10"/>
      <w:bookmarkEnd w:id="11"/>
    </w:p>
    <w:bookmarkEnd w:id="12"/>
    <w:bookmarkEnd w:id="13"/>
    <w:p w:rsidR="004A0848" w:rsidRDefault="004A0848" w:rsidP="004A0848">
      <w:pPr>
        <w:pStyle w:val="Normalmorespace"/>
        <w:rPr>
          <w:color w:val="auto"/>
        </w:rPr>
      </w:pPr>
      <w:r>
        <w:t>I am pleased to present the Department of Social Services’ (the</w:t>
      </w:r>
      <w:r w:rsidR="003233FD">
        <w:t> </w:t>
      </w:r>
      <w:r>
        <w:t>department</w:t>
      </w:r>
      <w:r w:rsidR="003233FD">
        <w:t>’s</w:t>
      </w:r>
      <w:r>
        <w:t>) 2022</w:t>
      </w:r>
      <w:r w:rsidR="00621EDE">
        <w:t>–</w:t>
      </w:r>
      <w:r>
        <w:t>23 Corporate Plan (the Plan), which covers the reporting period 2022</w:t>
      </w:r>
      <w:r w:rsidR="00621EDE">
        <w:t>–</w:t>
      </w:r>
      <w:r>
        <w:t xml:space="preserve">23 </w:t>
      </w:r>
      <w:r>
        <w:rPr>
          <w:color w:val="auto"/>
        </w:rPr>
        <w:t>to 2025</w:t>
      </w:r>
      <w:r w:rsidR="00621EDE">
        <w:t>–</w:t>
      </w:r>
      <w:r>
        <w:rPr>
          <w:color w:val="auto"/>
        </w:rPr>
        <w:t>26, as required under paragraph 35</w:t>
      </w:r>
      <w:r w:rsidR="00F72DF7">
        <w:rPr>
          <w:color w:val="auto"/>
        </w:rPr>
        <w:t> </w:t>
      </w:r>
      <w:r>
        <w:rPr>
          <w:color w:val="auto"/>
        </w:rPr>
        <w:t>(1)</w:t>
      </w:r>
      <w:r w:rsidR="00F72DF7">
        <w:rPr>
          <w:color w:val="auto"/>
        </w:rPr>
        <w:t> </w:t>
      </w:r>
      <w:r>
        <w:rPr>
          <w:color w:val="auto"/>
        </w:rPr>
        <w:t xml:space="preserve">(b) of the </w:t>
      </w:r>
      <w:r w:rsidRPr="00055086">
        <w:rPr>
          <w:i/>
          <w:color w:val="auto"/>
        </w:rPr>
        <w:t>Public Governance, Performance and Accountability Act 2013</w:t>
      </w:r>
      <w:r>
        <w:rPr>
          <w:color w:val="auto"/>
        </w:rPr>
        <w:t xml:space="preserve"> (PGPA Act).</w:t>
      </w:r>
    </w:p>
    <w:p w:rsidR="004A0848" w:rsidRDefault="004A0848" w:rsidP="004A0848">
      <w:pPr>
        <w:pStyle w:val="Normalmorespace"/>
        <w:rPr>
          <w:rFonts w:eastAsia="Arial" w:cs="Arial"/>
        </w:rPr>
      </w:pPr>
      <w:r>
        <w:rPr>
          <w:rFonts w:cstheme="minorBidi"/>
          <w:color w:val="auto"/>
        </w:rPr>
        <w:t xml:space="preserve">The Plan is the department’s primary planning document and outlines our purpose and key activities for the next </w:t>
      </w:r>
      <w:r w:rsidR="000D0D34">
        <w:rPr>
          <w:rFonts w:cstheme="minorBidi"/>
          <w:color w:val="auto"/>
        </w:rPr>
        <w:t xml:space="preserve">4 </w:t>
      </w:r>
      <w:r>
        <w:rPr>
          <w:rFonts w:cstheme="minorBidi"/>
          <w:color w:val="auto"/>
        </w:rPr>
        <w:t>years</w:t>
      </w:r>
      <w:r>
        <w:rPr>
          <w:rFonts w:cs="Arial"/>
          <w:color w:val="auto"/>
        </w:rPr>
        <w:t>. It sets out how we</w:t>
      </w:r>
      <w:r w:rsidR="00837B18">
        <w:rPr>
          <w:rFonts w:cs="Arial"/>
          <w:color w:val="auto"/>
        </w:rPr>
        <w:t> </w:t>
      </w:r>
      <w:r>
        <w:rPr>
          <w:rFonts w:cs="Arial"/>
          <w:color w:val="auto"/>
        </w:rPr>
        <w:t xml:space="preserve">will deliver and measure our key activities to support the wellbeing of </w:t>
      </w:r>
      <w:r>
        <w:rPr>
          <w:rFonts w:eastAsia="Arial" w:cs="Arial"/>
        </w:rPr>
        <w:t>Australians, both individuals and their families.</w:t>
      </w:r>
    </w:p>
    <w:p w:rsidR="004A0848" w:rsidRDefault="004A0848" w:rsidP="008554C7">
      <w:pPr>
        <w:pStyle w:val="Normalmorespace"/>
      </w:pPr>
      <w:r>
        <w:t xml:space="preserve">The department’s purpose is delivered under </w:t>
      </w:r>
      <w:r w:rsidR="00837B18">
        <w:t>4</w:t>
      </w:r>
      <w:r>
        <w:t xml:space="preserve"> key outcome areas </w:t>
      </w:r>
      <w:r w:rsidR="00F72DF7" w:rsidRPr="00B219E7">
        <w:rPr>
          <w:rFonts w:cstheme="minorHAnsi"/>
          <w:color w:val="000000"/>
        </w:rPr>
        <w:t>—</w:t>
      </w:r>
      <w:r>
        <w:t xml:space="preserve"> social security, families and communities, disability and carers and housing</w:t>
      </w:r>
      <w:r w:rsidR="00611B04">
        <w:t>.</w:t>
      </w:r>
      <w:r>
        <w:t xml:space="preserve"> </w:t>
      </w:r>
      <w:r w:rsidR="003A038C">
        <w:t xml:space="preserve">How we engage with stakeholders is fundamental to our success. </w:t>
      </w:r>
      <w:r>
        <w:t xml:space="preserve">Importantly, we have a number of portfolio agencies who are our essential partners in meeting our policy, program and service delivery responsibilities. We are committed to fostering productive relationships and consulting with state and territory governments, </w:t>
      </w:r>
      <w:r w:rsidR="009B5A48">
        <w:t xml:space="preserve">Australian Government </w:t>
      </w:r>
      <w:r>
        <w:t>agencies, third parties and key peak bodies in the development and delivery of</w:t>
      </w:r>
      <w:r w:rsidR="00F72DF7">
        <w:t> </w:t>
      </w:r>
      <w:r>
        <w:t>policy solutions.</w:t>
      </w:r>
    </w:p>
    <w:p w:rsidR="004A0848" w:rsidRDefault="004A0848" w:rsidP="008554C7">
      <w:pPr>
        <w:pStyle w:val="Normalmorespace"/>
      </w:pPr>
      <w:r>
        <w:t>COVID-19 continues to impact on the lives of all Australians. The department will continue to be agile in</w:t>
      </w:r>
      <w:r w:rsidR="00F72DF7">
        <w:t> </w:t>
      </w:r>
      <w:r>
        <w:t>providing advice to government and implementing responses to the COVID-19 pandemic, as well as other environmental factors such as cost of living pressures, labour mobility and natural disasters to support individuals and families in Australian communities.</w:t>
      </w:r>
    </w:p>
    <w:p w:rsidR="004A0848" w:rsidRDefault="004A0848" w:rsidP="004A0848">
      <w:pPr>
        <w:pStyle w:val="Normalmorespace"/>
      </w:pPr>
      <w:r>
        <w:t>Our people are critical in delivering the key priorities of the department. We have a significant focus on</w:t>
      </w:r>
      <w:r w:rsidR="009259D7">
        <w:t> </w:t>
      </w:r>
      <w:r>
        <w:t xml:space="preserve">developing our workforce capability and implementing strategies to support a diverse and inclusive workforce. </w:t>
      </w:r>
    </w:p>
    <w:p w:rsidR="004A0848" w:rsidRPr="007940BF" w:rsidRDefault="004A0848" w:rsidP="00762037">
      <w:pPr>
        <w:pStyle w:val="Normalmorespace"/>
        <w:spacing w:before="0"/>
        <w:rPr>
          <w:b/>
          <w:i/>
        </w:rPr>
      </w:pPr>
      <w:r w:rsidRPr="007940BF">
        <w:rPr>
          <w:b/>
          <w:i/>
        </w:rPr>
        <w:t>Our Priorities for 2022-23</w:t>
      </w:r>
    </w:p>
    <w:p w:rsidR="004A0848" w:rsidRDefault="004A0848" w:rsidP="00762037">
      <w:pPr>
        <w:pStyle w:val="Normalmorespace"/>
        <w:spacing w:after="0"/>
      </w:pPr>
      <w:r>
        <w:t>The key priorities that we will deliver on behalf of the Australian Government are:</w:t>
      </w:r>
    </w:p>
    <w:p w:rsidR="004A0848" w:rsidRDefault="004A0848" w:rsidP="00762037">
      <w:pPr>
        <w:pStyle w:val="ListParagraph"/>
        <w:spacing w:line="240" w:lineRule="auto"/>
        <w:ind w:left="641" w:hanging="357"/>
        <w:contextualSpacing w:val="0"/>
      </w:pPr>
      <w:r>
        <w:t xml:space="preserve">ensuring the </w:t>
      </w:r>
      <w:r w:rsidRPr="0018378C">
        <w:t xml:space="preserve">social security </w:t>
      </w:r>
      <w:r>
        <w:t xml:space="preserve">payment system </w:t>
      </w:r>
      <w:r w:rsidRPr="00276F06">
        <w:t>provides support to</w:t>
      </w:r>
      <w:r w:rsidRPr="0018378C">
        <w:t xml:space="preserve"> </w:t>
      </w:r>
      <w:r>
        <w:t xml:space="preserve">people when they need it most </w:t>
      </w:r>
    </w:p>
    <w:p w:rsidR="004A0848" w:rsidRPr="006A3A8E" w:rsidRDefault="004A0848" w:rsidP="00762037">
      <w:pPr>
        <w:pStyle w:val="ListParagraph"/>
        <w:spacing w:line="240" w:lineRule="auto"/>
        <w:ind w:left="641" w:hanging="357"/>
        <w:contextualSpacing w:val="0"/>
      </w:pPr>
      <w:r>
        <w:t>working with key government partners to improve the supply of social and affordable housing,</w:t>
      </w:r>
      <w:r w:rsidRPr="00AE1D87">
        <w:t xml:space="preserve"> </w:t>
      </w:r>
      <w:r>
        <w:t>including</w:t>
      </w:r>
      <w:r w:rsidR="001948CA">
        <w:t xml:space="preserve"> for</w:t>
      </w:r>
      <w:r>
        <w:t xml:space="preserve"> </w:t>
      </w:r>
      <w:r w:rsidRPr="0018378C">
        <w:t>women and children fleeing domestic and family violence</w:t>
      </w:r>
    </w:p>
    <w:p w:rsidR="004A0848" w:rsidRDefault="004A0848" w:rsidP="00762037">
      <w:pPr>
        <w:pStyle w:val="ListParagraph"/>
        <w:spacing w:line="240" w:lineRule="auto"/>
        <w:ind w:left="641" w:hanging="357"/>
        <w:contextualSpacing w:val="0"/>
      </w:pPr>
      <w:r>
        <w:t xml:space="preserve">managing the </w:t>
      </w:r>
      <w:r w:rsidR="0082659B">
        <w:t xml:space="preserve">abolition </w:t>
      </w:r>
      <w:r>
        <w:t>of the Cashless Debit Card program and ensur</w:t>
      </w:r>
      <w:r w:rsidR="00F3630B">
        <w:t>ing</w:t>
      </w:r>
      <w:r>
        <w:t xml:space="preserve"> support is in place for transition of participants </w:t>
      </w:r>
      <w:r w:rsidR="00BC1FFB">
        <w:t xml:space="preserve">including </w:t>
      </w:r>
      <w:r>
        <w:t>to other income management arrangements</w:t>
      </w:r>
    </w:p>
    <w:p w:rsidR="004A0848" w:rsidRDefault="004A0848" w:rsidP="00762037">
      <w:pPr>
        <w:pStyle w:val="ListParagraph"/>
        <w:spacing w:line="240" w:lineRule="auto"/>
        <w:ind w:left="641" w:hanging="357"/>
        <w:contextualSpacing w:val="0"/>
      </w:pPr>
      <w:r>
        <w:t xml:space="preserve">delivering the </w:t>
      </w:r>
      <w:r w:rsidRPr="0018378C">
        <w:t>National Redress Scheme</w:t>
      </w:r>
      <w:r>
        <w:t xml:space="preserve"> for Institutional </w:t>
      </w:r>
      <w:r w:rsidR="00BC1FFB">
        <w:t xml:space="preserve">Child </w:t>
      </w:r>
      <w:r>
        <w:t xml:space="preserve">Sexual Abuse ensuring applicants are provided with timely </w:t>
      </w:r>
      <w:r w:rsidR="003C587B">
        <w:t xml:space="preserve">and trauma informed </w:t>
      </w:r>
      <w:r>
        <w:t>support</w:t>
      </w:r>
    </w:p>
    <w:p w:rsidR="004A0848" w:rsidRPr="0018378C" w:rsidRDefault="004A0848" w:rsidP="00762037">
      <w:pPr>
        <w:pStyle w:val="ListParagraph"/>
        <w:spacing w:line="240" w:lineRule="auto"/>
        <w:ind w:left="641" w:hanging="357"/>
        <w:contextualSpacing w:val="0"/>
      </w:pPr>
      <w:r>
        <w:t xml:space="preserve">supporting the development of the new National Plan to </w:t>
      </w:r>
      <w:r w:rsidR="00F60FD5">
        <w:t>E</w:t>
      </w:r>
      <w:r>
        <w:t xml:space="preserve">nd Violence against Women and Children, and </w:t>
      </w:r>
      <w:r w:rsidR="00BC1FFB">
        <w:t xml:space="preserve">delivering key election commitments, including an additional 500 frontline domestic violence workers, and </w:t>
      </w:r>
      <w:r>
        <w:t xml:space="preserve">the </w:t>
      </w:r>
      <w:r w:rsidRPr="007F1369">
        <w:t xml:space="preserve">establishment of </w:t>
      </w:r>
      <w:r>
        <w:t>the</w:t>
      </w:r>
      <w:r w:rsidRPr="007F1369">
        <w:t xml:space="preserve"> </w:t>
      </w:r>
      <w:r w:rsidR="00F60FD5">
        <w:t xml:space="preserve">Domestic, </w:t>
      </w:r>
      <w:r w:rsidRPr="007F1369">
        <w:t>Family and Sexual Violence Commission</w:t>
      </w:r>
    </w:p>
    <w:p w:rsidR="00E96D8C" w:rsidRPr="005E4E12" w:rsidRDefault="00E96D8C" w:rsidP="00762037">
      <w:pPr>
        <w:pStyle w:val="ListParagraph"/>
        <w:spacing w:line="240" w:lineRule="auto"/>
        <w:ind w:left="641" w:hanging="357"/>
        <w:contextualSpacing w:val="0"/>
      </w:pPr>
      <w:r w:rsidRPr="005E4E12">
        <w:t>leading the Commonwealth’s implementation on three targets under the National Agreement on Closing the Gap (targets 9 - housing, 12 - out-of-home care, and 13 - family violence) and the cross-cutting outcome of disability, and embedding the Priority Reforms to transform the way we work and partner with First Nations people, communities and organisations</w:t>
      </w:r>
    </w:p>
    <w:p w:rsidR="004A0848" w:rsidRDefault="004A0848" w:rsidP="00762037">
      <w:pPr>
        <w:pStyle w:val="ListParagraph"/>
        <w:spacing w:line="240" w:lineRule="auto"/>
        <w:ind w:left="641" w:hanging="357"/>
        <w:contextualSpacing w:val="0"/>
      </w:pPr>
      <w:r>
        <w:t xml:space="preserve">leading the Commonwealth on the implementation of Australia’s Disability Strategy 2021-31 and embedding this throughout the programs that the </w:t>
      </w:r>
      <w:r w:rsidR="009259D7">
        <w:t>d</w:t>
      </w:r>
      <w:r>
        <w:t>epartment delivers</w:t>
      </w:r>
    </w:p>
    <w:p w:rsidR="004A0848" w:rsidRDefault="004A0848" w:rsidP="00762037">
      <w:pPr>
        <w:pStyle w:val="ListParagraph"/>
        <w:spacing w:line="240" w:lineRule="auto"/>
        <w:ind w:left="641" w:hanging="357"/>
        <w:contextualSpacing w:val="0"/>
      </w:pPr>
      <w:r>
        <w:t xml:space="preserve">supporting the </w:t>
      </w:r>
      <w:r w:rsidR="00B96040">
        <w:t>g</w:t>
      </w:r>
      <w:r>
        <w:t>overnment with the ongoing development of disability policy supporting recipients of</w:t>
      </w:r>
      <w:r w:rsidR="009259D7">
        <w:t> </w:t>
      </w:r>
      <w:r>
        <w:t>the National Disability Insurance Scheme (NDIS) and all Australians with disability</w:t>
      </w:r>
    </w:p>
    <w:p w:rsidR="004A0848" w:rsidRDefault="004A0848" w:rsidP="00762037">
      <w:pPr>
        <w:pStyle w:val="ListParagraph"/>
        <w:spacing w:line="240" w:lineRule="auto"/>
        <w:ind w:left="641" w:hanging="357"/>
        <w:contextualSpacing w:val="0"/>
      </w:pPr>
      <w:r>
        <w:t>supporting the review of the N</w:t>
      </w:r>
      <w:r w:rsidR="00944245">
        <w:t xml:space="preserve">ational </w:t>
      </w:r>
      <w:r>
        <w:t>D</w:t>
      </w:r>
      <w:r w:rsidR="00944245">
        <w:t xml:space="preserve">isability </w:t>
      </w:r>
      <w:r>
        <w:t>I</w:t>
      </w:r>
      <w:r w:rsidR="00944245">
        <w:t xml:space="preserve">nsurance </w:t>
      </w:r>
      <w:r>
        <w:t>S</w:t>
      </w:r>
      <w:r w:rsidR="00944245">
        <w:t>cheme</w:t>
      </w:r>
    </w:p>
    <w:p w:rsidR="004A0848" w:rsidRPr="0018378C" w:rsidRDefault="004A0848" w:rsidP="00762037">
      <w:pPr>
        <w:pStyle w:val="ListParagraph"/>
        <w:spacing w:line="240" w:lineRule="auto"/>
        <w:ind w:left="641" w:hanging="357"/>
        <w:contextualSpacing w:val="0"/>
      </w:pPr>
      <w:r>
        <w:t xml:space="preserve">reforming the Disability Employment Services (DES) Program </w:t>
      </w:r>
      <w:r w:rsidR="003C587B">
        <w:t xml:space="preserve">to introduce contemporary programs </w:t>
      </w:r>
      <w:r>
        <w:t>to align with employment service</w:t>
      </w:r>
      <w:r w:rsidR="003C587B">
        <w:t>s</w:t>
      </w:r>
    </w:p>
    <w:p w:rsidR="004A0848" w:rsidRDefault="004A0848" w:rsidP="00762037">
      <w:pPr>
        <w:pStyle w:val="ListParagraph"/>
        <w:spacing w:line="240" w:lineRule="auto"/>
        <w:ind w:left="641" w:hanging="357"/>
        <w:contextualSpacing w:val="0"/>
      </w:pPr>
      <w:r>
        <w:t>supporting the COVID-19 response for people with disability, in accessing health and vaccination services</w:t>
      </w:r>
      <w:r w:rsidR="00254174">
        <w:t>.</w:t>
      </w:r>
      <w:r>
        <w:t xml:space="preserve"> </w:t>
      </w:r>
    </w:p>
    <w:p w:rsidR="004A0848" w:rsidRDefault="004A0848" w:rsidP="00762037">
      <w:pPr>
        <w:pStyle w:val="Normalmorespace"/>
        <w:spacing w:before="0"/>
      </w:pPr>
      <w:r>
        <w:t>The department has a key stewardship role in the delivery of a number of cross-government strategies including Australia’s Disability Strategy, the National Framework for Protecti</w:t>
      </w:r>
      <w:r w:rsidR="0082659B">
        <w:t xml:space="preserve">ng </w:t>
      </w:r>
      <w:r>
        <w:t>Australia’s Children and the development of the new National Plan to End Violence against Women and Children.</w:t>
      </w:r>
    </w:p>
    <w:p w:rsidR="008D31F3" w:rsidRDefault="004A0848" w:rsidP="00762037">
      <w:pPr>
        <w:pStyle w:val="Normalmorespace"/>
        <w:rPr>
          <w:color w:val="000000"/>
        </w:rPr>
      </w:pPr>
      <w:r>
        <w:t>I look forward to working with our Portfolio Ministers and Assistant Ministers, their staff, portfolio agencies, external partners, and stakeholders to deliver the outcomes set out in this Plan.</w:t>
      </w:r>
    </w:p>
    <w:p w:rsidR="005365CC" w:rsidRDefault="5425105C" w:rsidP="006A3A8E">
      <w:pPr>
        <w:pStyle w:val="Heading1"/>
      </w:pPr>
      <w:bookmarkStart w:id="14" w:name="_Toc111026097"/>
      <w:r>
        <w:lastRenderedPageBreak/>
        <w:t>Statement of preparation</w:t>
      </w:r>
      <w:bookmarkEnd w:id="14"/>
    </w:p>
    <w:p w:rsidR="005365CC" w:rsidRDefault="5425105C" w:rsidP="0069570C">
      <w:pPr>
        <w:pStyle w:val="Normalmorespace"/>
      </w:pPr>
      <w:r>
        <w:t>I, Ray Griggs, as the accountable authority of the Department of Social Services present the 2022–</w:t>
      </w:r>
      <w:r w:rsidR="00A10C22">
        <w:t xml:space="preserve">23 </w:t>
      </w:r>
      <w:r>
        <w:t>Department of Social Services Corporate Plan (the Plan), which covers the period 2022–23 to 2025–26, as</w:t>
      </w:r>
      <w:r w:rsidR="00A10C22">
        <w:t> </w:t>
      </w:r>
      <w:r>
        <w:t xml:space="preserve">required under paragraph 35(1)(b) of the </w:t>
      </w:r>
      <w:r w:rsidRPr="0CA382EB">
        <w:rPr>
          <w:rStyle w:val="BodytextITALIC"/>
        </w:rPr>
        <w:t xml:space="preserve">Public Governance, Performance and Accountability Act 2013 </w:t>
      </w:r>
      <w:r>
        <w:t xml:space="preserve">(PGPA Act). The Plan is prepared in accordance with the </w:t>
      </w:r>
      <w:r w:rsidRPr="0CA382EB">
        <w:rPr>
          <w:rStyle w:val="BodytextITALIC"/>
        </w:rPr>
        <w:t xml:space="preserve">Public Governance, Performance and Accountability Rule 2014 </w:t>
      </w:r>
      <w:r>
        <w:t>(PGPA Rule). This Plan has been compiled for the 2022–23 financial year.</w:t>
      </w:r>
    </w:p>
    <w:p w:rsidR="005365CC" w:rsidRDefault="005365CC" w:rsidP="0CA382EB">
      <w:pPr>
        <w:pStyle w:val="Normalmorespace"/>
        <w:rPr>
          <w:rFonts w:cstheme="minorBidi"/>
        </w:rPr>
      </w:pPr>
    </w:p>
    <w:p w:rsidR="00194CC8" w:rsidRDefault="00194CC8" w:rsidP="0CA382EB">
      <w:pPr>
        <w:pStyle w:val="Normalmorespace"/>
        <w:rPr>
          <w:rFonts w:cstheme="minorBidi"/>
        </w:rPr>
      </w:pPr>
    </w:p>
    <w:p w:rsidR="00194CC8" w:rsidRDefault="00194CC8" w:rsidP="0CA382EB">
      <w:pPr>
        <w:pStyle w:val="Normalmorespace"/>
        <w:rPr>
          <w:rFonts w:cstheme="minorBidi"/>
        </w:rPr>
      </w:pPr>
    </w:p>
    <w:p w:rsidR="00194CC8" w:rsidRDefault="00194CC8" w:rsidP="0CA382EB">
      <w:pPr>
        <w:pStyle w:val="Normalmorespace"/>
        <w:rPr>
          <w:rFonts w:cstheme="minorBidi"/>
        </w:rPr>
      </w:pPr>
    </w:p>
    <w:p w:rsidR="005365CC" w:rsidRDefault="5425105C" w:rsidP="0CA382EB">
      <w:pPr>
        <w:pStyle w:val="Normalmorespace"/>
        <w:rPr>
          <w:rFonts w:cstheme="minorBidi"/>
          <w:b/>
          <w:bCs/>
        </w:rPr>
      </w:pPr>
      <w:r w:rsidRPr="0CA382EB">
        <w:rPr>
          <w:rFonts w:cstheme="minorBidi"/>
          <w:b/>
          <w:bCs/>
        </w:rPr>
        <w:t>Ray Griggs AO CSC</w:t>
      </w:r>
      <w:r w:rsidR="005365CC">
        <w:br/>
      </w:r>
      <w:r w:rsidRPr="0CA382EB">
        <w:rPr>
          <w:rFonts w:cstheme="minorBidi"/>
        </w:rPr>
        <w:t>Secretary</w:t>
      </w:r>
    </w:p>
    <w:p w:rsidR="005365CC" w:rsidRDefault="5425105C" w:rsidP="0CA382EB">
      <w:pPr>
        <w:pStyle w:val="Normalmorespace"/>
      </w:pPr>
      <w:r>
        <w:t>August 2022</w:t>
      </w:r>
    </w:p>
    <w:p w:rsidR="008D31F3" w:rsidRDefault="008D31F3" w:rsidP="0069570C">
      <w:pPr>
        <w:pStyle w:val="Normalmorespace"/>
      </w:pPr>
    </w:p>
    <w:p w:rsidR="00194CC8" w:rsidRDefault="00194CC8" w:rsidP="0069570C">
      <w:pPr>
        <w:pStyle w:val="Normalmorespace"/>
      </w:pPr>
    </w:p>
    <w:p w:rsidR="008D31F3" w:rsidRDefault="008D31F3">
      <w:pPr>
        <w:spacing w:before="0" w:after="160"/>
        <w:rPr>
          <w:rFonts w:eastAsia="Times New Roman" w:cs="Times New Roman"/>
          <w:color w:val="000000" w:themeColor="text1"/>
          <w:sz w:val="20"/>
          <w:szCs w:val="20"/>
          <w:lang w:eastAsia="en-AU"/>
        </w:rPr>
      </w:pPr>
      <w:r>
        <w:br w:type="page"/>
      </w:r>
    </w:p>
    <w:bookmarkStart w:id="15" w:name="_Toc47604291" w:displacedByCustomXml="next"/>
    <w:bookmarkStart w:id="16" w:name="_Toc521500209" w:displacedByCustomXml="next"/>
    <w:sdt>
      <w:sdtPr>
        <w:rPr>
          <w:rFonts w:ascii="Arial" w:eastAsiaTheme="minorEastAsia" w:hAnsi="Arial" w:cstheme="minorBidi"/>
          <w:color w:val="auto"/>
          <w:sz w:val="18"/>
          <w:szCs w:val="22"/>
        </w:rPr>
        <w:id w:val="-198477783"/>
        <w:docPartObj>
          <w:docPartGallery w:val="Table of Contents"/>
          <w:docPartUnique/>
        </w:docPartObj>
      </w:sdtPr>
      <w:sdtEndPr>
        <w:rPr>
          <w:b/>
          <w:bCs/>
          <w:noProof/>
        </w:rPr>
      </w:sdtEndPr>
      <w:sdtContent>
        <w:p w:rsidR="00276AB7" w:rsidRDefault="00276AB7">
          <w:pPr>
            <w:pStyle w:val="TOCHeading"/>
          </w:pPr>
          <w:r>
            <w:t>Contents</w:t>
          </w:r>
        </w:p>
        <w:p w:rsidR="00946BF2" w:rsidRDefault="00276AB7" w:rsidP="00762037">
          <w:pPr>
            <w:pStyle w:val="TOC1"/>
            <w:rPr>
              <w:rFonts w:asciiTheme="minorHAnsi" w:hAnsiTheme="minorHAnsi"/>
              <w:noProof/>
              <w:sz w:val="22"/>
              <w:lang w:eastAsia="en-AU"/>
            </w:rPr>
          </w:pPr>
          <w:r w:rsidRPr="00725C63">
            <w:rPr>
              <w:rFonts w:cs="Arial"/>
            </w:rPr>
            <w:fldChar w:fldCharType="begin"/>
          </w:r>
          <w:r w:rsidRPr="00725C63">
            <w:rPr>
              <w:rFonts w:cs="Arial"/>
            </w:rPr>
            <w:instrText xml:space="preserve"> TOC \o "1-3" \h \z \u </w:instrText>
          </w:r>
          <w:r w:rsidRPr="00725C63">
            <w:rPr>
              <w:rFonts w:cs="Arial"/>
            </w:rPr>
            <w:fldChar w:fldCharType="separate"/>
          </w:r>
          <w:hyperlink w:anchor="_Toc111026096" w:history="1">
            <w:r w:rsidR="00946BF2" w:rsidRPr="004A3816">
              <w:rPr>
                <w:rStyle w:val="Hyperlink"/>
                <w:noProof/>
              </w:rPr>
              <w:t>Secretary’s foreword</w:t>
            </w:r>
            <w:r w:rsidR="00946BF2">
              <w:rPr>
                <w:noProof/>
                <w:webHidden/>
              </w:rPr>
              <w:tab/>
            </w:r>
            <w:r w:rsidR="00946BF2">
              <w:rPr>
                <w:noProof/>
                <w:webHidden/>
              </w:rPr>
              <w:fldChar w:fldCharType="begin"/>
            </w:r>
            <w:r w:rsidR="00946BF2">
              <w:rPr>
                <w:noProof/>
                <w:webHidden/>
              </w:rPr>
              <w:instrText xml:space="preserve"> PAGEREF _Toc111026096 \h </w:instrText>
            </w:r>
            <w:r w:rsidR="00946BF2">
              <w:rPr>
                <w:noProof/>
                <w:webHidden/>
              </w:rPr>
            </w:r>
            <w:r w:rsidR="00946BF2">
              <w:rPr>
                <w:noProof/>
                <w:webHidden/>
              </w:rPr>
              <w:fldChar w:fldCharType="separate"/>
            </w:r>
            <w:r w:rsidR="00C334B1">
              <w:rPr>
                <w:noProof/>
                <w:webHidden/>
              </w:rPr>
              <w:t>3</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097" w:history="1">
            <w:r w:rsidR="00946BF2" w:rsidRPr="004A3816">
              <w:rPr>
                <w:rStyle w:val="Hyperlink"/>
                <w:noProof/>
              </w:rPr>
              <w:t>Statement of preparation</w:t>
            </w:r>
            <w:r w:rsidR="00946BF2">
              <w:rPr>
                <w:noProof/>
                <w:webHidden/>
              </w:rPr>
              <w:tab/>
            </w:r>
            <w:r w:rsidR="00946BF2">
              <w:rPr>
                <w:noProof/>
                <w:webHidden/>
              </w:rPr>
              <w:fldChar w:fldCharType="begin"/>
            </w:r>
            <w:r w:rsidR="00946BF2">
              <w:rPr>
                <w:noProof/>
                <w:webHidden/>
              </w:rPr>
              <w:instrText xml:space="preserve"> PAGEREF _Toc111026097 \h </w:instrText>
            </w:r>
            <w:r w:rsidR="00946BF2">
              <w:rPr>
                <w:noProof/>
                <w:webHidden/>
              </w:rPr>
            </w:r>
            <w:r w:rsidR="00946BF2">
              <w:rPr>
                <w:noProof/>
                <w:webHidden/>
              </w:rPr>
              <w:fldChar w:fldCharType="separate"/>
            </w:r>
            <w:r w:rsidR="00C334B1">
              <w:rPr>
                <w:noProof/>
                <w:webHidden/>
              </w:rPr>
              <w:t>4</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098" w:history="1">
            <w:r w:rsidR="00946BF2" w:rsidRPr="004A3816">
              <w:rPr>
                <w:rStyle w:val="Hyperlink"/>
                <w:noProof/>
              </w:rPr>
              <w:t>Acknowledgement of Country</w:t>
            </w:r>
            <w:r w:rsidR="00946BF2">
              <w:rPr>
                <w:noProof/>
                <w:webHidden/>
              </w:rPr>
              <w:tab/>
            </w:r>
            <w:r w:rsidR="00946BF2">
              <w:rPr>
                <w:noProof/>
                <w:webHidden/>
              </w:rPr>
              <w:fldChar w:fldCharType="begin"/>
            </w:r>
            <w:r w:rsidR="00946BF2">
              <w:rPr>
                <w:noProof/>
                <w:webHidden/>
              </w:rPr>
              <w:instrText xml:space="preserve"> PAGEREF _Toc111026098 \h </w:instrText>
            </w:r>
            <w:r w:rsidR="00946BF2">
              <w:rPr>
                <w:noProof/>
                <w:webHidden/>
              </w:rPr>
            </w:r>
            <w:r w:rsidR="00946BF2">
              <w:rPr>
                <w:noProof/>
                <w:webHidden/>
              </w:rPr>
              <w:fldChar w:fldCharType="separate"/>
            </w:r>
            <w:r w:rsidR="00C334B1">
              <w:rPr>
                <w:noProof/>
                <w:webHidden/>
              </w:rPr>
              <w:t>6</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099" w:history="1">
            <w:r w:rsidR="00946BF2" w:rsidRPr="004A3816">
              <w:rPr>
                <w:rStyle w:val="Hyperlink"/>
                <w:noProof/>
              </w:rPr>
              <w:t>Our mission</w:t>
            </w:r>
            <w:r w:rsidR="00946BF2">
              <w:rPr>
                <w:noProof/>
                <w:webHidden/>
              </w:rPr>
              <w:tab/>
            </w:r>
            <w:r w:rsidR="00946BF2">
              <w:rPr>
                <w:noProof/>
                <w:webHidden/>
              </w:rPr>
              <w:fldChar w:fldCharType="begin"/>
            </w:r>
            <w:r w:rsidR="00946BF2">
              <w:rPr>
                <w:noProof/>
                <w:webHidden/>
              </w:rPr>
              <w:instrText xml:space="preserve"> PAGEREF _Toc111026099 \h </w:instrText>
            </w:r>
            <w:r w:rsidR="00946BF2">
              <w:rPr>
                <w:noProof/>
                <w:webHidden/>
              </w:rPr>
            </w:r>
            <w:r w:rsidR="00946BF2">
              <w:rPr>
                <w:noProof/>
                <w:webHidden/>
              </w:rPr>
              <w:fldChar w:fldCharType="separate"/>
            </w:r>
            <w:r w:rsidR="00C334B1">
              <w:rPr>
                <w:noProof/>
                <w:webHidden/>
              </w:rPr>
              <w:t>6</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00" w:history="1">
            <w:r w:rsidR="00946BF2" w:rsidRPr="004A3816">
              <w:rPr>
                <w:rStyle w:val="Hyperlink"/>
                <w:noProof/>
              </w:rPr>
              <w:t>Our purpose</w:t>
            </w:r>
            <w:r w:rsidR="00946BF2">
              <w:rPr>
                <w:noProof/>
                <w:webHidden/>
              </w:rPr>
              <w:tab/>
            </w:r>
            <w:r w:rsidR="00946BF2">
              <w:rPr>
                <w:noProof/>
                <w:webHidden/>
              </w:rPr>
              <w:fldChar w:fldCharType="begin"/>
            </w:r>
            <w:r w:rsidR="00946BF2">
              <w:rPr>
                <w:noProof/>
                <w:webHidden/>
              </w:rPr>
              <w:instrText xml:space="preserve"> PAGEREF _Toc111026100 \h </w:instrText>
            </w:r>
            <w:r w:rsidR="00946BF2">
              <w:rPr>
                <w:noProof/>
                <w:webHidden/>
              </w:rPr>
            </w:r>
            <w:r w:rsidR="00946BF2">
              <w:rPr>
                <w:noProof/>
                <w:webHidden/>
              </w:rPr>
              <w:fldChar w:fldCharType="separate"/>
            </w:r>
            <w:r w:rsidR="00C334B1">
              <w:rPr>
                <w:noProof/>
                <w:webHidden/>
              </w:rPr>
              <w:t>6</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01" w:history="1">
            <w:r w:rsidR="00946BF2" w:rsidRPr="004A3816">
              <w:rPr>
                <w:rStyle w:val="Hyperlink"/>
                <w:noProof/>
              </w:rPr>
              <w:t>Our outcomes</w:t>
            </w:r>
            <w:r w:rsidR="00946BF2">
              <w:rPr>
                <w:noProof/>
                <w:webHidden/>
              </w:rPr>
              <w:tab/>
            </w:r>
            <w:r w:rsidR="00946BF2">
              <w:rPr>
                <w:noProof/>
                <w:webHidden/>
              </w:rPr>
              <w:fldChar w:fldCharType="begin"/>
            </w:r>
            <w:r w:rsidR="00946BF2">
              <w:rPr>
                <w:noProof/>
                <w:webHidden/>
              </w:rPr>
              <w:instrText xml:space="preserve"> PAGEREF _Toc111026101 \h </w:instrText>
            </w:r>
            <w:r w:rsidR="00946BF2">
              <w:rPr>
                <w:noProof/>
                <w:webHidden/>
              </w:rPr>
            </w:r>
            <w:r w:rsidR="00946BF2">
              <w:rPr>
                <w:noProof/>
                <w:webHidden/>
              </w:rPr>
              <w:fldChar w:fldCharType="separate"/>
            </w:r>
            <w:r w:rsidR="00C334B1">
              <w:rPr>
                <w:noProof/>
                <w:webHidden/>
              </w:rPr>
              <w:t>7</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02" w:history="1">
            <w:r w:rsidR="00946BF2" w:rsidRPr="004A3816">
              <w:rPr>
                <w:rStyle w:val="Hyperlink"/>
                <w:noProof/>
              </w:rPr>
              <w:t>Cross government priorities</w:t>
            </w:r>
            <w:r w:rsidR="00946BF2">
              <w:rPr>
                <w:noProof/>
                <w:webHidden/>
              </w:rPr>
              <w:tab/>
            </w:r>
            <w:r w:rsidR="00946BF2">
              <w:rPr>
                <w:noProof/>
                <w:webHidden/>
              </w:rPr>
              <w:fldChar w:fldCharType="begin"/>
            </w:r>
            <w:r w:rsidR="00946BF2">
              <w:rPr>
                <w:noProof/>
                <w:webHidden/>
              </w:rPr>
              <w:instrText xml:space="preserve"> PAGEREF _Toc111026102 \h </w:instrText>
            </w:r>
            <w:r w:rsidR="00946BF2">
              <w:rPr>
                <w:noProof/>
                <w:webHidden/>
              </w:rPr>
            </w:r>
            <w:r w:rsidR="00946BF2">
              <w:rPr>
                <w:noProof/>
                <w:webHidden/>
              </w:rPr>
              <w:fldChar w:fldCharType="separate"/>
            </w:r>
            <w:r w:rsidR="00C334B1">
              <w:rPr>
                <w:noProof/>
                <w:webHidden/>
              </w:rPr>
              <w:t>7</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03" w:history="1">
            <w:r w:rsidR="00946BF2" w:rsidRPr="004A3816">
              <w:rPr>
                <w:rStyle w:val="Hyperlink"/>
                <w:noProof/>
              </w:rPr>
              <w:t>Australia’s Disability Strategy 2021-2031</w:t>
            </w:r>
            <w:r w:rsidR="00946BF2">
              <w:rPr>
                <w:noProof/>
                <w:webHidden/>
              </w:rPr>
              <w:tab/>
            </w:r>
            <w:r w:rsidR="00946BF2">
              <w:rPr>
                <w:noProof/>
                <w:webHidden/>
              </w:rPr>
              <w:fldChar w:fldCharType="begin"/>
            </w:r>
            <w:r w:rsidR="00946BF2">
              <w:rPr>
                <w:noProof/>
                <w:webHidden/>
              </w:rPr>
              <w:instrText xml:space="preserve"> PAGEREF _Toc111026103 \h </w:instrText>
            </w:r>
            <w:r w:rsidR="00946BF2">
              <w:rPr>
                <w:noProof/>
                <w:webHidden/>
              </w:rPr>
            </w:r>
            <w:r w:rsidR="00946BF2">
              <w:rPr>
                <w:noProof/>
                <w:webHidden/>
              </w:rPr>
              <w:fldChar w:fldCharType="separate"/>
            </w:r>
            <w:r w:rsidR="00C334B1">
              <w:rPr>
                <w:noProof/>
                <w:webHidden/>
              </w:rPr>
              <w:t>7</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04" w:history="1">
            <w:r w:rsidR="00946BF2" w:rsidRPr="004A3816">
              <w:rPr>
                <w:rStyle w:val="Hyperlink"/>
                <w:noProof/>
              </w:rPr>
              <w:t>Safe &amp; Supported: the National Framework for Protecting Australia’s Children 2021-2031</w:t>
            </w:r>
            <w:r w:rsidR="00946BF2">
              <w:rPr>
                <w:noProof/>
                <w:webHidden/>
              </w:rPr>
              <w:tab/>
            </w:r>
            <w:r w:rsidR="00946BF2">
              <w:rPr>
                <w:noProof/>
                <w:webHidden/>
              </w:rPr>
              <w:fldChar w:fldCharType="begin"/>
            </w:r>
            <w:r w:rsidR="00946BF2">
              <w:rPr>
                <w:noProof/>
                <w:webHidden/>
              </w:rPr>
              <w:instrText xml:space="preserve"> PAGEREF _Toc111026104 \h </w:instrText>
            </w:r>
            <w:r w:rsidR="00946BF2">
              <w:rPr>
                <w:noProof/>
                <w:webHidden/>
              </w:rPr>
            </w:r>
            <w:r w:rsidR="00946BF2">
              <w:rPr>
                <w:noProof/>
                <w:webHidden/>
              </w:rPr>
              <w:fldChar w:fldCharType="separate"/>
            </w:r>
            <w:r w:rsidR="00C334B1">
              <w:rPr>
                <w:noProof/>
                <w:webHidden/>
              </w:rPr>
              <w:t>8</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05" w:history="1">
            <w:r w:rsidR="00946BF2" w:rsidRPr="004A3816">
              <w:rPr>
                <w:rStyle w:val="Hyperlink"/>
                <w:noProof/>
              </w:rPr>
              <w:t>The new National Plan to End Violence against Women and Children 2022-2032</w:t>
            </w:r>
            <w:r w:rsidR="00946BF2">
              <w:rPr>
                <w:noProof/>
                <w:webHidden/>
              </w:rPr>
              <w:tab/>
            </w:r>
            <w:r w:rsidR="00946BF2">
              <w:rPr>
                <w:noProof/>
                <w:webHidden/>
              </w:rPr>
              <w:fldChar w:fldCharType="begin"/>
            </w:r>
            <w:r w:rsidR="00946BF2">
              <w:rPr>
                <w:noProof/>
                <w:webHidden/>
              </w:rPr>
              <w:instrText xml:space="preserve"> PAGEREF _Toc111026105 \h </w:instrText>
            </w:r>
            <w:r w:rsidR="00946BF2">
              <w:rPr>
                <w:noProof/>
                <w:webHidden/>
              </w:rPr>
            </w:r>
            <w:r w:rsidR="00946BF2">
              <w:rPr>
                <w:noProof/>
                <w:webHidden/>
              </w:rPr>
              <w:fldChar w:fldCharType="separate"/>
            </w:r>
            <w:r w:rsidR="00C334B1">
              <w:rPr>
                <w:noProof/>
                <w:webHidden/>
              </w:rPr>
              <w:t>8</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06" w:history="1">
            <w:r w:rsidR="00946BF2" w:rsidRPr="004A3816">
              <w:rPr>
                <w:rStyle w:val="Hyperlink"/>
                <w:noProof/>
              </w:rPr>
              <w:t>Collaboration</w:t>
            </w:r>
            <w:r w:rsidR="00946BF2">
              <w:rPr>
                <w:noProof/>
                <w:webHidden/>
              </w:rPr>
              <w:tab/>
            </w:r>
            <w:r w:rsidR="00946BF2">
              <w:rPr>
                <w:noProof/>
                <w:webHidden/>
              </w:rPr>
              <w:fldChar w:fldCharType="begin"/>
            </w:r>
            <w:r w:rsidR="00946BF2">
              <w:rPr>
                <w:noProof/>
                <w:webHidden/>
              </w:rPr>
              <w:instrText xml:space="preserve"> PAGEREF _Toc111026106 \h </w:instrText>
            </w:r>
            <w:r w:rsidR="00946BF2">
              <w:rPr>
                <w:noProof/>
                <w:webHidden/>
              </w:rPr>
            </w:r>
            <w:r w:rsidR="00946BF2">
              <w:rPr>
                <w:noProof/>
                <w:webHidden/>
              </w:rPr>
              <w:fldChar w:fldCharType="separate"/>
            </w:r>
            <w:r w:rsidR="00C334B1">
              <w:rPr>
                <w:noProof/>
                <w:webHidden/>
              </w:rPr>
              <w:t>9</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07" w:history="1">
            <w:r w:rsidR="00946BF2" w:rsidRPr="004A3816">
              <w:rPr>
                <w:rStyle w:val="Hyperlink"/>
                <w:noProof/>
              </w:rPr>
              <w:t>Our structure</w:t>
            </w:r>
            <w:r w:rsidR="00946BF2">
              <w:rPr>
                <w:noProof/>
                <w:webHidden/>
              </w:rPr>
              <w:tab/>
            </w:r>
            <w:r w:rsidR="00946BF2">
              <w:rPr>
                <w:noProof/>
                <w:webHidden/>
              </w:rPr>
              <w:fldChar w:fldCharType="begin"/>
            </w:r>
            <w:r w:rsidR="00946BF2">
              <w:rPr>
                <w:noProof/>
                <w:webHidden/>
              </w:rPr>
              <w:instrText xml:space="preserve"> PAGEREF _Toc111026107 \h </w:instrText>
            </w:r>
            <w:r w:rsidR="00946BF2">
              <w:rPr>
                <w:noProof/>
                <w:webHidden/>
              </w:rPr>
            </w:r>
            <w:r w:rsidR="00946BF2">
              <w:rPr>
                <w:noProof/>
                <w:webHidden/>
              </w:rPr>
              <w:fldChar w:fldCharType="separate"/>
            </w:r>
            <w:r w:rsidR="00C334B1">
              <w:rPr>
                <w:noProof/>
                <w:webHidden/>
              </w:rPr>
              <w:t>9</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08" w:history="1">
            <w:r w:rsidR="00946BF2" w:rsidRPr="004A3816">
              <w:rPr>
                <w:rStyle w:val="Hyperlink"/>
                <w:noProof/>
              </w:rPr>
              <w:t>Our portfolio agencies</w:t>
            </w:r>
            <w:r w:rsidR="00946BF2">
              <w:rPr>
                <w:noProof/>
                <w:webHidden/>
              </w:rPr>
              <w:tab/>
            </w:r>
            <w:r w:rsidR="00946BF2">
              <w:rPr>
                <w:noProof/>
                <w:webHidden/>
              </w:rPr>
              <w:fldChar w:fldCharType="begin"/>
            </w:r>
            <w:r w:rsidR="00946BF2">
              <w:rPr>
                <w:noProof/>
                <w:webHidden/>
              </w:rPr>
              <w:instrText xml:space="preserve"> PAGEREF _Toc111026108 \h </w:instrText>
            </w:r>
            <w:r w:rsidR="00946BF2">
              <w:rPr>
                <w:noProof/>
                <w:webHidden/>
              </w:rPr>
            </w:r>
            <w:r w:rsidR="00946BF2">
              <w:rPr>
                <w:noProof/>
                <w:webHidden/>
              </w:rPr>
              <w:fldChar w:fldCharType="separate"/>
            </w:r>
            <w:r w:rsidR="00C334B1">
              <w:rPr>
                <w:noProof/>
                <w:webHidden/>
              </w:rPr>
              <w:t>10</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09" w:history="1">
            <w:r w:rsidR="00946BF2" w:rsidRPr="004A3816">
              <w:rPr>
                <w:rStyle w:val="Hyperlink"/>
                <w:noProof/>
              </w:rPr>
              <w:t>Our operating context</w:t>
            </w:r>
            <w:r w:rsidR="00946BF2">
              <w:rPr>
                <w:noProof/>
                <w:webHidden/>
              </w:rPr>
              <w:tab/>
            </w:r>
            <w:r w:rsidR="00946BF2">
              <w:rPr>
                <w:noProof/>
                <w:webHidden/>
              </w:rPr>
              <w:fldChar w:fldCharType="begin"/>
            </w:r>
            <w:r w:rsidR="00946BF2">
              <w:rPr>
                <w:noProof/>
                <w:webHidden/>
              </w:rPr>
              <w:instrText xml:space="preserve"> PAGEREF _Toc111026109 \h </w:instrText>
            </w:r>
            <w:r w:rsidR="00946BF2">
              <w:rPr>
                <w:noProof/>
                <w:webHidden/>
              </w:rPr>
            </w:r>
            <w:r w:rsidR="00946BF2">
              <w:rPr>
                <w:noProof/>
                <w:webHidden/>
              </w:rPr>
              <w:fldChar w:fldCharType="separate"/>
            </w:r>
            <w:r w:rsidR="00C334B1">
              <w:rPr>
                <w:noProof/>
                <w:webHidden/>
              </w:rPr>
              <w:t>11</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10" w:history="1">
            <w:r w:rsidR="00946BF2" w:rsidRPr="004A3816">
              <w:rPr>
                <w:rStyle w:val="Hyperlink"/>
                <w:noProof/>
              </w:rPr>
              <w:t>Our environment</w:t>
            </w:r>
            <w:r w:rsidR="00946BF2">
              <w:rPr>
                <w:noProof/>
                <w:webHidden/>
              </w:rPr>
              <w:tab/>
            </w:r>
            <w:r w:rsidR="00946BF2">
              <w:rPr>
                <w:noProof/>
                <w:webHidden/>
              </w:rPr>
              <w:fldChar w:fldCharType="begin"/>
            </w:r>
            <w:r w:rsidR="00946BF2">
              <w:rPr>
                <w:noProof/>
                <w:webHidden/>
              </w:rPr>
              <w:instrText xml:space="preserve"> PAGEREF _Toc111026110 \h </w:instrText>
            </w:r>
            <w:r w:rsidR="00946BF2">
              <w:rPr>
                <w:noProof/>
                <w:webHidden/>
              </w:rPr>
            </w:r>
            <w:r w:rsidR="00946BF2">
              <w:rPr>
                <w:noProof/>
                <w:webHidden/>
              </w:rPr>
              <w:fldChar w:fldCharType="separate"/>
            </w:r>
            <w:r w:rsidR="00C334B1">
              <w:rPr>
                <w:noProof/>
                <w:webHidden/>
              </w:rPr>
              <w:t>11</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11" w:history="1">
            <w:r w:rsidR="00946BF2" w:rsidRPr="004A3816">
              <w:rPr>
                <w:rStyle w:val="Hyperlink"/>
                <w:noProof/>
              </w:rPr>
              <w:t>Our capability</w:t>
            </w:r>
            <w:r w:rsidR="00946BF2">
              <w:rPr>
                <w:noProof/>
                <w:webHidden/>
              </w:rPr>
              <w:tab/>
            </w:r>
            <w:r w:rsidR="00946BF2">
              <w:rPr>
                <w:noProof/>
                <w:webHidden/>
              </w:rPr>
              <w:fldChar w:fldCharType="begin"/>
            </w:r>
            <w:r w:rsidR="00946BF2">
              <w:rPr>
                <w:noProof/>
                <w:webHidden/>
              </w:rPr>
              <w:instrText xml:space="preserve"> PAGEREF _Toc111026111 \h </w:instrText>
            </w:r>
            <w:r w:rsidR="00946BF2">
              <w:rPr>
                <w:noProof/>
                <w:webHidden/>
              </w:rPr>
            </w:r>
            <w:r w:rsidR="00946BF2">
              <w:rPr>
                <w:noProof/>
                <w:webHidden/>
              </w:rPr>
              <w:fldChar w:fldCharType="separate"/>
            </w:r>
            <w:r w:rsidR="00C334B1">
              <w:rPr>
                <w:noProof/>
                <w:webHidden/>
              </w:rPr>
              <w:t>12</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12" w:history="1">
            <w:r w:rsidR="00946BF2" w:rsidRPr="004A3816">
              <w:rPr>
                <w:rStyle w:val="Hyperlink"/>
                <w:noProof/>
              </w:rPr>
              <w:t>Our values</w:t>
            </w:r>
            <w:r w:rsidR="00946BF2">
              <w:rPr>
                <w:noProof/>
                <w:webHidden/>
              </w:rPr>
              <w:tab/>
            </w:r>
            <w:r w:rsidR="00946BF2">
              <w:rPr>
                <w:noProof/>
                <w:webHidden/>
              </w:rPr>
              <w:fldChar w:fldCharType="begin"/>
            </w:r>
            <w:r w:rsidR="00946BF2">
              <w:rPr>
                <w:noProof/>
                <w:webHidden/>
              </w:rPr>
              <w:instrText xml:space="preserve"> PAGEREF _Toc111026112 \h </w:instrText>
            </w:r>
            <w:r w:rsidR="00946BF2">
              <w:rPr>
                <w:noProof/>
                <w:webHidden/>
              </w:rPr>
            </w:r>
            <w:r w:rsidR="00946BF2">
              <w:rPr>
                <w:noProof/>
                <w:webHidden/>
              </w:rPr>
              <w:fldChar w:fldCharType="separate"/>
            </w:r>
            <w:r w:rsidR="00C334B1">
              <w:rPr>
                <w:noProof/>
                <w:webHidden/>
              </w:rPr>
              <w:t>12</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13" w:history="1">
            <w:r w:rsidR="00946BF2" w:rsidRPr="004A3816">
              <w:rPr>
                <w:rStyle w:val="Hyperlink"/>
                <w:noProof/>
              </w:rPr>
              <w:t>Our workforce</w:t>
            </w:r>
            <w:r w:rsidR="00946BF2">
              <w:rPr>
                <w:noProof/>
                <w:webHidden/>
              </w:rPr>
              <w:tab/>
            </w:r>
            <w:r w:rsidR="00946BF2">
              <w:rPr>
                <w:noProof/>
                <w:webHidden/>
              </w:rPr>
              <w:fldChar w:fldCharType="begin"/>
            </w:r>
            <w:r w:rsidR="00946BF2">
              <w:rPr>
                <w:noProof/>
                <w:webHidden/>
              </w:rPr>
              <w:instrText xml:space="preserve"> PAGEREF _Toc111026113 \h </w:instrText>
            </w:r>
            <w:r w:rsidR="00946BF2">
              <w:rPr>
                <w:noProof/>
                <w:webHidden/>
              </w:rPr>
            </w:r>
            <w:r w:rsidR="00946BF2">
              <w:rPr>
                <w:noProof/>
                <w:webHidden/>
              </w:rPr>
              <w:fldChar w:fldCharType="separate"/>
            </w:r>
            <w:r w:rsidR="00C334B1">
              <w:rPr>
                <w:noProof/>
                <w:webHidden/>
              </w:rPr>
              <w:t>12</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14" w:history="1">
            <w:r w:rsidR="00946BF2" w:rsidRPr="004A3816">
              <w:rPr>
                <w:rStyle w:val="Hyperlink"/>
                <w:noProof/>
              </w:rPr>
              <w:t>Our diversity</w:t>
            </w:r>
            <w:r w:rsidR="00946BF2">
              <w:rPr>
                <w:noProof/>
                <w:webHidden/>
              </w:rPr>
              <w:tab/>
            </w:r>
            <w:r w:rsidR="00946BF2">
              <w:rPr>
                <w:noProof/>
                <w:webHidden/>
              </w:rPr>
              <w:fldChar w:fldCharType="begin"/>
            </w:r>
            <w:r w:rsidR="00946BF2">
              <w:rPr>
                <w:noProof/>
                <w:webHidden/>
              </w:rPr>
              <w:instrText xml:space="preserve"> PAGEREF _Toc111026114 \h </w:instrText>
            </w:r>
            <w:r w:rsidR="00946BF2">
              <w:rPr>
                <w:noProof/>
                <w:webHidden/>
              </w:rPr>
            </w:r>
            <w:r w:rsidR="00946BF2">
              <w:rPr>
                <w:noProof/>
                <w:webHidden/>
              </w:rPr>
              <w:fldChar w:fldCharType="separate"/>
            </w:r>
            <w:r w:rsidR="00C334B1">
              <w:rPr>
                <w:noProof/>
                <w:webHidden/>
              </w:rPr>
              <w:t>13</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15" w:history="1">
            <w:r w:rsidR="00946BF2" w:rsidRPr="004A3816">
              <w:rPr>
                <w:rStyle w:val="Hyperlink"/>
                <w:noProof/>
              </w:rPr>
              <w:t>Grants capability</w:t>
            </w:r>
            <w:r w:rsidR="00946BF2">
              <w:rPr>
                <w:noProof/>
                <w:webHidden/>
              </w:rPr>
              <w:tab/>
            </w:r>
            <w:r w:rsidR="00946BF2">
              <w:rPr>
                <w:noProof/>
                <w:webHidden/>
              </w:rPr>
              <w:fldChar w:fldCharType="begin"/>
            </w:r>
            <w:r w:rsidR="00946BF2">
              <w:rPr>
                <w:noProof/>
                <w:webHidden/>
              </w:rPr>
              <w:instrText xml:space="preserve"> PAGEREF _Toc111026115 \h </w:instrText>
            </w:r>
            <w:r w:rsidR="00946BF2">
              <w:rPr>
                <w:noProof/>
                <w:webHidden/>
              </w:rPr>
            </w:r>
            <w:r w:rsidR="00946BF2">
              <w:rPr>
                <w:noProof/>
                <w:webHidden/>
              </w:rPr>
              <w:fldChar w:fldCharType="separate"/>
            </w:r>
            <w:r w:rsidR="00C334B1">
              <w:rPr>
                <w:noProof/>
                <w:webHidden/>
              </w:rPr>
              <w:t>13</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16" w:history="1">
            <w:r w:rsidR="00946BF2" w:rsidRPr="004A3816">
              <w:rPr>
                <w:rStyle w:val="Hyperlink"/>
                <w:noProof/>
              </w:rPr>
              <w:t>Data capability</w:t>
            </w:r>
            <w:r w:rsidR="00946BF2">
              <w:rPr>
                <w:noProof/>
                <w:webHidden/>
              </w:rPr>
              <w:tab/>
            </w:r>
            <w:r w:rsidR="00946BF2">
              <w:rPr>
                <w:noProof/>
                <w:webHidden/>
              </w:rPr>
              <w:fldChar w:fldCharType="begin"/>
            </w:r>
            <w:r w:rsidR="00946BF2">
              <w:rPr>
                <w:noProof/>
                <w:webHidden/>
              </w:rPr>
              <w:instrText xml:space="preserve"> PAGEREF _Toc111026116 \h </w:instrText>
            </w:r>
            <w:r w:rsidR="00946BF2">
              <w:rPr>
                <w:noProof/>
                <w:webHidden/>
              </w:rPr>
            </w:r>
            <w:r w:rsidR="00946BF2">
              <w:rPr>
                <w:noProof/>
                <w:webHidden/>
              </w:rPr>
              <w:fldChar w:fldCharType="separate"/>
            </w:r>
            <w:r w:rsidR="00C334B1">
              <w:rPr>
                <w:noProof/>
                <w:webHidden/>
              </w:rPr>
              <w:t>14</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17" w:history="1">
            <w:r w:rsidR="00946BF2" w:rsidRPr="004A3816">
              <w:rPr>
                <w:rStyle w:val="Hyperlink"/>
                <w:noProof/>
              </w:rPr>
              <w:t>Financial capability</w:t>
            </w:r>
            <w:r w:rsidR="00946BF2">
              <w:rPr>
                <w:noProof/>
                <w:webHidden/>
              </w:rPr>
              <w:tab/>
            </w:r>
            <w:r w:rsidR="00946BF2">
              <w:rPr>
                <w:noProof/>
                <w:webHidden/>
              </w:rPr>
              <w:fldChar w:fldCharType="begin"/>
            </w:r>
            <w:r w:rsidR="00946BF2">
              <w:rPr>
                <w:noProof/>
                <w:webHidden/>
              </w:rPr>
              <w:instrText xml:space="preserve"> PAGEREF _Toc111026117 \h </w:instrText>
            </w:r>
            <w:r w:rsidR="00946BF2">
              <w:rPr>
                <w:noProof/>
                <w:webHidden/>
              </w:rPr>
            </w:r>
            <w:r w:rsidR="00946BF2">
              <w:rPr>
                <w:noProof/>
                <w:webHidden/>
              </w:rPr>
              <w:fldChar w:fldCharType="separate"/>
            </w:r>
            <w:r w:rsidR="00C334B1">
              <w:rPr>
                <w:noProof/>
                <w:webHidden/>
              </w:rPr>
              <w:t>14</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18" w:history="1">
            <w:r w:rsidR="00946BF2" w:rsidRPr="004A3816">
              <w:rPr>
                <w:rStyle w:val="Hyperlink"/>
                <w:noProof/>
              </w:rPr>
              <w:t>Governance capability</w:t>
            </w:r>
            <w:r w:rsidR="00946BF2">
              <w:rPr>
                <w:noProof/>
                <w:webHidden/>
              </w:rPr>
              <w:tab/>
            </w:r>
            <w:r w:rsidR="00946BF2">
              <w:rPr>
                <w:noProof/>
                <w:webHidden/>
              </w:rPr>
              <w:fldChar w:fldCharType="begin"/>
            </w:r>
            <w:r w:rsidR="00946BF2">
              <w:rPr>
                <w:noProof/>
                <w:webHidden/>
              </w:rPr>
              <w:instrText xml:space="preserve"> PAGEREF _Toc111026118 \h </w:instrText>
            </w:r>
            <w:r w:rsidR="00946BF2">
              <w:rPr>
                <w:noProof/>
                <w:webHidden/>
              </w:rPr>
            </w:r>
            <w:r w:rsidR="00946BF2">
              <w:rPr>
                <w:noProof/>
                <w:webHidden/>
              </w:rPr>
              <w:fldChar w:fldCharType="separate"/>
            </w:r>
            <w:r w:rsidR="00C334B1">
              <w:rPr>
                <w:noProof/>
                <w:webHidden/>
              </w:rPr>
              <w:t>15</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19" w:history="1">
            <w:r w:rsidR="00946BF2" w:rsidRPr="004A3816">
              <w:rPr>
                <w:rStyle w:val="Hyperlink"/>
                <w:noProof/>
              </w:rPr>
              <w:t>Risk oversight and management</w:t>
            </w:r>
            <w:r w:rsidR="00946BF2">
              <w:rPr>
                <w:noProof/>
                <w:webHidden/>
              </w:rPr>
              <w:tab/>
            </w:r>
            <w:r w:rsidR="00946BF2">
              <w:rPr>
                <w:noProof/>
                <w:webHidden/>
              </w:rPr>
              <w:fldChar w:fldCharType="begin"/>
            </w:r>
            <w:r w:rsidR="00946BF2">
              <w:rPr>
                <w:noProof/>
                <w:webHidden/>
              </w:rPr>
              <w:instrText xml:space="preserve"> PAGEREF _Toc111026119 \h </w:instrText>
            </w:r>
            <w:r w:rsidR="00946BF2">
              <w:rPr>
                <w:noProof/>
                <w:webHidden/>
              </w:rPr>
            </w:r>
            <w:r w:rsidR="00946BF2">
              <w:rPr>
                <w:noProof/>
                <w:webHidden/>
              </w:rPr>
              <w:fldChar w:fldCharType="separate"/>
            </w:r>
            <w:r w:rsidR="00C334B1">
              <w:rPr>
                <w:noProof/>
                <w:webHidden/>
              </w:rPr>
              <w:t>16</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20" w:history="1">
            <w:r w:rsidR="00946BF2" w:rsidRPr="004A3816">
              <w:rPr>
                <w:rStyle w:val="Hyperlink"/>
                <w:noProof/>
              </w:rPr>
              <w:t>Our risk management</w:t>
            </w:r>
            <w:r w:rsidR="00946BF2">
              <w:rPr>
                <w:noProof/>
                <w:webHidden/>
              </w:rPr>
              <w:tab/>
            </w:r>
            <w:r w:rsidR="00946BF2">
              <w:rPr>
                <w:noProof/>
                <w:webHidden/>
              </w:rPr>
              <w:fldChar w:fldCharType="begin"/>
            </w:r>
            <w:r w:rsidR="00946BF2">
              <w:rPr>
                <w:noProof/>
                <w:webHidden/>
              </w:rPr>
              <w:instrText xml:space="preserve"> PAGEREF _Toc111026120 \h </w:instrText>
            </w:r>
            <w:r w:rsidR="00946BF2">
              <w:rPr>
                <w:noProof/>
                <w:webHidden/>
              </w:rPr>
            </w:r>
            <w:r w:rsidR="00946BF2">
              <w:rPr>
                <w:noProof/>
                <w:webHidden/>
              </w:rPr>
              <w:fldChar w:fldCharType="separate"/>
            </w:r>
            <w:r w:rsidR="00C334B1">
              <w:rPr>
                <w:noProof/>
                <w:webHidden/>
              </w:rPr>
              <w:t>16</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21" w:history="1">
            <w:r w:rsidR="00946BF2" w:rsidRPr="004A3816">
              <w:rPr>
                <w:rStyle w:val="Hyperlink"/>
                <w:noProof/>
              </w:rPr>
              <w:t>Our enterprise risks</w:t>
            </w:r>
            <w:r w:rsidR="00946BF2">
              <w:rPr>
                <w:noProof/>
                <w:webHidden/>
              </w:rPr>
              <w:tab/>
            </w:r>
            <w:r w:rsidR="00946BF2">
              <w:rPr>
                <w:noProof/>
                <w:webHidden/>
              </w:rPr>
              <w:fldChar w:fldCharType="begin"/>
            </w:r>
            <w:r w:rsidR="00946BF2">
              <w:rPr>
                <w:noProof/>
                <w:webHidden/>
              </w:rPr>
              <w:instrText xml:space="preserve"> PAGEREF _Toc111026121 \h </w:instrText>
            </w:r>
            <w:r w:rsidR="00946BF2">
              <w:rPr>
                <w:noProof/>
                <w:webHidden/>
              </w:rPr>
            </w:r>
            <w:r w:rsidR="00946BF2">
              <w:rPr>
                <w:noProof/>
                <w:webHidden/>
              </w:rPr>
              <w:fldChar w:fldCharType="separate"/>
            </w:r>
            <w:r w:rsidR="00C334B1">
              <w:rPr>
                <w:noProof/>
                <w:webHidden/>
              </w:rPr>
              <w:t>17</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22" w:history="1">
            <w:r w:rsidR="00946BF2" w:rsidRPr="004A3816">
              <w:rPr>
                <w:rStyle w:val="Hyperlink"/>
                <w:noProof/>
              </w:rPr>
              <w:t>Our performance</w:t>
            </w:r>
            <w:r w:rsidR="00946BF2">
              <w:rPr>
                <w:noProof/>
                <w:webHidden/>
              </w:rPr>
              <w:tab/>
            </w:r>
            <w:r w:rsidR="00946BF2">
              <w:rPr>
                <w:noProof/>
                <w:webHidden/>
              </w:rPr>
              <w:fldChar w:fldCharType="begin"/>
            </w:r>
            <w:r w:rsidR="00946BF2">
              <w:rPr>
                <w:noProof/>
                <w:webHidden/>
              </w:rPr>
              <w:instrText xml:space="preserve"> PAGEREF _Toc111026122 \h </w:instrText>
            </w:r>
            <w:r w:rsidR="00946BF2">
              <w:rPr>
                <w:noProof/>
                <w:webHidden/>
              </w:rPr>
            </w:r>
            <w:r w:rsidR="00946BF2">
              <w:rPr>
                <w:noProof/>
                <w:webHidden/>
              </w:rPr>
              <w:fldChar w:fldCharType="separate"/>
            </w:r>
            <w:r w:rsidR="00C334B1">
              <w:rPr>
                <w:noProof/>
                <w:webHidden/>
              </w:rPr>
              <w:t>19</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23" w:history="1">
            <w:r w:rsidR="00946BF2" w:rsidRPr="004A3816">
              <w:rPr>
                <w:rStyle w:val="Hyperlink"/>
                <w:noProof/>
              </w:rPr>
              <w:t>Outcome 1: Social Security</w:t>
            </w:r>
            <w:r w:rsidR="00946BF2">
              <w:rPr>
                <w:noProof/>
                <w:webHidden/>
              </w:rPr>
              <w:tab/>
            </w:r>
            <w:r w:rsidR="00946BF2">
              <w:rPr>
                <w:noProof/>
                <w:webHidden/>
              </w:rPr>
              <w:fldChar w:fldCharType="begin"/>
            </w:r>
            <w:r w:rsidR="00946BF2">
              <w:rPr>
                <w:noProof/>
                <w:webHidden/>
              </w:rPr>
              <w:instrText xml:space="preserve"> PAGEREF _Toc111026123 \h </w:instrText>
            </w:r>
            <w:r w:rsidR="00946BF2">
              <w:rPr>
                <w:noProof/>
                <w:webHidden/>
              </w:rPr>
            </w:r>
            <w:r w:rsidR="00946BF2">
              <w:rPr>
                <w:noProof/>
                <w:webHidden/>
              </w:rPr>
              <w:fldChar w:fldCharType="separate"/>
            </w:r>
            <w:r w:rsidR="00C334B1">
              <w:rPr>
                <w:noProof/>
                <w:webHidden/>
              </w:rPr>
              <w:t>21</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24" w:history="1">
            <w:r w:rsidR="00946BF2" w:rsidRPr="004A3816">
              <w:rPr>
                <w:rStyle w:val="Hyperlink"/>
                <w:noProof/>
              </w:rPr>
              <w:t>Programs and activities</w:t>
            </w:r>
            <w:r w:rsidR="00946BF2">
              <w:rPr>
                <w:noProof/>
                <w:webHidden/>
              </w:rPr>
              <w:tab/>
            </w:r>
            <w:r w:rsidR="00946BF2">
              <w:rPr>
                <w:noProof/>
                <w:webHidden/>
              </w:rPr>
              <w:fldChar w:fldCharType="begin"/>
            </w:r>
            <w:r w:rsidR="00946BF2">
              <w:rPr>
                <w:noProof/>
                <w:webHidden/>
              </w:rPr>
              <w:instrText xml:space="preserve"> PAGEREF _Toc111026124 \h </w:instrText>
            </w:r>
            <w:r w:rsidR="00946BF2">
              <w:rPr>
                <w:noProof/>
                <w:webHidden/>
              </w:rPr>
            </w:r>
            <w:r w:rsidR="00946BF2">
              <w:rPr>
                <w:noProof/>
                <w:webHidden/>
              </w:rPr>
              <w:fldChar w:fldCharType="separate"/>
            </w:r>
            <w:r w:rsidR="00C334B1">
              <w:rPr>
                <w:noProof/>
                <w:webHidden/>
              </w:rPr>
              <w:t>21</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25" w:history="1">
            <w:r w:rsidR="00946BF2" w:rsidRPr="004A3816">
              <w:rPr>
                <w:rStyle w:val="Hyperlink"/>
                <w:noProof/>
              </w:rPr>
              <w:t>Performance Tables Outcome 1: Social Security</w:t>
            </w:r>
            <w:r w:rsidR="00946BF2">
              <w:rPr>
                <w:noProof/>
                <w:webHidden/>
              </w:rPr>
              <w:tab/>
            </w:r>
            <w:r w:rsidR="00946BF2">
              <w:rPr>
                <w:noProof/>
                <w:webHidden/>
              </w:rPr>
              <w:fldChar w:fldCharType="begin"/>
            </w:r>
            <w:r w:rsidR="00946BF2">
              <w:rPr>
                <w:noProof/>
                <w:webHidden/>
              </w:rPr>
              <w:instrText xml:space="preserve"> PAGEREF _Toc111026125 \h </w:instrText>
            </w:r>
            <w:r w:rsidR="00946BF2">
              <w:rPr>
                <w:noProof/>
                <w:webHidden/>
              </w:rPr>
            </w:r>
            <w:r w:rsidR="00946BF2">
              <w:rPr>
                <w:noProof/>
                <w:webHidden/>
              </w:rPr>
              <w:fldChar w:fldCharType="separate"/>
            </w:r>
            <w:r w:rsidR="00C334B1">
              <w:rPr>
                <w:noProof/>
                <w:webHidden/>
              </w:rPr>
              <w:t>22</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26" w:history="1">
            <w:r w:rsidR="00946BF2" w:rsidRPr="004A3816">
              <w:rPr>
                <w:rStyle w:val="Hyperlink"/>
                <w:rFonts w:eastAsia="Times New Roman"/>
                <w:noProof/>
              </w:rPr>
              <w:t>Outcome 2: Families and Communities</w:t>
            </w:r>
            <w:r w:rsidR="00946BF2">
              <w:rPr>
                <w:noProof/>
                <w:webHidden/>
              </w:rPr>
              <w:tab/>
            </w:r>
            <w:r w:rsidR="00946BF2">
              <w:rPr>
                <w:noProof/>
                <w:webHidden/>
              </w:rPr>
              <w:fldChar w:fldCharType="begin"/>
            </w:r>
            <w:r w:rsidR="00946BF2">
              <w:rPr>
                <w:noProof/>
                <w:webHidden/>
              </w:rPr>
              <w:instrText xml:space="preserve"> PAGEREF _Toc111026126 \h </w:instrText>
            </w:r>
            <w:r w:rsidR="00946BF2">
              <w:rPr>
                <w:noProof/>
                <w:webHidden/>
              </w:rPr>
            </w:r>
            <w:r w:rsidR="00946BF2">
              <w:rPr>
                <w:noProof/>
                <w:webHidden/>
              </w:rPr>
              <w:fldChar w:fldCharType="separate"/>
            </w:r>
            <w:r w:rsidR="00C334B1">
              <w:rPr>
                <w:noProof/>
                <w:webHidden/>
              </w:rPr>
              <w:t>35</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27" w:history="1">
            <w:r w:rsidR="00946BF2" w:rsidRPr="004A3816">
              <w:rPr>
                <w:rStyle w:val="Hyperlink"/>
                <w:rFonts w:eastAsia="Times New Roman"/>
                <w:noProof/>
              </w:rPr>
              <w:t>Programs and activities</w:t>
            </w:r>
            <w:r w:rsidR="00946BF2">
              <w:rPr>
                <w:noProof/>
                <w:webHidden/>
              </w:rPr>
              <w:tab/>
            </w:r>
            <w:r w:rsidR="00946BF2">
              <w:rPr>
                <w:noProof/>
                <w:webHidden/>
              </w:rPr>
              <w:fldChar w:fldCharType="begin"/>
            </w:r>
            <w:r w:rsidR="00946BF2">
              <w:rPr>
                <w:noProof/>
                <w:webHidden/>
              </w:rPr>
              <w:instrText xml:space="preserve"> PAGEREF _Toc111026127 \h </w:instrText>
            </w:r>
            <w:r w:rsidR="00946BF2">
              <w:rPr>
                <w:noProof/>
                <w:webHidden/>
              </w:rPr>
            </w:r>
            <w:r w:rsidR="00946BF2">
              <w:rPr>
                <w:noProof/>
                <w:webHidden/>
              </w:rPr>
              <w:fldChar w:fldCharType="separate"/>
            </w:r>
            <w:r w:rsidR="00C334B1">
              <w:rPr>
                <w:noProof/>
                <w:webHidden/>
              </w:rPr>
              <w:t>35</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28" w:history="1">
            <w:r w:rsidR="00946BF2" w:rsidRPr="004A3816">
              <w:rPr>
                <w:rStyle w:val="Hyperlink"/>
                <w:rFonts w:eastAsia="Times New Roman"/>
                <w:noProof/>
              </w:rPr>
              <w:t>Performance Tables Outcome 2: Families and Communities</w:t>
            </w:r>
            <w:r w:rsidR="00946BF2">
              <w:rPr>
                <w:noProof/>
                <w:webHidden/>
              </w:rPr>
              <w:tab/>
            </w:r>
            <w:r w:rsidR="00946BF2">
              <w:rPr>
                <w:noProof/>
                <w:webHidden/>
              </w:rPr>
              <w:fldChar w:fldCharType="begin"/>
            </w:r>
            <w:r w:rsidR="00946BF2">
              <w:rPr>
                <w:noProof/>
                <w:webHidden/>
              </w:rPr>
              <w:instrText xml:space="preserve"> PAGEREF _Toc111026128 \h </w:instrText>
            </w:r>
            <w:r w:rsidR="00946BF2">
              <w:rPr>
                <w:noProof/>
                <w:webHidden/>
              </w:rPr>
            </w:r>
            <w:r w:rsidR="00946BF2">
              <w:rPr>
                <w:noProof/>
                <w:webHidden/>
              </w:rPr>
              <w:fldChar w:fldCharType="separate"/>
            </w:r>
            <w:r w:rsidR="00C334B1">
              <w:rPr>
                <w:noProof/>
                <w:webHidden/>
              </w:rPr>
              <w:t>36</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29" w:history="1">
            <w:r w:rsidR="00946BF2" w:rsidRPr="004A3816">
              <w:rPr>
                <w:rStyle w:val="Hyperlink"/>
                <w:rFonts w:eastAsia="Times New Roman"/>
                <w:noProof/>
              </w:rPr>
              <w:t>Outcome 3: Disability and Carers</w:t>
            </w:r>
            <w:r w:rsidR="00946BF2">
              <w:rPr>
                <w:noProof/>
                <w:webHidden/>
              </w:rPr>
              <w:tab/>
            </w:r>
            <w:r w:rsidR="00946BF2">
              <w:rPr>
                <w:noProof/>
                <w:webHidden/>
              </w:rPr>
              <w:fldChar w:fldCharType="begin"/>
            </w:r>
            <w:r w:rsidR="00946BF2">
              <w:rPr>
                <w:noProof/>
                <w:webHidden/>
              </w:rPr>
              <w:instrText xml:space="preserve"> PAGEREF _Toc111026129 \h </w:instrText>
            </w:r>
            <w:r w:rsidR="00946BF2">
              <w:rPr>
                <w:noProof/>
                <w:webHidden/>
              </w:rPr>
            </w:r>
            <w:r w:rsidR="00946BF2">
              <w:rPr>
                <w:noProof/>
                <w:webHidden/>
              </w:rPr>
              <w:fldChar w:fldCharType="separate"/>
            </w:r>
            <w:r w:rsidR="00C334B1">
              <w:rPr>
                <w:noProof/>
                <w:webHidden/>
              </w:rPr>
              <w:t>45</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30" w:history="1">
            <w:r w:rsidR="00946BF2" w:rsidRPr="004A3816">
              <w:rPr>
                <w:rStyle w:val="Hyperlink"/>
                <w:rFonts w:eastAsia="Times New Roman"/>
                <w:noProof/>
              </w:rPr>
              <w:t>Programs and activities</w:t>
            </w:r>
            <w:r w:rsidR="00946BF2">
              <w:rPr>
                <w:noProof/>
                <w:webHidden/>
              </w:rPr>
              <w:tab/>
            </w:r>
            <w:r w:rsidR="00946BF2">
              <w:rPr>
                <w:noProof/>
                <w:webHidden/>
              </w:rPr>
              <w:fldChar w:fldCharType="begin"/>
            </w:r>
            <w:r w:rsidR="00946BF2">
              <w:rPr>
                <w:noProof/>
                <w:webHidden/>
              </w:rPr>
              <w:instrText xml:space="preserve"> PAGEREF _Toc111026130 \h </w:instrText>
            </w:r>
            <w:r w:rsidR="00946BF2">
              <w:rPr>
                <w:noProof/>
                <w:webHidden/>
              </w:rPr>
            </w:r>
            <w:r w:rsidR="00946BF2">
              <w:rPr>
                <w:noProof/>
                <w:webHidden/>
              </w:rPr>
              <w:fldChar w:fldCharType="separate"/>
            </w:r>
            <w:r w:rsidR="00C334B1">
              <w:rPr>
                <w:noProof/>
                <w:webHidden/>
              </w:rPr>
              <w:t>45</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31" w:history="1">
            <w:r w:rsidR="00946BF2" w:rsidRPr="004A3816">
              <w:rPr>
                <w:rStyle w:val="Hyperlink"/>
                <w:rFonts w:eastAsia="Times New Roman"/>
                <w:noProof/>
              </w:rPr>
              <w:t>Performance Tables Outcome 3: Disability and Carers</w:t>
            </w:r>
            <w:r w:rsidR="00946BF2">
              <w:rPr>
                <w:noProof/>
                <w:webHidden/>
              </w:rPr>
              <w:tab/>
            </w:r>
            <w:r w:rsidR="00946BF2">
              <w:rPr>
                <w:noProof/>
                <w:webHidden/>
              </w:rPr>
              <w:fldChar w:fldCharType="begin"/>
            </w:r>
            <w:r w:rsidR="00946BF2">
              <w:rPr>
                <w:noProof/>
                <w:webHidden/>
              </w:rPr>
              <w:instrText xml:space="preserve"> PAGEREF _Toc111026131 \h </w:instrText>
            </w:r>
            <w:r w:rsidR="00946BF2">
              <w:rPr>
                <w:noProof/>
                <w:webHidden/>
              </w:rPr>
            </w:r>
            <w:r w:rsidR="00946BF2">
              <w:rPr>
                <w:noProof/>
                <w:webHidden/>
              </w:rPr>
              <w:fldChar w:fldCharType="separate"/>
            </w:r>
            <w:r w:rsidR="00C334B1">
              <w:rPr>
                <w:noProof/>
                <w:webHidden/>
              </w:rPr>
              <w:t>46</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32" w:history="1">
            <w:r w:rsidR="00946BF2" w:rsidRPr="004A3816">
              <w:rPr>
                <w:rStyle w:val="Hyperlink"/>
                <w:noProof/>
              </w:rPr>
              <w:t>Outcome 4: Housing</w:t>
            </w:r>
            <w:r w:rsidR="00946BF2">
              <w:rPr>
                <w:noProof/>
                <w:webHidden/>
              </w:rPr>
              <w:tab/>
            </w:r>
            <w:r w:rsidR="00946BF2">
              <w:rPr>
                <w:noProof/>
                <w:webHidden/>
              </w:rPr>
              <w:fldChar w:fldCharType="begin"/>
            </w:r>
            <w:r w:rsidR="00946BF2">
              <w:rPr>
                <w:noProof/>
                <w:webHidden/>
              </w:rPr>
              <w:instrText xml:space="preserve"> PAGEREF _Toc111026132 \h </w:instrText>
            </w:r>
            <w:r w:rsidR="00946BF2">
              <w:rPr>
                <w:noProof/>
                <w:webHidden/>
              </w:rPr>
            </w:r>
            <w:r w:rsidR="00946BF2">
              <w:rPr>
                <w:noProof/>
                <w:webHidden/>
              </w:rPr>
              <w:fldChar w:fldCharType="separate"/>
            </w:r>
            <w:r w:rsidR="00C334B1">
              <w:rPr>
                <w:noProof/>
                <w:webHidden/>
              </w:rPr>
              <w:t>56</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33" w:history="1">
            <w:r w:rsidR="00946BF2" w:rsidRPr="004A3816">
              <w:rPr>
                <w:rStyle w:val="Hyperlink"/>
                <w:noProof/>
              </w:rPr>
              <w:t>Programs and activities</w:t>
            </w:r>
            <w:r w:rsidR="00946BF2">
              <w:rPr>
                <w:noProof/>
                <w:webHidden/>
              </w:rPr>
              <w:tab/>
            </w:r>
            <w:r w:rsidR="00946BF2">
              <w:rPr>
                <w:noProof/>
                <w:webHidden/>
              </w:rPr>
              <w:fldChar w:fldCharType="begin"/>
            </w:r>
            <w:r w:rsidR="00946BF2">
              <w:rPr>
                <w:noProof/>
                <w:webHidden/>
              </w:rPr>
              <w:instrText xml:space="preserve"> PAGEREF _Toc111026133 \h </w:instrText>
            </w:r>
            <w:r w:rsidR="00946BF2">
              <w:rPr>
                <w:noProof/>
                <w:webHidden/>
              </w:rPr>
            </w:r>
            <w:r w:rsidR="00946BF2">
              <w:rPr>
                <w:noProof/>
                <w:webHidden/>
              </w:rPr>
              <w:fldChar w:fldCharType="separate"/>
            </w:r>
            <w:r w:rsidR="00C334B1">
              <w:rPr>
                <w:noProof/>
                <w:webHidden/>
              </w:rPr>
              <w:t>56</w:t>
            </w:r>
            <w:r w:rsidR="00946BF2">
              <w:rPr>
                <w:noProof/>
                <w:webHidden/>
              </w:rPr>
              <w:fldChar w:fldCharType="end"/>
            </w:r>
          </w:hyperlink>
        </w:p>
        <w:p w:rsidR="00946BF2" w:rsidRDefault="004A6785" w:rsidP="00762037">
          <w:pPr>
            <w:pStyle w:val="TOC1"/>
            <w:rPr>
              <w:rFonts w:asciiTheme="minorHAnsi" w:hAnsiTheme="minorHAnsi"/>
              <w:noProof/>
              <w:sz w:val="22"/>
              <w:lang w:eastAsia="en-AU"/>
            </w:rPr>
          </w:pPr>
          <w:hyperlink w:anchor="_Toc111026134" w:history="1">
            <w:r w:rsidR="00946BF2" w:rsidRPr="004A3816">
              <w:rPr>
                <w:rStyle w:val="Hyperlink"/>
                <w:rFonts w:eastAsia="Times New Roman"/>
                <w:noProof/>
              </w:rPr>
              <w:t>Performance Tables Outcome 4: Housing</w:t>
            </w:r>
            <w:r w:rsidR="00946BF2">
              <w:rPr>
                <w:noProof/>
                <w:webHidden/>
              </w:rPr>
              <w:tab/>
            </w:r>
            <w:r w:rsidR="00946BF2">
              <w:rPr>
                <w:noProof/>
                <w:webHidden/>
              </w:rPr>
              <w:fldChar w:fldCharType="begin"/>
            </w:r>
            <w:r w:rsidR="00946BF2">
              <w:rPr>
                <w:noProof/>
                <w:webHidden/>
              </w:rPr>
              <w:instrText xml:space="preserve"> PAGEREF _Toc111026134 \h </w:instrText>
            </w:r>
            <w:r w:rsidR="00946BF2">
              <w:rPr>
                <w:noProof/>
                <w:webHidden/>
              </w:rPr>
            </w:r>
            <w:r w:rsidR="00946BF2">
              <w:rPr>
                <w:noProof/>
                <w:webHidden/>
              </w:rPr>
              <w:fldChar w:fldCharType="separate"/>
            </w:r>
            <w:r w:rsidR="00C334B1">
              <w:rPr>
                <w:noProof/>
                <w:webHidden/>
              </w:rPr>
              <w:t>57</w:t>
            </w:r>
            <w:r w:rsidR="00946BF2">
              <w:rPr>
                <w:noProof/>
                <w:webHidden/>
              </w:rPr>
              <w:fldChar w:fldCharType="end"/>
            </w:r>
          </w:hyperlink>
        </w:p>
        <w:p w:rsidR="00276AB7" w:rsidRPr="008554C7" w:rsidRDefault="00276AB7">
          <w:pPr>
            <w:pStyle w:val="TOC1"/>
          </w:pPr>
          <w:r w:rsidRPr="00725C63">
            <w:fldChar w:fldCharType="end"/>
          </w:r>
        </w:p>
      </w:sdtContent>
    </w:sdt>
    <w:p w:rsidR="00D858F6" w:rsidRDefault="0060746E" w:rsidP="00294397">
      <w:pPr>
        <w:pStyle w:val="Heading1"/>
      </w:pPr>
      <w:r>
        <w:br w:type="page"/>
      </w:r>
    </w:p>
    <w:p w:rsidR="008D31F3" w:rsidRDefault="008D31F3" w:rsidP="008D31F3">
      <w:pPr>
        <w:pStyle w:val="Normalmorespace"/>
      </w:pPr>
    </w:p>
    <w:p w:rsidR="008D31F3" w:rsidRPr="009266EA" w:rsidRDefault="008D31F3" w:rsidP="003F28F0">
      <w:pPr>
        <w:pStyle w:val="Heading1"/>
      </w:pPr>
      <w:bookmarkStart w:id="17" w:name="_Toc111026098"/>
      <w:r>
        <w:rPr>
          <w:noProof/>
          <w:lang w:eastAsia="en-AU"/>
        </w:rPr>
        <w:drawing>
          <wp:anchor distT="0" distB="0" distL="114300" distR="114300" simplePos="0" relativeHeight="251677705" behindDoc="0" locked="0" layoutInCell="1" allowOverlap="1" wp14:anchorId="5CDB2B3C" wp14:editId="5F167EF4">
            <wp:simplePos x="0" y="0"/>
            <wp:positionH relativeFrom="column">
              <wp:posOffset>-3200</wp:posOffset>
            </wp:positionH>
            <wp:positionV relativeFrom="paragraph">
              <wp:posOffset>2642</wp:posOffset>
            </wp:positionV>
            <wp:extent cx="1072055" cy="1097533"/>
            <wp:effectExtent l="0" t="0" r="0" b="7620"/>
            <wp:wrapSquare wrapText="bothSides"/>
            <wp:docPr id="7" name="Picture 7" descr="This is an image of Australia depicted as an indigenous design of paths coming together as connected communities.." title="An image of Australia as an indigenou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P Australia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2055" cy="1097533"/>
                    </a:xfrm>
                    <a:prstGeom prst="rect">
                      <a:avLst/>
                    </a:prstGeom>
                  </pic:spPr>
                </pic:pic>
              </a:graphicData>
            </a:graphic>
            <wp14:sizeRelH relativeFrom="margin">
              <wp14:pctWidth>0</wp14:pctWidth>
            </wp14:sizeRelH>
            <wp14:sizeRelV relativeFrom="margin">
              <wp14:pctHeight>0</wp14:pctHeight>
            </wp14:sizeRelV>
          </wp:anchor>
        </w:drawing>
      </w:r>
      <w:r w:rsidRPr="009266EA">
        <w:t>Acknowledgement of Country</w:t>
      </w:r>
      <w:bookmarkEnd w:id="17"/>
    </w:p>
    <w:p w:rsidR="008D31F3" w:rsidRDefault="008D31F3" w:rsidP="008554C7">
      <w:pPr>
        <w:pStyle w:val="CommentText"/>
        <w:spacing w:before="120" w:after="120" w:line="259" w:lineRule="auto"/>
      </w:pPr>
      <w:r w:rsidRPr="00294397">
        <w:t xml:space="preserve">The </w:t>
      </w:r>
      <w:r>
        <w:t>d</w:t>
      </w:r>
      <w:r w:rsidRPr="00294397">
        <w:t>epartment acknowledges the traditional country throughout Australia on which we</w:t>
      </w:r>
      <w:r w:rsidR="00621EDE">
        <w:t> </w:t>
      </w:r>
      <w:r w:rsidRPr="00294397">
        <w:t>gather, live,</w:t>
      </w:r>
      <w:r>
        <w:t> </w:t>
      </w:r>
      <w:r w:rsidRPr="00294397">
        <w:t>work and stand. We acknowledge all traditional custodians, their Elders past, present and emerging and we pay our respects to their continuing connection to</w:t>
      </w:r>
      <w:r w:rsidR="00621EDE">
        <w:t> </w:t>
      </w:r>
      <w:r w:rsidRPr="00294397">
        <w:t xml:space="preserve">their culture, community, land, </w:t>
      </w:r>
      <w:r>
        <w:t xml:space="preserve">sea and rivers. </w:t>
      </w:r>
    </w:p>
    <w:p w:rsidR="008D31F3" w:rsidRPr="00A33E5A" w:rsidRDefault="008D31F3" w:rsidP="008D31F3">
      <w:pPr>
        <w:pStyle w:val="Heading1"/>
      </w:pPr>
      <w:bookmarkStart w:id="18" w:name="_Toc111026099"/>
      <w:r>
        <w:t>O</w:t>
      </w:r>
      <w:r w:rsidRPr="00A33E5A">
        <w:t>ur mission</w:t>
      </w:r>
      <w:bookmarkEnd w:id="18"/>
    </w:p>
    <w:p w:rsidR="008D31F3" w:rsidRPr="00AC6B1D" w:rsidRDefault="008D31F3" w:rsidP="008D31F3">
      <w:pPr>
        <w:pStyle w:val="Normalmorespace"/>
      </w:pPr>
      <w:r>
        <w:t>Our mission is to improve the wellbeing of individuals and families in Australian communities.</w:t>
      </w:r>
    </w:p>
    <w:p w:rsidR="008D31F3" w:rsidRPr="00A33E5A" w:rsidRDefault="008D31F3" w:rsidP="008D31F3">
      <w:pPr>
        <w:pStyle w:val="Heading1"/>
      </w:pPr>
      <w:bookmarkStart w:id="19" w:name="_Toc111026100"/>
      <w:r>
        <w:t>Our purpose</w:t>
      </w:r>
      <w:bookmarkEnd w:id="19"/>
    </w:p>
    <w:p w:rsidR="00241FC4" w:rsidRPr="003E62A8" w:rsidRDefault="00241FC4" w:rsidP="00241FC4">
      <w:pPr>
        <w:pStyle w:val="Normalmorespace"/>
      </w:pPr>
      <w:r>
        <w:t>Our enduring purpose is to continue to support the economic and social wellbeing of individuals and families.</w:t>
      </w:r>
    </w:p>
    <w:p w:rsidR="008D31F3" w:rsidRPr="003E62A8" w:rsidRDefault="008D31F3" w:rsidP="008D31F3">
      <w:pPr>
        <w:pStyle w:val="Normalmorespace"/>
      </w:pPr>
      <w:r>
        <w:t>The department’s responsibilities as set out in the Administrative Arrangement Orders are:</w:t>
      </w:r>
    </w:p>
    <w:p w:rsidR="008D31F3" w:rsidRPr="0018378C" w:rsidRDefault="008D31F3" w:rsidP="008D31F3">
      <w:pPr>
        <w:pStyle w:val="ListParagraph"/>
        <w:spacing w:before="120" w:after="120"/>
        <w:ind w:left="641" w:hanging="357"/>
        <w:contextualSpacing w:val="0"/>
      </w:pPr>
      <w:r w:rsidRPr="0018378C">
        <w:t>income security and support policies and programs for families with children, carers, the aged, people with disabilities, and people in hardship</w:t>
      </w:r>
    </w:p>
    <w:p w:rsidR="008D31F3" w:rsidRPr="0018378C" w:rsidRDefault="008D31F3" w:rsidP="008D31F3">
      <w:pPr>
        <w:pStyle w:val="ListParagraph"/>
        <w:spacing w:before="120" w:after="120"/>
        <w:ind w:left="641" w:hanging="357"/>
        <w:contextualSpacing w:val="0"/>
      </w:pPr>
      <w:r w:rsidRPr="0018378C">
        <w:t>income support policies for students and apprentices</w:t>
      </w:r>
    </w:p>
    <w:p w:rsidR="008D31F3" w:rsidRPr="0018378C" w:rsidRDefault="008D31F3" w:rsidP="008D31F3">
      <w:pPr>
        <w:pStyle w:val="ListParagraph"/>
        <w:spacing w:before="120" w:after="120"/>
        <w:ind w:left="641" w:hanging="357"/>
        <w:contextualSpacing w:val="0"/>
      </w:pPr>
      <w:r w:rsidRPr="0018378C">
        <w:t>income support and participation policy for people of working age</w:t>
      </w:r>
    </w:p>
    <w:p w:rsidR="008D31F3" w:rsidRPr="0018378C" w:rsidRDefault="008D31F3" w:rsidP="008D31F3">
      <w:pPr>
        <w:pStyle w:val="ListParagraph"/>
        <w:spacing w:before="120" w:after="120"/>
        <w:ind w:left="641" w:hanging="357"/>
        <w:contextualSpacing w:val="0"/>
      </w:pPr>
      <w:r w:rsidRPr="0018378C">
        <w:t>services for families with children, people with disabilities and carers</w:t>
      </w:r>
    </w:p>
    <w:p w:rsidR="008D31F3" w:rsidRPr="0018378C" w:rsidRDefault="008D31F3" w:rsidP="008D31F3">
      <w:pPr>
        <w:pStyle w:val="ListParagraph"/>
        <w:spacing w:before="120" w:after="120"/>
        <w:ind w:left="641" w:hanging="357"/>
        <w:contextualSpacing w:val="0"/>
      </w:pPr>
      <w:r w:rsidRPr="0018378C">
        <w:t>community mental health</w:t>
      </w:r>
    </w:p>
    <w:p w:rsidR="008D31F3" w:rsidRPr="0018378C" w:rsidRDefault="008D31F3" w:rsidP="008D31F3">
      <w:pPr>
        <w:pStyle w:val="ListParagraph"/>
        <w:spacing w:before="120" w:after="120"/>
        <w:ind w:left="641" w:hanging="357"/>
        <w:contextualSpacing w:val="0"/>
      </w:pPr>
      <w:r w:rsidRPr="0018378C">
        <w:t>community support services</w:t>
      </w:r>
    </w:p>
    <w:p w:rsidR="008D31F3" w:rsidRPr="0018378C" w:rsidRDefault="008D31F3" w:rsidP="008D31F3">
      <w:pPr>
        <w:pStyle w:val="ListParagraph"/>
        <w:spacing w:before="120" w:after="120"/>
        <w:ind w:left="641" w:hanging="357"/>
        <w:contextualSpacing w:val="0"/>
      </w:pPr>
      <w:r w:rsidRPr="0018378C">
        <w:t>family relationship, family and children’s support services</w:t>
      </w:r>
    </w:p>
    <w:p w:rsidR="008D31F3" w:rsidRPr="0018378C" w:rsidRDefault="008D31F3" w:rsidP="008D31F3">
      <w:pPr>
        <w:pStyle w:val="ListParagraph"/>
        <w:spacing w:before="120" w:after="120"/>
        <w:ind w:left="641" w:hanging="357"/>
        <w:contextualSpacing w:val="0"/>
      </w:pPr>
      <w:r w:rsidRPr="0018378C">
        <w:t>social housing, rent assistance, and homelessness</w:t>
      </w:r>
    </w:p>
    <w:p w:rsidR="008D31F3" w:rsidRPr="0018378C" w:rsidRDefault="008D31F3" w:rsidP="008D31F3">
      <w:pPr>
        <w:pStyle w:val="ListParagraph"/>
        <w:spacing w:before="120" w:after="120"/>
        <w:ind w:left="641" w:hanging="357"/>
        <w:contextualSpacing w:val="0"/>
      </w:pPr>
      <w:r w:rsidRPr="0018378C">
        <w:t>child support policy</w:t>
      </w:r>
    </w:p>
    <w:p w:rsidR="008D31F3" w:rsidRPr="0018378C" w:rsidRDefault="008D31F3" w:rsidP="008D31F3">
      <w:pPr>
        <w:pStyle w:val="ListParagraph"/>
        <w:spacing w:before="120" w:after="120"/>
        <w:ind w:left="641" w:hanging="357"/>
        <w:contextualSpacing w:val="0"/>
      </w:pPr>
      <w:r w:rsidRPr="0018378C">
        <w:t>services to help people with disabilities obtain employment</w:t>
      </w:r>
    </w:p>
    <w:p w:rsidR="008D31F3" w:rsidRPr="0018378C" w:rsidRDefault="008D31F3" w:rsidP="008D31F3">
      <w:pPr>
        <w:pStyle w:val="ListParagraph"/>
        <w:spacing w:before="120" w:after="120"/>
        <w:ind w:left="641" w:hanging="357"/>
        <w:contextualSpacing w:val="0"/>
      </w:pPr>
      <w:r w:rsidRPr="0018378C">
        <w:t>non-profit sector and volunteering</w:t>
      </w:r>
    </w:p>
    <w:p w:rsidR="008D31F3" w:rsidRPr="0018378C" w:rsidRDefault="008D31F3" w:rsidP="008D31F3">
      <w:pPr>
        <w:pStyle w:val="ListParagraph"/>
        <w:spacing w:before="120" w:after="120"/>
        <w:ind w:left="641" w:hanging="357"/>
        <w:contextualSpacing w:val="0"/>
      </w:pPr>
      <w:r w:rsidRPr="0018378C">
        <w:t>services and payments relating to social security, child support, students, families, aged care and health programs (excluding health provider compliance)</w:t>
      </w:r>
    </w:p>
    <w:p w:rsidR="008D31F3" w:rsidRPr="0018378C" w:rsidRDefault="008D31F3" w:rsidP="008D31F3">
      <w:pPr>
        <w:pStyle w:val="ListParagraph"/>
        <w:spacing w:before="120" w:after="120"/>
        <w:ind w:left="641" w:hanging="357"/>
        <w:contextualSpacing w:val="0"/>
      </w:pPr>
      <w:r w:rsidRPr="0018378C">
        <w:t>Australian Hearing Services</w:t>
      </w:r>
    </w:p>
    <w:p w:rsidR="008D31F3" w:rsidRPr="00DE33E3" w:rsidRDefault="008D31F3" w:rsidP="008D31F3">
      <w:pPr>
        <w:pStyle w:val="ListParagraph"/>
        <w:spacing w:before="120" w:after="120"/>
        <w:ind w:left="641" w:hanging="357"/>
        <w:contextualSpacing w:val="0"/>
      </w:pPr>
      <w:r w:rsidRPr="0018378C">
        <w:t>Whole</w:t>
      </w:r>
      <w:r w:rsidRPr="00C169D0">
        <w:t xml:space="preserve"> of</w:t>
      </w:r>
      <w:r w:rsidRPr="00DE33E3">
        <w:t xml:space="preserve"> government service delivery policy</w:t>
      </w:r>
      <w:r w:rsidR="00621EDE">
        <w:t>.</w:t>
      </w:r>
    </w:p>
    <w:p w:rsidR="00582013" w:rsidRPr="00A33E5A" w:rsidRDefault="49391BAB" w:rsidP="006A3A8E">
      <w:pPr>
        <w:pStyle w:val="Heading1-NP"/>
      </w:pPr>
      <w:bookmarkStart w:id="20" w:name="_Toc111026101"/>
      <w:bookmarkStart w:id="21" w:name="_Toc47604293"/>
      <w:bookmarkEnd w:id="16"/>
      <w:bookmarkEnd w:id="15"/>
      <w:r>
        <w:lastRenderedPageBreak/>
        <w:t>Our outcomes</w:t>
      </w:r>
      <w:bookmarkEnd w:id="20"/>
    </w:p>
    <w:p w:rsidR="00582013" w:rsidRDefault="00582013" w:rsidP="00582013">
      <w:pPr>
        <w:pStyle w:val="Normalmorespace"/>
      </w:pPr>
      <w:r>
        <w:t xml:space="preserve">Our purpose </w:t>
      </w:r>
      <w:r w:rsidR="00A23258">
        <w:t xml:space="preserve">is </w:t>
      </w:r>
      <w:r>
        <w:t xml:space="preserve">delivered under </w:t>
      </w:r>
      <w:r w:rsidR="000C0384">
        <w:t>4</w:t>
      </w:r>
      <w:r>
        <w:t xml:space="preserve"> outcomes areas, including</w:t>
      </w:r>
      <w:r w:rsidRPr="009F24BE">
        <w:t>:</w:t>
      </w:r>
    </w:p>
    <w:tbl>
      <w:tblPr>
        <w:tblStyle w:val="DSSCorporatePlan"/>
        <w:tblW w:w="9624" w:type="dxa"/>
        <w:tblLook w:val="04A0" w:firstRow="1" w:lastRow="0" w:firstColumn="1" w:lastColumn="0" w:noHBand="0" w:noVBand="1"/>
        <w:tblCaption w:val="A table outlining the four outcomes of the Department of Social Services"/>
        <w:tblDescription w:val="Outcome 1 - Social Security: A sustainable social security system that incentivises self-reliance and supports people who cannot fully support themselves by providing targeted payments and assistance.&#10;Outcome 2 - Families and Communities: Contribute to stronger and more resilient individuals, families, and communities by providing targeted support.&#10;Outcome 3 - Disability and Carers: Supporting the independence of, and economic participation by, people with disability and carers by providing targeted supports.&#10;Outcome 4 - Housing and Homelessness: Improving housing affordability, supporting social housing for individuals, and preventing and addressing homelessness by providing targeted supports."/>
      </w:tblPr>
      <w:tblGrid>
        <w:gridCol w:w="2962"/>
        <w:gridCol w:w="6662"/>
      </w:tblGrid>
      <w:tr w:rsidR="003A3048" w:rsidTr="00EE1E95">
        <w:trPr>
          <w:trHeight w:val="998"/>
        </w:trPr>
        <w:tc>
          <w:tcPr>
            <w:tcW w:w="2962" w:type="dxa"/>
            <w:shd w:val="clear" w:color="auto" w:fill="005A70"/>
            <w:vAlign w:val="center"/>
          </w:tcPr>
          <w:p w:rsidR="003A3048" w:rsidRPr="00D11C7E" w:rsidRDefault="003A3048" w:rsidP="00D11C7E">
            <w:pPr>
              <w:pStyle w:val="TableH1"/>
              <w:rPr>
                <w:sz w:val="20"/>
              </w:rPr>
            </w:pPr>
            <w:r w:rsidRPr="00D11C7E">
              <w:rPr>
                <w:sz w:val="20"/>
              </w:rPr>
              <w:t>Outcome 1</w:t>
            </w:r>
          </w:p>
          <w:p w:rsidR="003A3048" w:rsidRPr="00D11C7E" w:rsidRDefault="003A3048" w:rsidP="00D11C7E">
            <w:pPr>
              <w:pStyle w:val="TABLEH2"/>
              <w:rPr>
                <w:sz w:val="20"/>
              </w:rPr>
            </w:pPr>
            <w:r w:rsidRPr="00D11C7E">
              <w:rPr>
                <w:color w:val="FFFFFF" w:themeColor="background1"/>
                <w:sz w:val="20"/>
              </w:rPr>
              <w:t>Social Security</w:t>
            </w:r>
          </w:p>
        </w:tc>
        <w:tc>
          <w:tcPr>
            <w:tcW w:w="6662" w:type="dxa"/>
            <w:vAlign w:val="center"/>
          </w:tcPr>
          <w:p w:rsidR="003A3048" w:rsidRPr="00D11C7E" w:rsidRDefault="003A3048" w:rsidP="00D11C7E">
            <w:pPr>
              <w:pStyle w:val="TABLEBodytext"/>
              <w:rPr>
                <w:sz w:val="20"/>
              </w:rPr>
            </w:pPr>
            <w:r w:rsidRPr="00D11C7E">
              <w:rPr>
                <w:sz w:val="20"/>
              </w:rPr>
              <w:t>A sustainable social security system that incentivises self-reliance and supports people who cannot fully support themselves by providing targeted payments and assistance.</w:t>
            </w:r>
          </w:p>
        </w:tc>
      </w:tr>
      <w:tr w:rsidR="003A3048" w:rsidTr="00EE1E95">
        <w:trPr>
          <w:trHeight w:val="998"/>
        </w:trPr>
        <w:tc>
          <w:tcPr>
            <w:tcW w:w="2962" w:type="dxa"/>
            <w:shd w:val="clear" w:color="auto" w:fill="78BE20"/>
            <w:vAlign w:val="center"/>
          </w:tcPr>
          <w:p w:rsidR="003A3048" w:rsidRPr="00521B3A" w:rsidRDefault="003A3048" w:rsidP="00D11C7E">
            <w:pPr>
              <w:pStyle w:val="TableH1"/>
              <w:rPr>
                <w:color w:val="000000" w:themeColor="text1"/>
                <w:sz w:val="20"/>
              </w:rPr>
            </w:pPr>
            <w:r w:rsidRPr="00521B3A">
              <w:rPr>
                <w:color w:val="000000" w:themeColor="text1"/>
                <w:sz w:val="20"/>
              </w:rPr>
              <w:t>Outcome 2</w:t>
            </w:r>
          </w:p>
          <w:p w:rsidR="003A3048" w:rsidRPr="00D11C7E" w:rsidRDefault="003A3048" w:rsidP="00D11C7E">
            <w:pPr>
              <w:pStyle w:val="TABLEH2"/>
              <w:rPr>
                <w:color w:val="FFFFFF" w:themeColor="background1"/>
                <w:sz w:val="20"/>
              </w:rPr>
            </w:pPr>
            <w:r w:rsidRPr="00521B3A">
              <w:rPr>
                <w:sz w:val="20"/>
              </w:rPr>
              <w:t>Families and Communities</w:t>
            </w:r>
          </w:p>
        </w:tc>
        <w:tc>
          <w:tcPr>
            <w:tcW w:w="6662" w:type="dxa"/>
            <w:vAlign w:val="center"/>
          </w:tcPr>
          <w:p w:rsidR="003A3048" w:rsidRPr="00D11C7E" w:rsidRDefault="003A3048" w:rsidP="00D11C7E">
            <w:pPr>
              <w:pStyle w:val="TABLEBodytext"/>
              <w:rPr>
                <w:sz w:val="20"/>
              </w:rPr>
            </w:pPr>
            <w:r w:rsidRPr="00D11C7E">
              <w:rPr>
                <w:sz w:val="20"/>
              </w:rPr>
              <w:t>Contribute to stronger and more resilient individuals, families, and communities by providing targeted support.</w:t>
            </w:r>
          </w:p>
        </w:tc>
      </w:tr>
      <w:tr w:rsidR="003A3048" w:rsidTr="001C6390">
        <w:trPr>
          <w:trHeight w:val="872"/>
        </w:trPr>
        <w:tc>
          <w:tcPr>
            <w:tcW w:w="2962" w:type="dxa"/>
            <w:shd w:val="clear" w:color="auto" w:fill="500778"/>
            <w:vAlign w:val="center"/>
          </w:tcPr>
          <w:p w:rsidR="003A3048" w:rsidRPr="00D11C7E" w:rsidRDefault="003A3048" w:rsidP="00D11C7E">
            <w:pPr>
              <w:pStyle w:val="TableH1"/>
              <w:rPr>
                <w:sz w:val="20"/>
              </w:rPr>
            </w:pPr>
            <w:r w:rsidRPr="00D11C7E">
              <w:rPr>
                <w:sz w:val="20"/>
              </w:rPr>
              <w:t xml:space="preserve">Outcome 3 </w:t>
            </w:r>
          </w:p>
          <w:p w:rsidR="003A3048" w:rsidRPr="00D11C7E" w:rsidRDefault="003A3048" w:rsidP="00D11C7E">
            <w:pPr>
              <w:pStyle w:val="TABLEH2"/>
              <w:rPr>
                <w:sz w:val="20"/>
              </w:rPr>
            </w:pPr>
            <w:r w:rsidRPr="00D11C7E">
              <w:rPr>
                <w:color w:val="FFFFFF" w:themeColor="background1"/>
                <w:sz w:val="20"/>
              </w:rPr>
              <w:t>Disability and Carers</w:t>
            </w:r>
          </w:p>
        </w:tc>
        <w:tc>
          <w:tcPr>
            <w:tcW w:w="6662" w:type="dxa"/>
            <w:vAlign w:val="center"/>
          </w:tcPr>
          <w:p w:rsidR="003A3048" w:rsidRPr="00D11C7E" w:rsidRDefault="003A3048" w:rsidP="00D11C7E">
            <w:pPr>
              <w:pStyle w:val="TABLEBodytext"/>
              <w:rPr>
                <w:sz w:val="20"/>
              </w:rPr>
            </w:pPr>
            <w:r w:rsidRPr="00D11C7E">
              <w:rPr>
                <w:sz w:val="20"/>
              </w:rPr>
              <w:t xml:space="preserve">Supporting the independence </w:t>
            </w:r>
            <w:r w:rsidR="00601EFD" w:rsidRPr="00D11C7E">
              <w:rPr>
                <w:sz w:val="20"/>
              </w:rPr>
              <w:t>of</w:t>
            </w:r>
            <w:r w:rsidR="0071315A">
              <w:rPr>
                <w:sz w:val="20"/>
              </w:rPr>
              <w:t>,</w:t>
            </w:r>
            <w:r w:rsidRPr="00D11C7E">
              <w:rPr>
                <w:sz w:val="20"/>
              </w:rPr>
              <w:t xml:space="preserve"> and economic participation by, people with disability and carers by providing targeted supports.</w:t>
            </w:r>
          </w:p>
        </w:tc>
      </w:tr>
      <w:tr w:rsidR="003A3048" w:rsidTr="00EE1E95">
        <w:trPr>
          <w:trHeight w:val="998"/>
        </w:trPr>
        <w:tc>
          <w:tcPr>
            <w:tcW w:w="2962" w:type="dxa"/>
            <w:shd w:val="clear" w:color="auto" w:fill="A6192E"/>
            <w:vAlign w:val="center"/>
          </w:tcPr>
          <w:p w:rsidR="003A3048" w:rsidRPr="00D11C7E" w:rsidRDefault="003A3048" w:rsidP="00D11C7E">
            <w:pPr>
              <w:pStyle w:val="TableH1"/>
              <w:rPr>
                <w:sz w:val="20"/>
              </w:rPr>
            </w:pPr>
            <w:r w:rsidRPr="00D11C7E">
              <w:rPr>
                <w:sz w:val="20"/>
              </w:rPr>
              <w:t>Outcome 4</w:t>
            </w:r>
          </w:p>
          <w:p w:rsidR="003A3048" w:rsidRPr="00D11C7E" w:rsidRDefault="003A3048" w:rsidP="0064343C">
            <w:pPr>
              <w:pStyle w:val="TABLEH2"/>
              <w:rPr>
                <w:sz w:val="20"/>
              </w:rPr>
            </w:pPr>
            <w:r w:rsidRPr="00D11C7E">
              <w:rPr>
                <w:color w:val="FFFFFF" w:themeColor="background1"/>
                <w:sz w:val="20"/>
              </w:rPr>
              <w:t xml:space="preserve">Housing </w:t>
            </w:r>
          </w:p>
        </w:tc>
        <w:tc>
          <w:tcPr>
            <w:tcW w:w="6662" w:type="dxa"/>
            <w:vAlign w:val="center"/>
          </w:tcPr>
          <w:p w:rsidR="003A3048" w:rsidRPr="00D11C7E" w:rsidRDefault="003A3048" w:rsidP="00D11C7E">
            <w:pPr>
              <w:pStyle w:val="TABLEBodytext"/>
              <w:rPr>
                <w:sz w:val="20"/>
              </w:rPr>
            </w:pPr>
            <w:r w:rsidRPr="00D11C7E">
              <w:rPr>
                <w:sz w:val="20"/>
              </w:rPr>
              <w:t>Improving housing affordability, supporting social housing for individuals, and preventing and addressing homelessness by providing targeted supports.</w:t>
            </w:r>
          </w:p>
        </w:tc>
      </w:tr>
    </w:tbl>
    <w:p w:rsidR="00582013" w:rsidRPr="00A33E5A" w:rsidRDefault="00B119DF" w:rsidP="006A3A8E">
      <w:pPr>
        <w:pStyle w:val="Heading1"/>
      </w:pPr>
      <w:bookmarkStart w:id="22" w:name="_Toc111026102"/>
      <w:r>
        <w:t>Cross government</w:t>
      </w:r>
      <w:r w:rsidR="00582013">
        <w:t xml:space="preserve"> priorities</w:t>
      </w:r>
      <w:bookmarkEnd w:id="22"/>
    </w:p>
    <w:p w:rsidR="00B119DF" w:rsidRPr="00B119DF" w:rsidRDefault="00B119DF" w:rsidP="00B119DF">
      <w:pPr>
        <w:pStyle w:val="Normalmorespace"/>
      </w:pPr>
      <w:r w:rsidRPr="00B119DF">
        <w:t xml:space="preserve">The </w:t>
      </w:r>
      <w:r w:rsidR="00705B8E">
        <w:t>d</w:t>
      </w:r>
      <w:r w:rsidRPr="00B119DF">
        <w:t xml:space="preserve">epartment has a stewardship role in delivering nationally consistent approaches to address contemporary social policy issues that transcend responsibilities across </w:t>
      </w:r>
      <w:r w:rsidR="00A03C78">
        <w:t>both</w:t>
      </w:r>
      <w:r w:rsidR="006C2B1E">
        <w:t xml:space="preserve"> portfolios and </w:t>
      </w:r>
      <w:r w:rsidRPr="00B119DF">
        <w:t>different levels of government. Important examples of how we are ensuring those in need have access to appropriate social services include Australia’s Disability Strategy 2021-2031, Safe &amp; Supported: the National Framework for Protecting Australia’s Children 2021-2031 and the new National Plan to End Violence against Women and Children 2022-2032.</w:t>
      </w:r>
    </w:p>
    <w:p w:rsidR="00B119DF" w:rsidRPr="00B119DF" w:rsidRDefault="00B119DF" w:rsidP="003F28F0">
      <w:pPr>
        <w:pStyle w:val="Heading2"/>
      </w:pPr>
      <w:bookmarkStart w:id="23" w:name="_Toc111026103"/>
      <w:r w:rsidRPr="00B119DF">
        <w:t>Australia’</w:t>
      </w:r>
      <w:r>
        <w:t>s Disability Strategy 2021-2031</w:t>
      </w:r>
      <w:bookmarkEnd w:id="23"/>
    </w:p>
    <w:p w:rsidR="00B119DF" w:rsidRPr="00B119DF" w:rsidRDefault="00B119DF" w:rsidP="00B119DF">
      <w:pPr>
        <w:pStyle w:val="Normalmorespace"/>
      </w:pPr>
      <w:r w:rsidRPr="00B119DF">
        <w:t xml:space="preserve">Australia’s Disability Strategy 2021-2031 (the Strategy) provides a national framework against which all levels of government have agreed to focus on improving outcomes for people with disability over the next </w:t>
      </w:r>
      <w:r w:rsidR="000D0D34">
        <w:t>10</w:t>
      </w:r>
      <w:r w:rsidR="00E0747E">
        <w:t> </w:t>
      </w:r>
      <w:r w:rsidRPr="00B119DF">
        <w:t>years. The department has a leadership role in supporting implementation of the Strategy, including working across all governments and Australian Government agencies.</w:t>
      </w:r>
    </w:p>
    <w:p w:rsidR="00B119DF" w:rsidRPr="00B119DF" w:rsidRDefault="00B119DF" w:rsidP="00B119DF">
      <w:pPr>
        <w:pStyle w:val="Normalmorespace"/>
      </w:pPr>
      <w:r w:rsidRPr="00B119DF">
        <w:t>The Strategy recognises the diversity of people with disability and the intersectional impacts affecting different groups of people with disability. The Strategy complements the commitment and endorsement by all levels of government on Closing the Gap, providing an opportunity to drive national action and improve outcomes with and for Aboriginal and Torres Strait Islander peoples with disability.</w:t>
      </w:r>
    </w:p>
    <w:p w:rsidR="00B119DF" w:rsidRPr="00B119DF" w:rsidRDefault="00B119DF" w:rsidP="00B119DF">
      <w:pPr>
        <w:pStyle w:val="Normalmorespace"/>
      </w:pPr>
      <w:r w:rsidRPr="00B119DF">
        <w:t xml:space="preserve">In 2022-23, the department </w:t>
      </w:r>
      <w:r w:rsidR="001722FD">
        <w:t>will</w:t>
      </w:r>
      <w:r w:rsidR="001722FD" w:rsidRPr="00B119DF">
        <w:t xml:space="preserve"> </w:t>
      </w:r>
      <w:r w:rsidRPr="00B119DF">
        <w:t>work</w:t>
      </w:r>
      <w:r w:rsidR="001722FD">
        <w:t xml:space="preserve"> to embed</w:t>
      </w:r>
      <w:r w:rsidRPr="00B119DF">
        <w:t xml:space="preserve"> the Strategy’s approach to evaluation</w:t>
      </w:r>
      <w:r w:rsidR="001722FD">
        <w:t xml:space="preserve"> across all programs</w:t>
      </w:r>
      <w:r w:rsidR="00CB7F3E">
        <w:t>.</w:t>
      </w:r>
      <w:r w:rsidR="00CB7F3E" w:rsidRPr="00B119DF">
        <w:t xml:space="preserve"> </w:t>
      </w:r>
      <w:r w:rsidR="00CB7F3E">
        <w:t xml:space="preserve">We will </w:t>
      </w:r>
      <w:r w:rsidRPr="00B119DF">
        <w:t>us</w:t>
      </w:r>
      <w:r w:rsidR="00CB7F3E">
        <w:t>e</w:t>
      </w:r>
      <w:r w:rsidRPr="00B119DF">
        <w:t xml:space="preserve"> the guiding principles when developing new policy, programs, services or systems to uphold the rights of people with disability, and improv</w:t>
      </w:r>
      <w:r w:rsidR="00CB7F3E">
        <w:t>e</w:t>
      </w:r>
      <w:r w:rsidRPr="00B119DF">
        <w:t xml:space="preserve"> the way the department conducts consultations to be more inclusive and accessible to people with disability. The department will also be working across its programs to</w:t>
      </w:r>
      <w:r w:rsidR="00E77CCA">
        <w:t> </w:t>
      </w:r>
      <w:r w:rsidRPr="00B119DF">
        <w:t>progress the following policy priorities in the Strategy:</w:t>
      </w:r>
    </w:p>
    <w:p w:rsidR="00B119DF" w:rsidRPr="00B119DF" w:rsidRDefault="00B119DF" w:rsidP="001722FD">
      <w:pPr>
        <w:pStyle w:val="ListParagraph"/>
        <w:spacing w:before="120" w:after="120"/>
        <w:ind w:left="641" w:hanging="357"/>
        <w:contextualSpacing w:val="0"/>
      </w:pPr>
      <w:r w:rsidRPr="00B119DF">
        <w:t xml:space="preserve">increase employment of people with disability </w:t>
      </w:r>
    </w:p>
    <w:p w:rsidR="00B119DF" w:rsidRPr="00B119DF" w:rsidRDefault="00B119DF" w:rsidP="001722FD">
      <w:pPr>
        <w:pStyle w:val="ListParagraph"/>
        <w:spacing w:before="120" w:after="120"/>
        <w:ind w:left="641" w:hanging="357"/>
        <w:contextualSpacing w:val="0"/>
      </w:pPr>
      <w:r w:rsidRPr="00B119DF">
        <w:t xml:space="preserve">improve transition of young people with disability from education to employment </w:t>
      </w:r>
    </w:p>
    <w:p w:rsidR="00B119DF" w:rsidRPr="00B119DF" w:rsidRDefault="00B119DF" w:rsidP="001722FD">
      <w:pPr>
        <w:pStyle w:val="ListParagraph"/>
        <w:spacing w:before="120" w:after="120"/>
        <w:ind w:left="641" w:hanging="357"/>
        <w:contextualSpacing w:val="0"/>
      </w:pPr>
      <w:r w:rsidRPr="00B119DF">
        <w:t>strengthen financial independence for people with disability</w:t>
      </w:r>
    </w:p>
    <w:p w:rsidR="00B119DF" w:rsidRPr="00B119DF" w:rsidRDefault="00B119DF" w:rsidP="001722FD">
      <w:pPr>
        <w:pStyle w:val="ListParagraph"/>
        <w:spacing w:before="120" w:after="120"/>
        <w:ind w:left="641" w:hanging="357"/>
        <w:contextualSpacing w:val="0"/>
      </w:pPr>
      <w:r w:rsidRPr="00B119DF">
        <w:t>increase</w:t>
      </w:r>
      <w:r w:rsidRPr="001722FD">
        <w:t xml:space="preserve"> </w:t>
      </w:r>
      <w:r w:rsidRPr="00B119DF">
        <w:t>the availability of</w:t>
      </w:r>
      <w:r w:rsidRPr="001722FD">
        <w:t xml:space="preserve"> </w:t>
      </w:r>
      <w:r w:rsidRPr="00B119DF">
        <w:t>affordable housing</w:t>
      </w:r>
    </w:p>
    <w:p w:rsidR="00B119DF" w:rsidRPr="00B119DF" w:rsidRDefault="00B119DF" w:rsidP="001722FD">
      <w:pPr>
        <w:pStyle w:val="ListParagraph"/>
        <w:spacing w:before="120" w:after="120"/>
        <w:ind w:left="641" w:hanging="357"/>
        <w:contextualSpacing w:val="0"/>
      </w:pPr>
      <w:r w:rsidRPr="00B119DF">
        <w:t>people with disability are able to access supports that meet their needs</w:t>
      </w:r>
    </w:p>
    <w:p w:rsidR="00B119DF" w:rsidRPr="00B119DF" w:rsidRDefault="00B119DF" w:rsidP="001722FD">
      <w:pPr>
        <w:pStyle w:val="ListParagraph"/>
        <w:spacing w:before="120" w:after="120"/>
        <w:ind w:left="641" w:hanging="357"/>
        <w:contextualSpacing w:val="0"/>
      </w:pPr>
      <w:r w:rsidRPr="00B119DF">
        <w:t>the NDIS provides eligible people with permanent and significant disability with access to reasonable and necessary disability supports</w:t>
      </w:r>
    </w:p>
    <w:p w:rsidR="00B119DF" w:rsidRPr="00B119DF" w:rsidRDefault="00B119DF" w:rsidP="001722FD">
      <w:pPr>
        <w:pStyle w:val="ListParagraph"/>
        <w:spacing w:before="120" w:after="120"/>
        <w:ind w:left="641" w:hanging="357"/>
        <w:contextualSpacing w:val="0"/>
      </w:pPr>
      <w:r w:rsidRPr="00B119DF">
        <w:lastRenderedPageBreak/>
        <w:t>people with disability are supported to access assistive technology</w:t>
      </w:r>
    </w:p>
    <w:p w:rsidR="00B119DF" w:rsidRPr="00B119DF" w:rsidRDefault="00B119DF" w:rsidP="001722FD">
      <w:pPr>
        <w:pStyle w:val="ListParagraph"/>
        <w:spacing w:before="120" w:after="120"/>
        <w:ind w:left="641" w:hanging="357"/>
        <w:contextualSpacing w:val="0"/>
      </w:pPr>
      <w:r w:rsidRPr="00B119DF">
        <w:t>the role of informal support is acknowledged and supported</w:t>
      </w:r>
    </w:p>
    <w:p w:rsidR="00B119DF" w:rsidRPr="00B119DF" w:rsidRDefault="00B119DF" w:rsidP="001722FD">
      <w:pPr>
        <w:pStyle w:val="ListParagraph"/>
        <w:spacing w:before="120" w:after="120"/>
        <w:ind w:left="641" w:hanging="357"/>
        <w:contextualSpacing w:val="0"/>
      </w:pPr>
      <w:r w:rsidRPr="00B119DF">
        <w:t>people with disability are safe and feel safe from violence, abuse, neglect and exploitation</w:t>
      </w:r>
    </w:p>
    <w:p w:rsidR="00B119DF" w:rsidRPr="00B119DF" w:rsidRDefault="00B119DF" w:rsidP="001722FD">
      <w:pPr>
        <w:pStyle w:val="ListParagraph"/>
        <w:spacing w:before="120" w:after="120"/>
        <w:ind w:left="641" w:hanging="357"/>
        <w:contextualSpacing w:val="0"/>
      </w:pPr>
      <w:r w:rsidRPr="00B119DF">
        <w:t>policies, processes and programs provide better responses to people with disability who have experienced trauma</w:t>
      </w:r>
    </w:p>
    <w:p w:rsidR="00B119DF" w:rsidRPr="00B119DF" w:rsidRDefault="00B119DF" w:rsidP="001722FD">
      <w:pPr>
        <w:pStyle w:val="ListParagraph"/>
        <w:spacing w:before="120" w:after="120"/>
        <w:ind w:left="641" w:hanging="357"/>
        <w:contextualSpacing w:val="0"/>
      </w:pPr>
      <w:r w:rsidRPr="00B119DF">
        <w:t>policies, processes and programs for people with disability promote gender equality and prevent violence against groups at heightened risk, including women and their children</w:t>
      </w:r>
    </w:p>
    <w:p w:rsidR="00B119DF" w:rsidRPr="00B119DF" w:rsidRDefault="00B119DF" w:rsidP="001722FD">
      <w:pPr>
        <w:pStyle w:val="ListParagraph"/>
        <w:spacing w:before="120" w:after="120"/>
        <w:ind w:left="641" w:hanging="357"/>
        <w:contextualSpacing w:val="0"/>
      </w:pPr>
      <w:r w:rsidRPr="00B119DF">
        <w:t>the rights of people with disability are promoted, upheld and protected.</w:t>
      </w:r>
    </w:p>
    <w:p w:rsidR="00B119DF" w:rsidRPr="00B119DF" w:rsidRDefault="00B119DF" w:rsidP="00B119DF">
      <w:pPr>
        <w:pStyle w:val="Normalmorespace"/>
      </w:pPr>
      <w:r w:rsidRPr="00B119DF">
        <w:t xml:space="preserve">The department is also responsible for the reporting on the Strategy. This includes an annual Targeted Action Plan report and an Outcomes Framework </w:t>
      </w:r>
      <w:r w:rsidR="00601EFD" w:rsidRPr="00B119DF">
        <w:t>report, which</w:t>
      </w:r>
      <w:r w:rsidRPr="00B119DF">
        <w:t xml:space="preserve"> will track progress against the Strategy’s Policy Priorities. In late 2023</w:t>
      </w:r>
      <w:r w:rsidR="00E77CCA">
        <w:t>,</w:t>
      </w:r>
      <w:r w:rsidRPr="00B119DF">
        <w:t xml:space="preserve"> the first biennial implementation report will be provided to the Australian Parliament, this will show what progress has been made and what actions have been taken by governments. All reports will be publicly available through the Australia’s Disability Strategy Hub at</w:t>
      </w:r>
      <w:r w:rsidR="00A10C22">
        <w:t> </w:t>
      </w:r>
      <w:hyperlink r:id="rId15" w:history="1">
        <w:r w:rsidRPr="00B119DF">
          <w:rPr>
            <w:rStyle w:val="Hyperlink"/>
          </w:rPr>
          <w:t>www.disabilitygateway.gov.au/ads</w:t>
        </w:r>
      </w:hyperlink>
      <w:r w:rsidRPr="00B119DF">
        <w:rPr>
          <w:i/>
          <w:iCs/>
        </w:rPr>
        <w:t>.</w:t>
      </w:r>
    </w:p>
    <w:p w:rsidR="00B119DF" w:rsidRPr="00B119DF" w:rsidRDefault="00B119DF" w:rsidP="003F28F0">
      <w:pPr>
        <w:pStyle w:val="Heading2"/>
      </w:pPr>
      <w:bookmarkStart w:id="24" w:name="_Toc111026104"/>
      <w:r w:rsidRPr="00B119DF">
        <w:t>Safe &amp; Supported: the National Framework for Protecting Australia’s Children 2021-2031</w:t>
      </w:r>
      <w:bookmarkEnd w:id="24"/>
      <w:r w:rsidRPr="00B119DF">
        <w:t xml:space="preserve"> </w:t>
      </w:r>
    </w:p>
    <w:p w:rsidR="00B119DF" w:rsidRPr="00B119DF" w:rsidRDefault="00B119DF" w:rsidP="00B119DF">
      <w:pPr>
        <w:pStyle w:val="Normalmorespace"/>
      </w:pPr>
      <w:r w:rsidRPr="00B119DF">
        <w:t xml:space="preserve">Safe &amp; Supported: the National Framework for Protecting Australia’s Children 2021-2031 (Safe and Supported: the National Framework) sets out a national </w:t>
      </w:r>
      <w:r w:rsidR="0082659B">
        <w:t xml:space="preserve">10 </w:t>
      </w:r>
      <w:r w:rsidRPr="00B119DF">
        <w:t xml:space="preserve">year framework to improve the lives of children, young people and families experiencing disadvantage or who are vulnerable to abuse and neglect. It was developed by the Commonwealth and state and territory governments in partnership with SNAICC – National Voice for our Children and an Aboriginal and Torres Strait Islander Leadership Group. </w:t>
      </w:r>
    </w:p>
    <w:p w:rsidR="00B119DF" w:rsidRPr="00B119DF" w:rsidRDefault="00B119DF" w:rsidP="00286512">
      <w:pPr>
        <w:pStyle w:val="Normalmorespace"/>
        <w:ind w:right="-143"/>
      </w:pPr>
      <w:r w:rsidRPr="00B119DF">
        <w:rPr>
          <w:iCs/>
        </w:rPr>
        <w:t xml:space="preserve">Safe &amp; Supported </w:t>
      </w:r>
      <w:r w:rsidRPr="00B119DF">
        <w:t xml:space="preserve">will be delivered by 2 </w:t>
      </w:r>
      <w:r w:rsidR="0082659B">
        <w:t xml:space="preserve">5 </w:t>
      </w:r>
      <w:r w:rsidRPr="00B119DF">
        <w:t xml:space="preserve">year Action Plans. For the first time, Aboriginal and Torres Strait Islander peoples will have their own Action Plan developed in partnership with Aboriginal and Torres Strait Islander representatives. </w:t>
      </w:r>
      <w:r w:rsidRPr="00B119DF">
        <w:rPr>
          <w:iCs/>
        </w:rPr>
        <w:t xml:space="preserve">Safe &amp; Supported </w:t>
      </w:r>
      <w:r w:rsidRPr="00B119DF">
        <w:t>embeds the Priority Reforms of the National Agreement on Closing the Gap to transform how governments work to</w:t>
      </w:r>
      <w:r w:rsidR="00286512">
        <w:t> </w:t>
      </w:r>
      <w:r w:rsidRPr="00B119DF">
        <w:t>support improved outcomes for Aboriginal and Torres Strait Islander children, young people and families. It</w:t>
      </w:r>
      <w:r w:rsidR="00A10C22">
        <w:t> </w:t>
      </w:r>
      <w:r w:rsidRPr="00B119DF">
        <w:t>will be</w:t>
      </w:r>
      <w:r w:rsidR="00286512">
        <w:t> </w:t>
      </w:r>
      <w:r w:rsidRPr="00B119DF">
        <w:t>a</w:t>
      </w:r>
      <w:r w:rsidR="00286512">
        <w:t> </w:t>
      </w:r>
      <w:r w:rsidRPr="00B119DF">
        <w:t>key mechanism in responding to the Closing the Gap Target 12 to reduce the rate of</w:t>
      </w:r>
      <w:r w:rsidR="00286512">
        <w:t> </w:t>
      </w:r>
      <w:r w:rsidRPr="00B119DF">
        <w:t>over</w:t>
      </w:r>
      <w:r w:rsidR="00286512">
        <w:noBreakHyphen/>
      </w:r>
      <w:r w:rsidRPr="00B119DF">
        <w:t>representation of Aboriginal and Torres Strait Islander children in out-of-home care by 45% over 10</w:t>
      </w:r>
      <w:r w:rsidR="00286512">
        <w:t> </w:t>
      </w:r>
      <w:r w:rsidRPr="00B119DF">
        <w:t>years.</w:t>
      </w:r>
    </w:p>
    <w:p w:rsidR="00B119DF" w:rsidRPr="00B119DF" w:rsidRDefault="00BC1FFB" w:rsidP="00B119DF">
      <w:pPr>
        <w:pStyle w:val="Normalmorespace"/>
      </w:pPr>
      <w:r>
        <w:rPr>
          <w:iCs/>
        </w:rPr>
        <w:t>T</w:t>
      </w:r>
      <w:r w:rsidR="00B119DF" w:rsidRPr="00B119DF">
        <w:rPr>
          <w:iCs/>
        </w:rPr>
        <w:t>he Framework</w:t>
      </w:r>
      <w:r w:rsidR="00B119DF" w:rsidRPr="00B119DF">
        <w:t xml:space="preserve"> </w:t>
      </w:r>
      <w:r>
        <w:t>has</w:t>
      </w:r>
      <w:r w:rsidR="00B119DF" w:rsidRPr="00B119DF">
        <w:t xml:space="preserve"> 4 focus areas:</w:t>
      </w:r>
    </w:p>
    <w:p w:rsidR="00B119DF" w:rsidRPr="00B119DF" w:rsidRDefault="00B119DF" w:rsidP="004A64F8">
      <w:pPr>
        <w:pStyle w:val="Normalmorespace"/>
        <w:numPr>
          <w:ilvl w:val="0"/>
          <w:numId w:val="13"/>
        </w:numPr>
      </w:pPr>
      <w:r w:rsidRPr="00B119DF">
        <w:t>a national approach to early intervention and targeted support for children and families experiencing vulnerability or disadvantage</w:t>
      </w:r>
    </w:p>
    <w:p w:rsidR="00B119DF" w:rsidRPr="00B119DF" w:rsidRDefault="00B119DF" w:rsidP="004A64F8">
      <w:pPr>
        <w:pStyle w:val="Normalmorespace"/>
        <w:numPr>
          <w:ilvl w:val="0"/>
          <w:numId w:val="13"/>
        </w:numPr>
      </w:pPr>
      <w:r w:rsidRPr="00B119DF">
        <w:t>addressing the over-representation of Aboriginal and Torres Strait Islander children in child protection systems</w:t>
      </w:r>
    </w:p>
    <w:p w:rsidR="00B119DF" w:rsidRPr="00B119DF" w:rsidRDefault="00B119DF" w:rsidP="004A64F8">
      <w:pPr>
        <w:pStyle w:val="Normalmorespace"/>
        <w:numPr>
          <w:ilvl w:val="0"/>
          <w:numId w:val="13"/>
        </w:numPr>
      </w:pPr>
      <w:r w:rsidRPr="00B119DF">
        <w:t>improving information sharing, data development and analysis</w:t>
      </w:r>
    </w:p>
    <w:p w:rsidR="00B119DF" w:rsidRPr="00B119DF" w:rsidRDefault="00B119DF" w:rsidP="004A64F8">
      <w:pPr>
        <w:pStyle w:val="Normalmorespace"/>
        <w:numPr>
          <w:ilvl w:val="0"/>
          <w:numId w:val="13"/>
        </w:numPr>
      </w:pPr>
      <w:r w:rsidRPr="00B119DF">
        <w:t>strengthening the child and family sector and workforce capability.</w:t>
      </w:r>
    </w:p>
    <w:p w:rsidR="00B119DF" w:rsidRPr="00B119DF" w:rsidRDefault="00B119DF" w:rsidP="003F28F0">
      <w:pPr>
        <w:pStyle w:val="Heading2"/>
      </w:pPr>
      <w:bookmarkStart w:id="25" w:name="_Toc111026105"/>
      <w:r w:rsidRPr="00B119DF">
        <w:t>The new National Plan to End Violence against Women and Children 2022-2032</w:t>
      </w:r>
      <w:bookmarkEnd w:id="25"/>
      <w:r w:rsidRPr="00B119DF">
        <w:t xml:space="preserve"> </w:t>
      </w:r>
    </w:p>
    <w:p w:rsidR="00B119DF" w:rsidRPr="00C8706A" w:rsidRDefault="00B119DF" w:rsidP="00B119DF">
      <w:pPr>
        <w:rPr>
          <w:sz w:val="20"/>
          <w:szCs w:val="20"/>
        </w:rPr>
      </w:pPr>
      <w:r w:rsidRPr="00B119DF">
        <w:rPr>
          <w:sz w:val="20"/>
          <w:szCs w:val="20"/>
        </w:rPr>
        <w:t xml:space="preserve">The new National Plan to End Violence against Women and Children 2022-2032 </w:t>
      </w:r>
      <w:r w:rsidRPr="00C8706A">
        <w:rPr>
          <w:sz w:val="20"/>
          <w:szCs w:val="20"/>
        </w:rPr>
        <w:t xml:space="preserve">will provide a framework for tangible change through commitment to </w:t>
      </w:r>
      <w:r w:rsidR="000D0D34">
        <w:rPr>
          <w:sz w:val="20"/>
          <w:szCs w:val="20"/>
        </w:rPr>
        <w:t>10</w:t>
      </w:r>
      <w:r w:rsidR="000D0D34" w:rsidRPr="00C8706A">
        <w:rPr>
          <w:sz w:val="20"/>
          <w:szCs w:val="20"/>
        </w:rPr>
        <w:t xml:space="preserve"> </w:t>
      </w:r>
      <w:r w:rsidRPr="00C8706A">
        <w:rPr>
          <w:sz w:val="20"/>
          <w:szCs w:val="20"/>
        </w:rPr>
        <w:t xml:space="preserve">years of ambitious and sustained action. The Australian Government is developing the new National Plan to End Violence against Women and Children 2022-2032 to replace the </w:t>
      </w:r>
      <w:r>
        <w:rPr>
          <w:sz w:val="20"/>
          <w:szCs w:val="20"/>
        </w:rPr>
        <w:t>previous</w:t>
      </w:r>
      <w:r w:rsidRPr="00C8706A">
        <w:rPr>
          <w:sz w:val="20"/>
          <w:szCs w:val="20"/>
        </w:rPr>
        <w:t xml:space="preserve"> </w:t>
      </w:r>
      <w:r w:rsidRPr="00046BEF">
        <w:rPr>
          <w:sz w:val="20"/>
          <w:szCs w:val="20"/>
        </w:rPr>
        <w:t xml:space="preserve">National </w:t>
      </w:r>
      <w:r w:rsidR="00601EFD" w:rsidRPr="00046BEF">
        <w:rPr>
          <w:sz w:val="20"/>
          <w:szCs w:val="20"/>
        </w:rPr>
        <w:t>Plan, which</w:t>
      </w:r>
      <w:r>
        <w:rPr>
          <w:sz w:val="20"/>
          <w:szCs w:val="20"/>
        </w:rPr>
        <w:t xml:space="preserve"> ended</w:t>
      </w:r>
      <w:r w:rsidRPr="00C8706A">
        <w:rPr>
          <w:sz w:val="20"/>
          <w:szCs w:val="20"/>
        </w:rPr>
        <w:t xml:space="preserve"> in mid-2022. </w:t>
      </w:r>
      <w:r w:rsidRPr="00C8706A">
        <w:rPr>
          <w:rFonts w:cs="Arial"/>
          <w:sz w:val="20"/>
          <w:szCs w:val="20"/>
          <w:shd w:val="clear" w:color="auto" w:fill="FFFFFF"/>
        </w:rPr>
        <w:t xml:space="preserve">The National Plan </w:t>
      </w:r>
      <w:r w:rsidR="00BC1FFB">
        <w:rPr>
          <w:rFonts w:cs="Arial"/>
          <w:sz w:val="20"/>
          <w:szCs w:val="20"/>
          <w:shd w:val="clear" w:color="auto" w:fill="FFFFFF"/>
        </w:rPr>
        <w:t>is being</w:t>
      </w:r>
      <w:r w:rsidRPr="00C8706A">
        <w:rPr>
          <w:rFonts w:cs="Arial"/>
          <w:sz w:val="20"/>
          <w:szCs w:val="20"/>
          <w:shd w:val="clear" w:color="auto" w:fill="FFFFFF"/>
        </w:rPr>
        <w:t xml:space="preserve"> developed through consultation with victim-survivors, specialist services, representatives from the health, law and justice sectors, business, and community groups, all levels of government and other experts.</w:t>
      </w:r>
      <w:r w:rsidRPr="00C8706A">
        <w:rPr>
          <w:sz w:val="20"/>
          <w:szCs w:val="20"/>
        </w:rPr>
        <w:t xml:space="preserve"> The National Plan supports and protects gender equality while addressing the drivers of violence against women and children. </w:t>
      </w:r>
    </w:p>
    <w:p w:rsidR="00363CE8" w:rsidRDefault="00363CE8" w:rsidP="00B119DF">
      <w:pPr>
        <w:rPr>
          <w:rFonts w:eastAsia="Times New Roman" w:cs="Times New Roman"/>
          <w:iCs/>
          <w:color w:val="000000" w:themeColor="text1"/>
          <w:sz w:val="20"/>
          <w:szCs w:val="20"/>
          <w:lang w:eastAsia="en-AU"/>
        </w:rPr>
      </w:pPr>
    </w:p>
    <w:p w:rsidR="00363CE8" w:rsidRDefault="00363CE8" w:rsidP="00B119DF">
      <w:pPr>
        <w:rPr>
          <w:rFonts w:eastAsia="Times New Roman" w:cs="Times New Roman"/>
          <w:iCs/>
          <w:color w:val="000000" w:themeColor="text1"/>
          <w:sz w:val="20"/>
          <w:szCs w:val="20"/>
          <w:lang w:eastAsia="en-AU"/>
        </w:rPr>
      </w:pPr>
    </w:p>
    <w:p w:rsidR="00363CE8" w:rsidRDefault="00363CE8" w:rsidP="00B119DF">
      <w:pPr>
        <w:rPr>
          <w:rFonts w:eastAsia="Times New Roman" w:cs="Times New Roman"/>
          <w:iCs/>
          <w:color w:val="000000" w:themeColor="text1"/>
          <w:sz w:val="20"/>
          <w:szCs w:val="20"/>
          <w:lang w:eastAsia="en-AU"/>
        </w:rPr>
      </w:pPr>
    </w:p>
    <w:p w:rsidR="00B119DF" w:rsidRPr="00B119DF" w:rsidRDefault="00B119DF" w:rsidP="00B119DF">
      <w:pPr>
        <w:rPr>
          <w:rFonts w:eastAsia="Times New Roman" w:cs="Times New Roman"/>
          <w:iCs/>
          <w:color w:val="000000" w:themeColor="text1"/>
          <w:sz w:val="20"/>
          <w:szCs w:val="20"/>
          <w:lang w:eastAsia="en-AU"/>
        </w:rPr>
      </w:pPr>
      <w:r w:rsidRPr="00B119DF">
        <w:rPr>
          <w:rFonts w:eastAsia="Times New Roman" w:cs="Times New Roman"/>
          <w:iCs/>
          <w:color w:val="000000" w:themeColor="text1"/>
          <w:sz w:val="20"/>
          <w:szCs w:val="20"/>
          <w:lang w:eastAsia="en-AU"/>
        </w:rPr>
        <w:lastRenderedPageBreak/>
        <w:t xml:space="preserve">The </w:t>
      </w:r>
      <w:r w:rsidR="0082659B">
        <w:rPr>
          <w:rFonts w:eastAsia="Times New Roman" w:cs="Times New Roman"/>
          <w:iCs/>
          <w:color w:val="000000" w:themeColor="text1"/>
          <w:sz w:val="20"/>
          <w:szCs w:val="20"/>
          <w:lang w:eastAsia="en-AU"/>
        </w:rPr>
        <w:t xml:space="preserve">10 </w:t>
      </w:r>
      <w:r w:rsidRPr="00B119DF">
        <w:rPr>
          <w:rFonts w:eastAsia="Times New Roman" w:cs="Times New Roman"/>
          <w:iCs/>
          <w:color w:val="000000" w:themeColor="text1"/>
          <w:sz w:val="20"/>
          <w:szCs w:val="20"/>
          <w:lang w:eastAsia="en-AU"/>
        </w:rPr>
        <w:t xml:space="preserve">year National Plan will be underpinned by </w:t>
      </w:r>
      <w:r w:rsidR="0082659B">
        <w:rPr>
          <w:rFonts w:eastAsia="Times New Roman" w:cs="Times New Roman"/>
          <w:iCs/>
          <w:color w:val="000000" w:themeColor="text1"/>
          <w:sz w:val="20"/>
          <w:szCs w:val="20"/>
          <w:lang w:eastAsia="en-AU"/>
        </w:rPr>
        <w:t xml:space="preserve">5 </w:t>
      </w:r>
      <w:r w:rsidRPr="00B119DF">
        <w:rPr>
          <w:rFonts w:eastAsia="Times New Roman" w:cs="Times New Roman"/>
          <w:iCs/>
          <w:color w:val="000000" w:themeColor="text1"/>
          <w:sz w:val="20"/>
          <w:szCs w:val="20"/>
          <w:lang w:eastAsia="en-AU"/>
        </w:rPr>
        <w:t>year action plans, including dedicated five-year Aboriginal and Torres Strait Islander Action Plans. The Action Plans will detail the priority focus areas for implementation and investment. The Aboriginal and Torres Strait Islander Advisory Council on family, domestic and sexual violence is leading work on the dedicated Aboriginal and Torres Strait Islander Action Plans.</w:t>
      </w:r>
      <w:r w:rsidR="00BC1FFB">
        <w:rPr>
          <w:rFonts w:eastAsia="Times New Roman" w:cs="Times New Roman"/>
          <w:iCs/>
          <w:color w:val="000000" w:themeColor="text1"/>
          <w:sz w:val="20"/>
          <w:szCs w:val="20"/>
          <w:lang w:eastAsia="en-AU"/>
        </w:rPr>
        <w:t xml:space="preserve"> This will provide a foundation for </w:t>
      </w:r>
      <w:r w:rsidR="006C2B1E">
        <w:rPr>
          <w:rFonts w:eastAsia="Times New Roman" w:cs="Times New Roman"/>
          <w:iCs/>
          <w:color w:val="000000" w:themeColor="text1"/>
          <w:sz w:val="20"/>
          <w:szCs w:val="20"/>
          <w:lang w:eastAsia="en-AU"/>
        </w:rPr>
        <w:t xml:space="preserve">a </w:t>
      </w:r>
      <w:r w:rsidR="00BC1FFB">
        <w:rPr>
          <w:rFonts w:eastAsia="Times New Roman" w:cs="Times New Roman"/>
          <w:iCs/>
          <w:color w:val="000000" w:themeColor="text1"/>
          <w:sz w:val="20"/>
          <w:szCs w:val="20"/>
          <w:lang w:eastAsia="en-AU"/>
        </w:rPr>
        <w:t>standalone National Plan for Aboriginal and Torres Strait Islander people.</w:t>
      </w:r>
    </w:p>
    <w:p w:rsidR="00B119DF" w:rsidRPr="00B119DF" w:rsidRDefault="00B119DF" w:rsidP="003F28F0">
      <w:pPr>
        <w:pStyle w:val="Heading2"/>
      </w:pPr>
      <w:bookmarkStart w:id="26" w:name="_Toc111026106"/>
      <w:r w:rsidRPr="00B119DF">
        <w:t>Collaboration</w:t>
      </w:r>
      <w:bookmarkEnd w:id="26"/>
    </w:p>
    <w:p w:rsidR="00363CE8" w:rsidRPr="00B119DF" w:rsidRDefault="00B119DF" w:rsidP="00363CE8">
      <w:pPr>
        <w:pStyle w:val="Normalmorespace"/>
        <w:rPr>
          <w:iCs/>
        </w:rPr>
      </w:pPr>
      <w:r w:rsidRPr="00B119DF">
        <w:rPr>
          <w:iCs/>
        </w:rPr>
        <w:t xml:space="preserve">The successful implementation of the cross government policy initiatives is contingent on inter-governmental collaboration and alignment. This requires fostering productive relationships with state and territory governments and other </w:t>
      </w:r>
      <w:r w:rsidR="001A3AED">
        <w:rPr>
          <w:iCs/>
        </w:rPr>
        <w:t xml:space="preserve">Australian Government </w:t>
      </w:r>
      <w:r w:rsidRPr="00B119DF">
        <w:rPr>
          <w:iCs/>
        </w:rPr>
        <w:t>agencies to fulfil our purpose. National scale changes necessitate effective relationship building with the community, so that shared values and commitments can be achieved. In</w:t>
      </w:r>
      <w:r w:rsidR="00A10C22">
        <w:rPr>
          <w:iCs/>
        </w:rPr>
        <w:t> </w:t>
      </w:r>
      <w:r w:rsidRPr="00B119DF">
        <w:rPr>
          <w:iCs/>
        </w:rPr>
        <w:t xml:space="preserve">pursuing </w:t>
      </w:r>
      <w:r w:rsidR="00601EFD" w:rsidRPr="00B119DF">
        <w:rPr>
          <w:iCs/>
        </w:rPr>
        <w:t>outcomes,</w:t>
      </w:r>
      <w:r w:rsidRPr="00B119DF">
        <w:rPr>
          <w:iCs/>
        </w:rPr>
        <w:t xml:space="preserve"> the department cultivates open and respectful relationships with the private sector, not</w:t>
      </w:r>
      <w:r w:rsidR="00A10C22">
        <w:rPr>
          <w:iCs/>
        </w:rPr>
        <w:noBreakHyphen/>
      </w:r>
      <w:r w:rsidRPr="00B119DF">
        <w:rPr>
          <w:iCs/>
        </w:rPr>
        <w:t>for-profit organisations and Australia’s diverse communities.</w:t>
      </w:r>
    </w:p>
    <w:p w:rsidR="00502F03" w:rsidRDefault="003C6917" w:rsidP="00762037">
      <w:pPr>
        <w:pStyle w:val="Heading1"/>
      </w:pPr>
      <w:bookmarkStart w:id="27" w:name="_Toc111026107"/>
      <w:r w:rsidRPr="00363CE8">
        <w:t>Our</w:t>
      </w:r>
      <w:r>
        <w:t xml:space="preserve"> s</w:t>
      </w:r>
      <w:r w:rsidR="00193089">
        <w:t>tructure</w:t>
      </w:r>
      <w:bookmarkEnd w:id="27"/>
      <w:r w:rsidR="00193089">
        <w:t xml:space="preserve"> </w:t>
      </w:r>
    </w:p>
    <w:p w:rsidR="00193089" w:rsidRDefault="00193089" w:rsidP="00193089">
      <w:pPr>
        <w:pStyle w:val="Normalmorespace"/>
      </w:pPr>
      <w:r w:rsidRPr="002C3F65">
        <w:t xml:space="preserve">Our </w:t>
      </w:r>
      <w:r>
        <w:t xml:space="preserve">department is organised into </w:t>
      </w:r>
      <w:r w:rsidR="000C0384">
        <w:t>4</w:t>
      </w:r>
      <w:r>
        <w:t xml:space="preserve"> </w:t>
      </w:r>
      <w:r w:rsidR="00C77D69">
        <w:t>streams</w:t>
      </w:r>
      <w:r w:rsidR="00F3630B">
        <w:t>:</w:t>
      </w:r>
    </w:p>
    <w:p w:rsidR="00502F03" w:rsidRDefault="00502F03" w:rsidP="00193089">
      <w:pPr>
        <w:pStyle w:val="Normalmorespace"/>
      </w:pPr>
    </w:p>
    <w:tbl>
      <w:tblPr>
        <w:tblStyle w:val="DSSCorporatePlan"/>
        <w:tblW w:w="0" w:type="auto"/>
        <w:tblLook w:val="04A0" w:firstRow="1" w:lastRow="0" w:firstColumn="1" w:lastColumn="0" w:noHBand="0" w:noVBand="1"/>
        <w:tblCaption w:val="Our structure diagram"/>
        <w:tblDescription w:val="This table contains a list of the four departmental streams:&#10;Social Security Stream: manages income support policies and programs that support families, carers, the aged, people with disabilities, students and apprentices, as well as people of working age. The stream also manages the department’s centralised data strategy and evaluations function along with housing and homelessness policies and programs.&#10;Families and Communities Stream: supports vulnerable communities, families and children, and promote family safety. It is responsible for the National Redress Scheme, problem gambling, financial wellbeing policy, programs, and cashless welfare policy. The Community Grants Hub, which delivers community-based grants funding on behalf of Australian Government client departments and agencies, is also in this stream.&#10;Disability and Carers Stream: oversees policy and programs providing targeted supports and services for people with disability and carers. This includes policy related to the National Disability Insurance scheme (NDIS), Disability Employment Services (DES) and the Australian Disability Strategy (ADS). &#10;Chief Operating Officer Stream: has a key role of oversighting the department’s Corporate functions, the Chief Counsel’s office, the Chief Financial Officer and the Portfolio Coordination function."/>
      </w:tblPr>
      <w:tblGrid>
        <w:gridCol w:w="2962"/>
        <w:gridCol w:w="6646"/>
      </w:tblGrid>
      <w:tr w:rsidR="003A3048" w:rsidRPr="003A3048" w:rsidTr="00EE1E95">
        <w:trPr>
          <w:trHeight w:val="2016"/>
        </w:trPr>
        <w:tc>
          <w:tcPr>
            <w:tcW w:w="2962" w:type="dxa"/>
            <w:shd w:val="clear" w:color="auto" w:fill="005A70"/>
            <w:vAlign w:val="center"/>
          </w:tcPr>
          <w:p w:rsidR="003A3048" w:rsidRPr="003A3048" w:rsidRDefault="003A3048" w:rsidP="00174DC2">
            <w:pPr>
              <w:pStyle w:val="TableH1"/>
              <w:rPr>
                <w:sz w:val="20"/>
              </w:rPr>
            </w:pPr>
            <w:r w:rsidRPr="003A3048">
              <w:rPr>
                <w:sz w:val="20"/>
              </w:rPr>
              <w:t>Social Security stream</w:t>
            </w:r>
          </w:p>
        </w:tc>
        <w:tc>
          <w:tcPr>
            <w:tcW w:w="6646" w:type="dxa"/>
            <w:vAlign w:val="center"/>
          </w:tcPr>
          <w:p w:rsidR="003A3048" w:rsidRPr="003A3048" w:rsidRDefault="003A3048" w:rsidP="00C77D69">
            <w:pPr>
              <w:pStyle w:val="TABLEBodytext"/>
              <w:rPr>
                <w:sz w:val="20"/>
              </w:rPr>
            </w:pPr>
            <w:r w:rsidRPr="003A3048">
              <w:rPr>
                <w:sz w:val="20"/>
              </w:rPr>
              <w:t>The Social Security stream manages income support policies and programs that support families, carers, the aged, people with disabilit</w:t>
            </w:r>
            <w:r w:rsidR="00C77D69">
              <w:rPr>
                <w:sz w:val="20"/>
              </w:rPr>
              <w:t>y</w:t>
            </w:r>
            <w:r w:rsidRPr="003A3048">
              <w:rPr>
                <w:sz w:val="20"/>
              </w:rPr>
              <w:t>, students and apprentices, as well as people of working age. The stream also manages</w:t>
            </w:r>
            <w:r w:rsidR="00B001B0">
              <w:rPr>
                <w:sz w:val="20"/>
              </w:rPr>
              <w:t xml:space="preserve"> </w:t>
            </w:r>
            <w:r w:rsidR="00B001B0" w:rsidRPr="003A3048">
              <w:rPr>
                <w:sz w:val="20"/>
              </w:rPr>
              <w:t>housing and homelessness policies and programs</w:t>
            </w:r>
            <w:r w:rsidR="00B001B0">
              <w:rPr>
                <w:sz w:val="20"/>
              </w:rPr>
              <w:t>, along with</w:t>
            </w:r>
            <w:r w:rsidRPr="003A3048">
              <w:rPr>
                <w:sz w:val="20"/>
              </w:rPr>
              <w:t xml:space="preserve"> the department’s centralised data strategy and evaluations function.</w:t>
            </w:r>
          </w:p>
        </w:tc>
      </w:tr>
      <w:tr w:rsidR="003A3048" w:rsidRPr="003A3048" w:rsidTr="00EE1E95">
        <w:trPr>
          <w:trHeight w:val="1851"/>
        </w:trPr>
        <w:tc>
          <w:tcPr>
            <w:tcW w:w="2962" w:type="dxa"/>
            <w:shd w:val="clear" w:color="auto" w:fill="78BE20"/>
            <w:vAlign w:val="center"/>
          </w:tcPr>
          <w:p w:rsidR="003A3048" w:rsidRPr="003A3048" w:rsidRDefault="003A3048" w:rsidP="00174DC2">
            <w:pPr>
              <w:pStyle w:val="TableH1"/>
              <w:rPr>
                <w:sz w:val="20"/>
              </w:rPr>
            </w:pPr>
            <w:r w:rsidRPr="00521B3A">
              <w:rPr>
                <w:color w:val="000000" w:themeColor="text1"/>
                <w:sz w:val="20"/>
              </w:rPr>
              <w:t>Families and Communities stream</w:t>
            </w:r>
          </w:p>
        </w:tc>
        <w:tc>
          <w:tcPr>
            <w:tcW w:w="6646" w:type="dxa"/>
            <w:vAlign w:val="center"/>
          </w:tcPr>
          <w:p w:rsidR="003A3048" w:rsidRPr="003A3048" w:rsidRDefault="003A3048" w:rsidP="00A36DD1">
            <w:pPr>
              <w:pStyle w:val="TABLEBodytext"/>
              <w:rPr>
                <w:sz w:val="20"/>
              </w:rPr>
            </w:pPr>
            <w:r w:rsidRPr="003A3048">
              <w:rPr>
                <w:sz w:val="20"/>
              </w:rPr>
              <w:t>The Families and Communities stream supports vulnerable communities, families and children, and promote</w:t>
            </w:r>
            <w:r w:rsidR="009A3534">
              <w:rPr>
                <w:sz w:val="20"/>
              </w:rPr>
              <w:t>s</w:t>
            </w:r>
            <w:r w:rsidRPr="003A3048">
              <w:rPr>
                <w:sz w:val="20"/>
              </w:rPr>
              <w:t xml:space="preserve"> family safety. It</w:t>
            </w:r>
            <w:r w:rsidR="00A10C22">
              <w:rPr>
                <w:iCs/>
              </w:rPr>
              <w:t> </w:t>
            </w:r>
            <w:r w:rsidRPr="003A3048">
              <w:rPr>
                <w:sz w:val="20"/>
              </w:rPr>
              <w:t>is</w:t>
            </w:r>
            <w:r w:rsidR="00A10C22">
              <w:rPr>
                <w:iCs/>
              </w:rPr>
              <w:t> </w:t>
            </w:r>
            <w:r w:rsidRPr="003A3048">
              <w:rPr>
                <w:sz w:val="20"/>
              </w:rPr>
              <w:t xml:space="preserve">responsible for the National Redress Scheme, problem gambling, financial wellbeing </w:t>
            </w:r>
            <w:r w:rsidR="001C7269" w:rsidRPr="003A3048">
              <w:rPr>
                <w:sz w:val="20"/>
              </w:rPr>
              <w:t>policy, programs</w:t>
            </w:r>
            <w:r w:rsidR="00BC1FFB">
              <w:rPr>
                <w:sz w:val="20"/>
              </w:rPr>
              <w:t xml:space="preserve"> to support families, women and children to be safe and thriving</w:t>
            </w:r>
            <w:r w:rsidR="001C7269" w:rsidRPr="003A3048">
              <w:rPr>
                <w:sz w:val="20"/>
              </w:rPr>
              <w:t>,</w:t>
            </w:r>
            <w:r w:rsidRPr="003A3048">
              <w:rPr>
                <w:sz w:val="20"/>
              </w:rPr>
              <w:t xml:space="preserve"> and cashless welfare policy. The</w:t>
            </w:r>
            <w:r w:rsidR="00A10C22">
              <w:rPr>
                <w:sz w:val="20"/>
              </w:rPr>
              <w:t> </w:t>
            </w:r>
            <w:r w:rsidRPr="003A3048">
              <w:rPr>
                <w:sz w:val="20"/>
              </w:rPr>
              <w:t>Community Grants Hub, which delivers community-based grants funding on behalf of Australian Government client departments and agencies, is also in this stream.</w:t>
            </w:r>
          </w:p>
        </w:tc>
      </w:tr>
      <w:tr w:rsidR="003A3048" w:rsidRPr="003A3048" w:rsidTr="00EE1E95">
        <w:trPr>
          <w:trHeight w:val="1839"/>
        </w:trPr>
        <w:tc>
          <w:tcPr>
            <w:tcW w:w="2962" w:type="dxa"/>
            <w:shd w:val="clear" w:color="auto" w:fill="500778"/>
            <w:vAlign w:val="center"/>
          </w:tcPr>
          <w:p w:rsidR="003A3048" w:rsidRPr="003A3048" w:rsidRDefault="003A3048" w:rsidP="00174DC2">
            <w:pPr>
              <w:pStyle w:val="TableH1"/>
              <w:rPr>
                <w:sz w:val="20"/>
              </w:rPr>
            </w:pPr>
            <w:r w:rsidRPr="003A3048">
              <w:rPr>
                <w:sz w:val="20"/>
              </w:rPr>
              <w:t>Disability and Carers stream</w:t>
            </w:r>
          </w:p>
        </w:tc>
        <w:tc>
          <w:tcPr>
            <w:tcW w:w="6646" w:type="dxa"/>
            <w:vAlign w:val="center"/>
          </w:tcPr>
          <w:p w:rsidR="003A3048" w:rsidRPr="003A3048" w:rsidRDefault="003A3048" w:rsidP="00174DC2">
            <w:pPr>
              <w:pStyle w:val="TABLEBodytext"/>
              <w:rPr>
                <w:sz w:val="20"/>
              </w:rPr>
            </w:pPr>
            <w:r w:rsidRPr="003A3048">
              <w:rPr>
                <w:sz w:val="20"/>
              </w:rPr>
              <w:t xml:space="preserve">The Disability and Carers stream oversees policy and programs providing targeted supports and services for people with disability and carers. This includes policy related to the National Disability Insurance scheme (NDIS), Disability Employment Services (DES) and the Australian Disability Strategy (ADS). </w:t>
            </w:r>
          </w:p>
        </w:tc>
      </w:tr>
      <w:tr w:rsidR="003A3048" w:rsidRPr="003A3048" w:rsidTr="00EE1E95">
        <w:trPr>
          <w:trHeight w:val="1553"/>
        </w:trPr>
        <w:tc>
          <w:tcPr>
            <w:tcW w:w="2962" w:type="dxa"/>
            <w:shd w:val="clear" w:color="auto" w:fill="808080" w:themeFill="background1" w:themeFillShade="80"/>
            <w:vAlign w:val="center"/>
          </w:tcPr>
          <w:p w:rsidR="003A3048" w:rsidRPr="003A3048" w:rsidRDefault="003A3048" w:rsidP="00174DC2">
            <w:pPr>
              <w:pStyle w:val="TableH1"/>
              <w:rPr>
                <w:sz w:val="20"/>
              </w:rPr>
            </w:pPr>
            <w:r w:rsidRPr="00521B3A">
              <w:rPr>
                <w:color w:val="000000" w:themeColor="text1"/>
                <w:sz w:val="20"/>
              </w:rPr>
              <w:t>Chief operating officer stream</w:t>
            </w:r>
          </w:p>
        </w:tc>
        <w:tc>
          <w:tcPr>
            <w:tcW w:w="6646" w:type="dxa"/>
            <w:vAlign w:val="center"/>
          </w:tcPr>
          <w:p w:rsidR="003A3048" w:rsidRPr="003A3048" w:rsidRDefault="003A3048" w:rsidP="00174DC2">
            <w:pPr>
              <w:pStyle w:val="TABLEBodytext"/>
              <w:rPr>
                <w:sz w:val="20"/>
              </w:rPr>
            </w:pPr>
            <w:r w:rsidRPr="003A3048">
              <w:rPr>
                <w:sz w:val="20"/>
              </w:rPr>
              <w:t>The Chief Operating Officer stream has a key role of oversighting the department’s Corporate functions, the Chief Counsel’s office, the Chief Financial Officer and the Portfolio Coordination function.</w:t>
            </w:r>
          </w:p>
        </w:tc>
      </w:tr>
    </w:tbl>
    <w:p w:rsidR="00B52697" w:rsidRDefault="00B52697" w:rsidP="00193089">
      <w:pPr>
        <w:pStyle w:val="Normalmorespace"/>
      </w:pPr>
    </w:p>
    <w:p w:rsidR="008407CE" w:rsidRPr="00B975CB" w:rsidRDefault="00717409" w:rsidP="00B975CB">
      <w:pPr>
        <w:pStyle w:val="Heading1-NP"/>
        <w:rPr>
          <w:rFonts w:ascii="Arial" w:hAnsi="Arial" w:cs="Arial"/>
          <w:sz w:val="20"/>
        </w:rPr>
      </w:pPr>
      <w:bookmarkStart w:id="28" w:name="_Toc111026108"/>
      <w:r>
        <w:lastRenderedPageBreak/>
        <w:t xml:space="preserve">Our </w:t>
      </w:r>
      <w:r w:rsidR="00412C0F">
        <w:t>p</w:t>
      </w:r>
      <w:r w:rsidR="00BE531F">
        <w:t xml:space="preserve">ortfolio </w:t>
      </w:r>
      <w:r w:rsidR="00412C0F">
        <w:t>a</w:t>
      </w:r>
      <w:r w:rsidR="00BE531F">
        <w:t>gencies</w:t>
      </w:r>
      <w:bookmarkEnd w:id="28"/>
      <w:r w:rsidR="00B975CB">
        <w:br/>
      </w:r>
    </w:p>
    <w:p w:rsidR="00B975CB" w:rsidRPr="00BD27CF" w:rsidRDefault="00B975CB" w:rsidP="00B975CB">
      <w:pPr>
        <w:pStyle w:val="Normalmorespace"/>
      </w:pPr>
      <w:r>
        <w:rPr>
          <w:rFonts w:cs="Arial"/>
          <w:lang w:val="en"/>
        </w:rPr>
        <w:t>T</w:t>
      </w:r>
      <w:r w:rsidRPr="000F547D">
        <w:rPr>
          <w:rFonts w:cs="Arial"/>
          <w:lang w:val="en"/>
        </w:rPr>
        <w:t xml:space="preserve">he </w:t>
      </w:r>
      <w:r>
        <w:rPr>
          <w:rFonts w:cs="Arial"/>
          <w:lang w:val="en"/>
        </w:rPr>
        <w:t>Social Services p</w:t>
      </w:r>
      <w:r w:rsidRPr="000F547D">
        <w:rPr>
          <w:rFonts w:cs="Arial"/>
          <w:lang w:val="en"/>
        </w:rPr>
        <w:t xml:space="preserve">ortfolio comprises the following </w:t>
      </w:r>
      <w:r>
        <w:rPr>
          <w:rFonts w:cs="Arial"/>
          <w:lang w:val="en"/>
        </w:rPr>
        <w:t>p</w:t>
      </w:r>
      <w:r w:rsidRPr="000F547D">
        <w:rPr>
          <w:rFonts w:cs="Arial"/>
          <w:lang w:val="en"/>
        </w:rPr>
        <w:t xml:space="preserve">ortfolio </w:t>
      </w:r>
      <w:r>
        <w:rPr>
          <w:rFonts w:cs="Arial"/>
          <w:lang w:val="en"/>
        </w:rPr>
        <w:t>bodies:</w:t>
      </w:r>
    </w:p>
    <w:p w:rsidR="00B52697" w:rsidRDefault="0032264D" w:rsidP="001C6390">
      <w:pPr>
        <w:spacing w:before="120" w:after="180" w:line="280" w:lineRule="atLeast"/>
        <w:jc w:val="center"/>
        <w:rPr>
          <w:sz w:val="20"/>
          <w:szCs w:val="20"/>
        </w:rPr>
      </w:pPr>
      <w:r w:rsidRPr="002961D6">
        <w:rPr>
          <w:noProof/>
          <w:lang w:eastAsia="en-AU"/>
        </w:rPr>
        <w:drawing>
          <wp:inline distT="0" distB="0" distL="0" distR="0" wp14:anchorId="61BE6F5B" wp14:editId="2D8E051A">
            <wp:extent cx="5748866" cy="7156296"/>
            <wp:effectExtent l="0" t="0" r="4445" b="6985"/>
            <wp:docPr id="12" name="Picture 12" descr="This diagram lists each of the agencies within the DSS portfolio.&#10;Australian Institute of Family Studies: conducts research and provides evidence for policy.&#10;National Disability Insurance Agency: support people with disability. &#10;NDIS Quality and Safeguards Commission,: improve quality and safety of NDIS supports.&#10;Services Australia: provides advice and support for people&#10;Hearing Australia: provides hearing services.&#10;Domestic, Family and Sexual Violence Commission: helping to end violence against women. &#10;DSS is established under the Administrative Arrangements Order. " title="Our portfolio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7669" cy="7167255"/>
                    </a:xfrm>
                    <a:prstGeom prst="rect">
                      <a:avLst/>
                    </a:prstGeom>
                  </pic:spPr>
                </pic:pic>
              </a:graphicData>
            </a:graphic>
          </wp:inline>
        </w:drawing>
      </w:r>
    </w:p>
    <w:p w:rsidR="00B975CB" w:rsidRDefault="00B975CB" w:rsidP="00267223">
      <w:pPr>
        <w:spacing w:before="120" w:after="180" w:line="280" w:lineRule="atLeast"/>
        <w:rPr>
          <w:sz w:val="20"/>
          <w:szCs w:val="20"/>
        </w:rPr>
      </w:pPr>
    </w:p>
    <w:p w:rsidR="00582013" w:rsidRDefault="00582013" w:rsidP="006A3A8E">
      <w:pPr>
        <w:rPr>
          <w:rFonts w:eastAsiaTheme="majorEastAsia"/>
        </w:rPr>
      </w:pPr>
      <w:r>
        <w:br w:type="page"/>
      </w:r>
    </w:p>
    <w:p w:rsidR="004E78BE" w:rsidRPr="00A33E5A" w:rsidRDefault="477F4686" w:rsidP="004E78BE">
      <w:pPr>
        <w:pStyle w:val="Heading1"/>
      </w:pPr>
      <w:bookmarkStart w:id="29" w:name="_Toc111026109"/>
      <w:bookmarkStart w:id="30" w:name="_Toc47604296"/>
      <w:bookmarkStart w:id="31" w:name="_Toc47604294"/>
      <w:bookmarkEnd w:id="21"/>
      <w:r>
        <w:lastRenderedPageBreak/>
        <w:t xml:space="preserve">Our operating </w:t>
      </w:r>
      <w:r w:rsidR="5823C735">
        <w:t>context</w:t>
      </w:r>
      <w:bookmarkEnd w:id="29"/>
    </w:p>
    <w:p w:rsidR="00267223" w:rsidRDefault="00267223" w:rsidP="00267223">
      <w:pPr>
        <w:pStyle w:val="Normalmorespace"/>
        <w:rPr>
          <w:rFonts w:cstheme="minorBidi"/>
        </w:rPr>
      </w:pPr>
      <w:r w:rsidRPr="00C52E24">
        <w:t xml:space="preserve">The </w:t>
      </w:r>
      <w:r w:rsidR="00CB5AAE">
        <w:t>d</w:t>
      </w:r>
      <w:r w:rsidRPr="00C52E24">
        <w:t xml:space="preserve">epartment operates in a complex, interconnected and evolving environment. </w:t>
      </w:r>
      <w:r w:rsidRPr="00C52E24">
        <w:rPr>
          <w:rFonts w:cstheme="minorBidi"/>
        </w:rPr>
        <w:t>Our success is contingent on our ability to anticipate, adapt and respond to the changing environment, while maintaining our focus on improving the wellbeing of individuals and families in Australian communities. We use our networks and expertise to inform mainstream policy and programs, legislative and structural reform and funding of priority programs.</w:t>
      </w:r>
    </w:p>
    <w:p w:rsidR="00B1192B" w:rsidRPr="00A33E5A" w:rsidRDefault="5823C735" w:rsidP="00384913">
      <w:pPr>
        <w:pStyle w:val="Heading2"/>
      </w:pPr>
      <w:bookmarkStart w:id="32" w:name="_Toc111026110"/>
      <w:r>
        <w:t xml:space="preserve">Our </w:t>
      </w:r>
      <w:r w:rsidR="00686FF2">
        <w:t>e</w:t>
      </w:r>
      <w:r>
        <w:t>nvironment</w:t>
      </w:r>
      <w:bookmarkEnd w:id="32"/>
    </w:p>
    <w:p w:rsidR="00792ED8" w:rsidRPr="00725C63" w:rsidRDefault="00792ED8" w:rsidP="00792ED8">
      <w:pPr>
        <w:spacing w:before="240" w:after="120" w:line="240" w:lineRule="auto"/>
        <w:rPr>
          <w:rFonts w:ascii="Georgia" w:hAnsi="Georgia"/>
          <w:sz w:val="24"/>
          <w:szCs w:val="24"/>
        </w:rPr>
      </w:pPr>
      <w:r w:rsidRPr="00725C63">
        <w:rPr>
          <w:rFonts w:ascii="Georgia" w:hAnsi="Georgia"/>
          <w:sz w:val="24"/>
          <w:szCs w:val="24"/>
        </w:rPr>
        <w:t>Cost of living</w:t>
      </w:r>
    </w:p>
    <w:p w:rsidR="00792ED8" w:rsidRPr="00D430A5" w:rsidRDefault="00792ED8" w:rsidP="00792ED8">
      <w:pPr>
        <w:pStyle w:val="Normalmorespace"/>
      </w:pPr>
      <w:r w:rsidRPr="00D430A5">
        <w:t>A range of factors have contributed to increased pressures on the cost of living for Australians. Global events such as the conflict in Ukraine ha</w:t>
      </w:r>
      <w:r>
        <w:t>ve</w:t>
      </w:r>
      <w:r w:rsidRPr="00D430A5">
        <w:t xml:space="preserve"> adversely affected energy prices, causing flow-on effects across supply chains internationally. </w:t>
      </w:r>
      <w:r w:rsidRPr="004E143B">
        <w:t>The issues have been exacerbated by long</w:t>
      </w:r>
      <w:r>
        <w:t>-</w:t>
      </w:r>
      <w:r w:rsidRPr="004E143B">
        <w:t>term stagnant wage growth coupled with the recent rising inflation and increase</w:t>
      </w:r>
      <w:r>
        <w:t>s</w:t>
      </w:r>
      <w:r w:rsidRPr="004E143B">
        <w:t xml:space="preserve"> in interest rates</w:t>
      </w:r>
      <w:r w:rsidRPr="00D430A5">
        <w:t>. Housing affordability remains a crucial issue. Pandemic related delays, material shortages, labour shortages and many of the large builders going into voluntary administration in recent years ha</w:t>
      </w:r>
      <w:r>
        <w:t>ve</w:t>
      </w:r>
      <w:r w:rsidRPr="00D430A5">
        <w:t xml:space="preserve"> </w:t>
      </w:r>
      <w:r w:rsidR="001F6F38">
        <w:t>constrained</w:t>
      </w:r>
      <w:r w:rsidRPr="00D430A5">
        <w:t xml:space="preserve"> the supply of new homes. The</w:t>
      </w:r>
      <w:r>
        <w:t xml:space="preserve"> </w:t>
      </w:r>
      <w:r w:rsidRPr="00D53324">
        <w:t>Commonwealth Rent Assistance payment is a key support for Australians receiving income support or family assistance payments with the cost of their private rental or community housing</w:t>
      </w:r>
      <w:r>
        <w:t>.</w:t>
      </w:r>
      <w:r w:rsidRPr="00D430A5">
        <w:t xml:space="preserve"> We work with Treasury and state and territory governments, including through the National Housing and Homelessness Agreement (NHHA) to improve housing outcomes.</w:t>
      </w:r>
    </w:p>
    <w:p w:rsidR="00792ED8" w:rsidRPr="00725C63" w:rsidRDefault="00792ED8" w:rsidP="00792ED8">
      <w:pPr>
        <w:spacing w:before="240" w:after="120" w:line="240" w:lineRule="auto"/>
        <w:rPr>
          <w:rFonts w:ascii="Georgia" w:hAnsi="Georgia"/>
          <w:sz w:val="24"/>
          <w:szCs w:val="24"/>
        </w:rPr>
      </w:pPr>
      <w:r w:rsidRPr="00725C63">
        <w:rPr>
          <w:rFonts w:ascii="Georgia" w:hAnsi="Georgia"/>
          <w:sz w:val="24"/>
          <w:szCs w:val="24"/>
        </w:rPr>
        <w:t>COVID-19</w:t>
      </w:r>
    </w:p>
    <w:p w:rsidR="00792ED8" w:rsidRPr="00D430A5" w:rsidRDefault="00792ED8" w:rsidP="00792ED8">
      <w:pPr>
        <w:pStyle w:val="Normalmorespace"/>
      </w:pPr>
      <w:r w:rsidRPr="00D430A5">
        <w:t>COVID-19 has continued to have</w:t>
      </w:r>
      <w:r>
        <w:t xml:space="preserve"> a</w:t>
      </w:r>
      <w:r w:rsidRPr="00D430A5">
        <w:t xml:space="preserve"> profound and diverse impact on Australians since January 2020. We</w:t>
      </w:r>
      <w:r>
        <w:t> </w:t>
      </w:r>
      <w:r w:rsidRPr="00D430A5">
        <w:t xml:space="preserve">responded quickly to provide additional support across the nation with </w:t>
      </w:r>
      <w:r w:rsidRPr="00D53324">
        <w:t>changes to eligibility for Income Support payments</w:t>
      </w:r>
      <w:r>
        <w:t xml:space="preserve"> </w:t>
      </w:r>
      <w:r w:rsidRPr="00D430A5">
        <w:t>and</w:t>
      </w:r>
      <w:r>
        <w:t xml:space="preserve"> the</w:t>
      </w:r>
      <w:r w:rsidRPr="00D430A5">
        <w:t xml:space="preserve"> Coronavirus Supplement. Australia is adjusting to a new reality of living with COVID-19 in the community and managing risk with public measures such as vaccines. </w:t>
      </w:r>
      <w:r>
        <w:t>T</w:t>
      </w:r>
      <w:r w:rsidRPr="00D430A5">
        <w:t>he portfolio endeavours to be agile in providing timely support where needed</w:t>
      </w:r>
      <w:r w:rsidRPr="001521A3">
        <w:t xml:space="preserve"> </w:t>
      </w:r>
      <w:r w:rsidRPr="00D430A5">
        <w:t>as we learn to live with the virus.</w:t>
      </w:r>
      <w:r>
        <w:t xml:space="preserve"> The department </w:t>
      </w:r>
      <w:r w:rsidR="00143A4B">
        <w:t>continues to support collective actions across the Commonwealth that seek to safeguard the health and wellbeing of people with disability during the Pandemic, while respecting their rights, informed choices and dignity</w:t>
      </w:r>
      <w:r>
        <w:t>.</w:t>
      </w:r>
    </w:p>
    <w:p w:rsidR="00792ED8" w:rsidRPr="00725C63" w:rsidRDefault="00792ED8" w:rsidP="00792ED8">
      <w:pPr>
        <w:spacing w:before="240" w:after="120" w:line="240" w:lineRule="auto"/>
        <w:rPr>
          <w:rFonts w:ascii="Georgia" w:hAnsi="Georgia"/>
          <w:sz w:val="24"/>
          <w:szCs w:val="24"/>
        </w:rPr>
      </w:pPr>
      <w:r w:rsidRPr="00725C63">
        <w:rPr>
          <w:rFonts w:ascii="Georgia" w:hAnsi="Georgia"/>
          <w:sz w:val="24"/>
          <w:szCs w:val="24"/>
        </w:rPr>
        <w:t>Natural disasters</w:t>
      </w:r>
    </w:p>
    <w:p w:rsidR="00792ED8" w:rsidRDefault="00792ED8" w:rsidP="00792ED8">
      <w:pPr>
        <w:pStyle w:val="Normalmorespace"/>
      </w:pPr>
      <w:r w:rsidRPr="00D430A5">
        <w:t>The significant frequency and intensity of natural disasters in recent years has been challenging for the Australian people. These events have increased the vulnerability of Australians to</w:t>
      </w:r>
      <w:r>
        <w:t>wards</w:t>
      </w:r>
      <w:r w:rsidRPr="00D430A5">
        <w:t xml:space="preserve"> disadvantage, including homelessness and loss of work. The department pivots to allocate parts of our workforce to</w:t>
      </w:r>
      <w:r>
        <w:t> </w:t>
      </w:r>
      <w:r w:rsidRPr="00D430A5">
        <w:t xml:space="preserve">respond to urgent situations, including specialist surge teams. </w:t>
      </w:r>
      <w:r w:rsidRPr="00D53324">
        <w:t>We collaborate with Australian Government agencies such as the National Recovery and Resilience Agency to respond to natural disasters</w:t>
      </w:r>
      <w:r>
        <w:t xml:space="preserve">. </w:t>
      </w:r>
      <w:r w:rsidRPr="00D430A5">
        <w:t>Our portfolio agency, Services Australia, helps people directly affected by natural disaster events with targeted support such as Australian Government Disaster Recovery Payment and Disaster Recovery Allowance.</w:t>
      </w:r>
    </w:p>
    <w:p w:rsidR="00792ED8" w:rsidRPr="00725C63" w:rsidRDefault="00792ED8" w:rsidP="00792ED8">
      <w:pPr>
        <w:spacing w:before="240" w:after="120" w:line="240" w:lineRule="auto"/>
        <w:rPr>
          <w:rFonts w:ascii="Georgia" w:hAnsi="Georgia"/>
          <w:sz w:val="24"/>
          <w:szCs w:val="24"/>
        </w:rPr>
      </w:pPr>
      <w:r w:rsidRPr="00725C63">
        <w:rPr>
          <w:rFonts w:ascii="Georgia" w:hAnsi="Georgia"/>
          <w:sz w:val="24"/>
          <w:szCs w:val="24"/>
        </w:rPr>
        <w:t>Longer life expectancy</w:t>
      </w:r>
    </w:p>
    <w:p w:rsidR="00792ED8" w:rsidRPr="00D430A5" w:rsidRDefault="00792ED8" w:rsidP="00792ED8">
      <w:pPr>
        <w:pStyle w:val="Normalmorespace"/>
      </w:pPr>
      <w:r>
        <w:t>As people</w:t>
      </w:r>
      <w:r w:rsidRPr="00D430A5">
        <w:t xml:space="preserve"> are living longer </w:t>
      </w:r>
      <w:r>
        <w:t xml:space="preserve">we </w:t>
      </w:r>
      <w:r w:rsidRPr="00D430A5">
        <w:t>must remain responsive to</w:t>
      </w:r>
      <w:r>
        <w:t> </w:t>
      </w:r>
      <w:r w:rsidRPr="00D430A5">
        <w:t xml:space="preserve">how these changes affect the outcome areas of the department, the relative demand for services and the sustainability of the </w:t>
      </w:r>
      <w:r>
        <w:t xml:space="preserve">social security </w:t>
      </w:r>
      <w:r w:rsidRPr="00D430A5">
        <w:t>system. These demographic shifts present specific challenges for the department. With the population ageing, the proportion of those who are working-age is decreasing. A</w:t>
      </w:r>
      <w:r>
        <w:t> </w:t>
      </w:r>
      <w:r w:rsidRPr="00D430A5">
        <w:t>long</w:t>
      </w:r>
      <w:r>
        <w:noBreakHyphen/>
      </w:r>
      <w:r w:rsidRPr="00D430A5">
        <w:t xml:space="preserve">term gradual reduction is occurring to the proportion of senior Australians receiving the </w:t>
      </w:r>
      <w:r w:rsidR="00F60FD5">
        <w:t xml:space="preserve">full rate of </w:t>
      </w:r>
      <w:r w:rsidRPr="00D430A5">
        <w:t>Age Pension. This is driven by a range of factors including new retirees having more assets at retirement due to the maturation</w:t>
      </w:r>
      <w:r>
        <w:t xml:space="preserve"> of the superannuation system.</w:t>
      </w:r>
    </w:p>
    <w:p w:rsidR="00384913" w:rsidRPr="00725C63" w:rsidRDefault="00384913" w:rsidP="00725C63">
      <w:pPr>
        <w:spacing w:before="240" w:after="120" w:line="240" w:lineRule="auto"/>
        <w:rPr>
          <w:rFonts w:ascii="Georgia" w:hAnsi="Georgia"/>
          <w:sz w:val="24"/>
          <w:szCs w:val="24"/>
        </w:rPr>
      </w:pPr>
      <w:r w:rsidRPr="00725C63">
        <w:rPr>
          <w:rFonts w:ascii="Georgia" w:hAnsi="Georgia"/>
          <w:sz w:val="24"/>
          <w:szCs w:val="24"/>
        </w:rPr>
        <w:t>Reconciliation</w:t>
      </w:r>
    </w:p>
    <w:p w:rsidR="00192517" w:rsidRPr="00D430A5" w:rsidRDefault="00192517" w:rsidP="00192517">
      <w:pPr>
        <w:pStyle w:val="Normalmorespace"/>
      </w:pPr>
      <w:r w:rsidRPr="00D430A5">
        <w:t xml:space="preserve">The </w:t>
      </w:r>
      <w:r w:rsidR="000C56AC">
        <w:t>d</w:t>
      </w:r>
      <w:r w:rsidRPr="00D430A5">
        <w:t xml:space="preserve">epartment </w:t>
      </w:r>
      <w:r>
        <w:t>is committed to partnering effectively with</w:t>
      </w:r>
      <w:r w:rsidRPr="00D430A5">
        <w:t xml:space="preserve"> Aboriginal and Torres Strait Islander peoples. We</w:t>
      </w:r>
      <w:r w:rsidR="00A10C22">
        <w:t> </w:t>
      </w:r>
      <w:r w:rsidRPr="00D430A5">
        <w:t>take a leadership role in reconciliation processes based on relationships, respect and opportunity. The</w:t>
      </w:r>
      <w:r w:rsidR="00A10C22">
        <w:t> </w:t>
      </w:r>
      <w:r w:rsidRPr="00D430A5">
        <w:t>Reconciliation Action Plan (stretch) 2021-2024 is the key document used to guide the department’s continued commitment to reconciliation. While the department is proud of the progress made to date, it</w:t>
      </w:r>
      <w:r w:rsidR="00A10C22">
        <w:t> </w:t>
      </w:r>
      <w:r w:rsidRPr="00D430A5">
        <w:t>is</w:t>
      </w:r>
      <w:r w:rsidR="00A10C22">
        <w:t> </w:t>
      </w:r>
      <w:r w:rsidRPr="00D430A5">
        <w:t xml:space="preserve">enthusiastic for the work to come. This includes an Aboriginal and Torres Strait Islander specific action plan in partnership with community leaders through </w:t>
      </w:r>
      <w:r w:rsidRPr="006D54A1">
        <w:t xml:space="preserve">Safe and Supported: the National Framework for </w:t>
      </w:r>
      <w:r w:rsidRPr="006D54A1">
        <w:lastRenderedPageBreak/>
        <w:t>Protecting Australia’s Children</w:t>
      </w:r>
      <w:r w:rsidRPr="00424098">
        <w:t xml:space="preserve"> </w:t>
      </w:r>
      <w:r w:rsidRPr="00D430A5">
        <w:t xml:space="preserve">(2021-2031), a framework </w:t>
      </w:r>
      <w:r w:rsidR="00601EFD" w:rsidRPr="00D430A5">
        <w:t>that</w:t>
      </w:r>
      <w:r w:rsidRPr="00D430A5">
        <w:t xml:space="preserve"> embeds the 4 Priority Reforms of the National Agreement on Closing the Gap. </w:t>
      </w:r>
      <w:r w:rsidR="009A5026">
        <w:t>Implementation of the Closing the Gap Disability Sector Strengthening Plans puts into practice the Priority Reforms of working in partnership with First Nations people and building the First Nations community controlled sector.</w:t>
      </w:r>
      <w:r w:rsidR="009A5026" w:rsidRPr="00D430A5">
        <w:t xml:space="preserve"> </w:t>
      </w:r>
      <w:r w:rsidRPr="00D430A5">
        <w:t>Our Indigenous procurement policy also demonstrates active investment into sustainable economic empowerment of Aboriginal and Torres Strait Islander peoples.</w:t>
      </w:r>
    </w:p>
    <w:p w:rsidR="00792ED8" w:rsidRPr="00725C63" w:rsidRDefault="00792ED8" w:rsidP="00792ED8">
      <w:pPr>
        <w:spacing w:before="240" w:after="120" w:line="240" w:lineRule="auto"/>
        <w:rPr>
          <w:rFonts w:ascii="Georgia" w:hAnsi="Georgia"/>
          <w:sz w:val="24"/>
          <w:szCs w:val="24"/>
        </w:rPr>
      </w:pPr>
      <w:r>
        <w:rPr>
          <w:rFonts w:ascii="Georgia" w:hAnsi="Georgia"/>
          <w:sz w:val="24"/>
          <w:szCs w:val="24"/>
        </w:rPr>
        <w:t>Workforce</w:t>
      </w:r>
    </w:p>
    <w:p w:rsidR="00792ED8" w:rsidRPr="00D430A5" w:rsidRDefault="00792ED8" w:rsidP="00792ED8">
      <w:pPr>
        <w:pStyle w:val="Normalmorespace"/>
      </w:pPr>
      <w:r w:rsidRPr="00D430A5">
        <w:t>The current national unemployment figures are low. COVID-19 related state border restrictions have been lifted, allowing for a return to interstate mobility for Australian workers. Lockdown orders began a</w:t>
      </w:r>
      <w:r>
        <w:t> </w:t>
      </w:r>
      <w:r w:rsidRPr="00D430A5">
        <w:t xml:space="preserve">transformation of workplace practices to allow for working from home. The success of these practices over the duration of the pandemic have shifted the culture in many workplaces. </w:t>
      </w:r>
      <w:r>
        <w:t>T</w:t>
      </w:r>
      <w:r w:rsidRPr="00D430A5">
        <w:t xml:space="preserve">he department has </w:t>
      </w:r>
      <w:r>
        <w:t xml:space="preserve">updated its </w:t>
      </w:r>
      <w:r w:rsidRPr="00D430A5">
        <w:t>Flexible Working Arrangements Policy</w:t>
      </w:r>
      <w:r>
        <w:t xml:space="preserve"> in recognition of the shift in working arrangements and staff capabilities. Hybrid work</w:t>
      </w:r>
      <w:r w:rsidRPr="00D430A5">
        <w:t xml:space="preserve"> now </w:t>
      </w:r>
      <w:r>
        <w:t>forms a part of our workforce planning process.</w:t>
      </w:r>
      <w:r w:rsidRPr="00D430A5">
        <w:t xml:space="preserve"> This opens access to more employment opportunities where previously it was not practical due to distance or other factors. Adequate employment opportunities for people with disability remain a challenge. Australia’s Disability Strategy 2021-2031 sets increasing employment of people with disability as a priority delivered through the Employment Targeted Action Plan and </w:t>
      </w:r>
      <w:r w:rsidRPr="006D54A1">
        <w:t>Employ My Ability</w:t>
      </w:r>
      <w:r w:rsidRPr="00424098">
        <w:t xml:space="preserve"> –</w:t>
      </w:r>
      <w:r w:rsidRPr="00D430A5">
        <w:t xml:space="preserve"> the Disability Employment Strategy.</w:t>
      </w:r>
    </w:p>
    <w:p w:rsidR="00492654" w:rsidRPr="00787983" w:rsidRDefault="2A0B6948" w:rsidP="00D47EDA">
      <w:pPr>
        <w:pStyle w:val="Heading1"/>
      </w:pPr>
      <w:bookmarkStart w:id="33" w:name="_Toc47604316"/>
      <w:bookmarkStart w:id="34" w:name="_Toc111026111"/>
      <w:bookmarkEnd w:id="30"/>
      <w:bookmarkEnd w:id="31"/>
      <w:r>
        <w:t xml:space="preserve">Our </w:t>
      </w:r>
      <w:r w:rsidR="5E0243C1">
        <w:t>capabilit</w:t>
      </w:r>
      <w:r w:rsidR="133B7BD1">
        <w:t>y</w:t>
      </w:r>
      <w:bookmarkStart w:id="35" w:name="_Toc521500226"/>
      <w:bookmarkStart w:id="36" w:name="_Toc15893571"/>
      <w:bookmarkEnd w:id="33"/>
      <w:bookmarkEnd w:id="34"/>
    </w:p>
    <w:p w:rsidR="00FF5F4C" w:rsidRPr="00FF5F4C" w:rsidRDefault="00FF5F4C" w:rsidP="00FF5F4C">
      <w:pPr>
        <w:pStyle w:val="Heading1"/>
        <w:rPr>
          <w:sz w:val="32"/>
          <w:szCs w:val="32"/>
        </w:rPr>
      </w:pPr>
      <w:bookmarkStart w:id="37" w:name="_Toc111026112"/>
      <w:bookmarkStart w:id="38" w:name="_Toc47604298"/>
      <w:bookmarkEnd w:id="35"/>
      <w:bookmarkEnd w:id="36"/>
      <w:r w:rsidRPr="00FF5F4C">
        <w:rPr>
          <w:sz w:val="32"/>
          <w:szCs w:val="32"/>
        </w:rPr>
        <w:t>Our values</w:t>
      </w:r>
      <w:bookmarkEnd w:id="37"/>
      <w:r w:rsidRPr="00FF5F4C">
        <w:rPr>
          <w:sz w:val="32"/>
          <w:szCs w:val="32"/>
        </w:rPr>
        <w:t xml:space="preserve"> </w:t>
      </w:r>
    </w:p>
    <w:p w:rsidR="00FF5F4C" w:rsidRPr="00FF5F4C" w:rsidRDefault="00FF5F4C" w:rsidP="00FF5F4C">
      <w:pPr>
        <w:pStyle w:val="Normalmorespace"/>
      </w:pPr>
      <w:r w:rsidRPr="00FF5F4C">
        <w:t xml:space="preserve">Our values are those of the Australian Public Service (APS). The APS values require us to be impartial, committed to service, accountable, respectful and ethical. These are central to the way we work with our Ministers, colleagues and stakeholders. </w:t>
      </w:r>
    </w:p>
    <w:p w:rsidR="00CD1DD7" w:rsidRDefault="00CD1DD7" w:rsidP="00CD1DD7">
      <w:pPr>
        <w:pStyle w:val="Heading2"/>
      </w:pPr>
      <w:bookmarkStart w:id="39" w:name="_Toc111026113"/>
      <w:bookmarkEnd w:id="38"/>
      <w:r>
        <w:t>Our workforce</w:t>
      </w:r>
      <w:bookmarkEnd w:id="39"/>
    </w:p>
    <w:p w:rsidR="006168EA" w:rsidRDefault="006168EA" w:rsidP="40F25A34">
      <w:pPr>
        <w:pStyle w:val="Normalmorespace"/>
        <w:rPr>
          <w:rFonts w:asciiTheme="minorHAnsi" w:eastAsiaTheme="minorEastAsia" w:hAnsiTheme="minorHAnsi" w:cstheme="minorBidi"/>
        </w:rPr>
      </w:pPr>
      <w:r>
        <w:t xml:space="preserve">Our people lie at the </w:t>
      </w:r>
      <w:r w:rsidR="00A755D5">
        <w:t>heart of the department’s success and its future. We are focused on enabling and developing our people so they can maximise their contribution in our complex operating environment.</w:t>
      </w:r>
    </w:p>
    <w:p w:rsidR="00815910" w:rsidRDefault="00815910" w:rsidP="00D867A2">
      <w:pPr>
        <w:pStyle w:val="Normalmorespace"/>
      </w:pPr>
      <w:r>
        <w:t>We invest in</w:t>
      </w:r>
      <w:r w:rsidRPr="00DA1886">
        <w:t xml:space="preserve"> </w:t>
      </w:r>
      <w:r>
        <w:t>continuous learning across a range of skills relating to policy, program, service delivery and professional corporate streams. Professional development includes a mix of experiential learning and formal training.</w:t>
      </w:r>
    </w:p>
    <w:p w:rsidR="00815910" w:rsidRDefault="00815910" w:rsidP="00D867A2">
      <w:pPr>
        <w:pStyle w:val="Normalmorespace"/>
      </w:pPr>
      <w:r>
        <w:t>Operational workforce planning is aligned with annual business and risk planning, enabling senior leaders to</w:t>
      </w:r>
      <w:r w:rsidR="00A10C22">
        <w:t> </w:t>
      </w:r>
      <w:r>
        <w:t>manage their workforce capability and</w:t>
      </w:r>
      <w:r w:rsidRPr="00DA1886">
        <w:t xml:space="preserve"> </w:t>
      </w:r>
      <w:r>
        <w:t>capacity at a local level.</w:t>
      </w:r>
    </w:p>
    <w:p w:rsidR="00815910" w:rsidRDefault="00D45F98" w:rsidP="00D867A2">
      <w:pPr>
        <w:pStyle w:val="Normalmorespace"/>
      </w:pPr>
      <w:r>
        <w:t xml:space="preserve">Our </w:t>
      </w:r>
      <w:r w:rsidR="0082659B">
        <w:t>4</w:t>
      </w:r>
      <w:r w:rsidR="00D66035">
        <w:t xml:space="preserve"> </w:t>
      </w:r>
      <w:r w:rsidR="00815910">
        <w:t>workforce themes</w:t>
      </w:r>
      <w:r>
        <w:t xml:space="preserve"> are</w:t>
      </w:r>
      <w:r w:rsidR="00815910">
        <w:t>:</w:t>
      </w:r>
    </w:p>
    <w:p w:rsidR="00815910" w:rsidRPr="0018378C" w:rsidRDefault="00815910" w:rsidP="00605950">
      <w:pPr>
        <w:pStyle w:val="ListParagraph"/>
        <w:spacing w:before="120" w:after="120"/>
        <w:ind w:left="641" w:hanging="357"/>
        <w:contextualSpacing w:val="0"/>
      </w:pPr>
      <w:r w:rsidRPr="00AB71C3">
        <w:rPr>
          <w:b/>
        </w:rPr>
        <w:t>Inclusion</w:t>
      </w:r>
      <w:r w:rsidRPr="0018378C">
        <w:t>: A safe and inclusive workplace that reflects the diversity of the Australian community</w:t>
      </w:r>
    </w:p>
    <w:p w:rsidR="00815910" w:rsidRPr="0018378C" w:rsidRDefault="4938FBFB" w:rsidP="00605950">
      <w:pPr>
        <w:pStyle w:val="ListParagraph"/>
        <w:spacing w:before="120" w:after="120"/>
        <w:ind w:left="641" w:hanging="357"/>
        <w:contextualSpacing w:val="0"/>
      </w:pPr>
      <w:r w:rsidRPr="00AB71C3">
        <w:rPr>
          <w:b/>
        </w:rPr>
        <w:t>Leadership</w:t>
      </w:r>
      <w:r w:rsidRPr="0018378C">
        <w:t>: We will support purpose driven leadership, promote higher levels of leadership engagement and model the department’s workplace behaviours and APS standards</w:t>
      </w:r>
    </w:p>
    <w:p w:rsidR="00815910" w:rsidRPr="0018378C" w:rsidRDefault="00815910" w:rsidP="00605950">
      <w:pPr>
        <w:pStyle w:val="ListParagraph"/>
        <w:spacing w:before="120" w:after="120"/>
        <w:ind w:left="641" w:hanging="357"/>
        <w:contextualSpacing w:val="0"/>
      </w:pPr>
      <w:r w:rsidRPr="00AB71C3">
        <w:rPr>
          <w:b/>
        </w:rPr>
        <w:t>Adaptability</w:t>
      </w:r>
      <w:r w:rsidRPr="0018378C">
        <w:t>: An adaptive and responsive workforce</w:t>
      </w:r>
    </w:p>
    <w:p w:rsidR="00815910" w:rsidRDefault="00815910" w:rsidP="00605950">
      <w:pPr>
        <w:pStyle w:val="ListParagraph"/>
        <w:spacing w:before="120" w:after="120"/>
        <w:ind w:left="641" w:hanging="357"/>
        <w:contextualSpacing w:val="0"/>
      </w:pPr>
      <w:r w:rsidRPr="00AB71C3">
        <w:rPr>
          <w:b/>
        </w:rPr>
        <w:t>Capability</w:t>
      </w:r>
      <w:r w:rsidRPr="00523300">
        <w:t>: Building workforce capability</w:t>
      </w:r>
      <w:r w:rsidRPr="00DA1886">
        <w:t xml:space="preserve"> for now and the future</w:t>
      </w:r>
      <w:r w:rsidR="00A10C22">
        <w:t>.</w:t>
      </w:r>
    </w:p>
    <w:p w:rsidR="00A23258" w:rsidRPr="00051A99" w:rsidRDefault="00A23258" w:rsidP="00A23258">
      <w:pPr>
        <w:pStyle w:val="Normalmorespace"/>
      </w:pPr>
      <w:r w:rsidRPr="00051A99">
        <w:t>Our workplace behaviours are expressions of our comm</w:t>
      </w:r>
      <w:r>
        <w:t xml:space="preserve">itment to making a difference. </w:t>
      </w:r>
      <w:r w:rsidRPr="00051A99">
        <w:t>We are:</w:t>
      </w:r>
    </w:p>
    <w:p w:rsidR="00A23258" w:rsidRPr="006A3A8E" w:rsidRDefault="00A23258" w:rsidP="00A23258">
      <w:pPr>
        <w:pStyle w:val="ListParagraph"/>
        <w:spacing w:before="120" w:after="120"/>
        <w:ind w:left="641" w:hanging="357"/>
        <w:contextualSpacing w:val="0"/>
      </w:pPr>
      <w:r w:rsidRPr="00051A99">
        <w:rPr>
          <w:rStyle w:val="BodytextBOLD"/>
        </w:rPr>
        <w:t>Action-oriented</w:t>
      </w:r>
      <w:r w:rsidRPr="00331E93">
        <w:rPr>
          <w:rStyle w:val="BodytextBOLD"/>
          <w:b w:val="0"/>
        </w:rPr>
        <w:t xml:space="preserve"> – </w:t>
      </w:r>
      <w:r w:rsidRPr="00051A99">
        <w:t xml:space="preserve">we </w:t>
      </w:r>
      <w:r w:rsidRPr="006A3A8E">
        <w:t>have a bias for action and achieving outcomes</w:t>
      </w:r>
    </w:p>
    <w:p w:rsidR="00A23258" w:rsidRPr="006A3A8E" w:rsidRDefault="00A23258" w:rsidP="00A23258">
      <w:pPr>
        <w:pStyle w:val="ListParagraph"/>
        <w:spacing w:before="120" w:after="120"/>
        <w:ind w:left="641" w:hanging="357"/>
        <w:contextualSpacing w:val="0"/>
      </w:pPr>
      <w:r w:rsidRPr="00AB71C3">
        <w:rPr>
          <w:rStyle w:val="BodytextBOLD"/>
          <w:color w:val="auto"/>
        </w:rPr>
        <w:t>Builders of cooperative relationships</w:t>
      </w:r>
      <w:r w:rsidRPr="007F1369">
        <w:rPr>
          <w:rStyle w:val="BodytextBOLD"/>
          <w:b w:val="0"/>
          <w:color w:val="auto"/>
        </w:rPr>
        <w:t xml:space="preserve"> – </w:t>
      </w:r>
      <w:r w:rsidRPr="006A3A8E">
        <w:t>we work with internal and external stakeholders to achieve results</w:t>
      </w:r>
    </w:p>
    <w:p w:rsidR="00A23258" w:rsidRPr="007F1369" w:rsidRDefault="00A23258" w:rsidP="00A23258">
      <w:pPr>
        <w:pStyle w:val="ListParagraph"/>
        <w:spacing w:before="120" w:after="120"/>
        <w:ind w:left="641" w:hanging="357"/>
        <w:contextualSpacing w:val="0"/>
        <w:rPr>
          <w:rStyle w:val="BodytextBOLD"/>
          <w:b w:val="0"/>
          <w:color w:val="auto"/>
        </w:rPr>
      </w:pPr>
      <w:r w:rsidRPr="00AB71C3">
        <w:rPr>
          <w:rStyle w:val="BodytextBOLD"/>
          <w:color w:val="auto"/>
        </w:rPr>
        <w:t>Curious</w:t>
      </w:r>
      <w:r w:rsidRPr="007F1369">
        <w:rPr>
          <w:rStyle w:val="BodytextBOLD"/>
          <w:b w:val="0"/>
          <w:color w:val="auto"/>
        </w:rPr>
        <w:t xml:space="preserve"> </w:t>
      </w:r>
      <w:r w:rsidRPr="006A3A8E">
        <w:t>– we listen, learn, see opportunities and adapt</w:t>
      </w:r>
    </w:p>
    <w:p w:rsidR="00A23258" w:rsidRPr="00051A99" w:rsidRDefault="00A23258" w:rsidP="00A23258">
      <w:pPr>
        <w:pStyle w:val="ListParagraph"/>
        <w:spacing w:before="120" w:after="120"/>
        <w:ind w:left="641" w:hanging="357"/>
        <w:contextualSpacing w:val="0"/>
      </w:pPr>
      <w:r w:rsidRPr="00AB71C3">
        <w:rPr>
          <w:rStyle w:val="BodytextBOLD"/>
          <w:color w:val="auto"/>
        </w:rPr>
        <w:t>Decisive</w:t>
      </w:r>
      <w:r w:rsidRPr="007F1369">
        <w:rPr>
          <w:rStyle w:val="BodytextBOLD"/>
          <w:b w:val="0"/>
          <w:color w:val="auto"/>
        </w:rPr>
        <w:t xml:space="preserve"> – </w:t>
      </w:r>
      <w:r w:rsidRPr="006A3A8E">
        <w:t>we progress issues</w:t>
      </w:r>
      <w:r w:rsidRPr="00051A99">
        <w:t xml:space="preserve"> in a timely manner and are accountable to ensure closure</w:t>
      </w:r>
      <w:r w:rsidR="00A10C22">
        <w:t>.</w:t>
      </w:r>
    </w:p>
    <w:p w:rsidR="00F35972" w:rsidRDefault="00A755D5" w:rsidP="00D867A2">
      <w:pPr>
        <w:pStyle w:val="Normalmorespace"/>
      </w:pPr>
      <w:r>
        <w:t xml:space="preserve">The safety and wellbeing of our team is crucial. Reinforcing a strong </w:t>
      </w:r>
      <w:r w:rsidR="00DA2556">
        <w:t>and consistent</w:t>
      </w:r>
      <w:r>
        <w:t xml:space="preserve"> safety culture is a key part of organisational performance</w:t>
      </w:r>
      <w:r w:rsidR="001E1714">
        <w:t>.</w:t>
      </w:r>
    </w:p>
    <w:p w:rsidR="001E1714" w:rsidRDefault="001E1714" w:rsidP="00D867A2">
      <w:pPr>
        <w:pStyle w:val="Normalmorespace"/>
      </w:pPr>
      <w:r>
        <w:lastRenderedPageBreak/>
        <w:t xml:space="preserve">Our ability to deliver </w:t>
      </w:r>
      <w:r w:rsidR="00294F6F">
        <w:t>timely</w:t>
      </w:r>
      <w:r>
        <w:t xml:space="preserve"> </w:t>
      </w:r>
      <w:r w:rsidR="00294F6F">
        <w:t xml:space="preserve">and </w:t>
      </w:r>
      <w:r>
        <w:t xml:space="preserve">high-quality </w:t>
      </w:r>
      <w:r w:rsidR="00D867A2">
        <w:t xml:space="preserve">policy </w:t>
      </w:r>
      <w:r>
        <w:t>advice to governments</w:t>
      </w:r>
      <w:r w:rsidR="00D867A2">
        <w:t xml:space="preserve"> </w:t>
      </w:r>
      <w:r>
        <w:t>is key to our effectiveness as</w:t>
      </w:r>
      <w:r w:rsidR="00A10C22">
        <w:t> </w:t>
      </w:r>
      <w:r>
        <w:t>an</w:t>
      </w:r>
      <w:r w:rsidR="00A10C22">
        <w:t> </w:t>
      </w:r>
      <w:r>
        <w:t>organisation. The department will continue to focus on building and refining our policy capability to</w:t>
      </w:r>
      <w:r w:rsidR="00A10C22">
        <w:t> </w:t>
      </w:r>
      <w:r>
        <w:t xml:space="preserve">meet the needs of </w:t>
      </w:r>
      <w:r w:rsidR="00686FF2">
        <w:t>G</w:t>
      </w:r>
      <w:r>
        <w:t>overnment and of the Australian people.</w:t>
      </w:r>
    </w:p>
    <w:p w:rsidR="00CD1DD7" w:rsidRDefault="00CD1DD7" w:rsidP="00C26CC4">
      <w:pPr>
        <w:pStyle w:val="Heading2"/>
      </w:pPr>
      <w:bookmarkStart w:id="40" w:name="_Toc111026114"/>
      <w:r>
        <w:t>Our diversity</w:t>
      </w:r>
      <w:bookmarkEnd w:id="40"/>
    </w:p>
    <w:p w:rsidR="00CD1DD7" w:rsidRDefault="00CD1DD7" w:rsidP="00C44D15">
      <w:pPr>
        <w:rPr>
          <w:iCs/>
          <w:sz w:val="20"/>
        </w:rPr>
      </w:pPr>
      <w:r w:rsidRPr="003F28F0">
        <w:rPr>
          <w:sz w:val="20"/>
        </w:rPr>
        <w:t xml:space="preserve">The </w:t>
      </w:r>
      <w:r w:rsidR="00686FF2" w:rsidRPr="003F28F0">
        <w:rPr>
          <w:sz w:val="20"/>
        </w:rPr>
        <w:t>d</w:t>
      </w:r>
      <w:r w:rsidRPr="003F28F0">
        <w:rPr>
          <w:sz w:val="20"/>
        </w:rPr>
        <w:t>epartment has a range of action plans and strategies aimed at supporting our workforce, including a</w:t>
      </w:r>
      <w:r w:rsidR="00A10C22">
        <w:rPr>
          <w:sz w:val="20"/>
        </w:rPr>
        <w:t> </w:t>
      </w:r>
      <w:r w:rsidRPr="003F28F0">
        <w:rPr>
          <w:sz w:val="20"/>
        </w:rPr>
        <w:t xml:space="preserve">Reconciliation Action Plan, an Aboriginal and Torres Strait Islander Workforce Action Plan, </w:t>
      </w:r>
      <w:r w:rsidR="00687722">
        <w:rPr>
          <w:sz w:val="20"/>
        </w:rPr>
        <w:t>a</w:t>
      </w:r>
      <w:r w:rsidRPr="003F28F0">
        <w:rPr>
          <w:sz w:val="20"/>
        </w:rPr>
        <w:t xml:space="preserve"> Diversity and Inclusion </w:t>
      </w:r>
      <w:r w:rsidR="00FD47D5">
        <w:rPr>
          <w:sz w:val="20"/>
        </w:rPr>
        <w:t>Strategy</w:t>
      </w:r>
      <w:r w:rsidRPr="003F28F0">
        <w:rPr>
          <w:rFonts w:cs="Arial"/>
          <w:iCs/>
          <w:color w:val="2C2A29"/>
          <w:sz w:val="20"/>
          <w:shd w:val="clear" w:color="auto" w:fill="FFFFFF"/>
        </w:rPr>
        <w:t xml:space="preserve"> </w:t>
      </w:r>
      <w:r w:rsidRPr="003F28F0">
        <w:rPr>
          <w:sz w:val="20"/>
        </w:rPr>
        <w:t>and Workforce Strategy. These plans and strategies work in conjunction with the Commonwealth Aboriginal and Torres Strait Islander Workforce Strategy,</w:t>
      </w:r>
      <w:r w:rsidRPr="003F28F0">
        <w:rPr>
          <w:iCs/>
          <w:sz w:val="20"/>
        </w:rPr>
        <w:t xml:space="preserve"> </w:t>
      </w:r>
      <w:r w:rsidR="00687722">
        <w:rPr>
          <w:iCs/>
          <w:sz w:val="20"/>
        </w:rPr>
        <w:t xml:space="preserve">APS Disability Employment Strategy, </w:t>
      </w:r>
      <w:r w:rsidRPr="003F28F0">
        <w:rPr>
          <w:iCs/>
          <w:sz w:val="20"/>
        </w:rPr>
        <w:t xml:space="preserve">Australia’s Disability Strategy </w:t>
      </w:r>
      <w:r w:rsidR="00687722">
        <w:rPr>
          <w:iCs/>
          <w:sz w:val="20"/>
        </w:rPr>
        <w:t xml:space="preserve">2021-2031, </w:t>
      </w:r>
      <w:r w:rsidRPr="003F28F0">
        <w:rPr>
          <w:iCs/>
          <w:sz w:val="20"/>
        </w:rPr>
        <w:t>and the APS Gender Equality Strategy.</w:t>
      </w:r>
    </w:p>
    <w:p w:rsidR="00687722" w:rsidRPr="00687722" w:rsidRDefault="00687722" w:rsidP="00687722">
      <w:pPr>
        <w:pStyle w:val="Normalmorespace"/>
        <w:rPr>
          <w:rFonts w:eastAsiaTheme="minorEastAsia" w:cstheme="minorBidi"/>
          <w:color w:val="auto"/>
          <w:szCs w:val="22"/>
          <w:lang w:eastAsia="en-US"/>
        </w:rPr>
      </w:pPr>
      <w:r w:rsidRPr="00687722">
        <w:rPr>
          <w:rFonts w:eastAsiaTheme="minorEastAsia" w:cstheme="minorBidi"/>
          <w:color w:val="auto"/>
          <w:szCs w:val="22"/>
          <w:lang w:eastAsia="en-US"/>
        </w:rPr>
        <w:t xml:space="preserve">As an inclusive </w:t>
      </w:r>
      <w:r>
        <w:rPr>
          <w:rFonts w:eastAsiaTheme="minorEastAsia" w:cstheme="minorBidi"/>
          <w:color w:val="auto"/>
          <w:szCs w:val="22"/>
          <w:lang w:eastAsia="en-US"/>
        </w:rPr>
        <w:t>department</w:t>
      </w:r>
      <w:r w:rsidRPr="00687722">
        <w:rPr>
          <w:rFonts w:eastAsiaTheme="minorEastAsia" w:cstheme="minorBidi"/>
          <w:color w:val="auto"/>
          <w:szCs w:val="22"/>
          <w:lang w:eastAsia="en-US"/>
        </w:rPr>
        <w:t>, we support a number of staff led diversity committees and networks and provide appropriate supports and resources to ensure that we foster a truly diverse and inclusive workforce for all staff including:</w:t>
      </w:r>
    </w:p>
    <w:p w:rsidR="00687722" w:rsidRPr="00687722" w:rsidRDefault="00687722" w:rsidP="00687722">
      <w:pPr>
        <w:pStyle w:val="ListParagraph"/>
        <w:numPr>
          <w:ilvl w:val="0"/>
          <w:numId w:val="12"/>
        </w:numPr>
        <w:spacing w:before="120" w:after="120" w:line="257" w:lineRule="auto"/>
        <w:ind w:left="641" w:hanging="357"/>
        <w:contextualSpacing w:val="0"/>
        <w:rPr>
          <w:szCs w:val="20"/>
        </w:rPr>
      </w:pPr>
      <w:r w:rsidRPr="00687722">
        <w:rPr>
          <w:szCs w:val="20"/>
        </w:rPr>
        <w:t>Aboriginal and Torres Strait Islanders</w:t>
      </w:r>
    </w:p>
    <w:p w:rsidR="00687722" w:rsidRPr="00687722" w:rsidRDefault="00687722" w:rsidP="00687722">
      <w:pPr>
        <w:pStyle w:val="ListParagraph"/>
        <w:numPr>
          <w:ilvl w:val="0"/>
          <w:numId w:val="12"/>
        </w:numPr>
        <w:spacing w:before="120" w:after="120" w:line="257" w:lineRule="auto"/>
        <w:ind w:left="641" w:hanging="357"/>
        <w:contextualSpacing w:val="0"/>
        <w:rPr>
          <w:szCs w:val="20"/>
        </w:rPr>
      </w:pPr>
      <w:r w:rsidRPr="00687722">
        <w:rPr>
          <w:szCs w:val="20"/>
        </w:rPr>
        <w:t>Culturally and linguistically diverse people</w:t>
      </w:r>
    </w:p>
    <w:p w:rsidR="00687722" w:rsidRPr="003452DB" w:rsidRDefault="00687722" w:rsidP="00687722">
      <w:pPr>
        <w:pStyle w:val="ListParagraph"/>
        <w:numPr>
          <w:ilvl w:val="0"/>
          <w:numId w:val="12"/>
        </w:numPr>
        <w:spacing w:before="120" w:after="120" w:line="257" w:lineRule="auto"/>
        <w:ind w:left="641" w:hanging="357"/>
        <w:contextualSpacing w:val="0"/>
        <w:rPr>
          <w:szCs w:val="20"/>
        </w:rPr>
      </w:pPr>
      <w:r w:rsidRPr="00522DA1">
        <w:rPr>
          <w:szCs w:val="20"/>
        </w:rPr>
        <w:t>L</w:t>
      </w:r>
      <w:r w:rsidRPr="00A521DF">
        <w:rPr>
          <w:szCs w:val="20"/>
        </w:rPr>
        <w:t>GBTIQA+ people</w:t>
      </w:r>
    </w:p>
    <w:p w:rsidR="00687722" w:rsidRPr="003452DB" w:rsidRDefault="00687722" w:rsidP="00687722">
      <w:pPr>
        <w:pStyle w:val="ListParagraph"/>
        <w:numPr>
          <w:ilvl w:val="0"/>
          <w:numId w:val="12"/>
        </w:numPr>
        <w:spacing w:before="120" w:after="120" w:line="257" w:lineRule="auto"/>
        <w:ind w:left="641" w:hanging="357"/>
        <w:contextualSpacing w:val="0"/>
        <w:rPr>
          <w:szCs w:val="20"/>
        </w:rPr>
      </w:pPr>
      <w:r w:rsidRPr="003452DB">
        <w:rPr>
          <w:szCs w:val="20"/>
        </w:rPr>
        <w:t>People with disability.</w:t>
      </w:r>
    </w:p>
    <w:p w:rsidR="00CD1DD7" w:rsidRPr="00725C63" w:rsidRDefault="00CD1DD7" w:rsidP="00725C63">
      <w:pPr>
        <w:spacing w:before="240" w:after="120" w:line="240" w:lineRule="auto"/>
        <w:rPr>
          <w:rFonts w:ascii="Georgia" w:hAnsi="Georgia"/>
          <w:sz w:val="24"/>
          <w:szCs w:val="24"/>
        </w:rPr>
      </w:pPr>
      <w:r w:rsidRPr="00725C63">
        <w:rPr>
          <w:rFonts w:ascii="Georgia" w:hAnsi="Georgia"/>
          <w:sz w:val="24"/>
          <w:szCs w:val="24"/>
        </w:rPr>
        <w:t>Workforce Strategy</w:t>
      </w:r>
    </w:p>
    <w:p w:rsidR="00CD1DD7" w:rsidRDefault="00006D66" w:rsidP="00C26CC4">
      <w:pPr>
        <w:spacing w:before="120" w:after="120"/>
        <w:rPr>
          <w:rFonts w:eastAsia="Times New Roman" w:cs="Times New Roman"/>
          <w:color w:val="000000" w:themeColor="text1"/>
          <w:sz w:val="20"/>
          <w:szCs w:val="20"/>
          <w:lang w:eastAsia="en-AU"/>
        </w:rPr>
      </w:pPr>
      <w:r>
        <w:rPr>
          <w:rFonts w:eastAsia="Times New Roman" w:cs="Times New Roman"/>
          <w:color w:val="000000" w:themeColor="text1"/>
          <w:sz w:val="20"/>
          <w:szCs w:val="20"/>
          <w:lang w:eastAsia="en-AU"/>
        </w:rPr>
        <w:t>A new Workforce Strategy</w:t>
      </w:r>
      <w:r w:rsidR="00DF47BF">
        <w:rPr>
          <w:rFonts w:eastAsia="Times New Roman" w:cs="Times New Roman"/>
          <w:color w:val="000000" w:themeColor="text1"/>
          <w:sz w:val="20"/>
          <w:szCs w:val="20"/>
          <w:lang w:eastAsia="en-AU"/>
        </w:rPr>
        <w:t xml:space="preserve"> to be delivered in 2022-23</w:t>
      </w:r>
      <w:r>
        <w:rPr>
          <w:rFonts w:eastAsia="Times New Roman" w:cs="Times New Roman"/>
          <w:color w:val="000000" w:themeColor="text1"/>
          <w:sz w:val="20"/>
          <w:szCs w:val="20"/>
          <w:lang w:eastAsia="en-AU"/>
        </w:rPr>
        <w:t>, replacing the 2019-22 strategy, will focus on</w:t>
      </w:r>
      <w:r w:rsidR="00CD1DD7">
        <w:rPr>
          <w:rFonts w:eastAsia="Times New Roman" w:cs="Times New Roman"/>
          <w:color w:val="000000" w:themeColor="text1"/>
          <w:sz w:val="20"/>
          <w:szCs w:val="20"/>
          <w:lang w:eastAsia="en-AU"/>
        </w:rPr>
        <w:t xml:space="preserve"> build</w:t>
      </w:r>
      <w:r>
        <w:rPr>
          <w:rFonts w:eastAsia="Times New Roman" w:cs="Times New Roman"/>
          <w:color w:val="000000" w:themeColor="text1"/>
          <w:sz w:val="20"/>
          <w:szCs w:val="20"/>
          <w:lang w:eastAsia="en-AU"/>
        </w:rPr>
        <w:t>ing</w:t>
      </w:r>
      <w:r w:rsidR="00CD1DD7">
        <w:rPr>
          <w:rFonts w:eastAsia="Times New Roman" w:cs="Times New Roman"/>
          <w:color w:val="000000" w:themeColor="text1"/>
          <w:sz w:val="20"/>
          <w:szCs w:val="20"/>
          <w:lang w:eastAsia="en-AU"/>
        </w:rPr>
        <w:t xml:space="preserve"> a</w:t>
      </w:r>
      <w:r w:rsidR="00D94052">
        <w:rPr>
          <w:rFonts w:eastAsia="Times New Roman" w:cs="Times New Roman"/>
          <w:color w:val="000000" w:themeColor="text1"/>
          <w:sz w:val="20"/>
          <w:szCs w:val="20"/>
          <w:lang w:eastAsia="en-AU"/>
        </w:rPr>
        <w:t> </w:t>
      </w:r>
      <w:r w:rsidR="00CD1DD7">
        <w:rPr>
          <w:rFonts w:eastAsia="Times New Roman" w:cs="Times New Roman"/>
          <w:color w:val="000000" w:themeColor="text1"/>
          <w:sz w:val="20"/>
          <w:szCs w:val="20"/>
          <w:lang w:eastAsia="en-AU"/>
        </w:rPr>
        <w:t xml:space="preserve">productive, safe, diverse and respectful workplace to support the delivery of government priorities and the </w:t>
      </w:r>
      <w:r w:rsidR="007630FA">
        <w:rPr>
          <w:rFonts w:eastAsia="Times New Roman" w:cs="Times New Roman"/>
          <w:color w:val="000000" w:themeColor="text1"/>
          <w:sz w:val="20"/>
          <w:szCs w:val="20"/>
          <w:lang w:eastAsia="en-AU"/>
        </w:rPr>
        <w:t>d</w:t>
      </w:r>
      <w:r w:rsidR="00CD1DD7">
        <w:rPr>
          <w:rFonts w:eastAsia="Times New Roman" w:cs="Times New Roman"/>
          <w:color w:val="000000" w:themeColor="text1"/>
          <w:sz w:val="20"/>
          <w:szCs w:val="20"/>
          <w:lang w:eastAsia="en-AU"/>
        </w:rPr>
        <w:t xml:space="preserve">epartment’s mission. APS reform and global workforce trends continue to influence our approach, including competing for talent, digital transformation, demographic and social shifts. </w:t>
      </w:r>
    </w:p>
    <w:p w:rsidR="00687722" w:rsidRDefault="00687722" w:rsidP="00687722">
      <w:pPr>
        <w:spacing w:before="120" w:after="120"/>
        <w:jc w:val="center"/>
        <w:rPr>
          <w:rFonts w:eastAsia="Times New Roman" w:cs="Times New Roman"/>
          <w:color w:val="000000" w:themeColor="text1"/>
          <w:sz w:val="20"/>
          <w:szCs w:val="20"/>
          <w:lang w:eastAsia="en-AU"/>
        </w:rPr>
      </w:pPr>
      <w:r w:rsidRPr="00687722">
        <w:rPr>
          <w:rFonts w:eastAsia="Times New Roman" w:cs="Times New Roman"/>
          <w:noProof/>
          <w:color w:val="000000" w:themeColor="text1"/>
          <w:sz w:val="20"/>
          <w:szCs w:val="20"/>
          <w:lang w:eastAsia="en-AU"/>
        </w:rPr>
        <w:drawing>
          <wp:inline distT="0" distB="0" distL="0" distR="0" wp14:anchorId="4155D867" wp14:editId="5F73B67E">
            <wp:extent cx="4444780" cy="3727880"/>
            <wp:effectExtent l="0" t="0" r="0" b="6350"/>
            <wp:docPr id="2" name="Picture 2" descr="the diagram depicts the interactions between the department's Workforce Strategy, the Diversity and Inclusion Action Plan, the Reconciliation Action Plan 2021-2024, the Aboriginal and Torres Strait Islander Workforce Strategy 2020-2024 and the Aboriginal and Torrest Strait Islander Workforce Action Plan." title="Workforc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4780" cy="3727880"/>
                    </a:xfrm>
                    <a:prstGeom prst="rect">
                      <a:avLst/>
                    </a:prstGeom>
                  </pic:spPr>
                </pic:pic>
              </a:graphicData>
            </a:graphic>
          </wp:inline>
        </w:drawing>
      </w:r>
    </w:p>
    <w:p w:rsidR="00C27F63" w:rsidRPr="00BD27CF" w:rsidRDefault="00C27F63" w:rsidP="00C27F63">
      <w:pPr>
        <w:pStyle w:val="Heading2"/>
      </w:pPr>
      <w:bookmarkStart w:id="41" w:name="_Toc111026115"/>
      <w:r>
        <w:t>Grants capability</w:t>
      </w:r>
      <w:bookmarkEnd w:id="41"/>
    </w:p>
    <w:p w:rsidR="0090469A" w:rsidRDefault="00507F05" w:rsidP="00C26CC4">
      <w:pPr>
        <w:spacing w:before="120" w:after="120"/>
        <w:rPr>
          <w:sz w:val="20"/>
          <w:szCs w:val="20"/>
        </w:rPr>
      </w:pPr>
      <w:r w:rsidRPr="00973A3C">
        <w:rPr>
          <w:sz w:val="20"/>
          <w:szCs w:val="20"/>
        </w:rPr>
        <w:t xml:space="preserve">Each year the </w:t>
      </w:r>
      <w:r w:rsidR="007630FA" w:rsidRPr="00973A3C">
        <w:rPr>
          <w:sz w:val="20"/>
          <w:szCs w:val="20"/>
        </w:rPr>
        <w:t>G</w:t>
      </w:r>
      <w:r w:rsidRPr="00973A3C">
        <w:rPr>
          <w:sz w:val="20"/>
          <w:szCs w:val="20"/>
        </w:rPr>
        <w:t>overnment provides grant funding to deliver on its policy objectives for the benefit of</w:t>
      </w:r>
      <w:r w:rsidR="00A36DD1">
        <w:rPr>
          <w:sz w:val="20"/>
          <w:szCs w:val="20"/>
        </w:rPr>
        <w:t> </w:t>
      </w:r>
      <w:r w:rsidRPr="00973A3C">
        <w:rPr>
          <w:sz w:val="20"/>
          <w:szCs w:val="20"/>
        </w:rPr>
        <w:t xml:space="preserve">Australians. The Community Grants Hub is a centralised grants function with staff based across Australia delivering grants administration services for the department and </w:t>
      </w:r>
      <w:r w:rsidR="00A36DD1">
        <w:rPr>
          <w:sz w:val="20"/>
          <w:szCs w:val="20"/>
        </w:rPr>
        <w:t>8</w:t>
      </w:r>
      <w:r w:rsidR="00A36DD1" w:rsidRPr="00973A3C">
        <w:rPr>
          <w:sz w:val="20"/>
          <w:szCs w:val="20"/>
        </w:rPr>
        <w:t xml:space="preserve"> </w:t>
      </w:r>
      <w:r w:rsidRPr="00973A3C">
        <w:rPr>
          <w:sz w:val="20"/>
          <w:szCs w:val="20"/>
        </w:rPr>
        <w:t>other government departments. In</w:t>
      </w:r>
      <w:r w:rsidR="00DF3BCF">
        <w:rPr>
          <w:sz w:val="20"/>
          <w:szCs w:val="20"/>
        </w:rPr>
        <w:t> </w:t>
      </w:r>
      <w:r w:rsidR="00985F9D" w:rsidRPr="00973A3C">
        <w:rPr>
          <w:sz w:val="20"/>
          <w:szCs w:val="20"/>
        </w:rPr>
        <w:t>2021</w:t>
      </w:r>
      <w:r w:rsidR="00A36DD1">
        <w:rPr>
          <w:sz w:val="20"/>
          <w:szCs w:val="20"/>
        </w:rPr>
        <w:noBreakHyphen/>
      </w:r>
      <w:r w:rsidR="00985F9D" w:rsidRPr="00973A3C">
        <w:rPr>
          <w:sz w:val="20"/>
          <w:szCs w:val="20"/>
        </w:rPr>
        <w:t>22,</w:t>
      </w:r>
      <w:r w:rsidRPr="00973A3C">
        <w:rPr>
          <w:sz w:val="20"/>
          <w:szCs w:val="20"/>
        </w:rPr>
        <w:t xml:space="preserve"> the Community Grants Hub managed 25,102 grants of over $8.3 billion in value for the department and other agencies. </w:t>
      </w:r>
    </w:p>
    <w:p w:rsidR="00507F05" w:rsidRPr="00973A3C" w:rsidRDefault="00507F05" w:rsidP="00C26CC4">
      <w:pPr>
        <w:spacing w:before="120" w:after="120"/>
        <w:rPr>
          <w:rFonts w:ascii="Calibri" w:hAnsi="Calibri"/>
          <w:sz w:val="20"/>
          <w:szCs w:val="20"/>
        </w:rPr>
      </w:pPr>
      <w:r w:rsidRPr="00973A3C">
        <w:rPr>
          <w:sz w:val="20"/>
          <w:szCs w:val="20"/>
        </w:rPr>
        <w:lastRenderedPageBreak/>
        <w:t xml:space="preserve">Through shared services arrangements and partnerships with government departments and funded </w:t>
      </w:r>
      <w:r w:rsidR="00985F9D" w:rsidRPr="00973A3C">
        <w:rPr>
          <w:sz w:val="20"/>
          <w:szCs w:val="20"/>
        </w:rPr>
        <w:t>organisations,</w:t>
      </w:r>
      <w:r w:rsidRPr="00973A3C">
        <w:rPr>
          <w:sz w:val="20"/>
          <w:szCs w:val="20"/>
        </w:rPr>
        <w:t xml:space="preserve"> the Community Grants Hub drives consistency in grant administration by developing and maintaining standardised tools to support best practice in grants management. Support is offered through all stages of the grants administration lifecycle, aiming to reduce duplication and ensure the most effective approaches are used to identify and respond to community needs.</w:t>
      </w:r>
    </w:p>
    <w:p w:rsidR="00C27F63" w:rsidRPr="00973A3C" w:rsidRDefault="00507F05" w:rsidP="00C26CC4">
      <w:pPr>
        <w:spacing w:before="120" w:after="120"/>
        <w:rPr>
          <w:rFonts w:ascii="Calibri" w:hAnsi="Calibri"/>
          <w:sz w:val="20"/>
          <w:szCs w:val="20"/>
        </w:rPr>
      </w:pPr>
      <w:r w:rsidRPr="00973A3C">
        <w:rPr>
          <w:sz w:val="20"/>
          <w:szCs w:val="20"/>
        </w:rPr>
        <w:t>The Community Grants Hub facilitates strategic engagement between the department and the social, disability, health and aged care services sectors, leveraging opportunities, evidence and engagement to</w:t>
      </w:r>
      <w:r w:rsidR="00D94052">
        <w:rPr>
          <w:sz w:val="20"/>
          <w:szCs w:val="20"/>
        </w:rPr>
        <w:t> </w:t>
      </w:r>
      <w:r w:rsidRPr="00973A3C">
        <w:rPr>
          <w:sz w:val="20"/>
          <w:szCs w:val="20"/>
        </w:rPr>
        <w:t>target programs more effectively and maximise outcomes. Through the department’s geographically dispersed network of staff, including Funding Arrangement Managers, based in all states and territories</w:t>
      </w:r>
      <w:r w:rsidR="00A36DD1">
        <w:rPr>
          <w:sz w:val="20"/>
          <w:szCs w:val="20"/>
        </w:rPr>
        <w:t>,</w:t>
      </w:r>
      <w:r w:rsidRPr="00973A3C">
        <w:rPr>
          <w:sz w:val="20"/>
          <w:szCs w:val="20"/>
        </w:rPr>
        <w:t xml:space="preserve"> our aim is to capture intelligence on the ground. Our engagement and interaction with funded organisations and the broader sectors, supports the ongoing development and improvement of the policies, programs and grant activity delivered by the department and client agencies. </w:t>
      </w:r>
    </w:p>
    <w:p w:rsidR="00F216F2" w:rsidRPr="00BD27CF" w:rsidRDefault="00555689">
      <w:pPr>
        <w:pStyle w:val="Heading2"/>
      </w:pPr>
      <w:bookmarkStart w:id="42" w:name="_Toc111026116"/>
      <w:r>
        <w:t>Data capability</w:t>
      </w:r>
      <w:bookmarkEnd w:id="42"/>
    </w:p>
    <w:p w:rsidR="00C27EFB" w:rsidRDefault="00C27EFB" w:rsidP="00A23258">
      <w:pPr>
        <w:suppressAutoHyphens/>
        <w:spacing w:before="120" w:after="120"/>
        <w:rPr>
          <w:rFonts w:eastAsia="Times New Roman" w:cs="Times New Roman"/>
          <w:color w:val="000000" w:themeColor="text1"/>
          <w:sz w:val="20"/>
          <w:szCs w:val="20"/>
          <w:lang w:eastAsia="en-AU"/>
        </w:rPr>
      </w:pPr>
      <w:r>
        <w:rPr>
          <w:rFonts w:eastAsia="Times New Roman" w:cs="Times New Roman"/>
          <w:color w:val="000000" w:themeColor="text1"/>
          <w:sz w:val="20"/>
          <w:szCs w:val="20"/>
          <w:lang w:eastAsia="en-AU"/>
        </w:rPr>
        <w:t>The department’s data and evaluation capability supports our performance monitoring and reporting. The department draws on extensive data from our policies, programs and services, and applies various analytical techniques, to examine appropriateness, efficiency, and effectiveness of programs and policies.</w:t>
      </w:r>
    </w:p>
    <w:p w:rsidR="00C27EFB" w:rsidRDefault="00C27EFB" w:rsidP="00A23258">
      <w:pPr>
        <w:suppressAutoHyphens/>
        <w:spacing w:before="120" w:after="120"/>
        <w:rPr>
          <w:rFonts w:eastAsia="Times New Roman" w:cs="Times New Roman"/>
          <w:color w:val="000000" w:themeColor="text1"/>
          <w:sz w:val="20"/>
          <w:szCs w:val="20"/>
          <w:lang w:eastAsia="en-AU"/>
        </w:rPr>
      </w:pPr>
      <w:r>
        <w:rPr>
          <w:rFonts w:eastAsia="Times New Roman" w:cs="Times New Roman"/>
          <w:color w:val="000000" w:themeColor="text1"/>
          <w:sz w:val="20"/>
          <w:szCs w:val="20"/>
          <w:lang w:eastAsia="en-AU"/>
        </w:rPr>
        <w:t>Starting from a solid foundation, the department is working to build its data capability. In 2021-22, the department established the role of Chief Data Officer (CDO), launched a new Data Strategy, and developed an Analytics Forward Work Program.</w:t>
      </w:r>
    </w:p>
    <w:p w:rsidR="00A23258" w:rsidRPr="00C719F3" w:rsidRDefault="00A23258" w:rsidP="00A23258">
      <w:pPr>
        <w:suppressAutoHyphens/>
        <w:spacing w:before="120" w:after="120"/>
        <w:rPr>
          <w:rFonts w:eastAsia="Times New Roman" w:cs="Times New Roman"/>
          <w:color w:val="000000" w:themeColor="text1"/>
          <w:sz w:val="20"/>
          <w:szCs w:val="20"/>
          <w:highlight w:val="lightGray"/>
          <w:lang w:eastAsia="en-AU"/>
        </w:rPr>
      </w:pPr>
      <w:r w:rsidRPr="00C719F3">
        <w:rPr>
          <w:rFonts w:eastAsia="Times New Roman" w:cs="Times New Roman"/>
          <w:color w:val="000000" w:themeColor="text1"/>
          <w:sz w:val="20"/>
          <w:szCs w:val="20"/>
          <w:lang w:eastAsia="en-AU"/>
        </w:rPr>
        <w:t xml:space="preserve">The DSS Data Strategy 2022-24 sets the strategic direction for the department’s data agenda over the next </w:t>
      </w:r>
      <w:r w:rsidR="000D0D34">
        <w:rPr>
          <w:rFonts w:eastAsia="Times New Roman" w:cs="Times New Roman"/>
          <w:color w:val="000000" w:themeColor="text1"/>
          <w:sz w:val="20"/>
          <w:szCs w:val="20"/>
          <w:lang w:eastAsia="en-AU"/>
        </w:rPr>
        <w:t>3</w:t>
      </w:r>
      <w:r w:rsidR="000D0D34" w:rsidRPr="00C719F3">
        <w:rPr>
          <w:rFonts w:eastAsia="Times New Roman" w:cs="Times New Roman"/>
          <w:color w:val="000000" w:themeColor="text1"/>
          <w:sz w:val="20"/>
          <w:szCs w:val="20"/>
          <w:lang w:eastAsia="en-AU"/>
        </w:rPr>
        <w:t xml:space="preserve"> </w:t>
      </w:r>
      <w:r w:rsidRPr="00C719F3">
        <w:rPr>
          <w:rFonts w:eastAsia="Times New Roman" w:cs="Times New Roman"/>
          <w:color w:val="000000" w:themeColor="text1"/>
          <w:sz w:val="20"/>
          <w:szCs w:val="20"/>
          <w:lang w:eastAsia="en-AU"/>
        </w:rPr>
        <w:t>years, to deliver the vision of empowering every person in</w:t>
      </w:r>
      <w:r w:rsidR="00D94052">
        <w:rPr>
          <w:rFonts w:eastAsia="Times New Roman" w:cs="Times New Roman"/>
          <w:color w:val="000000" w:themeColor="text1"/>
          <w:sz w:val="20"/>
          <w:szCs w:val="20"/>
          <w:lang w:eastAsia="en-AU"/>
        </w:rPr>
        <w:t> </w:t>
      </w:r>
      <w:r w:rsidRPr="00C719F3">
        <w:rPr>
          <w:rFonts w:eastAsia="Times New Roman" w:cs="Times New Roman"/>
          <w:color w:val="000000" w:themeColor="text1"/>
          <w:sz w:val="20"/>
          <w:szCs w:val="20"/>
          <w:lang w:eastAsia="en-AU"/>
        </w:rPr>
        <w:t xml:space="preserve">the department to achieve more with data. The Strategy outlines the goals to improve and reinforce the department’s data foundations across </w:t>
      </w:r>
      <w:r w:rsidR="00C27EFB">
        <w:rPr>
          <w:rFonts w:eastAsia="Times New Roman" w:cs="Times New Roman"/>
          <w:color w:val="000000" w:themeColor="text1"/>
          <w:sz w:val="20"/>
          <w:szCs w:val="20"/>
          <w:lang w:eastAsia="en-AU"/>
        </w:rPr>
        <w:t>5</w:t>
      </w:r>
      <w:r w:rsidR="00C27EFB" w:rsidRPr="00C719F3">
        <w:rPr>
          <w:rFonts w:eastAsia="Times New Roman" w:cs="Times New Roman"/>
          <w:color w:val="000000" w:themeColor="text1"/>
          <w:sz w:val="20"/>
          <w:szCs w:val="20"/>
          <w:lang w:eastAsia="en-AU"/>
        </w:rPr>
        <w:t xml:space="preserve"> </w:t>
      </w:r>
      <w:r w:rsidRPr="00C719F3">
        <w:rPr>
          <w:rFonts w:eastAsia="Times New Roman" w:cs="Times New Roman"/>
          <w:color w:val="000000" w:themeColor="text1"/>
          <w:sz w:val="20"/>
          <w:szCs w:val="20"/>
          <w:lang w:eastAsia="en-AU"/>
        </w:rPr>
        <w:t>themes: capability; governance; culture; data access and sharing; and technology.</w:t>
      </w:r>
    </w:p>
    <w:p w:rsidR="00C73C32" w:rsidRPr="00C73C32" w:rsidRDefault="00C73C32" w:rsidP="00C73C32">
      <w:pPr>
        <w:pStyle w:val="Normalmorespace"/>
      </w:pPr>
      <w:r w:rsidRPr="00C73C32">
        <w:t xml:space="preserve">In </w:t>
      </w:r>
      <w:r w:rsidR="00985F9D" w:rsidRPr="00C73C32">
        <w:t>2022-23,</w:t>
      </w:r>
      <w:r w:rsidRPr="00C73C32">
        <w:t xml:space="preserve"> the </w:t>
      </w:r>
      <w:r w:rsidR="00106428">
        <w:t>d</w:t>
      </w:r>
      <w:r w:rsidRPr="00C73C32">
        <w:t>epartment will continue to:</w:t>
      </w:r>
    </w:p>
    <w:p w:rsidR="00C73C32" w:rsidRDefault="00C73C32" w:rsidP="008554C7">
      <w:pPr>
        <w:pStyle w:val="ListParagraph"/>
        <w:numPr>
          <w:ilvl w:val="0"/>
          <w:numId w:val="12"/>
        </w:numPr>
        <w:spacing w:before="120" w:after="120"/>
        <w:ind w:left="641" w:hanging="357"/>
        <w:contextualSpacing w:val="0"/>
        <w:rPr>
          <w:szCs w:val="20"/>
        </w:rPr>
      </w:pPr>
      <w:r w:rsidRPr="00E917C5">
        <w:rPr>
          <w:szCs w:val="20"/>
        </w:rPr>
        <w:t xml:space="preserve">invest in data development and integration for payment and program administrative data </w:t>
      </w:r>
      <w:r w:rsidR="000135BE">
        <w:rPr>
          <w:szCs w:val="20"/>
        </w:rPr>
        <w:t xml:space="preserve">including opportunities for </w:t>
      </w:r>
      <w:r w:rsidRPr="00E917C5">
        <w:rPr>
          <w:szCs w:val="20"/>
        </w:rPr>
        <w:t xml:space="preserve">exploring data sharing  with state and territory jurisdictions </w:t>
      </w:r>
    </w:p>
    <w:p w:rsidR="00C27EFB" w:rsidRPr="00E917C5" w:rsidRDefault="00C27EFB" w:rsidP="008554C7">
      <w:pPr>
        <w:pStyle w:val="ListParagraph"/>
        <w:numPr>
          <w:ilvl w:val="0"/>
          <w:numId w:val="12"/>
        </w:numPr>
        <w:spacing w:before="120" w:after="120"/>
        <w:ind w:left="641" w:hanging="357"/>
        <w:contextualSpacing w:val="0"/>
        <w:rPr>
          <w:szCs w:val="20"/>
        </w:rPr>
      </w:pPr>
      <w:r>
        <w:rPr>
          <w:szCs w:val="20"/>
        </w:rPr>
        <w:t>focus on supporting program areas to understand and derive program insights, particularly to understand client pathways and outcomes</w:t>
      </w:r>
    </w:p>
    <w:p w:rsidR="00C73C32" w:rsidRPr="00E917C5" w:rsidRDefault="00C73C32" w:rsidP="008554C7">
      <w:pPr>
        <w:pStyle w:val="ListParagraph"/>
        <w:numPr>
          <w:ilvl w:val="0"/>
          <w:numId w:val="12"/>
        </w:numPr>
        <w:spacing w:before="120" w:after="120"/>
        <w:ind w:left="641" w:hanging="357"/>
        <w:contextualSpacing w:val="0"/>
        <w:rPr>
          <w:szCs w:val="20"/>
        </w:rPr>
      </w:pPr>
      <w:r w:rsidRPr="00E917C5">
        <w:rPr>
          <w:szCs w:val="20"/>
        </w:rPr>
        <w:t xml:space="preserve">explore and participate in initiatives related to data, analytics, capability development and evaluation across the Australian Public Service, </w:t>
      </w:r>
    </w:p>
    <w:p w:rsidR="00C73C32" w:rsidRPr="00A23258" w:rsidRDefault="00A23258" w:rsidP="008554C7">
      <w:pPr>
        <w:pStyle w:val="ListParagraph"/>
        <w:numPr>
          <w:ilvl w:val="0"/>
          <w:numId w:val="12"/>
        </w:numPr>
        <w:spacing w:before="120" w:after="120"/>
        <w:ind w:left="641" w:hanging="357"/>
        <w:contextualSpacing w:val="0"/>
        <w:rPr>
          <w:szCs w:val="20"/>
        </w:rPr>
      </w:pPr>
      <w:r>
        <w:rPr>
          <w:szCs w:val="20"/>
        </w:rPr>
        <w:t>improve</w:t>
      </w:r>
      <w:r w:rsidR="00C73C32" w:rsidRPr="00E917C5">
        <w:rPr>
          <w:szCs w:val="20"/>
        </w:rPr>
        <w:t xml:space="preserve"> the collection and reporting of outcomes data through the Data Exchange</w:t>
      </w:r>
      <w:r w:rsidR="00A521DF">
        <w:rPr>
          <w:szCs w:val="20"/>
        </w:rPr>
        <w:t xml:space="preserve"> – the department’s program performance reporting system</w:t>
      </w:r>
    </w:p>
    <w:p w:rsidR="00C73C32" w:rsidRPr="00E917C5" w:rsidRDefault="00C73C32" w:rsidP="008554C7">
      <w:pPr>
        <w:pStyle w:val="ListParagraph"/>
        <w:numPr>
          <w:ilvl w:val="0"/>
          <w:numId w:val="12"/>
        </w:numPr>
        <w:spacing w:before="120" w:after="120"/>
        <w:ind w:left="641" w:hanging="357"/>
        <w:contextualSpacing w:val="0"/>
        <w:rPr>
          <w:szCs w:val="20"/>
        </w:rPr>
      </w:pPr>
      <w:r w:rsidRPr="00E917C5">
        <w:rPr>
          <w:szCs w:val="20"/>
        </w:rPr>
        <w:t xml:space="preserve">build data literacy and capability </w:t>
      </w:r>
      <w:r w:rsidR="00835907">
        <w:rPr>
          <w:szCs w:val="20"/>
        </w:rPr>
        <w:t>across the department</w:t>
      </w:r>
      <w:r w:rsidR="0090182F">
        <w:rPr>
          <w:szCs w:val="20"/>
        </w:rPr>
        <w:t>.</w:t>
      </w:r>
    </w:p>
    <w:p w:rsidR="009C4BD8" w:rsidRPr="00BD27CF" w:rsidRDefault="009C4BD8" w:rsidP="009C4BD8">
      <w:pPr>
        <w:pStyle w:val="Heading2"/>
      </w:pPr>
      <w:bookmarkStart w:id="43" w:name="_Toc111026117"/>
      <w:r>
        <w:t>Financial</w:t>
      </w:r>
      <w:r w:rsidRPr="00BD27CF">
        <w:t xml:space="preserve"> </w:t>
      </w:r>
      <w:r>
        <w:t>capability</w:t>
      </w:r>
      <w:bookmarkEnd w:id="43"/>
    </w:p>
    <w:p w:rsidR="009C4BD8" w:rsidRPr="000D6C2B" w:rsidRDefault="0CFE5995" w:rsidP="00635439">
      <w:pPr>
        <w:spacing w:before="120" w:after="120"/>
        <w:rPr>
          <w:sz w:val="20"/>
          <w:szCs w:val="20"/>
        </w:rPr>
      </w:pPr>
      <w:r w:rsidRPr="000D6C2B">
        <w:rPr>
          <w:sz w:val="20"/>
          <w:szCs w:val="20"/>
        </w:rPr>
        <w:t xml:space="preserve">Our Finance Group leads the department’s finance capability and ensures compliance with legislative and policy requirements. The </w:t>
      </w:r>
      <w:r w:rsidR="00D94052">
        <w:rPr>
          <w:sz w:val="20"/>
          <w:szCs w:val="20"/>
        </w:rPr>
        <w:t>g</w:t>
      </w:r>
      <w:r w:rsidRPr="000D6C2B">
        <w:rPr>
          <w:sz w:val="20"/>
          <w:szCs w:val="20"/>
        </w:rPr>
        <w:t xml:space="preserve">roup facilitates allocation of budgets to priorities for the delivery of </w:t>
      </w:r>
      <w:r w:rsidR="007630FA">
        <w:rPr>
          <w:sz w:val="20"/>
          <w:szCs w:val="20"/>
        </w:rPr>
        <w:t xml:space="preserve">the </w:t>
      </w:r>
      <w:r w:rsidRPr="000D6C2B">
        <w:rPr>
          <w:sz w:val="20"/>
          <w:szCs w:val="20"/>
        </w:rPr>
        <w:t xml:space="preserve">department’s outcomes. The </w:t>
      </w:r>
      <w:r w:rsidR="00D94052">
        <w:rPr>
          <w:sz w:val="20"/>
          <w:szCs w:val="20"/>
        </w:rPr>
        <w:t>g</w:t>
      </w:r>
      <w:r w:rsidRPr="000D6C2B">
        <w:rPr>
          <w:sz w:val="20"/>
          <w:szCs w:val="20"/>
        </w:rPr>
        <w:t>roup is a key enabler in ensuring the financial health of the department through advice to</w:t>
      </w:r>
      <w:r w:rsidR="000C0384">
        <w:rPr>
          <w:sz w:val="20"/>
          <w:szCs w:val="20"/>
        </w:rPr>
        <w:t xml:space="preserve"> the</w:t>
      </w:r>
      <w:r w:rsidRPr="000D6C2B">
        <w:rPr>
          <w:sz w:val="20"/>
          <w:szCs w:val="20"/>
        </w:rPr>
        <w:t xml:space="preserve">: </w:t>
      </w:r>
    </w:p>
    <w:p w:rsidR="009C4BD8" w:rsidRPr="00E917C5" w:rsidRDefault="0CFE5995" w:rsidP="008554C7">
      <w:pPr>
        <w:pStyle w:val="ListParagraph"/>
        <w:numPr>
          <w:ilvl w:val="0"/>
          <w:numId w:val="12"/>
        </w:numPr>
        <w:spacing w:before="120" w:after="120"/>
        <w:ind w:left="641" w:hanging="357"/>
        <w:contextualSpacing w:val="0"/>
        <w:rPr>
          <w:szCs w:val="20"/>
        </w:rPr>
      </w:pPr>
      <w:r w:rsidRPr="00E917C5">
        <w:rPr>
          <w:szCs w:val="20"/>
        </w:rPr>
        <w:t>Executive Management Group in a timely and accurate manner about financial performance, forecast</w:t>
      </w:r>
      <w:r w:rsidR="007C3398">
        <w:rPr>
          <w:szCs w:val="20"/>
        </w:rPr>
        <w:t>,</w:t>
      </w:r>
      <w:r w:rsidRPr="00E917C5">
        <w:rPr>
          <w:szCs w:val="20"/>
        </w:rPr>
        <w:t xml:space="preserve"> pressures</w:t>
      </w:r>
      <w:r w:rsidR="007C3398">
        <w:rPr>
          <w:szCs w:val="20"/>
        </w:rPr>
        <w:t xml:space="preserve"> and risks</w:t>
      </w:r>
    </w:p>
    <w:p w:rsidR="009C4BD8" w:rsidRPr="00E917C5" w:rsidRDefault="0CFE5995" w:rsidP="008554C7">
      <w:pPr>
        <w:pStyle w:val="ListParagraph"/>
        <w:numPr>
          <w:ilvl w:val="0"/>
          <w:numId w:val="12"/>
        </w:numPr>
        <w:spacing w:before="120" w:after="120"/>
        <w:ind w:left="641" w:hanging="357"/>
        <w:contextualSpacing w:val="0"/>
        <w:rPr>
          <w:szCs w:val="20"/>
        </w:rPr>
      </w:pPr>
      <w:r w:rsidRPr="00E917C5">
        <w:rPr>
          <w:szCs w:val="20"/>
        </w:rPr>
        <w:t>departmental managers, in relation to:</w:t>
      </w:r>
    </w:p>
    <w:p w:rsidR="009C4BD8" w:rsidRDefault="0CFE5995" w:rsidP="00762037">
      <w:pPr>
        <w:pStyle w:val="ListParagraph"/>
        <w:numPr>
          <w:ilvl w:val="1"/>
          <w:numId w:val="1"/>
        </w:numPr>
        <w:spacing w:before="40" w:after="40"/>
        <w:ind w:hanging="357"/>
        <w:contextualSpacing w:val="0"/>
        <w:rPr>
          <w:szCs w:val="18"/>
        </w:rPr>
      </w:pPr>
      <w:r>
        <w:t>the development of robust and easy to use financial management policies, systems and processes</w:t>
      </w:r>
    </w:p>
    <w:p w:rsidR="009C4BD8" w:rsidRDefault="0CFE5995" w:rsidP="00762037">
      <w:pPr>
        <w:pStyle w:val="ListParagraph"/>
        <w:numPr>
          <w:ilvl w:val="1"/>
          <w:numId w:val="1"/>
        </w:numPr>
        <w:spacing w:before="40" w:after="40"/>
        <w:ind w:hanging="357"/>
        <w:contextualSpacing w:val="0"/>
        <w:rPr>
          <w:szCs w:val="18"/>
        </w:rPr>
      </w:pPr>
      <w:r>
        <w:t>assisting in the development of new policy proposals and coordinating the Budget process</w:t>
      </w:r>
    </w:p>
    <w:p w:rsidR="009C4BD8" w:rsidRDefault="0CFE5995" w:rsidP="00762037">
      <w:pPr>
        <w:pStyle w:val="ListParagraph"/>
        <w:numPr>
          <w:ilvl w:val="1"/>
          <w:numId w:val="1"/>
        </w:numPr>
        <w:spacing w:before="40" w:after="40"/>
        <w:ind w:hanging="357"/>
        <w:contextualSpacing w:val="0"/>
        <w:rPr>
          <w:szCs w:val="18"/>
        </w:rPr>
      </w:pPr>
      <w:r>
        <w:t>the provision of timely and accurate financial information, analysis and advice</w:t>
      </w:r>
    </w:p>
    <w:p w:rsidR="009C4BD8" w:rsidRDefault="0CA382EB" w:rsidP="00762037">
      <w:pPr>
        <w:pStyle w:val="ListParagraph"/>
        <w:numPr>
          <w:ilvl w:val="1"/>
          <w:numId w:val="1"/>
        </w:numPr>
        <w:spacing w:before="40" w:after="40"/>
        <w:ind w:hanging="357"/>
        <w:contextualSpacing w:val="0"/>
        <w:rPr>
          <w:szCs w:val="18"/>
        </w:rPr>
      </w:pPr>
      <w:r w:rsidRPr="0CA382EB">
        <w:rPr>
          <w:szCs w:val="20"/>
        </w:rPr>
        <w:t>anticipating financial issues and working collaboratively in developing solutions</w:t>
      </w:r>
    </w:p>
    <w:p w:rsidR="009C4BD8" w:rsidRPr="00F401ED" w:rsidRDefault="005D6E47" w:rsidP="00762037">
      <w:pPr>
        <w:pStyle w:val="ListParagraph"/>
        <w:numPr>
          <w:ilvl w:val="1"/>
          <w:numId w:val="1"/>
        </w:numPr>
        <w:spacing w:before="40" w:after="40"/>
        <w:ind w:hanging="357"/>
        <w:contextualSpacing w:val="0"/>
        <w:rPr>
          <w:szCs w:val="18"/>
        </w:rPr>
      </w:pPr>
      <w:r>
        <w:rPr>
          <w:szCs w:val="20"/>
        </w:rPr>
        <w:t>f</w:t>
      </w:r>
      <w:r w:rsidR="0CA382EB" w:rsidRPr="0CA382EB">
        <w:rPr>
          <w:szCs w:val="20"/>
        </w:rPr>
        <w:t>inancial literacy training and support to enhance financial knowledge</w:t>
      </w:r>
      <w:r w:rsidR="00F97BBC">
        <w:rPr>
          <w:szCs w:val="20"/>
        </w:rPr>
        <w:t>; and</w:t>
      </w:r>
    </w:p>
    <w:p w:rsidR="00F401ED" w:rsidRDefault="00F401ED" w:rsidP="00762037">
      <w:pPr>
        <w:pStyle w:val="ListParagraph"/>
        <w:numPr>
          <w:ilvl w:val="1"/>
          <w:numId w:val="1"/>
        </w:numPr>
        <w:spacing w:before="40" w:after="40"/>
        <w:ind w:hanging="357"/>
        <w:contextualSpacing w:val="0"/>
        <w:rPr>
          <w:szCs w:val="18"/>
        </w:rPr>
      </w:pPr>
      <w:r>
        <w:rPr>
          <w:szCs w:val="18"/>
        </w:rPr>
        <w:t xml:space="preserve"> procurement advice</w:t>
      </w:r>
    </w:p>
    <w:p w:rsidR="00CB65BF" w:rsidRPr="006A3A8E" w:rsidRDefault="00CB65BF" w:rsidP="00CB65BF">
      <w:pPr>
        <w:pStyle w:val="Heading2"/>
      </w:pPr>
      <w:bookmarkStart w:id="44" w:name="_Toc106780921"/>
      <w:bookmarkStart w:id="45" w:name="_Toc111026118"/>
      <w:r w:rsidRPr="006A3A8E">
        <w:lastRenderedPageBreak/>
        <w:t>Governance capability</w:t>
      </w:r>
      <w:bookmarkEnd w:id="44"/>
      <w:bookmarkEnd w:id="45"/>
    </w:p>
    <w:p w:rsidR="00CB65BF" w:rsidRPr="006A3A8E" w:rsidRDefault="00CB65BF" w:rsidP="00C26CC4">
      <w:pPr>
        <w:spacing w:before="120" w:after="120"/>
        <w:rPr>
          <w:sz w:val="20"/>
          <w:szCs w:val="20"/>
        </w:rPr>
      </w:pPr>
      <w:r w:rsidRPr="006A3A8E">
        <w:rPr>
          <w:sz w:val="20"/>
          <w:szCs w:val="20"/>
        </w:rPr>
        <w:t>The department’s governance structure is designed to ensure accountability</w:t>
      </w:r>
      <w:r w:rsidR="00FE0440">
        <w:rPr>
          <w:sz w:val="20"/>
          <w:szCs w:val="20"/>
        </w:rPr>
        <w:t xml:space="preserve"> to support the work of the department and support the Secretary, as the accountable authority.</w:t>
      </w:r>
      <w:r w:rsidR="006A572C">
        <w:rPr>
          <w:sz w:val="20"/>
          <w:szCs w:val="20"/>
        </w:rPr>
        <w:t xml:space="preserve"> The structure is shown in the diagram below.</w:t>
      </w:r>
    </w:p>
    <w:p w:rsidR="00B52697" w:rsidRPr="00725C63" w:rsidRDefault="00CB65BF" w:rsidP="00725C63">
      <w:pPr>
        <w:spacing w:before="240" w:after="120" w:line="240" w:lineRule="auto"/>
        <w:rPr>
          <w:rFonts w:ascii="Georgia" w:hAnsi="Georgia"/>
          <w:sz w:val="24"/>
          <w:szCs w:val="24"/>
        </w:rPr>
      </w:pPr>
      <w:r w:rsidRPr="00725C63">
        <w:rPr>
          <w:rFonts w:ascii="Georgia" w:hAnsi="Georgia"/>
          <w:sz w:val="24"/>
          <w:szCs w:val="24"/>
        </w:rPr>
        <w:t xml:space="preserve">Governance </w:t>
      </w:r>
      <w:r w:rsidR="00436515">
        <w:rPr>
          <w:rFonts w:ascii="Georgia" w:hAnsi="Georgia"/>
          <w:sz w:val="24"/>
          <w:szCs w:val="24"/>
        </w:rPr>
        <w:t>s</w:t>
      </w:r>
      <w:r w:rsidRPr="00725C63">
        <w:rPr>
          <w:rFonts w:ascii="Georgia" w:hAnsi="Georgia"/>
          <w:sz w:val="24"/>
          <w:szCs w:val="24"/>
        </w:rPr>
        <w:t xml:space="preserve">tructure </w:t>
      </w:r>
      <w:r w:rsidR="00436515">
        <w:rPr>
          <w:rFonts w:ascii="Georgia" w:hAnsi="Georgia"/>
          <w:sz w:val="24"/>
          <w:szCs w:val="24"/>
        </w:rPr>
        <w:t>d</w:t>
      </w:r>
      <w:r w:rsidRPr="00725C63">
        <w:rPr>
          <w:rFonts w:ascii="Georgia" w:hAnsi="Georgia"/>
          <w:sz w:val="24"/>
          <w:szCs w:val="24"/>
        </w:rPr>
        <w:t>iagram</w:t>
      </w:r>
    </w:p>
    <w:p w:rsidR="009B2898" w:rsidRPr="00725C63" w:rsidRDefault="001C6390" w:rsidP="00762037">
      <w:pPr>
        <w:spacing w:before="120" w:after="120"/>
        <w:rPr>
          <w:rFonts w:ascii="Georgia" w:hAnsi="Georgia"/>
          <w:sz w:val="24"/>
          <w:szCs w:val="24"/>
        </w:rPr>
      </w:pPr>
      <w:r>
        <w:rPr>
          <w:noProof/>
          <w:sz w:val="16"/>
          <w:szCs w:val="18"/>
          <w:lang w:eastAsia="en-AU"/>
        </w:rPr>
        <w:drawing>
          <wp:inline distT="0" distB="0" distL="0" distR="0" wp14:anchorId="18BCAB4B" wp14:editId="190420BC">
            <wp:extent cx="6120024" cy="2160905"/>
            <wp:effectExtent l="0" t="0" r="0" b="0"/>
            <wp:docPr id="15" name="Picture 15" descr="This diagram outlines the DSS governance structure starting with the Secterary that has two branches underneath.&#10;1. Executive Management Group that feeds down to the People and Evaluation Committee, People and Culture Committee, Program Committee and ICT Committee.&#10;2. Audit and Risk Committee&#10;" title="Governance Stru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S Corporate Plan_Governance strucuture graphic_V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24" cy="2160905"/>
                    </a:xfrm>
                    <a:prstGeom prst="rect">
                      <a:avLst/>
                    </a:prstGeom>
                  </pic:spPr>
                </pic:pic>
              </a:graphicData>
            </a:graphic>
          </wp:inline>
        </w:drawing>
      </w:r>
      <w:bookmarkStart w:id="46" w:name="_Toc46235541"/>
      <w:bookmarkStart w:id="47" w:name="_Toc47604319"/>
      <w:r w:rsidR="008918FF" w:rsidRPr="00725C63">
        <w:rPr>
          <w:rFonts w:ascii="Georgia" w:hAnsi="Georgia"/>
          <w:sz w:val="24"/>
          <w:szCs w:val="24"/>
        </w:rPr>
        <w:t>DSS planning and reporting framework</w:t>
      </w:r>
    </w:p>
    <w:p w:rsidR="00014834" w:rsidRDefault="000F7A9A" w:rsidP="000F7A9A">
      <w:pPr>
        <w:rPr>
          <w:sz w:val="20"/>
          <w:szCs w:val="20"/>
        </w:rPr>
      </w:pPr>
      <w:r w:rsidRPr="000F7A9A">
        <w:rPr>
          <w:sz w:val="20"/>
          <w:szCs w:val="20"/>
        </w:rPr>
        <w:t xml:space="preserve">The </w:t>
      </w:r>
      <w:r>
        <w:rPr>
          <w:sz w:val="20"/>
          <w:szCs w:val="20"/>
        </w:rPr>
        <w:t>d</w:t>
      </w:r>
      <w:r w:rsidRPr="000F7A9A">
        <w:rPr>
          <w:sz w:val="20"/>
          <w:szCs w:val="20"/>
        </w:rPr>
        <w:t>epartment’s planning and reporting framework supports the delivery of our obligations under the PGPA Act and ensure</w:t>
      </w:r>
      <w:r w:rsidR="00987007">
        <w:rPr>
          <w:sz w:val="20"/>
          <w:szCs w:val="20"/>
        </w:rPr>
        <w:t>s</w:t>
      </w:r>
      <w:r w:rsidRPr="000F7A9A">
        <w:rPr>
          <w:sz w:val="20"/>
          <w:szCs w:val="20"/>
        </w:rPr>
        <w:t xml:space="preserve"> that the business planning, performance measurement and budget processes are aligned. </w:t>
      </w:r>
    </w:p>
    <w:p w:rsidR="00965CC0" w:rsidRDefault="00014834" w:rsidP="00014834">
      <w:pPr>
        <w:pStyle w:val="Normalmorespace"/>
      </w:pPr>
      <w:r>
        <w:t xml:space="preserve">The Corporate Plan is our primary planning document and it integrates our outcomes, performance, priorities, and workplace values. The detailed </w:t>
      </w:r>
      <w:r w:rsidR="00C77D69">
        <w:t>group</w:t>
      </w:r>
      <w:r>
        <w:t xml:space="preserve"> business plans and individual performance plans cascade down from the Corporate </w:t>
      </w:r>
      <w:r w:rsidR="00985F9D">
        <w:t>Plan, which</w:t>
      </w:r>
      <w:r>
        <w:t xml:space="preserve"> allows the department to have a clear line of sight between our strategic objectives and performance. We measure and assess performance in contributing to government policy objectives through the lens of the </w:t>
      </w:r>
      <w:r w:rsidR="00987007">
        <w:t>4</w:t>
      </w:r>
      <w:r w:rsidR="00EC5752">
        <w:t xml:space="preserve"> </w:t>
      </w:r>
      <w:r>
        <w:t>outcomes.</w:t>
      </w:r>
    </w:p>
    <w:p w:rsidR="002E3EE9" w:rsidRPr="00436515" w:rsidRDefault="00965CC0" w:rsidP="00454CE3">
      <w:pPr>
        <w:tabs>
          <w:tab w:val="left" w:pos="5461"/>
        </w:tabs>
      </w:pPr>
      <w:r>
        <w:rPr>
          <w:noProof/>
          <w:lang w:eastAsia="en-AU"/>
        </w:rPr>
        <w:drawing>
          <wp:inline distT="0" distB="0" distL="0" distR="0" wp14:anchorId="10F5693D" wp14:editId="4D9F47A2">
            <wp:extent cx="6120130" cy="4006850"/>
            <wp:effectExtent l="0" t="0" r="0" b="0"/>
            <wp:docPr id="1" name="Picture 1" descr="This diagram outlines the two streams of the planning and reporting framework.&#10;1. Planning process: feeds down from Portfolio Budget Statements, Corporate Plan, to Developing stream and group business plans and Individual Performance and development Agreements.&#10;2. Review and Reporting process: feeds down from Annual Performance Statement and the Annual Report, to Enterprise Risk Review, Business Plan Reviews, and IPDA reviews." title="DSS planning and report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4006850"/>
                    </a:xfrm>
                    <a:prstGeom prst="rect">
                      <a:avLst/>
                    </a:prstGeom>
                  </pic:spPr>
                </pic:pic>
              </a:graphicData>
            </a:graphic>
          </wp:inline>
        </w:drawing>
      </w:r>
      <w:r w:rsidR="00877003">
        <w:br/>
      </w:r>
    </w:p>
    <w:p w:rsidR="002E3EE9" w:rsidRPr="002E3EE9" w:rsidRDefault="00965CC0" w:rsidP="00454CE3">
      <w:r>
        <w:br w:type="textWrapping" w:clear="all"/>
      </w:r>
    </w:p>
    <w:p w:rsidR="009256D1" w:rsidRPr="00FC5132" w:rsidRDefault="77201C0A" w:rsidP="006A3A8E">
      <w:pPr>
        <w:pStyle w:val="Heading1-NP"/>
      </w:pPr>
      <w:bookmarkStart w:id="48" w:name="_Toc111026119"/>
      <w:r>
        <w:lastRenderedPageBreak/>
        <w:t xml:space="preserve">Risk </w:t>
      </w:r>
      <w:r w:rsidR="32882AE0">
        <w:t xml:space="preserve">oversight and </w:t>
      </w:r>
      <w:r w:rsidR="23967BCE">
        <w:t>management</w:t>
      </w:r>
      <w:bookmarkEnd w:id="46"/>
      <w:bookmarkEnd w:id="47"/>
      <w:bookmarkEnd w:id="48"/>
    </w:p>
    <w:p w:rsidR="00C8452F" w:rsidRPr="00C8452F" w:rsidRDefault="00C8452F" w:rsidP="00C8452F">
      <w:pPr>
        <w:pStyle w:val="Heading2"/>
      </w:pPr>
      <w:bookmarkStart w:id="49" w:name="_Toc111026120"/>
      <w:r w:rsidRPr="00C8452F">
        <w:t xml:space="preserve">Our risk </w:t>
      </w:r>
      <w:r w:rsidR="009C4BD8">
        <w:t>management</w:t>
      </w:r>
      <w:bookmarkEnd w:id="49"/>
    </w:p>
    <w:p w:rsidR="00B513C3" w:rsidRPr="00B513C3" w:rsidRDefault="00B513C3" w:rsidP="00B513C3">
      <w:pPr>
        <w:suppressAutoHyphens/>
        <w:spacing w:before="120" w:after="120"/>
        <w:rPr>
          <w:sz w:val="20"/>
          <w:szCs w:val="20"/>
        </w:rPr>
      </w:pPr>
      <w:r w:rsidRPr="00B513C3">
        <w:rPr>
          <w:sz w:val="20"/>
          <w:szCs w:val="20"/>
        </w:rPr>
        <w:t xml:space="preserve">The Enterprise Risk Management Model (the model) shows how the </w:t>
      </w:r>
      <w:r>
        <w:rPr>
          <w:sz w:val="20"/>
          <w:szCs w:val="20"/>
        </w:rPr>
        <w:t>d</w:t>
      </w:r>
      <w:r w:rsidRPr="00B513C3">
        <w:rPr>
          <w:sz w:val="20"/>
          <w:szCs w:val="20"/>
        </w:rPr>
        <w:t>epartment’s current approach to risk is</w:t>
      </w:r>
      <w:r w:rsidR="00D94052">
        <w:rPr>
          <w:sz w:val="20"/>
          <w:szCs w:val="20"/>
        </w:rPr>
        <w:t> </w:t>
      </w:r>
      <w:r w:rsidRPr="00B513C3">
        <w:rPr>
          <w:sz w:val="20"/>
          <w:szCs w:val="20"/>
        </w:rPr>
        <w:t>managed across the department in the context of our mission, purpose and organisational priorities. The model is oversighted by the Executive Management Group</w:t>
      </w:r>
      <w:r>
        <w:rPr>
          <w:sz w:val="20"/>
          <w:szCs w:val="20"/>
        </w:rPr>
        <w:t>,</w:t>
      </w:r>
      <w:r w:rsidRPr="00B513C3">
        <w:rPr>
          <w:sz w:val="20"/>
          <w:szCs w:val="20"/>
        </w:rPr>
        <w:t xml:space="preserve"> Executive Committees and Secretary for awareness and treatment. </w:t>
      </w:r>
    </w:p>
    <w:p w:rsidR="00B513C3" w:rsidRPr="00DA1886" w:rsidRDefault="00B513C3" w:rsidP="00B513C3">
      <w:pPr>
        <w:pStyle w:val="Normalmorespace"/>
      </w:pPr>
      <w:r w:rsidRPr="00EC3FD4">
        <w:t xml:space="preserve">Our risk framework enables </w:t>
      </w:r>
      <w:r>
        <w:t>us</w:t>
      </w:r>
      <w:r w:rsidRPr="00EC3FD4">
        <w:t xml:space="preserve"> to provide consistent and effective identification, assessment and proportional response to risk to support achievement of </w:t>
      </w:r>
      <w:r w:rsidRPr="008B0F77">
        <w:t>our purpose</w:t>
      </w:r>
      <w:r w:rsidRPr="00EC3FD4">
        <w:t>. It provides oversight and supports staff in the department to meet the</w:t>
      </w:r>
      <w:r>
        <w:t>ir</w:t>
      </w:r>
      <w:r w:rsidRPr="00EC3FD4">
        <w:t xml:space="preserve"> duties </w:t>
      </w:r>
      <w:r w:rsidRPr="00982800">
        <w:t>under Section</w:t>
      </w:r>
      <w:r w:rsidRPr="00EC3FD4">
        <w:t xml:space="preserve"> 16 of the </w:t>
      </w:r>
      <w:r w:rsidRPr="00D84D85">
        <w:rPr>
          <w:rStyle w:val="BodytextITALIC"/>
        </w:rPr>
        <w:t xml:space="preserve">Public Governance, Performance and Accountability Act 2013 </w:t>
      </w:r>
      <w:r w:rsidRPr="008554C7">
        <w:rPr>
          <w:rStyle w:val="BodytextITALIC"/>
          <w:i w:val="0"/>
        </w:rPr>
        <w:t>(PGPA Act)</w:t>
      </w:r>
      <w:r w:rsidRPr="00EC3FD4">
        <w:t xml:space="preserve"> and the Commonwealth Risk Management Policy.</w:t>
      </w:r>
    </w:p>
    <w:p w:rsidR="00B513C3" w:rsidRDefault="00B513C3" w:rsidP="00B513C3">
      <w:pPr>
        <w:pStyle w:val="Normalmorespace"/>
      </w:pPr>
      <w:r w:rsidRPr="00EC3FD4">
        <w:t xml:space="preserve">The risk framework serves to inform the decision-making process on how we design, implement, monitor and continually improve risk management. It provides clear responsibilities for all </w:t>
      </w:r>
      <w:r>
        <w:t xml:space="preserve">our </w:t>
      </w:r>
      <w:r w:rsidRPr="00EC3FD4">
        <w:t>staff to manage and report on risk.</w:t>
      </w:r>
    </w:p>
    <w:p w:rsidR="008775F7" w:rsidRDefault="00171E81" w:rsidP="00924B64">
      <w:pPr>
        <w:pStyle w:val="Normalmorespace"/>
        <w:jc w:val="center"/>
      </w:pPr>
      <w:r w:rsidRPr="00292DBE">
        <w:rPr>
          <w:noProof/>
        </w:rPr>
        <w:drawing>
          <wp:inline distT="0" distB="0" distL="0" distR="0" wp14:anchorId="6E2B1703" wp14:editId="134C3FCA">
            <wp:extent cx="5968149" cy="4753155"/>
            <wp:effectExtent l="0" t="0" r="0" b="0"/>
            <wp:docPr id="14" name="Picture 14" descr="We manage risk in the context of our mission, purpose and priorities. &#10;This diagram shows a visual representation of the enterprise risk management model. This includes the organisational perspectives (risks), strategy and governance (enterrpise risk) corporate (Group and branch risks), policy and program (policy, program, delivery, evaluation risks), Specialist function (specialist risks), change initiatives (Program and project risks). Each of the committees under various streams feed up into EMG and link back to the department's Mission, Values and Purpose. Our organisational priorities are to provide quality policy advicen, effective program design and management and build a productive, safe, diverse and respectful workplace. " title="Our Risk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6636" cy="4791771"/>
                    </a:xfrm>
                    <a:prstGeom prst="rect">
                      <a:avLst/>
                    </a:prstGeom>
                  </pic:spPr>
                </pic:pic>
              </a:graphicData>
            </a:graphic>
          </wp:inline>
        </w:drawing>
      </w:r>
    </w:p>
    <w:p w:rsidR="53F10800" w:rsidRDefault="00533ABB" w:rsidP="001B47CC">
      <w:pPr>
        <w:pStyle w:val="Normalmorespace"/>
      </w:pPr>
      <w:r>
        <w:t>Executive</w:t>
      </w:r>
      <w:r w:rsidR="00B52437">
        <w:t xml:space="preserve"> committees oversee the approach and effectiveness of our risk framework and make decisions about enterprise risks. </w:t>
      </w:r>
      <w:r w:rsidR="28034919">
        <w:t>In addition to the governance committees</w:t>
      </w:r>
      <w:r w:rsidR="00FC2272">
        <w:t>,</w:t>
      </w:r>
      <w:r w:rsidR="28034919">
        <w:t xml:space="preserve"> the Chief Risk Officer Working Group supports the Chief Risk Officer and the Executive Management </w:t>
      </w:r>
      <w:r w:rsidR="00987007">
        <w:t xml:space="preserve">Group </w:t>
      </w:r>
      <w:r w:rsidR="28034919">
        <w:t xml:space="preserve">in recognising and raising awareness of risk related issues within the department. The department’s nominated Risk Stewards, each </w:t>
      </w:r>
      <w:r w:rsidR="007C3398">
        <w:t xml:space="preserve">oversee </w:t>
      </w:r>
      <w:r w:rsidR="28034919">
        <w:t>an identified enterprise risk are members of this group.</w:t>
      </w:r>
    </w:p>
    <w:p w:rsidR="008775F7" w:rsidRPr="00EC3FD4" w:rsidRDefault="007C3398" w:rsidP="001B47CC">
      <w:pPr>
        <w:pStyle w:val="Normalmorespace"/>
      </w:pPr>
      <w:r>
        <w:t>E</w:t>
      </w:r>
      <w:r w:rsidR="00B52437" w:rsidRPr="00EC3FD4">
        <w:t xml:space="preserve">nterprise risks are reviewed annually to assess currency, relevance and the status of the key controls and progress of treatment actions. </w:t>
      </w:r>
      <w:r w:rsidR="00F20B05">
        <w:t xml:space="preserve">This review process informs </w:t>
      </w:r>
      <w:r w:rsidR="00533ABB">
        <w:t>executive</w:t>
      </w:r>
      <w:r w:rsidR="00B52437" w:rsidRPr="00EC3FD4">
        <w:t xml:space="preserve"> governance committees to ensure senior executive oversight</w:t>
      </w:r>
      <w:r w:rsidR="00F20B05">
        <w:t xml:space="preserve"> and appropriate management action</w:t>
      </w:r>
      <w:r w:rsidR="00B52437" w:rsidRPr="00EC3FD4">
        <w:t xml:space="preserve">. The risk review </w:t>
      </w:r>
      <w:r w:rsidR="008B0F77">
        <w:t xml:space="preserve">process </w:t>
      </w:r>
      <w:r w:rsidR="00B52437" w:rsidRPr="00EC3FD4">
        <w:t>is also aligned to</w:t>
      </w:r>
      <w:r w:rsidR="00CA6E77">
        <w:t> </w:t>
      </w:r>
      <w:r w:rsidR="00B52437">
        <w:t>our</w:t>
      </w:r>
      <w:r w:rsidR="00B52437" w:rsidRPr="00EC3FD4">
        <w:t xml:space="preserve"> corporate planning cycle to strengthen the management of risk by integrating risk into </w:t>
      </w:r>
      <w:r w:rsidR="00B52437">
        <w:t xml:space="preserve">our </w:t>
      </w:r>
      <w:r w:rsidR="00B52437" w:rsidRPr="00EC3FD4">
        <w:t>governance and enterprise planning models, thereby ensuring management of risk is incorporated into decision-making at all levels.</w:t>
      </w:r>
      <w:r w:rsidR="00416C29">
        <w:t xml:space="preserve"> </w:t>
      </w:r>
    </w:p>
    <w:p w:rsidR="00D139F6" w:rsidRPr="00DA1886" w:rsidRDefault="00D139F6" w:rsidP="00D139F6">
      <w:pPr>
        <w:pStyle w:val="Normal-PUSHTONEXTPAGE"/>
      </w:pPr>
      <w:r w:rsidRPr="00EC3FD4">
        <w:lastRenderedPageBreak/>
        <w:t>Effective risk management is fundamental to ensuring we are able to deliver on the Government’s priorities for our department. Working in an environment where third parties deliver our programs requires us to understand how best to manage shared risks. As a result, we require the right evidence, at the right time, to</w:t>
      </w:r>
      <w:r w:rsidR="00CA6E77">
        <w:t> </w:t>
      </w:r>
      <w:r w:rsidRPr="00EC3FD4">
        <w:t>make sound management decisions regarding the development</w:t>
      </w:r>
      <w:r>
        <w:t>,</w:t>
      </w:r>
      <w:r w:rsidRPr="00EC3FD4">
        <w:t xml:space="preserve"> implementation</w:t>
      </w:r>
      <w:r>
        <w:t xml:space="preserve"> and oversight</w:t>
      </w:r>
      <w:r w:rsidRPr="00EC3FD4">
        <w:t xml:space="preserve"> of policy outcomes.</w:t>
      </w:r>
    </w:p>
    <w:p w:rsidR="00416C29" w:rsidRDefault="008B0F77" w:rsidP="00523300">
      <w:pPr>
        <w:pStyle w:val="Normalmorespace"/>
      </w:pPr>
      <w:r w:rsidRPr="008B0F77">
        <w:t xml:space="preserve">We are focused on increasing our capability and capacity to manage risk and fostering a positive risk culture. </w:t>
      </w:r>
      <w:r w:rsidR="00416C29">
        <w:t xml:space="preserve">Transforming our culture supports our commitment to changing the way we manage risk. Our focus </w:t>
      </w:r>
      <w:r w:rsidR="008775F7">
        <w:t>includes</w:t>
      </w:r>
      <w:r w:rsidR="00416C29">
        <w:t xml:space="preserve"> traits and behaviours outlined in our workforce behaviours. </w:t>
      </w:r>
    </w:p>
    <w:p w:rsidR="00502F03" w:rsidRDefault="00502F03" w:rsidP="00523300">
      <w:pPr>
        <w:pStyle w:val="Normalmorespace"/>
      </w:pPr>
    </w:p>
    <w:p w:rsidR="00877003" w:rsidRDefault="0034519B" w:rsidP="00523300">
      <w:pPr>
        <w:pStyle w:val="Normalmorespace"/>
      </w:pPr>
      <w:r w:rsidRPr="0034519B">
        <w:rPr>
          <w:noProof/>
        </w:rPr>
        <w:drawing>
          <wp:inline distT="0" distB="0" distL="0" distR="0" wp14:anchorId="3428A77D" wp14:editId="1FBEBF00">
            <wp:extent cx="6120130" cy="3469640"/>
            <wp:effectExtent l="0" t="0" r="0" b="0"/>
            <wp:docPr id="252" name="Picture 252" descr="This diagram is a visual representation of the departmental values and how they are met using the risk management framework:&#10;1. Action-orientated: - support executive decisions and resource allocations and escalate risks&#10;2. Builders of cooperative Relationships: collaborate with stakeholders&#10;3. Curious: have an open mind and be honest with our risks.&#10;4. Decisive: escalate and act on risks and use risk management to drive a decision. " title="Departmental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469640"/>
                    </a:xfrm>
                    <a:prstGeom prst="rect">
                      <a:avLst/>
                    </a:prstGeom>
                  </pic:spPr>
                </pic:pic>
              </a:graphicData>
            </a:graphic>
          </wp:inline>
        </w:drawing>
      </w:r>
    </w:p>
    <w:p w:rsidR="00502F03" w:rsidRDefault="00502F03" w:rsidP="00C27F63">
      <w:pPr>
        <w:pStyle w:val="Normalmorespace"/>
      </w:pPr>
    </w:p>
    <w:p w:rsidR="00C27F63" w:rsidRPr="00EC3FD4" w:rsidRDefault="001B47CC" w:rsidP="00C27F63">
      <w:pPr>
        <w:pStyle w:val="Normalmorespace"/>
      </w:pPr>
      <w:r>
        <w:t>In addition to Risk Management, i</w:t>
      </w:r>
      <w:r w:rsidR="00C27F63" w:rsidRPr="008B0F77">
        <w:t>nternal audit provides independent oversight and assurance that our internal controls are fit for purpose and operating in an efficient, effective, economical and ethical manner. Continual improvement of our control environment and strengthening of our systems and processes ensures we are able to effectively manage current risks and issues whilst adapting to new or emerging challenges as</w:t>
      </w:r>
      <w:r w:rsidR="00CA6E77">
        <w:t> </w:t>
      </w:r>
      <w:r w:rsidR="00C27F63" w:rsidRPr="008B0F77">
        <w:t>they arise.</w:t>
      </w:r>
    </w:p>
    <w:p w:rsidR="002C7288" w:rsidRDefault="002C7288" w:rsidP="002C7288">
      <w:pPr>
        <w:pStyle w:val="Normalmorespace"/>
      </w:pPr>
      <w:r>
        <w:t xml:space="preserve">Over the next 4 years, </w:t>
      </w:r>
      <w:r w:rsidRPr="00EC3FD4">
        <w:t xml:space="preserve">we will continue to develop and mature our </w:t>
      </w:r>
      <w:r>
        <w:t>Risk Framework</w:t>
      </w:r>
      <w:r w:rsidRPr="00EC3FD4">
        <w:t xml:space="preserve"> </w:t>
      </w:r>
      <w:r>
        <w:t>to help</w:t>
      </w:r>
      <w:r w:rsidRPr="00EC3FD4">
        <w:t xml:space="preserve"> departmental staff </w:t>
      </w:r>
      <w:r>
        <w:t>further engage with risk and apply best practice</w:t>
      </w:r>
      <w:r w:rsidRPr="00EC3FD4">
        <w:t xml:space="preserve">. </w:t>
      </w:r>
      <w:r w:rsidRPr="003B57E1">
        <w:t>Our risk appetite is outlined in our risk framework and will continue to be further enhanced through an integrated approach to business and project plannin</w:t>
      </w:r>
      <w:r>
        <w:t>g.</w:t>
      </w:r>
    </w:p>
    <w:p w:rsidR="00502F03" w:rsidRDefault="00502F03" w:rsidP="002C7288">
      <w:pPr>
        <w:pStyle w:val="Normalmorespace"/>
      </w:pPr>
    </w:p>
    <w:p w:rsidR="00C8452F" w:rsidRPr="00C8452F" w:rsidRDefault="00C8452F" w:rsidP="00F95E2B">
      <w:pPr>
        <w:pStyle w:val="Heading2"/>
      </w:pPr>
      <w:bookmarkStart w:id="50" w:name="_Toc111026121"/>
      <w:r w:rsidRPr="0018378C">
        <w:t>Our</w:t>
      </w:r>
      <w:r w:rsidRPr="00C8452F">
        <w:t xml:space="preserve"> enterprise risks</w:t>
      </w:r>
      <w:bookmarkEnd w:id="50"/>
    </w:p>
    <w:p w:rsidR="00B52437" w:rsidRPr="00EC3FD4" w:rsidRDefault="00B52437" w:rsidP="00523300">
      <w:pPr>
        <w:pStyle w:val="Normalmorespace"/>
      </w:pPr>
      <w:r>
        <w:t>We</w:t>
      </w:r>
      <w:r w:rsidRPr="00EC3FD4">
        <w:t xml:space="preserve"> ha</w:t>
      </w:r>
      <w:r>
        <w:t>ve</w:t>
      </w:r>
      <w:r w:rsidRPr="00EC3FD4">
        <w:t xml:space="preserve"> </w:t>
      </w:r>
      <w:r w:rsidR="00C62C0B">
        <w:t>6</w:t>
      </w:r>
      <w:r w:rsidRPr="00EC3FD4">
        <w:t xml:space="preserve"> risks at the enterprise level. The </w:t>
      </w:r>
      <w:r w:rsidR="00E30EF3">
        <w:t xml:space="preserve">department’s </w:t>
      </w:r>
      <w:r w:rsidRPr="00EC3FD4">
        <w:t xml:space="preserve">Executive Management Group has identified these enterprise risks as potential threats to achieving our mission, purpose and priorities. These risks are strategic in nature and cut across our organisational boundaries. Managing these risks requires oversight by our </w:t>
      </w:r>
      <w:r>
        <w:t>e</w:t>
      </w:r>
      <w:r w:rsidRPr="00EC3FD4">
        <w:t>xecutives and Executive Committees to ensure we take an integrated approach to treating them.</w:t>
      </w:r>
    </w:p>
    <w:p w:rsidR="00502F03" w:rsidRDefault="00502F03">
      <w:pPr>
        <w:spacing w:before="0" w:after="160"/>
        <w:rPr>
          <w:rFonts w:eastAsia="Times New Roman" w:cs="Times New Roman"/>
          <w:color w:val="000000" w:themeColor="text1"/>
          <w:sz w:val="20"/>
          <w:szCs w:val="20"/>
          <w:lang w:eastAsia="en-AU"/>
        </w:rPr>
      </w:pPr>
      <w:r>
        <w:br w:type="page"/>
      </w:r>
    </w:p>
    <w:p w:rsidR="00A076C6" w:rsidRDefault="00B52437" w:rsidP="00523300">
      <w:pPr>
        <w:pStyle w:val="Normalmorespace"/>
      </w:pPr>
      <w:r w:rsidRPr="00EC3FD4">
        <w:lastRenderedPageBreak/>
        <w:t>Below are our enterprise risks and mitigation</w:t>
      </w:r>
      <w:r w:rsidR="007B5173">
        <w:t>s</w:t>
      </w:r>
      <w:r w:rsidRPr="00EC3FD4">
        <w:t>.</w:t>
      </w:r>
      <w:r w:rsidR="00C8452F" w:rsidRPr="00EC3FD4">
        <w:t xml:space="preserve"> </w:t>
      </w:r>
    </w:p>
    <w:tbl>
      <w:tblPr>
        <w:tblStyle w:val="TableGrid101"/>
        <w:tblW w:w="4999" w:type="pct"/>
        <w:tblBorders>
          <w:left w:val="none" w:sz="0" w:space="0" w:color="auto"/>
          <w:right w:val="none" w:sz="0" w:space="0" w:color="auto"/>
          <w:insideV w:val="none" w:sz="0" w:space="0" w:color="auto"/>
        </w:tblBorders>
        <w:shd w:val="clear" w:color="auto" w:fill="FFFFFF" w:themeFill="background1"/>
        <w:tblLook w:val="0080" w:firstRow="0" w:lastRow="0" w:firstColumn="1" w:lastColumn="0" w:noHBand="0" w:noVBand="0"/>
        <w:tblCaption w:val="Risk rating and mitigations"/>
        <w:tblDescription w:val="This table shows the department's enterprise risks and mitigations.&#10;It has three columns and four rows that describe the enterprise risks and mitigations assoicated with each of our organisational boundaries, which include Delivery, People and Capability, Policy and Data, and Relationships and Influence. "/>
      </w:tblPr>
      <w:tblGrid>
        <w:gridCol w:w="1417"/>
        <w:gridCol w:w="2193"/>
        <w:gridCol w:w="6026"/>
      </w:tblGrid>
      <w:tr w:rsidR="00151EB5" w:rsidRPr="00151EB5" w:rsidTr="00513FD2">
        <w:trPr>
          <w:trHeight w:val="358"/>
          <w:tblHeader/>
        </w:trPr>
        <w:tc>
          <w:tcPr>
            <w:tcW w:w="735" w:type="pct"/>
            <w:shd w:val="clear" w:color="auto" w:fill="C2E189"/>
          </w:tcPr>
          <w:p w:rsidR="00151EB5" w:rsidRPr="003F28F0" w:rsidRDefault="00151EB5" w:rsidP="003912B3">
            <w:pPr>
              <w:pStyle w:val="TableH1"/>
              <w:rPr>
                <w:color w:val="auto"/>
              </w:rPr>
            </w:pPr>
            <w:r w:rsidRPr="003F28F0">
              <w:rPr>
                <w:color w:val="auto"/>
              </w:rPr>
              <w:t>Category</w:t>
            </w:r>
          </w:p>
        </w:tc>
        <w:tc>
          <w:tcPr>
            <w:tcW w:w="1138" w:type="pct"/>
            <w:shd w:val="clear" w:color="auto" w:fill="C2E189"/>
            <w:vAlign w:val="center"/>
            <w:hideMark/>
          </w:tcPr>
          <w:p w:rsidR="00151EB5" w:rsidRPr="003F28F0" w:rsidRDefault="00151EB5" w:rsidP="003912B3">
            <w:pPr>
              <w:pStyle w:val="TableH1"/>
              <w:rPr>
                <w:color w:val="auto"/>
              </w:rPr>
            </w:pPr>
            <w:r w:rsidRPr="003F28F0">
              <w:rPr>
                <w:color w:val="auto"/>
              </w:rPr>
              <w:t>enterprise risks</w:t>
            </w:r>
          </w:p>
        </w:tc>
        <w:tc>
          <w:tcPr>
            <w:tcW w:w="3127" w:type="pct"/>
            <w:shd w:val="clear" w:color="auto" w:fill="C2E189"/>
            <w:vAlign w:val="center"/>
          </w:tcPr>
          <w:p w:rsidR="00151EB5" w:rsidRPr="003F28F0" w:rsidRDefault="00151EB5" w:rsidP="003912B3">
            <w:pPr>
              <w:pStyle w:val="TableH1"/>
              <w:rPr>
                <w:color w:val="auto"/>
              </w:rPr>
            </w:pPr>
            <w:r w:rsidRPr="003F28F0">
              <w:rPr>
                <w:color w:val="auto"/>
              </w:rPr>
              <w:t>mitigations</w:t>
            </w:r>
          </w:p>
        </w:tc>
      </w:tr>
      <w:tr w:rsidR="00151EB5" w:rsidRPr="00151EB5" w:rsidTr="00513FD2">
        <w:trPr>
          <w:trHeight w:val="648"/>
        </w:trPr>
        <w:tc>
          <w:tcPr>
            <w:tcW w:w="735" w:type="pct"/>
            <w:shd w:val="clear" w:color="auto" w:fill="E6F3CF" w:themeFill="accent3" w:themeFillTint="66"/>
          </w:tcPr>
          <w:p w:rsidR="00151EB5" w:rsidRPr="00151EB5" w:rsidRDefault="00151EB5" w:rsidP="00D54B31">
            <w:pPr>
              <w:pStyle w:val="TABLEBodytext"/>
              <w:spacing w:after="120"/>
            </w:pPr>
            <w:r w:rsidRPr="003A3048">
              <w:rPr>
                <w:sz w:val="20"/>
              </w:rPr>
              <w:t xml:space="preserve">Delivery </w:t>
            </w:r>
          </w:p>
        </w:tc>
        <w:tc>
          <w:tcPr>
            <w:tcW w:w="1138" w:type="pct"/>
            <w:shd w:val="clear" w:color="auto" w:fill="FFFFFF" w:themeFill="background1"/>
            <w:hideMark/>
          </w:tcPr>
          <w:p w:rsidR="00151EB5" w:rsidRPr="00151EB5" w:rsidRDefault="00151EB5" w:rsidP="00D54B31">
            <w:pPr>
              <w:pStyle w:val="TABLEBullets"/>
              <w:spacing w:before="120" w:after="120"/>
              <w:ind w:left="357" w:hanging="357"/>
              <w:rPr>
                <w:bdr w:val="nil"/>
              </w:rPr>
            </w:pPr>
            <w:r w:rsidRPr="00151EB5">
              <w:rPr>
                <w:bdr w:val="nil"/>
              </w:rPr>
              <w:t xml:space="preserve">Inability to provide quality policy advice and implement Government priorities. </w:t>
            </w:r>
          </w:p>
          <w:p w:rsidR="00151EB5" w:rsidRPr="00151EB5" w:rsidRDefault="00151EB5" w:rsidP="00D54B31">
            <w:pPr>
              <w:pStyle w:val="TABLEBullets"/>
              <w:spacing w:before="120" w:after="120"/>
              <w:ind w:left="357" w:hanging="357"/>
              <w:rPr>
                <w:bdr w:val="nil"/>
              </w:rPr>
            </w:pPr>
            <w:r w:rsidRPr="00151EB5">
              <w:rPr>
                <w:bdr w:val="nil"/>
              </w:rPr>
              <w:t>Inability to anticipate or respond to fiscal and the economic environment.</w:t>
            </w:r>
          </w:p>
        </w:tc>
        <w:tc>
          <w:tcPr>
            <w:tcW w:w="3127" w:type="pct"/>
            <w:shd w:val="clear" w:color="auto" w:fill="FFFFFF" w:themeFill="background1"/>
          </w:tcPr>
          <w:p w:rsidR="00151EB5" w:rsidRPr="00151EB5" w:rsidRDefault="00151EB5" w:rsidP="00D54B31">
            <w:pPr>
              <w:pStyle w:val="TABLEBullets"/>
              <w:spacing w:before="120" w:after="120"/>
              <w:ind w:left="357" w:hanging="357"/>
              <w:rPr>
                <w:bdr w:val="nil"/>
              </w:rPr>
            </w:pPr>
            <w:r w:rsidRPr="00151EB5">
              <w:rPr>
                <w:bdr w:val="nil"/>
              </w:rPr>
              <w:t xml:space="preserve">We continue to implement government priorities in line with legislation, frameworks and guidance </w:t>
            </w:r>
            <w:r w:rsidR="00D6100E">
              <w:rPr>
                <w:bdr w:val="nil"/>
              </w:rPr>
              <w:t xml:space="preserve">to deliver </w:t>
            </w:r>
            <w:r w:rsidR="00291C4B">
              <w:rPr>
                <w:bdr w:val="nil"/>
              </w:rPr>
              <w:t>against</w:t>
            </w:r>
            <w:r w:rsidR="00D6100E">
              <w:rPr>
                <w:bdr w:val="nil"/>
              </w:rPr>
              <w:t xml:space="preserve"> our</w:t>
            </w:r>
            <w:r w:rsidRPr="00151EB5">
              <w:rPr>
                <w:bdr w:val="nil"/>
              </w:rPr>
              <w:t xml:space="preserve"> four outcomes.</w:t>
            </w:r>
          </w:p>
          <w:p w:rsidR="00151EB5" w:rsidRPr="00151EB5" w:rsidRDefault="00151EB5" w:rsidP="00D54B31">
            <w:pPr>
              <w:pStyle w:val="TABLEBullets"/>
              <w:spacing w:before="120" w:after="120"/>
              <w:ind w:left="357" w:hanging="357"/>
              <w:rPr>
                <w:bdr w:val="nil"/>
              </w:rPr>
            </w:pPr>
            <w:r w:rsidRPr="00151EB5">
              <w:rPr>
                <w:bdr w:val="nil"/>
              </w:rPr>
              <w:t xml:space="preserve">Engage with policy experts in the academic sector to understand public policy impacts at a system level. </w:t>
            </w:r>
          </w:p>
          <w:p w:rsidR="00151EB5" w:rsidRPr="00151EB5" w:rsidRDefault="00151EB5" w:rsidP="00D54B31">
            <w:pPr>
              <w:pStyle w:val="TABLEBullets"/>
              <w:spacing w:before="120" w:after="120"/>
              <w:ind w:left="357" w:hanging="357"/>
              <w:rPr>
                <w:bdr w:val="nil"/>
              </w:rPr>
            </w:pPr>
            <w:r w:rsidRPr="00151EB5">
              <w:rPr>
                <w:bdr w:val="nil"/>
              </w:rPr>
              <w:t>Further enhance a DSS Risk Management Framework and use Enterprise Risk Stewards to further educate staff about risk.</w:t>
            </w:r>
          </w:p>
          <w:p w:rsidR="00151EB5" w:rsidRPr="00151EB5" w:rsidRDefault="00151EB5" w:rsidP="00D54B31">
            <w:pPr>
              <w:pStyle w:val="TABLEBullets"/>
              <w:spacing w:before="120" w:after="120"/>
              <w:ind w:left="357" w:hanging="357"/>
              <w:rPr>
                <w:bdr w:val="nil"/>
              </w:rPr>
            </w:pPr>
            <w:r w:rsidRPr="00151EB5">
              <w:rPr>
                <w:bdr w:val="nil"/>
              </w:rPr>
              <w:t>Further enhance the Business Planning Framework to better integrate priorities, projects and performance to ensure the most effective and efficient allocation of our people, resources and effort.</w:t>
            </w:r>
          </w:p>
        </w:tc>
      </w:tr>
      <w:tr w:rsidR="00151EB5" w:rsidRPr="00151EB5" w:rsidTr="00513FD2">
        <w:trPr>
          <w:trHeight w:val="693"/>
        </w:trPr>
        <w:tc>
          <w:tcPr>
            <w:tcW w:w="735" w:type="pct"/>
            <w:shd w:val="clear" w:color="auto" w:fill="E6F3CF" w:themeFill="accent3" w:themeFillTint="66"/>
          </w:tcPr>
          <w:p w:rsidR="00151EB5" w:rsidRPr="00151EB5" w:rsidRDefault="00151EB5" w:rsidP="00D54B31">
            <w:pPr>
              <w:pStyle w:val="TABLEBodytext"/>
              <w:spacing w:after="120"/>
            </w:pPr>
            <w:r w:rsidRPr="003A3048">
              <w:rPr>
                <w:sz w:val="20"/>
              </w:rPr>
              <w:t xml:space="preserve">People and Capability </w:t>
            </w:r>
          </w:p>
        </w:tc>
        <w:tc>
          <w:tcPr>
            <w:tcW w:w="1138" w:type="pct"/>
            <w:shd w:val="clear" w:color="auto" w:fill="FFFFFF" w:themeFill="background1"/>
            <w:hideMark/>
          </w:tcPr>
          <w:p w:rsidR="00151EB5" w:rsidRPr="00151EB5" w:rsidRDefault="00151EB5" w:rsidP="00D54B31">
            <w:pPr>
              <w:pStyle w:val="TABLEBullets"/>
              <w:spacing w:before="120" w:after="120"/>
              <w:ind w:left="357" w:hanging="357"/>
              <w:rPr>
                <w:bdr w:val="nil"/>
              </w:rPr>
            </w:pPr>
            <w:r w:rsidRPr="00151EB5">
              <w:rPr>
                <w:bdr w:val="nil"/>
              </w:rPr>
              <w:t>Inability to manage workforce requirements including capability, safety and wellbeing.</w:t>
            </w:r>
          </w:p>
        </w:tc>
        <w:tc>
          <w:tcPr>
            <w:tcW w:w="3127" w:type="pct"/>
            <w:shd w:val="clear" w:color="auto" w:fill="FFFFFF" w:themeFill="background1"/>
          </w:tcPr>
          <w:p w:rsidR="00151EB5" w:rsidRPr="00151EB5" w:rsidRDefault="00151EB5" w:rsidP="00D54B31">
            <w:pPr>
              <w:pStyle w:val="TABLEBullets"/>
              <w:spacing w:before="120" w:after="120"/>
              <w:ind w:left="357" w:hanging="357"/>
              <w:rPr>
                <w:bdr w:val="nil"/>
              </w:rPr>
            </w:pPr>
            <w:r w:rsidRPr="00151EB5">
              <w:rPr>
                <w:bdr w:val="nil"/>
              </w:rPr>
              <w:t xml:space="preserve">Implement and monitor the DSS Workforce Strategy that sets direction and priorities to support and develop our people. </w:t>
            </w:r>
          </w:p>
          <w:p w:rsidR="00151EB5" w:rsidRPr="00151EB5" w:rsidRDefault="00151EB5" w:rsidP="00D54B31">
            <w:pPr>
              <w:pStyle w:val="TABLEBullets"/>
              <w:spacing w:before="120" w:after="120"/>
              <w:ind w:left="357" w:hanging="357"/>
              <w:rPr>
                <w:bdr w:val="nil"/>
              </w:rPr>
            </w:pPr>
            <w:r w:rsidRPr="00151EB5">
              <w:rPr>
                <w:bdr w:val="nil"/>
              </w:rPr>
              <w:t>Continue to cultivate the application of the DSS Leadership Behaviours through embedding the leadership and management craft into development programs.</w:t>
            </w:r>
          </w:p>
          <w:p w:rsidR="00151EB5" w:rsidRPr="00151EB5" w:rsidRDefault="00151EB5" w:rsidP="00D54B31">
            <w:pPr>
              <w:pStyle w:val="TABLEBullets"/>
              <w:spacing w:before="120" w:after="120"/>
              <w:ind w:left="357" w:hanging="357"/>
              <w:rPr>
                <w:bdr w:val="nil"/>
              </w:rPr>
            </w:pPr>
            <w:r w:rsidRPr="00151EB5">
              <w:rPr>
                <w:bdr w:val="nil"/>
              </w:rPr>
              <w:t xml:space="preserve">Continue to mature diversity and inclusion efforts through a new Action Plan and our Senior Executive diversity champions. </w:t>
            </w:r>
          </w:p>
          <w:p w:rsidR="00151EB5" w:rsidRPr="00151EB5" w:rsidRDefault="00151EB5" w:rsidP="00D54B31">
            <w:pPr>
              <w:pStyle w:val="TABLEBullets"/>
              <w:spacing w:before="120" w:after="120"/>
              <w:ind w:left="357" w:hanging="357"/>
              <w:rPr>
                <w:bdr w:val="nil"/>
              </w:rPr>
            </w:pPr>
            <w:r w:rsidRPr="00151EB5">
              <w:rPr>
                <w:bdr w:val="nil"/>
              </w:rPr>
              <w:t xml:space="preserve">Implement the APS Mental Health and Wellbeing Framework into the department to support health and wellbeing initiatives already in place. </w:t>
            </w:r>
          </w:p>
        </w:tc>
      </w:tr>
      <w:tr w:rsidR="00151EB5" w:rsidRPr="00151EB5" w:rsidTr="00513FD2">
        <w:trPr>
          <w:trHeight w:val="560"/>
        </w:trPr>
        <w:tc>
          <w:tcPr>
            <w:tcW w:w="735" w:type="pct"/>
            <w:shd w:val="clear" w:color="auto" w:fill="E6F3CF" w:themeFill="accent3" w:themeFillTint="66"/>
          </w:tcPr>
          <w:p w:rsidR="00151EB5" w:rsidRPr="00151EB5" w:rsidRDefault="00151EB5" w:rsidP="00D54B31">
            <w:pPr>
              <w:pStyle w:val="TABLEBodytext"/>
              <w:spacing w:after="120"/>
            </w:pPr>
            <w:r w:rsidRPr="003A3048">
              <w:rPr>
                <w:sz w:val="20"/>
              </w:rPr>
              <w:t xml:space="preserve">Policy and Data </w:t>
            </w:r>
          </w:p>
        </w:tc>
        <w:tc>
          <w:tcPr>
            <w:tcW w:w="1138" w:type="pct"/>
            <w:shd w:val="clear" w:color="auto" w:fill="FFFFFF" w:themeFill="background1"/>
            <w:hideMark/>
          </w:tcPr>
          <w:p w:rsidR="00151EB5" w:rsidRPr="00151EB5" w:rsidRDefault="00151EB5" w:rsidP="00D54B31">
            <w:pPr>
              <w:pStyle w:val="TABLEBullets"/>
              <w:spacing w:before="120" w:after="120"/>
              <w:ind w:left="357" w:hanging="357"/>
              <w:rPr>
                <w:bdr w:val="nil"/>
              </w:rPr>
            </w:pPr>
            <w:r w:rsidRPr="00151EB5">
              <w:rPr>
                <w:bdr w:val="nil"/>
              </w:rPr>
              <w:t xml:space="preserve">Ineffective integration between policy, program, delivery and evaluation. </w:t>
            </w:r>
          </w:p>
          <w:p w:rsidR="00151EB5" w:rsidRPr="00151EB5" w:rsidRDefault="00151EB5" w:rsidP="00D54B31">
            <w:pPr>
              <w:pStyle w:val="TABLEBullets"/>
              <w:spacing w:before="120" w:after="120"/>
              <w:ind w:left="357" w:hanging="357"/>
              <w:rPr>
                <w:bdr w:val="nil"/>
              </w:rPr>
            </w:pPr>
            <w:r w:rsidRPr="00151EB5">
              <w:rPr>
                <w:bdr w:val="nil"/>
              </w:rPr>
              <w:t>Inability to maintain system, data or payment integrity.</w:t>
            </w:r>
          </w:p>
        </w:tc>
        <w:tc>
          <w:tcPr>
            <w:tcW w:w="3127" w:type="pct"/>
            <w:shd w:val="clear" w:color="auto" w:fill="FFFFFF" w:themeFill="background1"/>
          </w:tcPr>
          <w:p w:rsidR="00151EB5" w:rsidRPr="00151EB5" w:rsidRDefault="00151EB5" w:rsidP="00D54B31">
            <w:pPr>
              <w:pStyle w:val="TABLEBullets"/>
              <w:spacing w:before="120" w:after="120"/>
              <w:ind w:left="357" w:hanging="357"/>
              <w:rPr>
                <w:bdr w:val="nil"/>
              </w:rPr>
            </w:pPr>
            <w:r w:rsidRPr="00151EB5">
              <w:rPr>
                <w:bdr w:val="nil"/>
              </w:rPr>
              <w:t>Continue to grow the use of data to deliver on evaluations, insights and to inform policy and program improvements.</w:t>
            </w:r>
          </w:p>
          <w:p w:rsidR="00151EB5" w:rsidRPr="00151EB5" w:rsidRDefault="00151EB5" w:rsidP="00D54B31">
            <w:pPr>
              <w:pStyle w:val="TABLEBullets"/>
              <w:spacing w:before="120" w:after="120"/>
              <w:ind w:left="357" w:hanging="357"/>
              <w:rPr>
                <w:bdr w:val="nil"/>
              </w:rPr>
            </w:pPr>
            <w:r w:rsidRPr="00151EB5">
              <w:rPr>
                <w:bdr w:val="nil"/>
              </w:rPr>
              <w:t xml:space="preserve">Develop a </w:t>
            </w:r>
            <w:r w:rsidR="00FC2272">
              <w:rPr>
                <w:bdr w:val="nil"/>
              </w:rPr>
              <w:t>d</w:t>
            </w:r>
            <w:r w:rsidR="00457A78">
              <w:rPr>
                <w:bdr w:val="nil"/>
              </w:rPr>
              <w:t>epartment</w:t>
            </w:r>
            <w:r w:rsidRPr="00151EB5">
              <w:rPr>
                <w:bdr w:val="nil"/>
              </w:rPr>
              <w:t xml:space="preserve"> Data Strategy and </w:t>
            </w:r>
            <w:r w:rsidR="00457A78" w:rsidRPr="00457A78">
              <w:rPr>
                <w:bdr w:val="nil"/>
              </w:rPr>
              <w:t>Evaluation, Research and Analytics Forward Work Program</w:t>
            </w:r>
            <w:r w:rsidRPr="00151EB5">
              <w:rPr>
                <w:bdr w:val="nil"/>
              </w:rPr>
              <w:t xml:space="preserve">, including </w:t>
            </w:r>
            <w:r w:rsidR="00FC2272">
              <w:rPr>
                <w:bdr w:val="nil"/>
              </w:rPr>
              <w:t>establishment of</w:t>
            </w:r>
            <w:r w:rsidR="00FC2272" w:rsidRPr="00151EB5">
              <w:rPr>
                <w:bdr w:val="nil"/>
              </w:rPr>
              <w:t xml:space="preserve"> </w:t>
            </w:r>
            <w:r w:rsidRPr="00151EB5">
              <w:rPr>
                <w:bdr w:val="nil"/>
              </w:rPr>
              <w:t xml:space="preserve">a DSS Chief Data Officer. </w:t>
            </w:r>
          </w:p>
          <w:p w:rsidR="00151EB5" w:rsidRPr="00151EB5" w:rsidRDefault="00151EB5" w:rsidP="00F60FD5">
            <w:pPr>
              <w:pStyle w:val="TABLEBullets"/>
              <w:spacing w:before="120" w:after="120"/>
              <w:ind w:left="357" w:hanging="357"/>
              <w:rPr>
                <w:bdr w:val="nil"/>
              </w:rPr>
            </w:pPr>
            <w:r w:rsidRPr="00151EB5">
              <w:rPr>
                <w:bdr w:val="nil"/>
              </w:rPr>
              <w:t xml:space="preserve">Continue to build on oversight of payment delivery through the Random Sample Survey </w:t>
            </w:r>
            <w:r w:rsidR="00F60FD5">
              <w:rPr>
                <w:bdr w:val="nil"/>
              </w:rPr>
              <w:t xml:space="preserve">process </w:t>
            </w:r>
            <w:r w:rsidR="00291C4B">
              <w:rPr>
                <w:bdr w:val="nil"/>
              </w:rPr>
              <w:t>to provide</w:t>
            </w:r>
            <w:r w:rsidRPr="00151EB5">
              <w:rPr>
                <w:bdr w:val="nil"/>
              </w:rPr>
              <w:t xml:space="preserve"> assurance on payment integrity</w:t>
            </w:r>
            <w:r w:rsidR="00457A78">
              <w:rPr>
                <w:bdr w:val="nil"/>
              </w:rPr>
              <w:t xml:space="preserve"> with Services Australia</w:t>
            </w:r>
            <w:r w:rsidRPr="00151EB5">
              <w:rPr>
                <w:bdr w:val="nil"/>
              </w:rPr>
              <w:t xml:space="preserve">. </w:t>
            </w:r>
          </w:p>
        </w:tc>
      </w:tr>
      <w:tr w:rsidR="00151EB5" w:rsidRPr="00151EB5" w:rsidTr="00513FD2">
        <w:trPr>
          <w:trHeight w:val="699"/>
        </w:trPr>
        <w:tc>
          <w:tcPr>
            <w:tcW w:w="735" w:type="pct"/>
            <w:shd w:val="clear" w:color="auto" w:fill="E6F3CF" w:themeFill="accent3" w:themeFillTint="66"/>
          </w:tcPr>
          <w:p w:rsidR="00151EB5" w:rsidRPr="00151EB5" w:rsidRDefault="00151EB5" w:rsidP="00D54B31">
            <w:pPr>
              <w:pStyle w:val="TABLEBodytext"/>
              <w:spacing w:after="120"/>
            </w:pPr>
            <w:r w:rsidRPr="003A3048">
              <w:rPr>
                <w:sz w:val="20"/>
              </w:rPr>
              <w:t xml:space="preserve">Relationships and Influence </w:t>
            </w:r>
          </w:p>
        </w:tc>
        <w:tc>
          <w:tcPr>
            <w:tcW w:w="1138" w:type="pct"/>
            <w:shd w:val="clear" w:color="auto" w:fill="FFFFFF" w:themeFill="background1"/>
            <w:hideMark/>
          </w:tcPr>
          <w:p w:rsidR="00151EB5" w:rsidRPr="00151EB5" w:rsidRDefault="00151EB5" w:rsidP="00D54B31">
            <w:pPr>
              <w:pStyle w:val="TABLEBullets"/>
              <w:spacing w:before="120" w:after="120"/>
              <w:ind w:left="357" w:hanging="357"/>
              <w:rPr>
                <w:bdr w:val="nil"/>
              </w:rPr>
            </w:pPr>
            <w:r w:rsidRPr="00151EB5">
              <w:rPr>
                <w:bdr w:val="nil"/>
              </w:rPr>
              <w:t>Inability to influence and oversight third parties in critical sectors.</w:t>
            </w:r>
          </w:p>
        </w:tc>
        <w:tc>
          <w:tcPr>
            <w:tcW w:w="3127" w:type="pct"/>
            <w:shd w:val="clear" w:color="auto" w:fill="FFFFFF" w:themeFill="background1"/>
          </w:tcPr>
          <w:p w:rsidR="00151EB5" w:rsidRPr="00151EB5" w:rsidRDefault="00151EB5" w:rsidP="00D54B31">
            <w:pPr>
              <w:pStyle w:val="TABLEBullets"/>
              <w:spacing w:before="120" w:after="120"/>
              <w:ind w:left="357" w:hanging="357"/>
              <w:rPr>
                <w:bdr w:val="nil"/>
              </w:rPr>
            </w:pPr>
            <w:r w:rsidRPr="00151EB5">
              <w:rPr>
                <w:bdr w:val="nil"/>
              </w:rPr>
              <w:t xml:space="preserve">We demonstrate shared benefit of collaboration through partnership approaches with the sectors, including for example disability providers in relation to the NDIS and grant providers. </w:t>
            </w:r>
          </w:p>
          <w:p w:rsidR="00151EB5" w:rsidRPr="00151EB5" w:rsidRDefault="00151EB5" w:rsidP="00D54B31">
            <w:pPr>
              <w:pStyle w:val="TABLEBullets"/>
              <w:spacing w:before="120" w:after="120"/>
              <w:ind w:left="357" w:hanging="357"/>
              <w:rPr>
                <w:bdr w:val="nil"/>
              </w:rPr>
            </w:pPr>
            <w:r w:rsidRPr="00151EB5">
              <w:rPr>
                <w:bdr w:val="nil"/>
              </w:rPr>
              <w:t xml:space="preserve">We have a credible network of state footprints with the local community </w:t>
            </w:r>
            <w:r w:rsidR="005A186B" w:rsidRPr="00151EB5">
              <w:rPr>
                <w:bdr w:val="nil"/>
              </w:rPr>
              <w:t>sector, which</w:t>
            </w:r>
            <w:r w:rsidRPr="00151EB5">
              <w:rPr>
                <w:bdr w:val="nil"/>
              </w:rPr>
              <w:t xml:space="preserve"> we will continue to develop and grow. </w:t>
            </w:r>
          </w:p>
        </w:tc>
      </w:tr>
    </w:tbl>
    <w:p w:rsidR="00513FD2" w:rsidRPr="00A33E5A" w:rsidRDefault="00513FD2" w:rsidP="00513FD2">
      <w:pPr>
        <w:pStyle w:val="Heading1-NP"/>
      </w:pPr>
      <w:bookmarkStart w:id="51" w:name="_Toc108514512"/>
      <w:bookmarkStart w:id="52" w:name="_Toc110007345"/>
      <w:bookmarkStart w:id="53" w:name="_Toc111026122"/>
      <w:bookmarkStart w:id="54" w:name="_Toc76128405"/>
      <w:r>
        <w:lastRenderedPageBreak/>
        <w:t>Our performance</w:t>
      </w:r>
      <w:bookmarkEnd w:id="51"/>
      <w:bookmarkEnd w:id="52"/>
      <w:bookmarkEnd w:id="53"/>
    </w:p>
    <w:p w:rsidR="00513FD2" w:rsidRDefault="00513FD2" w:rsidP="00513FD2">
      <w:pPr>
        <w:pStyle w:val="Normalmorespace"/>
      </w:pPr>
      <w:r w:rsidRPr="0096240E">
        <w:t xml:space="preserve">Our policies and programs are the foundations through which we achieve our purpose. The performance measures in this </w:t>
      </w:r>
      <w:r>
        <w:t>P</w:t>
      </w:r>
      <w:r w:rsidRPr="0096240E">
        <w:t xml:space="preserve">lan </w:t>
      </w:r>
      <w:r>
        <w:t>demonstrate</w:t>
      </w:r>
      <w:r w:rsidRPr="0096240E">
        <w:t xml:space="preserve"> the value and impact of our initiatives to improve the wellbeing of individuals and families in Australian</w:t>
      </w:r>
      <w:r>
        <w:t xml:space="preserve"> communities.</w:t>
      </w:r>
      <w:r w:rsidR="00E51485">
        <w:br/>
      </w:r>
    </w:p>
    <w:p w:rsidR="00E51485" w:rsidRPr="0096240E" w:rsidRDefault="00E51485" w:rsidP="00E51485">
      <w:pPr>
        <w:pStyle w:val="Normalmorespace"/>
        <w:jc w:val="center"/>
      </w:pPr>
      <w:r w:rsidRPr="00E51485">
        <w:rPr>
          <w:noProof/>
        </w:rPr>
        <w:drawing>
          <wp:inline distT="0" distB="0" distL="0" distR="0" wp14:anchorId="349637ED" wp14:editId="48B73AB4">
            <wp:extent cx="6371900" cy="5883965"/>
            <wp:effectExtent l="0" t="0" r="0" b="2540"/>
            <wp:docPr id="3" name="Picture 3" descr="The diagram is a visual representation of the departmental outcomes broken down into streams:&#10;outcome 1 - Social security includign family assistance, support  for seniors, support for disability, financial support for carers, working age payments, student payments and rent assistance&#10;outcome 2 - Families and Communities&#10;outcome 3 - Disability and Carers, NDIS&#10;outcome 4 - Housing, homelessness and affordable housing" title="Our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76902" cy="5888584"/>
                    </a:xfrm>
                    <a:prstGeom prst="rect">
                      <a:avLst/>
                    </a:prstGeom>
                    <a:noFill/>
                    <a:ln>
                      <a:noFill/>
                    </a:ln>
                  </pic:spPr>
                </pic:pic>
              </a:graphicData>
            </a:graphic>
          </wp:inline>
        </w:drawing>
      </w:r>
    </w:p>
    <w:p w:rsidR="00513FD2" w:rsidRDefault="00513FD2" w:rsidP="00513FD2">
      <w:pPr>
        <w:pStyle w:val="Normalmorespace"/>
      </w:pPr>
    </w:p>
    <w:p w:rsidR="00513FD2" w:rsidRDefault="00513FD2" w:rsidP="00513FD2">
      <w:pPr>
        <w:pStyle w:val="Normalmorespace"/>
      </w:pPr>
    </w:p>
    <w:p w:rsidR="00513FD2" w:rsidRDefault="00513FD2" w:rsidP="00513FD2">
      <w:pPr>
        <w:pStyle w:val="Normalmorespace"/>
        <w:rPr>
          <w:sz w:val="22"/>
          <w:szCs w:val="22"/>
        </w:rPr>
      </w:pPr>
    </w:p>
    <w:p w:rsidR="00513FD2" w:rsidRDefault="00513FD2" w:rsidP="00513FD2">
      <w:pPr>
        <w:pStyle w:val="Normalmorespace"/>
        <w:rPr>
          <w:sz w:val="22"/>
          <w:szCs w:val="22"/>
        </w:rPr>
      </w:pPr>
    </w:p>
    <w:p w:rsidR="00513FD2" w:rsidRDefault="00513FD2" w:rsidP="00513FD2">
      <w:pPr>
        <w:rPr>
          <w:rFonts w:eastAsia="Times New Roman" w:cs="Times New Roman"/>
          <w:b/>
          <w:color w:val="000000" w:themeColor="text1"/>
          <w:lang w:eastAsia="en-AU"/>
        </w:rPr>
      </w:pPr>
      <w:r>
        <w:rPr>
          <w:rFonts w:eastAsia="Times New Roman" w:cs="Times New Roman"/>
          <w:b/>
          <w:color w:val="000000" w:themeColor="text1"/>
          <w:lang w:eastAsia="en-AU"/>
        </w:rPr>
        <w:br w:type="page"/>
      </w:r>
    </w:p>
    <w:p w:rsidR="00513FD2" w:rsidRPr="00725C63" w:rsidRDefault="00513FD2" w:rsidP="00725C63">
      <w:pPr>
        <w:spacing w:before="240" w:after="120" w:line="240" w:lineRule="auto"/>
        <w:rPr>
          <w:rFonts w:ascii="Georgia" w:hAnsi="Georgia"/>
          <w:sz w:val="24"/>
          <w:szCs w:val="24"/>
        </w:rPr>
      </w:pPr>
      <w:bookmarkStart w:id="55" w:name="_Toc110007346"/>
      <w:r w:rsidRPr="00725C63">
        <w:rPr>
          <w:rFonts w:ascii="Georgia" w:hAnsi="Georgia"/>
          <w:sz w:val="24"/>
          <w:szCs w:val="24"/>
        </w:rPr>
        <w:lastRenderedPageBreak/>
        <w:t>Measurement</w:t>
      </w:r>
      <w:bookmarkEnd w:id="55"/>
    </w:p>
    <w:p w:rsidR="00513FD2" w:rsidRPr="0096240E" w:rsidRDefault="00513FD2" w:rsidP="00513FD2">
      <w:pPr>
        <w:suppressAutoHyphens/>
        <w:spacing w:before="120" w:after="120"/>
        <w:rPr>
          <w:rFonts w:eastAsia="Times New Roman" w:cs="Times New Roman"/>
          <w:color w:val="000000" w:themeColor="text1"/>
          <w:sz w:val="20"/>
          <w:szCs w:val="20"/>
          <w:lang w:eastAsia="en-AU"/>
        </w:rPr>
      </w:pPr>
      <w:r w:rsidRPr="0096240E">
        <w:rPr>
          <w:rFonts w:eastAsia="Times New Roman" w:cs="Times New Roman"/>
          <w:color w:val="000000" w:themeColor="text1"/>
          <w:sz w:val="20"/>
          <w:szCs w:val="20"/>
          <w:lang w:eastAsia="en-AU"/>
        </w:rPr>
        <w:t>The</w:t>
      </w:r>
      <w:r>
        <w:rPr>
          <w:rFonts w:eastAsia="Times New Roman" w:cs="Times New Roman"/>
          <w:color w:val="000000" w:themeColor="text1"/>
          <w:sz w:val="20"/>
          <w:szCs w:val="20"/>
          <w:lang w:eastAsia="en-AU"/>
        </w:rPr>
        <w:t xml:space="preserve"> d</w:t>
      </w:r>
      <w:r w:rsidRPr="0096240E">
        <w:rPr>
          <w:rFonts w:eastAsia="Times New Roman" w:cs="Times New Roman"/>
          <w:color w:val="000000" w:themeColor="text1"/>
          <w:sz w:val="20"/>
          <w:szCs w:val="20"/>
          <w:lang w:eastAsia="en-AU"/>
        </w:rPr>
        <w:t xml:space="preserve">epartment’s framework for </w:t>
      </w:r>
      <w:r>
        <w:rPr>
          <w:rFonts w:eastAsia="Times New Roman" w:cs="Times New Roman"/>
          <w:color w:val="000000" w:themeColor="text1"/>
          <w:sz w:val="20"/>
          <w:szCs w:val="20"/>
          <w:lang w:eastAsia="en-AU"/>
        </w:rPr>
        <w:t>assessing</w:t>
      </w:r>
      <w:r w:rsidRPr="0096240E">
        <w:rPr>
          <w:rFonts w:eastAsia="Times New Roman" w:cs="Times New Roman"/>
          <w:color w:val="000000" w:themeColor="text1"/>
          <w:sz w:val="20"/>
          <w:szCs w:val="20"/>
          <w:lang w:eastAsia="en-AU"/>
        </w:rPr>
        <w:t xml:space="preserve"> performance link</w:t>
      </w:r>
      <w:r>
        <w:rPr>
          <w:rFonts w:eastAsia="Times New Roman" w:cs="Times New Roman"/>
          <w:color w:val="000000" w:themeColor="text1"/>
          <w:sz w:val="20"/>
          <w:szCs w:val="20"/>
          <w:lang w:eastAsia="en-AU"/>
        </w:rPr>
        <w:t>s</w:t>
      </w:r>
      <w:r w:rsidRPr="0096240E">
        <w:rPr>
          <w:rFonts w:eastAsia="Times New Roman" w:cs="Times New Roman"/>
          <w:color w:val="000000" w:themeColor="text1"/>
          <w:sz w:val="20"/>
          <w:szCs w:val="20"/>
          <w:lang w:eastAsia="en-AU"/>
        </w:rPr>
        <w:t xml:space="preserve"> success criteria to key activities</w:t>
      </w:r>
      <w:r>
        <w:rPr>
          <w:rFonts w:eastAsia="Times New Roman" w:cs="Times New Roman"/>
          <w:color w:val="000000" w:themeColor="text1"/>
          <w:sz w:val="20"/>
          <w:szCs w:val="20"/>
          <w:lang w:eastAsia="en-AU"/>
        </w:rPr>
        <w:t xml:space="preserve">, which </w:t>
      </w:r>
      <w:r w:rsidRPr="0096240E">
        <w:rPr>
          <w:rFonts w:eastAsia="Times New Roman" w:cs="Times New Roman"/>
          <w:color w:val="000000" w:themeColor="text1"/>
          <w:sz w:val="20"/>
          <w:szCs w:val="20"/>
          <w:lang w:eastAsia="en-AU"/>
        </w:rPr>
        <w:t>give</w:t>
      </w:r>
      <w:r>
        <w:rPr>
          <w:rFonts w:eastAsia="Times New Roman" w:cs="Times New Roman"/>
          <w:color w:val="000000" w:themeColor="text1"/>
          <w:sz w:val="20"/>
          <w:szCs w:val="20"/>
          <w:lang w:eastAsia="en-AU"/>
        </w:rPr>
        <w:t>s</w:t>
      </w:r>
      <w:r w:rsidRPr="0096240E">
        <w:rPr>
          <w:rFonts w:eastAsia="Times New Roman" w:cs="Times New Roman"/>
          <w:color w:val="000000" w:themeColor="text1"/>
          <w:sz w:val="20"/>
          <w:szCs w:val="20"/>
          <w:lang w:eastAsia="en-AU"/>
        </w:rPr>
        <w:t xml:space="preserve"> effect to our policy and program objectives. </w:t>
      </w:r>
      <w:r>
        <w:rPr>
          <w:rFonts w:eastAsia="Times New Roman" w:cs="Times New Roman"/>
          <w:color w:val="000000" w:themeColor="text1"/>
          <w:sz w:val="20"/>
          <w:szCs w:val="20"/>
          <w:lang w:eastAsia="en-AU"/>
        </w:rPr>
        <w:t>Our p</w:t>
      </w:r>
      <w:r w:rsidRPr="0096240E">
        <w:rPr>
          <w:rFonts w:eastAsia="Times New Roman" w:cs="Times New Roman"/>
          <w:color w:val="000000" w:themeColor="text1"/>
          <w:sz w:val="20"/>
          <w:szCs w:val="20"/>
          <w:lang w:eastAsia="en-AU"/>
        </w:rPr>
        <w:t xml:space="preserve">erformance </w:t>
      </w:r>
      <w:r>
        <w:rPr>
          <w:rFonts w:eastAsia="Times New Roman" w:cs="Times New Roman"/>
          <w:color w:val="000000" w:themeColor="text1"/>
          <w:sz w:val="20"/>
          <w:szCs w:val="20"/>
          <w:lang w:eastAsia="en-AU"/>
        </w:rPr>
        <w:t>is measured through how key activities contribute to</w:t>
      </w:r>
      <w:r w:rsidRPr="0096240E">
        <w:rPr>
          <w:rFonts w:eastAsia="Times New Roman" w:cs="Times New Roman"/>
          <w:color w:val="000000" w:themeColor="text1"/>
          <w:sz w:val="20"/>
          <w:szCs w:val="20"/>
          <w:lang w:eastAsia="en-AU"/>
        </w:rPr>
        <w:t xml:space="preserve"> the</w:t>
      </w:r>
      <w:r>
        <w:rPr>
          <w:rFonts w:eastAsia="Times New Roman" w:cs="Times New Roman"/>
          <w:color w:val="000000" w:themeColor="text1"/>
          <w:sz w:val="20"/>
          <w:szCs w:val="20"/>
          <w:lang w:eastAsia="en-AU"/>
        </w:rPr>
        <w:t xml:space="preserve"> delivery of programs and overall</w:t>
      </w:r>
      <w:r w:rsidRPr="0096240E">
        <w:rPr>
          <w:rFonts w:eastAsia="Times New Roman" w:cs="Times New Roman"/>
          <w:color w:val="000000" w:themeColor="text1"/>
          <w:sz w:val="20"/>
          <w:szCs w:val="20"/>
          <w:lang w:eastAsia="en-AU"/>
        </w:rPr>
        <w:t xml:space="preserve"> achievement of our purpose</w:t>
      </w:r>
      <w:r>
        <w:rPr>
          <w:rFonts w:eastAsia="Times New Roman" w:cs="Times New Roman"/>
          <w:color w:val="000000" w:themeColor="text1"/>
          <w:sz w:val="20"/>
          <w:szCs w:val="20"/>
          <w:lang w:eastAsia="en-AU"/>
        </w:rPr>
        <w:t>. We</w:t>
      </w:r>
      <w:r w:rsidRPr="0096240E">
        <w:rPr>
          <w:rFonts w:eastAsia="Times New Roman" w:cs="Times New Roman"/>
          <w:color w:val="000000" w:themeColor="text1"/>
          <w:sz w:val="20"/>
          <w:szCs w:val="20"/>
          <w:lang w:eastAsia="en-AU"/>
        </w:rPr>
        <w:t xml:space="preserve"> ensure our programs are </w:t>
      </w:r>
      <w:r w:rsidR="007C3398">
        <w:rPr>
          <w:rFonts w:eastAsia="Times New Roman" w:cs="Times New Roman"/>
          <w:color w:val="000000" w:themeColor="text1"/>
          <w:sz w:val="20"/>
          <w:szCs w:val="20"/>
          <w:lang w:eastAsia="en-AU"/>
        </w:rPr>
        <w:t xml:space="preserve">outcome focused and </w:t>
      </w:r>
      <w:r w:rsidRPr="0096240E">
        <w:rPr>
          <w:rFonts w:eastAsia="Times New Roman" w:cs="Times New Roman"/>
          <w:color w:val="000000" w:themeColor="text1"/>
          <w:sz w:val="20"/>
          <w:szCs w:val="20"/>
          <w:lang w:eastAsia="en-AU"/>
        </w:rPr>
        <w:t xml:space="preserve">oriented towards government priorities. </w:t>
      </w:r>
    </w:p>
    <w:p w:rsidR="00513FD2" w:rsidRDefault="00513FD2" w:rsidP="00513FD2">
      <w:pPr>
        <w:suppressAutoHyphens/>
        <w:spacing w:before="120" w:after="120"/>
        <w:rPr>
          <w:rFonts w:eastAsia="Times New Roman" w:cs="Times New Roman"/>
          <w:noProof/>
          <w:color w:val="000000" w:themeColor="text1"/>
          <w:sz w:val="20"/>
          <w:szCs w:val="20"/>
          <w:lang w:eastAsia="en-AU"/>
        </w:rPr>
      </w:pPr>
      <w:r w:rsidRPr="0096240E">
        <w:rPr>
          <w:rFonts w:eastAsia="Times New Roman" w:cs="Times New Roman"/>
          <w:color w:val="000000" w:themeColor="text1"/>
          <w:sz w:val="20"/>
          <w:szCs w:val="20"/>
          <w:lang w:eastAsia="en-AU"/>
        </w:rPr>
        <w:t>Our approach to planning and performance is outlined in the diagram below.</w:t>
      </w:r>
    </w:p>
    <w:p w:rsidR="00513FD2" w:rsidRDefault="00436515" w:rsidP="0006572F">
      <w:pPr>
        <w:suppressAutoHyphens/>
        <w:spacing w:before="120" w:after="120"/>
        <w:rPr>
          <w:sz w:val="22"/>
          <w:highlight w:val="yellow"/>
        </w:rPr>
      </w:pPr>
      <w:r>
        <w:rPr>
          <w:noProof/>
          <w:lang w:eastAsia="en-AU"/>
        </w:rPr>
        <w:drawing>
          <wp:inline distT="0" distB="0" distL="0" distR="0" wp14:anchorId="66AFA8BD" wp14:editId="33897832">
            <wp:extent cx="6142008" cy="4549651"/>
            <wp:effectExtent l="0" t="0" r="0" b="3810"/>
            <wp:docPr id="4" name="Picture 4" descr="This diagram is a visual representation of the DSS Performance framework structured as follows:&#10;Outcomes: we achieve our purpose through the pursuit of outcomes&#10;Programs: our programs are orientated towards outcome objectives&#10;Key activities: we undertake key activities to deliver on our programs&#10;Performance: We measure the performance of our key activities contributing to our purpose." title="DSS Perform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08" r="2729"/>
                    <a:stretch/>
                  </pic:blipFill>
                  <pic:spPr bwMode="auto">
                    <a:xfrm>
                      <a:off x="0" y="0"/>
                      <a:ext cx="6159050" cy="4562274"/>
                    </a:xfrm>
                    <a:prstGeom prst="rect">
                      <a:avLst/>
                    </a:prstGeom>
                    <a:ln>
                      <a:noFill/>
                    </a:ln>
                    <a:extLst>
                      <a:ext uri="{53640926-AAD7-44D8-BBD7-CCE9431645EC}">
                        <a14:shadowObscured xmlns:a14="http://schemas.microsoft.com/office/drawing/2010/main"/>
                      </a:ext>
                    </a:extLst>
                  </pic:spPr>
                </pic:pic>
              </a:graphicData>
            </a:graphic>
          </wp:inline>
        </w:drawing>
      </w:r>
    </w:p>
    <w:p w:rsidR="00513FD2" w:rsidRPr="0096240E" w:rsidRDefault="00513FD2" w:rsidP="00513FD2">
      <w:pPr>
        <w:suppressAutoHyphens/>
        <w:spacing w:before="120" w:after="120"/>
        <w:rPr>
          <w:rFonts w:eastAsia="Times New Roman" w:cs="Times New Roman"/>
          <w:color w:val="000000" w:themeColor="text1"/>
          <w:sz w:val="20"/>
          <w:szCs w:val="20"/>
          <w:lang w:eastAsia="en-AU"/>
        </w:rPr>
      </w:pPr>
      <w:r>
        <w:rPr>
          <w:rFonts w:eastAsia="Times New Roman" w:cs="Times New Roman"/>
          <w:color w:val="000000" w:themeColor="text1"/>
          <w:sz w:val="20"/>
          <w:szCs w:val="20"/>
          <w:lang w:eastAsia="en-AU"/>
        </w:rPr>
        <w:t>The department’s key activities are delivered in partnership with a range of third parties including portfolio agencies</w:t>
      </w:r>
      <w:r w:rsidR="00987007">
        <w:rPr>
          <w:rFonts w:eastAsia="Times New Roman" w:cs="Times New Roman"/>
          <w:color w:val="000000" w:themeColor="text1"/>
          <w:sz w:val="20"/>
          <w:szCs w:val="20"/>
          <w:lang w:eastAsia="en-AU"/>
        </w:rPr>
        <w:t>,</w:t>
      </w:r>
      <w:r>
        <w:rPr>
          <w:rFonts w:eastAsia="Times New Roman" w:cs="Times New Roman"/>
          <w:color w:val="000000" w:themeColor="text1"/>
          <w:sz w:val="20"/>
          <w:szCs w:val="20"/>
          <w:lang w:eastAsia="en-AU"/>
        </w:rPr>
        <w:t xml:space="preserve"> </w:t>
      </w:r>
      <w:r w:rsidR="007C3398">
        <w:rPr>
          <w:rFonts w:eastAsia="Times New Roman" w:cs="Times New Roman"/>
          <w:color w:val="000000" w:themeColor="text1"/>
          <w:sz w:val="20"/>
          <w:szCs w:val="20"/>
          <w:lang w:eastAsia="en-AU"/>
        </w:rPr>
        <w:t xml:space="preserve">for </w:t>
      </w:r>
      <w:r w:rsidR="00555689">
        <w:rPr>
          <w:rFonts w:eastAsia="Times New Roman" w:cs="Times New Roman"/>
          <w:color w:val="000000" w:themeColor="text1"/>
          <w:sz w:val="20"/>
          <w:szCs w:val="20"/>
          <w:lang w:eastAsia="en-AU"/>
        </w:rPr>
        <w:t xml:space="preserve">profit </w:t>
      </w:r>
      <w:r>
        <w:rPr>
          <w:rFonts w:eastAsia="Times New Roman" w:cs="Times New Roman"/>
          <w:color w:val="000000" w:themeColor="text1"/>
          <w:sz w:val="20"/>
          <w:szCs w:val="20"/>
          <w:lang w:eastAsia="en-AU"/>
        </w:rPr>
        <w:t xml:space="preserve">and not for profit organisations. </w:t>
      </w:r>
      <w:r w:rsidRPr="0096240E">
        <w:rPr>
          <w:rFonts w:eastAsia="Times New Roman" w:cs="Times New Roman"/>
          <w:color w:val="000000" w:themeColor="text1"/>
          <w:sz w:val="20"/>
          <w:szCs w:val="20"/>
          <w:lang w:eastAsia="en-AU"/>
        </w:rPr>
        <w:t xml:space="preserve">We source data from our delivery partners to measure and report on our performance. The </w:t>
      </w:r>
      <w:r>
        <w:rPr>
          <w:rFonts w:eastAsia="Times New Roman" w:cs="Times New Roman"/>
          <w:color w:val="000000" w:themeColor="text1"/>
          <w:sz w:val="20"/>
          <w:szCs w:val="20"/>
          <w:lang w:eastAsia="en-AU"/>
        </w:rPr>
        <w:t>d</w:t>
      </w:r>
      <w:r w:rsidRPr="0096240E">
        <w:rPr>
          <w:rFonts w:eastAsia="Times New Roman" w:cs="Times New Roman"/>
          <w:color w:val="000000" w:themeColor="text1"/>
          <w:sz w:val="20"/>
          <w:szCs w:val="20"/>
          <w:lang w:eastAsia="en-AU"/>
        </w:rPr>
        <w:t>epartment endeavours to ensure performance data collected</w:t>
      </w:r>
      <w:r>
        <w:rPr>
          <w:rFonts w:eastAsia="Times New Roman" w:cs="Times New Roman"/>
          <w:color w:val="000000" w:themeColor="text1"/>
          <w:sz w:val="20"/>
          <w:szCs w:val="20"/>
          <w:lang w:eastAsia="en-AU"/>
        </w:rPr>
        <w:t xml:space="preserve"> is reliable, verifiable, and supported by proportionate assurance processes. The data collected is </w:t>
      </w:r>
      <w:r w:rsidRPr="0096240E">
        <w:rPr>
          <w:rFonts w:eastAsia="Times New Roman" w:cs="Times New Roman"/>
          <w:color w:val="000000" w:themeColor="text1"/>
          <w:sz w:val="20"/>
          <w:szCs w:val="20"/>
          <w:lang w:eastAsia="en-AU"/>
        </w:rPr>
        <w:t xml:space="preserve">aligned with </w:t>
      </w:r>
      <w:r>
        <w:rPr>
          <w:rFonts w:eastAsia="Times New Roman" w:cs="Times New Roman"/>
          <w:color w:val="000000" w:themeColor="text1"/>
          <w:sz w:val="20"/>
          <w:szCs w:val="20"/>
          <w:lang w:eastAsia="en-AU"/>
        </w:rPr>
        <w:t>privacy</w:t>
      </w:r>
      <w:r w:rsidRPr="0096240E">
        <w:rPr>
          <w:rFonts w:eastAsia="Times New Roman" w:cs="Times New Roman"/>
          <w:color w:val="000000" w:themeColor="text1"/>
          <w:sz w:val="20"/>
          <w:szCs w:val="20"/>
          <w:lang w:eastAsia="en-AU"/>
        </w:rPr>
        <w:t xml:space="preserve"> principles </w:t>
      </w:r>
      <w:r>
        <w:rPr>
          <w:rFonts w:eastAsia="Times New Roman" w:cs="Times New Roman"/>
          <w:color w:val="000000" w:themeColor="text1"/>
          <w:sz w:val="20"/>
          <w:szCs w:val="20"/>
          <w:lang w:eastAsia="en-AU"/>
        </w:rPr>
        <w:t>and</w:t>
      </w:r>
      <w:r w:rsidRPr="0096240E">
        <w:rPr>
          <w:rFonts w:eastAsia="Times New Roman" w:cs="Times New Roman"/>
          <w:color w:val="000000" w:themeColor="text1"/>
          <w:sz w:val="20"/>
          <w:szCs w:val="20"/>
          <w:lang w:eastAsia="en-AU"/>
        </w:rPr>
        <w:t xml:space="preserve"> better practice data governance. In the interest of transparency, we disclose any limitations associated with the data</w:t>
      </w:r>
      <w:r>
        <w:rPr>
          <w:rFonts w:eastAsia="Times New Roman" w:cs="Times New Roman"/>
          <w:color w:val="000000" w:themeColor="text1"/>
          <w:sz w:val="20"/>
          <w:szCs w:val="20"/>
          <w:lang w:eastAsia="en-AU"/>
        </w:rPr>
        <w:t xml:space="preserve"> and</w:t>
      </w:r>
      <w:r w:rsidRPr="0096240E">
        <w:rPr>
          <w:rFonts w:eastAsia="Times New Roman" w:cs="Times New Roman"/>
          <w:color w:val="000000" w:themeColor="text1"/>
          <w:sz w:val="20"/>
          <w:szCs w:val="20"/>
          <w:lang w:eastAsia="en-AU"/>
        </w:rPr>
        <w:t xml:space="preserve"> </w:t>
      </w:r>
      <w:r>
        <w:rPr>
          <w:rFonts w:eastAsia="Times New Roman" w:cs="Times New Roman"/>
          <w:color w:val="000000" w:themeColor="text1"/>
          <w:sz w:val="20"/>
          <w:szCs w:val="20"/>
          <w:lang w:eastAsia="en-AU"/>
        </w:rPr>
        <w:t xml:space="preserve">methodology </w:t>
      </w:r>
      <w:r w:rsidRPr="0096240E">
        <w:rPr>
          <w:rFonts w:eastAsia="Times New Roman" w:cs="Times New Roman"/>
          <w:color w:val="000000" w:themeColor="text1"/>
          <w:sz w:val="20"/>
          <w:szCs w:val="20"/>
          <w:lang w:eastAsia="en-AU"/>
        </w:rPr>
        <w:t>used to assess our performance.</w:t>
      </w:r>
    </w:p>
    <w:p w:rsidR="00513FD2" w:rsidRPr="0096240E" w:rsidRDefault="00513FD2" w:rsidP="00513FD2">
      <w:pPr>
        <w:suppressAutoHyphens/>
        <w:spacing w:before="120" w:after="120"/>
        <w:rPr>
          <w:rFonts w:eastAsia="Times New Roman" w:cs="Times New Roman"/>
          <w:color w:val="000000" w:themeColor="text1"/>
          <w:sz w:val="20"/>
          <w:szCs w:val="20"/>
          <w:lang w:eastAsia="en-AU"/>
        </w:rPr>
      </w:pPr>
      <w:r>
        <w:rPr>
          <w:rFonts w:eastAsia="Times New Roman" w:cs="Times New Roman"/>
          <w:color w:val="000000" w:themeColor="text1"/>
          <w:sz w:val="20"/>
          <w:szCs w:val="20"/>
          <w:lang w:eastAsia="en-AU"/>
        </w:rPr>
        <w:t>T</w:t>
      </w:r>
      <w:r w:rsidRPr="0096240E">
        <w:rPr>
          <w:rFonts w:eastAsia="Times New Roman" w:cs="Times New Roman"/>
          <w:color w:val="000000" w:themeColor="text1"/>
          <w:sz w:val="20"/>
          <w:szCs w:val="20"/>
          <w:lang w:eastAsia="en-AU"/>
        </w:rPr>
        <w:t>here are factors external to the department’s control that can affect results</w:t>
      </w:r>
      <w:r>
        <w:rPr>
          <w:rFonts w:eastAsia="Times New Roman" w:cs="Times New Roman"/>
          <w:color w:val="000000" w:themeColor="text1"/>
          <w:sz w:val="20"/>
          <w:szCs w:val="20"/>
          <w:lang w:eastAsia="en-AU"/>
        </w:rPr>
        <w:t xml:space="preserve"> for some targets - these </w:t>
      </w:r>
      <w:r w:rsidRPr="0096240E">
        <w:rPr>
          <w:rFonts w:eastAsia="Times New Roman" w:cs="Times New Roman"/>
          <w:color w:val="000000" w:themeColor="text1"/>
          <w:sz w:val="20"/>
          <w:szCs w:val="20"/>
          <w:lang w:eastAsia="en-AU"/>
        </w:rPr>
        <w:t>are</w:t>
      </w:r>
      <w:r>
        <w:rPr>
          <w:rFonts w:eastAsia="Times New Roman" w:cs="Times New Roman"/>
          <w:color w:val="000000" w:themeColor="text1"/>
          <w:sz w:val="20"/>
          <w:szCs w:val="20"/>
          <w:lang w:eastAsia="en-AU"/>
        </w:rPr>
        <w:t xml:space="preserve"> </w:t>
      </w:r>
      <w:r w:rsidRPr="0096240E">
        <w:rPr>
          <w:rFonts w:eastAsia="Times New Roman" w:cs="Times New Roman"/>
          <w:color w:val="000000" w:themeColor="text1"/>
          <w:sz w:val="20"/>
          <w:szCs w:val="20"/>
          <w:lang w:eastAsia="en-AU"/>
        </w:rPr>
        <w:t xml:space="preserve">identified throughout this Corporate Plan using the diamond symbol (♦). </w:t>
      </w:r>
    </w:p>
    <w:p w:rsidR="00513FD2" w:rsidRPr="0096240E" w:rsidRDefault="00513FD2" w:rsidP="00513FD2">
      <w:pPr>
        <w:suppressAutoHyphens/>
        <w:spacing w:before="120" w:after="120"/>
        <w:rPr>
          <w:rFonts w:eastAsia="Times New Roman" w:cs="Times New Roman"/>
          <w:color w:val="000000" w:themeColor="text1"/>
          <w:sz w:val="20"/>
          <w:szCs w:val="20"/>
          <w:lang w:eastAsia="en-AU"/>
        </w:rPr>
      </w:pPr>
      <w:r w:rsidRPr="0096240E">
        <w:rPr>
          <w:rFonts w:eastAsia="Times New Roman" w:cs="Times New Roman"/>
          <w:color w:val="000000" w:themeColor="text1"/>
          <w:sz w:val="20"/>
          <w:szCs w:val="20"/>
          <w:lang w:eastAsia="en-AU"/>
        </w:rPr>
        <w:t>The assessment of the performance measures outlined in this Corporate Plan will be published in the 2022–</w:t>
      </w:r>
      <w:r>
        <w:rPr>
          <w:rFonts w:eastAsia="Times New Roman" w:cs="Times New Roman"/>
          <w:color w:val="000000" w:themeColor="text1"/>
          <w:sz w:val="20"/>
          <w:szCs w:val="20"/>
          <w:lang w:eastAsia="en-AU"/>
        </w:rPr>
        <w:t> </w:t>
      </w:r>
      <w:r w:rsidRPr="0096240E">
        <w:rPr>
          <w:rFonts w:eastAsia="Times New Roman" w:cs="Times New Roman"/>
          <w:color w:val="000000" w:themeColor="text1"/>
          <w:sz w:val="20"/>
          <w:szCs w:val="20"/>
          <w:lang w:eastAsia="en-AU"/>
        </w:rPr>
        <w:t>23 Annual Report and reflected within the Annual Performance Statements section.</w:t>
      </w:r>
    </w:p>
    <w:p w:rsidR="00513FD2" w:rsidRPr="007229D3" w:rsidRDefault="00513FD2" w:rsidP="00513FD2">
      <w:pPr>
        <w:suppressAutoHyphens/>
        <w:spacing w:before="120" w:after="120"/>
        <w:rPr>
          <w:rFonts w:eastAsia="Times New Roman" w:cs="Times New Roman"/>
          <w:color w:val="000000" w:themeColor="text1"/>
          <w:sz w:val="20"/>
          <w:szCs w:val="20"/>
          <w:lang w:eastAsia="en-AU"/>
        </w:rPr>
      </w:pPr>
      <w:r w:rsidRPr="0096240E">
        <w:rPr>
          <w:rFonts w:eastAsia="Times New Roman" w:cs="Times New Roman"/>
          <w:color w:val="000000" w:themeColor="text1"/>
          <w:sz w:val="20"/>
          <w:szCs w:val="20"/>
          <w:lang w:eastAsia="en-AU"/>
        </w:rPr>
        <w:t>In the pursuit of continuous improvement, we regularly review our performance framework to ensure our key activities and corresponding performance measures are relevant, up-to-date and aligned with government priorities.</w:t>
      </w:r>
      <w:r>
        <w:rPr>
          <w:rFonts w:eastAsia="Times New Roman" w:cs="Times New Roman"/>
          <w:color w:val="000000" w:themeColor="text1"/>
          <w:sz w:val="20"/>
          <w:szCs w:val="20"/>
          <w:lang w:eastAsia="en-AU"/>
        </w:rPr>
        <w:t xml:space="preserve"> </w:t>
      </w:r>
    </w:p>
    <w:p w:rsidR="00513FD2" w:rsidRPr="00AD66D2" w:rsidRDefault="00513FD2" w:rsidP="00513FD2">
      <w:pPr>
        <w:pStyle w:val="Heading1-NP"/>
        <w:rPr>
          <w:color w:val="005A70"/>
        </w:rPr>
      </w:pPr>
      <w:bookmarkStart w:id="56" w:name="_Toc77593299"/>
      <w:bookmarkStart w:id="57" w:name="_Toc111026123"/>
      <w:r w:rsidRPr="00AD66D2">
        <w:rPr>
          <w:color w:val="005A70"/>
        </w:rPr>
        <w:lastRenderedPageBreak/>
        <w:t>Outcome 1: Social Security</w:t>
      </w:r>
      <w:bookmarkEnd w:id="56"/>
      <w:bookmarkEnd w:id="57"/>
    </w:p>
    <w:p w:rsidR="00513FD2" w:rsidRPr="003D49C4" w:rsidRDefault="00513FD2" w:rsidP="003D49C4">
      <w:pPr>
        <w:pStyle w:val="Heading2"/>
        <w:rPr>
          <w:color w:val="auto"/>
        </w:rPr>
      </w:pPr>
      <w:bookmarkStart w:id="58" w:name="_Toc77593301"/>
      <w:bookmarkStart w:id="59" w:name="_Toc111026124"/>
      <w:r w:rsidRPr="003D49C4">
        <w:rPr>
          <w:color w:val="auto"/>
        </w:rPr>
        <w:t>Programs and activities</w:t>
      </w:r>
      <w:bookmarkEnd w:id="58"/>
      <w:bookmarkEnd w:id="59"/>
      <w:r w:rsidRPr="003D49C4">
        <w:rPr>
          <w:color w:val="auto"/>
        </w:rPr>
        <w:t xml:space="preserve"> </w:t>
      </w:r>
    </w:p>
    <w:p w:rsidR="00513FD2" w:rsidRPr="0097621B" w:rsidRDefault="00513FD2" w:rsidP="00513FD2">
      <w:pPr>
        <w:spacing w:before="120" w:after="120"/>
        <w:rPr>
          <w:sz w:val="20"/>
          <w:szCs w:val="20"/>
        </w:rPr>
      </w:pPr>
      <w:r w:rsidRPr="0097621B">
        <w:rPr>
          <w:sz w:val="20"/>
          <w:szCs w:val="20"/>
        </w:rPr>
        <w:t xml:space="preserve">Outcome 1 comprises of </w:t>
      </w:r>
      <w:r w:rsidR="00276CDD">
        <w:rPr>
          <w:sz w:val="20"/>
          <w:szCs w:val="20"/>
        </w:rPr>
        <w:t>7</w:t>
      </w:r>
      <w:r w:rsidR="00E8685A">
        <w:rPr>
          <w:sz w:val="20"/>
          <w:szCs w:val="20"/>
        </w:rPr>
        <w:t xml:space="preserve"> </w:t>
      </w:r>
      <w:r w:rsidRPr="0097621B">
        <w:rPr>
          <w:sz w:val="20"/>
          <w:szCs w:val="20"/>
        </w:rPr>
        <w:t>programs and a number of activities, all of which contribute to achieving the social security outcome.</w:t>
      </w:r>
      <w:r>
        <w:rPr>
          <w:sz w:val="20"/>
          <w:szCs w:val="20"/>
        </w:rPr>
        <w:t xml:space="preserve"> </w:t>
      </w:r>
    </w:p>
    <w:p w:rsidR="00513FD2" w:rsidRPr="0097621B" w:rsidRDefault="00513FD2" w:rsidP="00513FD2">
      <w:pPr>
        <w:spacing w:before="120" w:after="120"/>
        <w:rPr>
          <w:sz w:val="20"/>
          <w:szCs w:val="20"/>
        </w:rPr>
      </w:pPr>
      <w:r w:rsidRPr="0097621B">
        <w:rPr>
          <w:sz w:val="20"/>
          <w:szCs w:val="20"/>
        </w:rPr>
        <w:t>An in-depth description of each of the activities, performance measures, targets, rationale, methodology and outputs are in the Performance Tables Section on the page</w:t>
      </w:r>
      <w:r w:rsidR="00B001B0">
        <w:rPr>
          <w:sz w:val="20"/>
          <w:szCs w:val="20"/>
        </w:rPr>
        <w:t>s that follow</w:t>
      </w:r>
      <w:r w:rsidRPr="0097621B">
        <w:rPr>
          <w:sz w:val="20"/>
          <w:szCs w:val="20"/>
        </w:rPr>
        <w:t>.</w:t>
      </w:r>
    </w:p>
    <w:p w:rsidR="00513FD2" w:rsidRPr="0097621B" w:rsidRDefault="00513FD2" w:rsidP="00513FD2">
      <w:pPr>
        <w:shd w:val="clear" w:color="auto" w:fill="005A70"/>
        <w:spacing w:before="120" w:after="120"/>
        <w:rPr>
          <w:rFonts w:cstheme="minorHAnsi"/>
          <w:b/>
          <w:bCs/>
          <w:color w:val="FFFFFF" w:themeColor="background1"/>
          <w:sz w:val="20"/>
        </w:rPr>
      </w:pPr>
      <w:r w:rsidRPr="0097621B">
        <w:rPr>
          <w:rFonts w:cstheme="minorHAnsi"/>
          <w:b/>
          <w:bCs/>
          <w:color w:val="FFFFFF" w:themeColor="background1"/>
          <w:sz w:val="20"/>
        </w:rPr>
        <w:t>Outcome 1 – Social Security</w:t>
      </w:r>
    </w:p>
    <w:p w:rsidR="00513FD2" w:rsidRPr="0097621B" w:rsidRDefault="00513FD2" w:rsidP="00513FD2">
      <w:pPr>
        <w:shd w:val="clear" w:color="auto" w:fill="005A70"/>
        <w:spacing w:before="120" w:after="120"/>
        <w:rPr>
          <w:rFonts w:cs="Arial"/>
          <w:color w:val="FFFFFF" w:themeColor="background1"/>
          <w:sz w:val="20"/>
          <w:bdr w:val="nil"/>
        </w:rPr>
      </w:pPr>
      <w:r w:rsidRPr="0097621B">
        <w:rPr>
          <w:rFonts w:cs="Arial"/>
          <w:color w:val="FFFFFF" w:themeColor="background1"/>
          <w:sz w:val="20"/>
          <w:bdr w:val="nil"/>
        </w:rPr>
        <w:t xml:space="preserve">A sustainable social security system that incentivises self-reliance and supports people who </w:t>
      </w:r>
      <w:r w:rsidRPr="0097621B">
        <w:rPr>
          <w:rFonts w:cs="Arial"/>
          <w:color w:val="FFFFFF" w:themeColor="background1"/>
          <w:sz w:val="20"/>
          <w:bdr w:val="nil"/>
          <w:lang w:eastAsia="en-AU"/>
        </w:rPr>
        <w:t>cannot fully support</w:t>
      </w:r>
      <w:r w:rsidRPr="0097621B">
        <w:rPr>
          <w:rFonts w:cs="Arial"/>
          <w:color w:val="FFFFFF" w:themeColor="background1"/>
          <w:sz w:val="20"/>
          <w:bdr w:val="nil"/>
        </w:rPr>
        <w:t xml:space="preserve"> themselves by providing targeted payments and assistance.</w:t>
      </w:r>
    </w:p>
    <w:tbl>
      <w:tblPr>
        <w:tblStyle w:val="TableGrid"/>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Outcome 1 - Social Security"/>
        <w:tblDescription w:val="Program 1.1 Family assistance&#10;Program 1.2 Support for Seniors&#10;Program 1.3 Financial Support for People with Disability&#10;Program 1.4 Financial Support for Carers&#10;Program 1.5 Working Age Payments&#10;Program 1.6 Student Payments"/>
      </w:tblPr>
      <w:tblGrid>
        <w:gridCol w:w="2404"/>
        <w:gridCol w:w="2404"/>
        <w:gridCol w:w="2405"/>
        <w:gridCol w:w="2405"/>
      </w:tblGrid>
      <w:tr w:rsidR="00513FD2" w:rsidRPr="0006572F" w:rsidTr="005B200F">
        <w:trPr>
          <w:tblHeader/>
        </w:trPr>
        <w:tc>
          <w:tcPr>
            <w:tcW w:w="1250" w:type="pct"/>
            <w:shd w:val="clear" w:color="auto" w:fill="00B0B9"/>
          </w:tcPr>
          <w:p w:rsidR="00513FD2" w:rsidRPr="0006572F" w:rsidRDefault="00513FD2" w:rsidP="00513FD2">
            <w:pPr>
              <w:spacing w:before="120" w:after="120" w:line="259" w:lineRule="auto"/>
              <w:jc w:val="center"/>
              <w:rPr>
                <w:b/>
                <w:color w:val="000000" w:themeColor="text1"/>
                <w:sz w:val="20"/>
              </w:rPr>
            </w:pPr>
            <w:r w:rsidRPr="0006572F">
              <w:rPr>
                <w:b/>
                <w:color w:val="000000" w:themeColor="text1"/>
                <w:sz w:val="20"/>
              </w:rPr>
              <w:t>Program 1.1</w:t>
            </w:r>
            <w:r w:rsidRPr="0006572F">
              <w:rPr>
                <w:b/>
                <w:color w:val="000000" w:themeColor="text1"/>
                <w:sz w:val="20"/>
              </w:rPr>
              <w:br/>
              <w:t>Family Assistance</w:t>
            </w:r>
          </w:p>
        </w:tc>
        <w:tc>
          <w:tcPr>
            <w:tcW w:w="1250" w:type="pct"/>
            <w:shd w:val="clear" w:color="auto" w:fill="00B0B9"/>
          </w:tcPr>
          <w:p w:rsidR="00513FD2" w:rsidRPr="0006572F" w:rsidRDefault="00513FD2" w:rsidP="00513FD2">
            <w:pPr>
              <w:spacing w:before="120" w:after="120" w:line="259" w:lineRule="auto"/>
              <w:jc w:val="center"/>
              <w:rPr>
                <w:b/>
                <w:color w:val="000000" w:themeColor="text1"/>
                <w:sz w:val="20"/>
              </w:rPr>
            </w:pPr>
            <w:r w:rsidRPr="0006572F">
              <w:rPr>
                <w:b/>
                <w:color w:val="000000" w:themeColor="text1"/>
                <w:sz w:val="20"/>
              </w:rPr>
              <w:t>Program 1.1</w:t>
            </w:r>
            <w:r w:rsidRPr="0006572F">
              <w:rPr>
                <w:b/>
                <w:color w:val="000000" w:themeColor="text1"/>
                <w:sz w:val="20"/>
              </w:rPr>
              <w:br/>
              <w:t>Family Assistance</w:t>
            </w:r>
          </w:p>
        </w:tc>
        <w:tc>
          <w:tcPr>
            <w:tcW w:w="1250" w:type="pct"/>
            <w:shd w:val="clear" w:color="auto" w:fill="00B0B9"/>
          </w:tcPr>
          <w:p w:rsidR="00513FD2" w:rsidRPr="0006572F" w:rsidRDefault="00513FD2" w:rsidP="00513FD2">
            <w:pPr>
              <w:spacing w:before="120" w:after="120" w:line="259" w:lineRule="auto"/>
              <w:jc w:val="center"/>
              <w:rPr>
                <w:b/>
                <w:color w:val="000000" w:themeColor="text1"/>
                <w:sz w:val="20"/>
              </w:rPr>
            </w:pPr>
            <w:r w:rsidRPr="0006572F">
              <w:rPr>
                <w:b/>
                <w:color w:val="000000" w:themeColor="text1"/>
                <w:sz w:val="20"/>
              </w:rPr>
              <w:t>Program 1.1</w:t>
            </w:r>
            <w:r w:rsidRPr="0006572F">
              <w:rPr>
                <w:b/>
                <w:color w:val="000000" w:themeColor="text1"/>
                <w:sz w:val="20"/>
              </w:rPr>
              <w:br/>
              <w:t>Family Assistance</w:t>
            </w:r>
          </w:p>
        </w:tc>
        <w:tc>
          <w:tcPr>
            <w:tcW w:w="1250" w:type="pct"/>
            <w:shd w:val="clear" w:color="auto" w:fill="00B0B9"/>
          </w:tcPr>
          <w:p w:rsidR="00513FD2" w:rsidRPr="0006572F" w:rsidRDefault="00513FD2" w:rsidP="00513FD2">
            <w:pPr>
              <w:spacing w:before="120" w:after="120" w:line="259" w:lineRule="auto"/>
              <w:jc w:val="center"/>
              <w:rPr>
                <w:b/>
                <w:color w:val="000000" w:themeColor="text1"/>
                <w:sz w:val="20"/>
              </w:rPr>
            </w:pPr>
            <w:r w:rsidRPr="0006572F">
              <w:rPr>
                <w:b/>
                <w:color w:val="000000" w:themeColor="text1"/>
                <w:sz w:val="20"/>
              </w:rPr>
              <w:t>Program 1.2</w:t>
            </w:r>
            <w:r w:rsidRPr="0006572F">
              <w:rPr>
                <w:b/>
                <w:color w:val="000000" w:themeColor="text1"/>
                <w:sz w:val="20"/>
              </w:rPr>
              <w:br/>
              <w:t>Support for Seniors</w:t>
            </w:r>
          </w:p>
        </w:tc>
      </w:tr>
      <w:tr w:rsidR="00513FD2" w:rsidRPr="0097621B" w:rsidTr="00513FD2">
        <w:tc>
          <w:tcPr>
            <w:tcW w:w="1250" w:type="pct"/>
            <w:shd w:val="clear" w:color="auto" w:fill="DFF1F1"/>
          </w:tcPr>
          <w:p w:rsidR="00513FD2" w:rsidRPr="0097621B" w:rsidRDefault="00513FD2" w:rsidP="00513FD2">
            <w:pPr>
              <w:spacing w:before="120" w:after="120" w:line="259" w:lineRule="auto"/>
              <w:rPr>
                <w:b/>
                <w:sz w:val="20"/>
              </w:rPr>
            </w:pPr>
            <w:r w:rsidRPr="0097621B">
              <w:rPr>
                <w:b/>
                <w:sz w:val="20"/>
              </w:rPr>
              <w:t xml:space="preserve">Key activities </w:t>
            </w:r>
          </w:p>
          <w:p w:rsidR="00513FD2" w:rsidRPr="0097621B" w:rsidRDefault="00513FD2" w:rsidP="00513FD2">
            <w:pPr>
              <w:spacing w:before="120" w:after="120" w:line="259" w:lineRule="auto"/>
              <w:rPr>
                <w:sz w:val="20"/>
              </w:rPr>
            </w:pPr>
            <w:r w:rsidRPr="0097621B">
              <w:rPr>
                <w:sz w:val="20"/>
              </w:rPr>
              <w:t>1.1.1 Family Tax Benefit</w:t>
            </w:r>
          </w:p>
          <w:p w:rsidR="00513FD2" w:rsidRPr="0097621B" w:rsidRDefault="00513FD2" w:rsidP="00513FD2">
            <w:pPr>
              <w:spacing w:before="120" w:after="120" w:line="259" w:lineRule="auto"/>
              <w:rPr>
                <w:sz w:val="20"/>
              </w:rPr>
            </w:pPr>
          </w:p>
        </w:tc>
        <w:tc>
          <w:tcPr>
            <w:tcW w:w="1250" w:type="pct"/>
            <w:shd w:val="clear" w:color="auto" w:fill="DFF1F1"/>
          </w:tcPr>
          <w:p w:rsidR="00513FD2" w:rsidRPr="0097621B" w:rsidRDefault="00513FD2" w:rsidP="00513FD2">
            <w:pPr>
              <w:spacing w:before="120" w:after="120" w:line="259" w:lineRule="auto"/>
              <w:rPr>
                <w:b/>
                <w:sz w:val="20"/>
              </w:rPr>
            </w:pPr>
            <w:r w:rsidRPr="0097621B">
              <w:rPr>
                <w:b/>
                <w:sz w:val="20"/>
              </w:rPr>
              <w:t xml:space="preserve">Key activities </w:t>
            </w:r>
          </w:p>
          <w:p w:rsidR="00513FD2" w:rsidRPr="0097621B" w:rsidRDefault="00513FD2" w:rsidP="00513FD2">
            <w:pPr>
              <w:spacing w:before="120" w:after="120" w:line="259" w:lineRule="auto"/>
              <w:rPr>
                <w:sz w:val="20"/>
              </w:rPr>
            </w:pPr>
            <w:r w:rsidRPr="0097621B">
              <w:rPr>
                <w:sz w:val="20"/>
              </w:rPr>
              <w:t>1.1.2 Child Support Scheme</w:t>
            </w:r>
          </w:p>
          <w:p w:rsidR="00513FD2" w:rsidRPr="0097621B" w:rsidRDefault="00513FD2" w:rsidP="00513FD2">
            <w:pPr>
              <w:spacing w:before="120" w:after="120" w:line="259" w:lineRule="auto"/>
              <w:rPr>
                <w:sz w:val="20"/>
              </w:rPr>
            </w:pPr>
          </w:p>
        </w:tc>
        <w:tc>
          <w:tcPr>
            <w:tcW w:w="1250" w:type="pct"/>
            <w:shd w:val="clear" w:color="auto" w:fill="DFF1F1"/>
          </w:tcPr>
          <w:p w:rsidR="00513FD2" w:rsidRPr="0097621B" w:rsidRDefault="00513FD2" w:rsidP="00513FD2">
            <w:pPr>
              <w:spacing w:before="120" w:after="120" w:line="259" w:lineRule="auto"/>
              <w:rPr>
                <w:b/>
                <w:sz w:val="20"/>
              </w:rPr>
            </w:pPr>
            <w:r w:rsidRPr="0097621B">
              <w:rPr>
                <w:b/>
                <w:sz w:val="20"/>
              </w:rPr>
              <w:t xml:space="preserve">Key activities </w:t>
            </w:r>
          </w:p>
          <w:p w:rsidR="00513FD2" w:rsidRPr="0097621B" w:rsidRDefault="00513FD2" w:rsidP="00513FD2">
            <w:pPr>
              <w:spacing w:before="120" w:after="120" w:line="259" w:lineRule="auto"/>
              <w:rPr>
                <w:sz w:val="20"/>
              </w:rPr>
            </w:pPr>
            <w:r w:rsidRPr="0097621B">
              <w:rPr>
                <w:sz w:val="20"/>
              </w:rPr>
              <w:t>1.1.3 Parental Leave Pay</w:t>
            </w:r>
          </w:p>
          <w:p w:rsidR="00513FD2" w:rsidRPr="0097621B" w:rsidRDefault="00513FD2" w:rsidP="00513FD2">
            <w:pPr>
              <w:spacing w:before="120" w:after="120" w:line="259" w:lineRule="auto"/>
              <w:rPr>
                <w:b/>
                <w:sz w:val="20"/>
              </w:rPr>
            </w:pPr>
            <w:r w:rsidRPr="0097621B">
              <w:rPr>
                <w:sz w:val="20"/>
              </w:rPr>
              <w:t>1.1.4 Dad and Partner Pay</w:t>
            </w:r>
          </w:p>
        </w:tc>
        <w:tc>
          <w:tcPr>
            <w:tcW w:w="1250" w:type="pct"/>
            <w:shd w:val="clear" w:color="auto" w:fill="DFF1F1"/>
          </w:tcPr>
          <w:p w:rsidR="00513FD2" w:rsidRPr="0097621B" w:rsidRDefault="00513FD2" w:rsidP="00513FD2">
            <w:pPr>
              <w:spacing w:before="120" w:after="120" w:line="259" w:lineRule="auto"/>
              <w:rPr>
                <w:b/>
                <w:sz w:val="20"/>
              </w:rPr>
            </w:pPr>
            <w:r w:rsidRPr="0097621B">
              <w:rPr>
                <w:b/>
                <w:sz w:val="20"/>
              </w:rPr>
              <w:t xml:space="preserve">Key activities </w:t>
            </w:r>
          </w:p>
          <w:p w:rsidR="00513FD2" w:rsidRPr="0097621B" w:rsidRDefault="00513FD2" w:rsidP="00513FD2">
            <w:pPr>
              <w:spacing w:before="120" w:after="120" w:line="259" w:lineRule="auto"/>
              <w:rPr>
                <w:sz w:val="20"/>
              </w:rPr>
            </w:pPr>
            <w:r w:rsidRPr="0097621B">
              <w:rPr>
                <w:sz w:val="20"/>
              </w:rPr>
              <w:t>1.2.1 Age Pension</w:t>
            </w:r>
          </w:p>
        </w:tc>
      </w:tr>
      <w:tr w:rsidR="00513FD2" w:rsidRPr="0006572F" w:rsidTr="00513FD2">
        <w:tc>
          <w:tcPr>
            <w:tcW w:w="1250" w:type="pct"/>
            <w:shd w:val="clear" w:color="auto" w:fill="00B0B9"/>
          </w:tcPr>
          <w:p w:rsidR="00513FD2" w:rsidRPr="0006572F" w:rsidRDefault="00513FD2" w:rsidP="00513FD2">
            <w:pPr>
              <w:spacing w:before="120" w:after="120" w:line="259" w:lineRule="auto"/>
              <w:jc w:val="center"/>
              <w:rPr>
                <w:b/>
                <w:color w:val="000000" w:themeColor="text1"/>
                <w:sz w:val="20"/>
              </w:rPr>
            </w:pPr>
            <w:r w:rsidRPr="0006572F">
              <w:rPr>
                <w:b/>
                <w:color w:val="000000" w:themeColor="text1"/>
                <w:sz w:val="20"/>
              </w:rPr>
              <w:t>Program 1.3</w:t>
            </w:r>
            <w:r w:rsidRPr="0006572F">
              <w:rPr>
                <w:b/>
                <w:color w:val="000000" w:themeColor="text1"/>
                <w:sz w:val="20"/>
              </w:rPr>
              <w:br/>
              <w:t xml:space="preserve">Financial Support for People with Disability </w:t>
            </w:r>
          </w:p>
        </w:tc>
        <w:tc>
          <w:tcPr>
            <w:tcW w:w="1250" w:type="pct"/>
            <w:shd w:val="clear" w:color="auto" w:fill="00B0B9"/>
          </w:tcPr>
          <w:p w:rsidR="00513FD2" w:rsidRPr="0006572F" w:rsidRDefault="00513FD2" w:rsidP="00513FD2">
            <w:pPr>
              <w:spacing w:before="120" w:after="120" w:line="259" w:lineRule="auto"/>
              <w:jc w:val="center"/>
              <w:rPr>
                <w:b/>
                <w:color w:val="000000" w:themeColor="text1"/>
                <w:sz w:val="20"/>
              </w:rPr>
            </w:pPr>
            <w:r w:rsidRPr="0006572F">
              <w:rPr>
                <w:b/>
                <w:color w:val="000000" w:themeColor="text1"/>
                <w:sz w:val="20"/>
              </w:rPr>
              <w:t>Program 1.4</w:t>
            </w:r>
          </w:p>
          <w:p w:rsidR="00513FD2" w:rsidRPr="0006572F" w:rsidRDefault="00513FD2" w:rsidP="00513FD2">
            <w:pPr>
              <w:spacing w:before="120" w:after="120" w:line="259" w:lineRule="auto"/>
              <w:jc w:val="center"/>
              <w:rPr>
                <w:b/>
                <w:color w:val="000000" w:themeColor="text1"/>
                <w:sz w:val="20"/>
              </w:rPr>
            </w:pPr>
            <w:r w:rsidRPr="0006572F">
              <w:rPr>
                <w:b/>
                <w:color w:val="000000" w:themeColor="text1"/>
                <w:sz w:val="20"/>
              </w:rPr>
              <w:t>Financial Support for Carers</w:t>
            </w:r>
          </w:p>
        </w:tc>
        <w:tc>
          <w:tcPr>
            <w:tcW w:w="1250" w:type="pct"/>
            <w:shd w:val="clear" w:color="auto" w:fill="00B0B9"/>
          </w:tcPr>
          <w:p w:rsidR="00513FD2" w:rsidRPr="0006572F" w:rsidRDefault="00513FD2" w:rsidP="00513FD2">
            <w:pPr>
              <w:spacing w:before="120" w:after="120" w:line="259" w:lineRule="auto"/>
              <w:jc w:val="center"/>
              <w:rPr>
                <w:b/>
                <w:color w:val="000000" w:themeColor="text1"/>
                <w:sz w:val="20"/>
              </w:rPr>
            </w:pPr>
            <w:r w:rsidRPr="0006572F">
              <w:rPr>
                <w:b/>
                <w:color w:val="000000" w:themeColor="text1"/>
                <w:sz w:val="20"/>
              </w:rPr>
              <w:t>Program 1.5</w:t>
            </w:r>
            <w:r w:rsidRPr="0006572F">
              <w:rPr>
                <w:b/>
                <w:color w:val="000000" w:themeColor="text1"/>
                <w:sz w:val="20"/>
              </w:rPr>
              <w:br/>
              <w:t>Working Age Payments</w:t>
            </w:r>
          </w:p>
        </w:tc>
        <w:tc>
          <w:tcPr>
            <w:tcW w:w="1250" w:type="pct"/>
            <w:shd w:val="clear" w:color="auto" w:fill="00B0B9"/>
          </w:tcPr>
          <w:p w:rsidR="00513FD2" w:rsidRPr="0006572F" w:rsidRDefault="00513FD2" w:rsidP="00513FD2">
            <w:pPr>
              <w:spacing w:before="120" w:after="120" w:line="259" w:lineRule="auto"/>
              <w:jc w:val="center"/>
              <w:rPr>
                <w:b/>
                <w:color w:val="000000" w:themeColor="text1"/>
                <w:sz w:val="20"/>
              </w:rPr>
            </w:pPr>
            <w:r w:rsidRPr="0006572F">
              <w:rPr>
                <w:b/>
                <w:color w:val="000000" w:themeColor="text1"/>
                <w:sz w:val="20"/>
              </w:rPr>
              <w:t>Program 1.6</w:t>
            </w:r>
            <w:r w:rsidRPr="0006572F">
              <w:rPr>
                <w:b/>
                <w:color w:val="000000" w:themeColor="text1"/>
                <w:sz w:val="20"/>
              </w:rPr>
              <w:br/>
              <w:t>Student Payments</w:t>
            </w:r>
          </w:p>
        </w:tc>
      </w:tr>
      <w:tr w:rsidR="00513FD2" w:rsidRPr="0097621B" w:rsidTr="00513FD2">
        <w:tc>
          <w:tcPr>
            <w:tcW w:w="1250" w:type="pct"/>
            <w:shd w:val="clear" w:color="auto" w:fill="DFF1F1"/>
          </w:tcPr>
          <w:p w:rsidR="00513FD2" w:rsidRPr="0097621B" w:rsidRDefault="00513FD2" w:rsidP="00513FD2">
            <w:pPr>
              <w:spacing w:before="120" w:after="120" w:line="259" w:lineRule="auto"/>
              <w:rPr>
                <w:b/>
                <w:sz w:val="20"/>
              </w:rPr>
            </w:pPr>
            <w:r w:rsidRPr="0097621B">
              <w:rPr>
                <w:b/>
                <w:sz w:val="20"/>
              </w:rPr>
              <w:t xml:space="preserve">Key activities </w:t>
            </w:r>
          </w:p>
          <w:p w:rsidR="00513FD2" w:rsidRPr="0097621B" w:rsidRDefault="00513FD2" w:rsidP="00513FD2">
            <w:pPr>
              <w:spacing w:before="120" w:after="120" w:line="259" w:lineRule="auto"/>
              <w:rPr>
                <w:b/>
                <w:color w:val="FFFFFF" w:themeColor="background1"/>
                <w:sz w:val="20"/>
              </w:rPr>
            </w:pPr>
            <w:r w:rsidRPr="0097621B">
              <w:rPr>
                <w:sz w:val="20"/>
              </w:rPr>
              <w:t>1.3.1 Disability Support Pension</w:t>
            </w:r>
          </w:p>
        </w:tc>
        <w:tc>
          <w:tcPr>
            <w:tcW w:w="1250" w:type="pct"/>
            <w:shd w:val="clear" w:color="auto" w:fill="DFF1F1"/>
          </w:tcPr>
          <w:p w:rsidR="00513FD2" w:rsidRPr="0097621B" w:rsidRDefault="00513FD2" w:rsidP="00513FD2">
            <w:pPr>
              <w:spacing w:before="120" w:after="120" w:line="259" w:lineRule="auto"/>
              <w:rPr>
                <w:b/>
                <w:sz w:val="20"/>
              </w:rPr>
            </w:pPr>
            <w:r w:rsidRPr="0097621B">
              <w:rPr>
                <w:b/>
                <w:sz w:val="20"/>
              </w:rPr>
              <w:t xml:space="preserve">Key activities </w:t>
            </w:r>
          </w:p>
          <w:p w:rsidR="00513FD2" w:rsidRPr="0097621B" w:rsidRDefault="00513FD2" w:rsidP="00513FD2">
            <w:pPr>
              <w:spacing w:before="120" w:after="120" w:line="259" w:lineRule="auto"/>
              <w:rPr>
                <w:b/>
                <w:color w:val="FFFFFF" w:themeColor="background1"/>
                <w:sz w:val="20"/>
              </w:rPr>
            </w:pPr>
            <w:r w:rsidRPr="0097621B">
              <w:rPr>
                <w:sz w:val="20"/>
              </w:rPr>
              <w:t>1.4.1 Carer Payment and Carer Allowance</w:t>
            </w:r>
          </w:p>
        </w:tc>
        <w:tc>
          <w:tcPr>
            <w:tcW w:w="1250" w:type="pct"/>
            <w:shd w:val="clear" w:color="auto" w:fill="DFF1F1"/>
          </w:tcPr>
          <w:p w:rsidR="00513FD2" w:rsidRPr="0097621B" w:rsidRDefault="00513FD2" w:rsidP="00513FD2">
            <w:pPr>
              <w:spacing w:before="120" w:after="120" w:line="259" w:lineRule="auto"/>
              <w:rPr>
                <w:b/>
                <w:sz w:val="20"/>
              </w:rPr>
            </w:pPr>
            <w:r w:rsidRPr="0097621B">
              <w:rPr>
                <w:b/>
                <w:sz w:val="20"/>
              </w:rPr>
              <w:t xml:space="preserve">Key activities </w:t>
            </w:r>
          </w:p>
          <w:p w:rsidR="00513FD2" w:rsidRPr="0097621B" w:rsidRDefault="00513FD2" w:rsidP="00513FD2">
            <w:pPr>
              <w:spacing w:before="120" w:after="120" w:line="259" w:lineRule="auto"/>
              <w:rPr>
                <w:b/>
                <w:color w:val="FFFFFF" w:themeColor="background1"/>
                <w:sz w:val="20"/>
              </w:rPr>
            </w:pPr>
            <w:r w:rsidRPr="0097621B">
              <w:rPr>
                <w:sz w:val="20"/>
              </w:rPr>
              <w:t>1.5.1 JobSeeker Payment, Youth Allowance (other) and Parenting Payment</w:t>
            </w:r>
          </w:p>
        </w:tc>
        <w:tc>
          <w:tcPr>
            <w:tcW w:w="1250" w:type="pct"/>
            <w:shd w:val="clear" w:color="auto" w:fill="DFF1F1"/>
          </w:tcPr>
          <w:p w:rsidR="00513FD2" w:rsidRPr="0097621B" w:rsidRDefault="00513FD2" w:rsidP="00513FD2">
            <w:pPr>
              <w:spacing w:before="120" w:after="120" w:line="259" w:lineRule="auto"/>
              <w:rPr>
                <w:b/>
                <w:sz w:val="20"/>
              </w:rPr>
            </w:pPr>
            <w:r w:rsidRPr="0097621B">
              <w:rPr>
                <w:b/>
                <w:sz w:val="20"/>
              </w:rPr>
              <w:t xml:space="preserve">Key activities </w:t>
            </w:r>
          </w:p>
          <w:p w:rsidR="00513FD2" w:rsidRPr="0097621B" w:rsidRDefault="00513FD2" w:rsidP="00513FD2">
            <w:pPr>
              <w:spacing w:before="120" w:after="120" w:line="259" w:lineRule="auto"/>
              <w:rPr>
                <w:b/>
                <w:color w:val="FFFFFF" w:themeColor="background1"/>
                <w:sz w:val="20"/>
              </w:rPr>
            </w:pPr>
            <w:r w:rsidRPr="0097621B">
              <w:rPr>
                <w:sz w:val="20"/>
              </w:rPr>
              <w:t>1.6.1 Youth Allowance (Student), Austudy and ABSTUDY</w:t>
            </w:r>
          </w:p>
        </w:tc>
      </w:tr>
      <w:tr w:rsidR="00513FD2" w:rsidRPr="0006572F" w:rsidTr="00513FD2">
        <w:trPr>
          <w:trHeight w:val="264"/>
        </w:trPr>
        <w:tc>
          <w:tcPr>
            <w:tcW w:w="5000" w:type="pct"/>
            <w:gridSpan w:val="4"/>
            <w:shd w:val="clear" w:color="auto" w:fill="00B0B9"/>
          </w:tcPr>
          <w:p w:rsidR="00513FD2" w:rsidRPr="0006572F" w:rsidRDefault="00513FD2" w:rsidP="00513FD2">
            <w:pPr>
              <w:spacing w:before="120" w:after="120" w:line="259" w:lineRule="auto"/>
              <w:jc w:val="center"/>
              <w:rPr>
                <w:b/>
                <w:color w:val="000000" w:themeColor="text1"/>
                <w:sz w:val="20"/>
              </w:rPr>
            </w:pPr>
            <w:r w:rsidRPr="0006572F">
              <w:rPr>
                <w:b/>
                <w:color w:val="000000" w:themeColor="text1"/>
                <w:sz w:val="20"/>
              </w:rPr>
              <w:t>Cross-Program</w:t>
            </w:r>
            <w:r w:rsidRPr="0006572F">
              <w:rPr>
                <w:b/>
                <w:color w:val="000000" w:themeColor="text1"/>
                <w:sz w:val="20"/>
              </w:rPr>
              <w:br/>
              <w:t>Commonwealth Rent Assistance</w:t>
            </w:r>
          </w:p>
        </w:tc>
      </w:tr>
      <w:tr w:rsidR="00513FD2" w:rsidRPr="0097621B" w:rsidTr="00513FD2">
        <w:trPr>
          <w:trHeight w:val="263"/>
        </w:trPr>
        <w:tc>
          <w:tcPr>
            <w:tcW w:w="5000" w:type="pct"/>
            <w:gridSpan w:val="4"/>
            <w:shd w:val="clear" w:color="auto" w:fill="DFF1F1"/>
          </w:tcPr>
          <w:p w:rsidR="00513FD2" w:rsidRPr="0097621B" w:rsidRDefault="00513FD2" w:rsidP="00513FD2">
            <w:pPr>
              <w:spacing w:before="120" w:after="120" w:line="259" w:lineRule="auto"/>
              <w:rPr>
                <w:b/>
                <w:sz w:val="20"/>
              </w:rPr>
            </w:pPr>
            <w:r w:rsidRPr="0097621B">
              <w:rPr>
                <w:b/>
                <w:sz w:val="20"/>
              </w:rPr>
              <w:t xml:space="preserve">Key activities </w:t>
            </w:r>
          </w:p>
          <w:p w:rsidR="00513FD2" w:rsidRPr="0097621B" w:rsidRDefault="00DE4FE4" w:rsidP="00513FD2">
            <w:pPr>
              <w:spacing w:before="120" w:after="120" w:line="259" w:lineRule="auto"/>
              <w:rPr>
                <w:b/>
                <w:sz w:val="20"/>
              </w:rPr>
            </w:pPr>
            <w:r>
              <w:rPr>
                <w:sz w:val="20"/>
              </w:rPr>
              <w:t xml:space="preserve">XP </w:t>
            </w:r>
            <w:r w:rsidR="00513FD2">
              <w:rPr>
                <w:sz w:val="20"/>
              </w:rPr>
              <w:t xml:space="preserve">Commonwealth </w:t>
            </w:r>
            <w:r w:rsidR="00513FD2" w:rsidRPr="0097621B">
              <w:rPr>
                <w:sz w:val="20"/>
              </w:rPr>
              <w:t>Rent Assistance</w:t>
            </w:r>
          </w:p>
        </w:tc>
      </w:tr>
    </w:tbl>
    <w:p w:rsidR="00513FD2" w:rsidRDefault="00513FD2" w:rsidP="00513FD2">
      <w:pPr>
        <w:spacing w:after="160"/>
        <w:rPr>
          <w:rFonts w:asciiTheme="majorHAnsi" w:eastAsiaTheme="majorEastAsia" w:hAnsiTheme="majorHAnsi" w:cstheme="majorBidi"/>
          <w:color w:val="005A70"/>
          <w:sz w:val="36"/>
          <w:szCs w:val="36"/>
        </w:rPr>
      </w:pPr>
    </w:p>
    <w:p w:rsidR="00513FD2" w:rsidRDefault="00513FD2" w:rsidP="00513FD2">
      <w:pPr>
        <w:spacing w:before="0" w:after="160"/>
        <w:rPr>
          <w:rFonts w:asciiTheme="majorHAnsi" w:eastAsiaTheme="majorEastAsia" w:hAnsiTheme="majorHAnsi" w:cstheme="majorBidi"/>
          <w:color w:val="005A70"/>
          <w:sz w:val="36"/>
          <w:szCs w:val="36"/>
        </w:rPr>
      </w:pPr>
      <w:r>
        <w:rPr>
          <w:rFonts w:asciiTheme="majorHAnsi" w:eastAsiaTheme="majorEastAsia" w:hAnsiTheme="majorHAnsi" w:cstheme="majorBidi"/>
          <w:color w:val="005A70"/>
          <w:sz w:val="36"/>
          <w:szCs w:val="36"/>
        </w:rPr>
        <w:br w:type="page"/>
      </w:r>
    </w:p>
    <w:p w:rsidR="00513FD2" w:rsidRPr="00AD66D2" w:rsidRDefault="00513FD2" w:rsidP="00513FD2">
      <w:pPr>
        <w:pStyle w:val="Heading2-NP"/>
        <w:rPr>
          <w:color w:val="005A70"/>
        </w:rPr>
      </w:pPr>
      <w:bookmarkStart w:id="60" w:name="_Toc77593302"/>
      <w:bookmarkStart w:id="61" w:name="_Toc111026125"/>
      <w:r w:rsidRPr="00AD66D2">
        <w:rPr>
          <w:color w:val="005A70"/>
        </w:rPr>
        <w:lastRenderedPageBreak/>
        <w:t xml:space="preserve">Performance Tables </w:t>
      </w:r>
      <w:bookmarkStart w:id="62" w:name="_Toc77081688"/>
      <w:r w:rsidRPr="00AD66D2">
        <w:rPr>
          <w:color w:val="005A70"/>
        </w:rPr>
        <w:t>Outcome 1: Social Security</w:t>
      </w:r>
      <w:bookmarkEnd w:id="60"/>
      <w:bookmarkEnd w:id="61"/>
      <w:bookmarkEnd w:id="62"/>
      <w:r w:rsidRPr="00AD66D2">
        <w:rPr>
          <w:color w:val="005A70"/>
        </w:rPr>
        <w:t xml:space="preserve"> </w:t>
      </w:r>
    </w:p>
    <w:p w:rsidR="00513FD2" w:rsidRPr="0097621B" w:rsidRDefault="00513FD2" w:rsidP="00513FD2">
      <w:pPr>
        <w:shd w:val="clear" w:color="auto" w:fill="005A70"/>
        <w:spacing w:before="120" w:after="120"/>
        <w:rPr>
          <w:b/>
          <w:color w:val="FFFFFF" w:themeColor="background1"/>
          <w:sz w:val="20"/>
        </w:rPr>
      </w:pPr>
      <w:r w:rsidRPr="0097621B">
        <w:rPr>
          <w:b/>
          <w:color w:val="FFFFFF" w:themeColor="background1"/>
          <w:sz w:val="20"/>
        </w:rPr>
        <w:t xml:space="preserve">PROGRAM 1.1 FAMILY ASSISTANCE </w:t>
      </w:r>
    </w:p>
    <w:p w:rsidR="00513FD2" w:rsidRPr="0097621B" w:rsidRDefault="00513FD2" w:rsidP="00513FD2">
      <w:pPr>
        <w:shd w:val="clear" w:color="auto" w:fill="005A70"/>
        <w:spacing w:before="120" w:after="120"/>
        <w:rPr>
          <w:color w:val="FFFFFF" w:themeColor="background1"/>
          <w:sz w:val="20"/>
        </w:rPr>
      </w:pPr>
      <w:r w:rsidRPr="0097621B">
        <w:rPr>
          <w:color w:val="FFFFFF" w:themeColor="background1"/>
          <w:sz w:val="20"/>
        </w:rPr>
        <w:t>Assist families to take time out of the workforce to bond with their children following birth or adoption and with the costs of their children</w:t>
      </w:r>
    </w:p>
    <w:p w:rsidR="00513FD2" w:rsidRPr="0097621B" w:rsidRDefault="00513FD2" w:rsidP="00513FD2">
      <w:pPr>
        <w:shd w:val="clear" w:color="auto" w:fill="B1E4E3"/>
        <w:spacing w:before="120" w:after="120"/>
        <w:rPr>
          <w:b/>
          <w:sz w:val="20"/>
        </w:rPr>
      </w:pPr>
      <w:r w:rsidRPr="0097621B">
        <w:rPr>
          <w:b/>
          <w:sz w:val="20"/>
        </w:rPr>
        <w:t>Key Activity — 1.1.1 Family Tax Benefit</w:t>
      </w:r>
    </w:p>
    <w:p w:rsidR="00513FD2" w:rsidRPr="0097621B" w:rsidRDefault="00513FD2" w:rsidP="00513FD2">
      <w:pPr>
        <w:spacing w:before="120" w:after="120"/>
        <w:rPr>
          <w:sz w:val="20"/>
        </w:rPr>
      </w:pPr>
      <w:r w:rsidRPr="0097621B">
        <w:rPr>
          <w:sz w:val="20"/>
        </w:rPr>
        <w:t>The Family Tax Benefit (FTB) is a key activity of the Family Assistance Program.</w:t>
      </w:r>
      <w:r>
        <w:rPr>
          <w:sz w:val="20"/>
        </w:rPr>
        <w:t xml:space="preserve"> </w:t>
      </w:r>
      <w:r w:rsidRPr="0097621B">
        <w:rPr>
          <w:sz w:val="20"/>
        </w:rPr>
        <w:t xml:space="preserve">The Family Tax Benefit key activity aims to make payments to </w:t>
      </w:r>
      <w:r w:rsidRPr="0097621B">
        <w:rPr>
          <w:b/>
          <w:sz w:val="20"/>
        </w:rPr>
        <w:t>eligible low and medium income families</w:t>
      </w:r>
      <w:r w:rsidRPr="0097621B">
        <w:rPr>
          <w:sz w:val="20"/>
        </w:rPr>
        <w:t xml:space="preserve"> to help with the direct and indirect cost of raising dependent children. It comprises two parts:</w:t>
      </w:r>
    </w:p>
    <w:p w:rsidR="00513FD2" w:rsidRPr="0097621B" w:rsidRDefault="00513FD2" w:rsidP="00513FD2">
      <w:pPr>
        <w:numPr>
          <w:ilvl w:val="0"/>
          <w:numId w:val="15"/>
        </w:numPr>
        <w:spacing w:before="120" w:after="120"/>
        <w:ind w:left="624" w:hanging="340"/>
        <w:rPr>
          <w:sz w:val="20"/>
        </w:rPr>
      </w:pPr>
      <w:r w:rsidRPr="0097621B">
        <w:rPr>
          <w:sz w:val="20"/>
        </w:rPr>
        <w:t>Family Tax Benefit Part A – this is paid per child and the amount paid is based on the family’s circumstances.</w:t>
      </w:r>
    </w:p>
    <w:p w:rsidR="00513FD2" w:rsidRPr="0097621B" w:rsidRDefault="00513FD2" w:rsidP="00513FD2">
      <w:pPr>
        <w:numPr>
          <w:ilvl w:val="0"/>
          <w:numId w:val="15"/>
        </w:numPr>
        <w:spacing w:before="120" w:after="120"/>
        <w:ind w:left="624" w:hanging="340"/>
        <w:rPr>
          <w:sz w:val="20"/>
        </w:rPr>
      </w:pPr>
      <w:r w:rsidRPr="0097621B">
        <w:rPr>
          <w:sz w:val="20"/>
        </w:rPr>
        <w:t>Family Tax Benefit Part B – this is paid per family and gives extra help to single parents and some couple families with one income.</w:t>
      </w:r>
      <w:r>
        <w:rPr>
          <w:sz w:val="20"/>
        </w:rPr>
        <w:t xml:space="preserve"> </w:t>
      </w:r>
    </w:p>
    <w:p w:rsidR="00513FD2" w:rsidRPr="0097621B" w:rsidRDefault="00513FD2" w:rsidP="00513FD2">
      <w:pPr>
        <w:spacing w:before="120" w:after="120"/>
        <w:rPr>
          <w:sz w:val="20"/>
        </w:rPr>
      </w:pPr>
      <w:r w:rsidRPr="0097621B">
        <w:rPr>
          <w:sz w:val="20"/>
        </w:rPr>
        <w:t>Family Tax Benefit is paid either fortnightly or as a lump sum at the end of the financial year.</w:t>
      </w:r>
      <w:r w:rsidR="00A6220C">
        <w:rPr>
          <w:sz w:val="20"/>
        </w:rPr>
        <w:t xml:space="preserve"> </w:t>
      </w:r>
      <w:r w:rsidRPr="0097621B">
        <w:rPr>
          <w:sz w:val="20"/>
        </w:rPr>
        <w:t>Families who are eligible for the Family Tax Benefit may also be eligible for other payments and supplements.</w:t>
      </w:r>
      <w:r>
        <w:rPr>
          <w:sz w:val="20"/>
        </w:rPr>
        <w:t xml:space="preserve"> </w:t>
      </w:r>
      <w:r w:rsidRPr="0097621B">
        <w:rPr>
          <w:sz w:val="20"/>
        </w:rPr>
        <w:t>Family Tax Benefit Part A recipients also have to meet immunisation and health check requirements.</w:t>
      </w:r>
    </w:p>
    <w:p w:rsidR="00513FD2" w:rsidRPr="0097621B" w:rsidRDefault="00513FD2" w:rsidP="00513FD2">
      <w:pPr>
        <w:spacing w:before="120" w:after="120"/>
        <w:rPr>
          <w:sz w:val="20"/>
        </w:rPr>
      </w:pPr>
      <w:r w:rsidRPr="0097621B">
        <w:rPr>
          <w:b/>
          <w:sz w:val="20"/>
        </w:rPr>
        <w:t>The department</w:t>
      </w:r>
      <w:r w:rsidRPr="0097621B">
        <w:rPr>
          <w:sz w:val="20"/>
        </w:rPr>
        <w:t xml:space="preserve"> is responsible for designing and implementing the key activity. This includes providing advice to Government on policy and legislation, program implementation and management, program performance, monitoring and meeting all relevant deliverables, setting guidelines and providing guidance and advice to Services Australia on the administration of the program. </w:t>
      </w:r>
      <w:r w:rsidRPr="0097621B">
        <w:rPr>
          <w:b/>
          <w:sz w:val="20"/>
        </w:rPr>
        <w:t>Services Australia</w:t>
      </w:r>
      <w:r w:rsidRPr="0097621B">
        <w:rPr>
          <w:sz w:val="20"/>
        </w:rPr>
        <w:t xml:space="preserve"> is the primary portfolio agency responsible for administering the Family Tax Benefit on the department’s behalf, including receiving, processing and managing payment applications and making payments.</w:t>
      </w:r>
    </w:p>
    <w:tbl>
      <w:tblPr>
        <w:tblStyle w:val="TableGrid39"/>
        <w:tblW w:w="4976" w:type="pct"/>
        <w:jc w:val="center"/>
        <w:tblLook w:val="04A0" w:firstRow="1" w:lastRow="0" w:firstColumn="1" w:lastColumn="0" w:noHBand="0" w:noVBand="1"/>
        <w:tblCaption w:val="1.1.1 Performance Measure and Target"/>
        <w:tblDescription w:val="Table outlines the targeted payment percentages across 2022-23, 2023-24, 2024-25 and 2025-26"/>
      </w:tblPr>
      <w:tblGrid>
        <w:gridCol w:w="4248"/>
        <w:gridCol w:w="1276"/>
        <w:gridCol w:w="1416"/>
        <w:gridCol w:w="1274"/>
        <w:gridCol w:w="1368"/>
      </w:tblGrid>
      <w:tr w:rsidR="00513FD2" w:rsidRPr="0097621B" w:rsidTr="005B200F">
        <w:trPr>
          <w:cantSplit/>
          <w:trHeight w:val="356"/>
          <w:tblHeader/>
          <w:jc w:val="center"/>
        </w:trPr>
        <w:tc>
          <w:tcPr>
            <w:tcW w:w="5000" w:type="pct"/>
            <w:gridSpan w:val="5"/>
            <w:tcBorders>
              <w:top w:val="single" w:sz="4" w:space="0" w:color="auto"/>
              <w:bottom w:val="single" w:sz="4" w:space="0" w:color="auto"/>
              <w:right w:val="single" w:sz="4" w:space="0" w:color="auto"/>
            </w:tcBorders>
            <w:shd w:val="clear" w:color="auto" w:fill="D9D9D6"/>
          </w:tcPr>
          <w:p w:rsidR="00513FD2" w:rsidRPr="0097621B" w:rsidRDefault="00513FD2" w:rsidP="00513FD2">
            <w:pPr>
              <w:spacing w:before="120" w:after="120" w:line="259" w:lineRule="auto"/>
              <w:rPr>
                <w:b/>
                <w:sz w:val="20"/>
              </w:rPr>
            </w:pPr>
            <w:r w:rsidRPr="0097621B">
              <w:rPr>
                <w:b/>
                <w:sz w:val="20"/>
              </w:rPr>
              <w:t>Performance Measure</w:t>
            </w:r>
            <w:r w:rsidRPr="0097621B">
              <w:rPr>
                <w:b/>
                <w:sz w:val="20"/>
              </w:rPr>
              <w:tab/>
            </w:r>
          </w:p>
        </w:tc>
      </w:tr>
      <w:tr w:rsidR="00513FD2" w:rsidRPr="0097621B" w:rsidTr="00513FD2">
        <w:trPr>
          <w:cantSplit/>
          <w:trHeight w:val="356"/>
          <w:jc w:val="center"/>
        </w:trPr>
        <w:tc>
          <w:tcPr>
            <w:tcW w:w="5000" w:type="pct"/>
            <w:gridSpan w:val="5"/>
            <w:tcBorders>
              <w:top w:val="single" w:sz="4" w:space="0" w:color="auto"/>
              <w:bottom w:val="single" w:sz="4" w:space="0" w:color="auto"/>
              <w:right w:val="single" w:sz="4" w:space="0" w:color="auto"/>
            </w:tcBorders>
            <w:shd w:val="clear" w:color="auto" w:fill="auto"/>
          </w:tcPr>
          <w:p w:rsidR="00513FD2" w:rsidRPr="0097621B" w:rsidRDefault="00513FD2" w:rsidP="00513FD2">
            <w:pPr>
              <w:spacing w:before="120" w:after="120" w:line="259" w:lineRule="auto"/>
              <w:rPr>
                <w:rFonts w:cstheme="minorHAnsi"/>
                <w:b/>
                <w:sz w:val="20"/>
              </w:rPr>
            </w:pPr>
            <w:r w:rsidRPr="0097621B">
              <w:rPr>
                <w:sz w:val="20"/>
              </w:rPr>
              <w:t>1.1.1-1 Extent to which families with lower incomes are supported with the costs of raising children through Family Tax Benefit.</w:t>
            </w:r>
          </w:p>
        </w:tc>
      </w:tr>
      <w:tr w:rsidR="00513FD2" w:rsidRPr="0097621B" w:rsidTr="00513FD2">
        <w:trPr>
          <w:cantSplit/>
          <w:trHeight w:val="356"/>
          <w:jc w:val="center"/>
        </w:trPr>
        <w:tc>
          <w:tcPr>
            <w:tcW w:w="2216" w:type="pct"/>
            <w:tcBorders>
              <w:top w:val="single" w:sz="4" w:space="0" w:color="auto"/>
              <w:bottom w:val="single" w:sz="4" w:space="0" w:color="auto"/>
              <w:right w:val="single" w:sz="6" w:space="0" w:color="auto"/>
            </w:tcBorders>
            <w:shd w:val="clear" w:color="auto" w:fill="D9D9D6"/>
          </w:tcPr>
          <w:p w:rsidR="00513FD2" w:rsidRPr="0097621B" w:rsidRDefault="00513FD2" w:rsidP="00513FD2">
            <w:pPr>
              <w:spacing w:before="120" w:after="120" w:line="259" w:lineRule="auto"/>
              <w:rPr>
                <w:rFonts w:cstheme="minorHAnsi"/>
                <w:sz w:val="20"/>
              </w:rPr>
            </w:pPr>
            <w:r w:rsidRPr="0097621B">
              <w:rPr>
                <w:rFonts w:cstheme="minorHAnsi"/>
                <w:b/>
                <w:sz w:val="20"/>
              </w:rPr>
              <w:t>Target</w:t>
            </w:r>
          </w:p>
        </w:tc>
        <w:tc>
          <w:tcPr>
            <w:tcW w:w="666" w:type="pct"/>
            <w:tcBorders>
              <w:top w:val="single" w:sz="4" w:space="0" w:color="auto"/>
              <w:left w:val="single" w:sz="6" w:space="0" w:color="auto"/>
              <w:bottom w:val="single" w:sz="4" w:space="0" w:color="auto"/>
              <w:right w:val="single" w:sz="6" w:space="0" w:color="auto"/>
            </w:tcBorders>
            <w:shd w:val="clear" w:color="auto" w:fill="D9D9D6"/>
            <w:vAlign w:val="center"/>
          </w:tcPr>
          <w:p w:rsidR="00513FD2" w:rsidRPr="0097621B" w:rsidRDefault="00513FD2" w:rsidP="00513FD2">
            <w:pPr>
              <w:spacing w:before="120" w:after="120" w:line="259" w:lineRule="auto"/>
              <w:rPr>
                <w:rFonts w:cstheme="minorHAnsi"/>
                <w:sz w:val="20"/>
              </w:rPr>
            </w:pPr>
            <w:r w:rsidRPr="0097621B">
              <w:rPr>
                <w:rFonts w:cstheme="minorHAnsi"/>
                <w:b/>
                <w:sz w:val="20"/>
              </w:rPr>
              <w:t>2022–23</w:t>
            </w:r>
          </w:p>
        </w:tc>
        <w:tc>
          <w:tcPr>
            <w:tcW w:w="739" w:type="pct"/>
            <w:tcBorders>
              <w:top w:val="single" w:sz="4" w:space="0" w:color="auto"/>
              <w:left w:val="single" w:sz="6" w:space="0" w:color="auto"/>
              <w:bottom w:val="single" w:sz="4" w:space="0" w:color="auto"/>
              <w:right w:val="single" w:sz="6" w:space="0" w:color="auto"/>
            </w:tcBorders>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2023–24</w:t>
            </w:r>
          </w:p>
        </w:tc>
        <w:tc>
          <w:tcPr>
            <w:tcW w:w="665" w:type="pct"/>
            <w:tcBorders>
              <w:top w:val="single" w:sz="4" w:space="0" w:color="auto"/>
              <w:left w:val="single" w:sz="6" w:space="0" w:color="auto"/>
              <w:bottom w:val="single" w:sz="4" w:space="0" w:color="auto"/>
              <w:right w:val="single" w:sz="6" w:space="0" w:color="auto"/>
            </w:tcBorders>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2024–25</w:t>
            </w:r>
          </w:p>
        </w:tc>
        <w:tc>
          <w:tcPr>
            <w:tcW w:w="713" w:type="pct"/>
            <w:tcBorders>
              <w:top w:val="single" w:sz="4" w:space="0" w:color="auto"/>
              <w:left w:val="single" w:sz="6" w:space="0" w:color="auto"/>
              <w:bottom w:val="single" w:sz="4" w:space="0" w:color="auto"/>
              <w:right w:val="single" w:sz="4" w:space="0" w:color="auto"/>
            </w:tcBorders>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2025–26</w:t>
            </w:r>
          </w:p>
        </w:tc>
      </w:tr>
      <w:tr w:rsidR="00513FD2" w:rsidRPr="0097621B" w:rsidTr="00513FD2">
        <w:trPr>
          <w:cantSplit/>
          <w:trHeight w:val="356"/>
          <w:jc w:val="center"/>
        </w:trPr>
        <w:tc>
          <w:tcPr>
            <w:tcW w:w="2216" w:type="pct"/>
            <w:tcBorders>
              <w:top w:val="single" w:sz="4" w:space="0" w:color="auto"/>
            </w:tcBorders>
            <w:shd w:val="clear" w:color="auto" w:fill="auto"/>
          </w:tcPr>
          <w:p w:rsidR="00513FD2" w:rsidRPr="0097621B" w:rsidRDefault="00513FD2" w:rsidP="00276CDD">
            <w:pPr>
              <w:spacing w:before="120" w:after="120" w:line="259" w:lineRule="auto"/>
              <w:rPr>
                <w:rFonts w:cstheme="minorHAnsi"/>
                <w:sz w:val="20"/>
              </w:rPr>
            </w:pPr>
            <w:r w:rsidRPr="0097621B">
              <w:rPr>
                <w:rFonts w:cstheme="minorHAnsi"/>
                <w:sz w:val="20"/>
              </w:rPr>
              <w:sym w:font="Wingdings" w:char="F074"/>
            </w:r>
            <w:r w:rsidRPr="0097621B">
              <w:rPr>
                <w:rFonts w:cstheme="minorHAnsi"/>
                <w:sz w:val="20"/>
              </w:rPr>
              <w:t>1.1.1-1A Payment targeted to low income families (67</w:t>
            </w:r>
            <w:r w:rsidR="00276CDD">
              <w:rPr>
                <w:rFonts w:cstheme="minorHAnsi"/>
                <w:sz w:val="20"/>
              </w:rPr>
              <w:t>%</w:t>
            </w:r>
            <w:r w:rsidRPr="0097621B">
              <w:rPr>
                <w:rFonts w:cstheme="minorHAnsi"/>
                <w:sz w:val="20"/>
              </w:rPr>
              <w:t xml:space="preserve"> of support received by families under the FTB lower income free area). </w:t>
            </w:r>
          </w:p>
        </w:tc>
        <w:tc>
          <w:tcPr>
            <w:tcW w:w="666" w:type="pct"/>
            <w:tcBorders>
              <w:top w:val="single" w:sz="4" w:space="0" w:color="auto"/>
            </w:tcBorders>
            <w:shd w:val="clear" w:color="auto" w:fill="auto"/>
          </w:tcPr>
          <w:p w:rsidR="00513FD2" w:rsidRPr="0097621B" w:rsidRDefault="00513FD2" w:rsidP="00513FD2">
            <w:pPr>
              <w:spacing w:before="120" w:after="120" w:line="259" w:lineRule="auto"/>
              <w:rPr>
                <w:rFonts w:cstheme="minorHAnsi"/>
                <w:sz w:val="20"/>
              </w:rPr>
            </w:pPr>
            <w:r w:rsidRPr="0097621B">
              <w:rPr>
                <w:sz w:val="20"/>
              </w:rPr>
              <w:t xml:space="preserve">≥67 </w:t>
            </w:r>
            <w:r>
              <w:rPr>
                <w:sz w:val="20"/>
              </w:rPr>
              <w:t>%</w:t>
            </w:r>
          </w:p>
        </w:tc>
        <w:tc>
          <w:tcPr>
            <w:tcW w:w="739" w:type="pct"/>
            <w:tcBorders>
              <w:top w:val="single" w:sz="4" w:space="0" w:color="auto"/>
            </w:tcBorders>
            <w:shd w:val="clear" w:color="auto" w:fill="auto"/>
          </w:tcPr>
          <w:p w:rsidR="00513FD2" w:rsidRPr="0097621B" w:rsidRDefault="00513FD2" w:rsidP="00513FD2">
            <w:pPr>
              <w:spacing w:before="120" w:after="120" w:line="259" w:lineRule="auto"/>
              <w:rPr>
                <w:rFonts w:cstheme="minorHAnsi"/>
                <w:sz w:val="20"/>
              </w:rPr>
            </w:pPr>
            <w:r w:rsidRPr="0097621B">
              <w:rPr>
                <w:sz w:val="20"/>
              </w:rPr>
              <w:t xml:space="preserve">≥67 </w:t>
            </w:r>
            <w:r>
              <w:rPr>
                <w:sz w:val="20"/>
              </w:rPr>
              <w:t>%</w:t>
            </w:r>
          </w:p>
        </w:tc>
        <w:tc>
          <w:tcPr>
            <w:tcW w:w="665" w:type="pct"/>
            <w:tcBorders>
              <w:top w:val="single" w:sz="4" w:space="0" w:color="auto"/>
            </w:tcBorders>
            <w:shd w:val="clear" w:color="auto" w:fill="auto"/>
          </w:tcPr>
          <w:p w:rsidR="00513FD2" w:rsidRPr="0097621B" w:rsidRDefault="00513FD2" w:rsidP="00513FD2">
            <w:pPr>
              <w:spacing w:before="120" w:after="120" w:line="259" w:lineRule="auto"/>
              <w:rPr>
                <w:rFonts w:cstheme="minorHAnsi"/>
                <w:sz w:val="20"/>
              </w:rPr>
            </w:pPr>
            <w:r w:rsidRPr="0097621B">
              <w:rPr>
                <w:sz w:val="20"/>
              </w:rPr>
              <w:t>≥67</w:t>
            </w:r>
            <w:r>
              <w:rPr>
                <w:sz w:val="20"/>
              </w:rPr>
              <w:t xml:space="preserve"> %</w:t>
            </w:r>
          </w:p>
        </w:tc>
        <w:tc>
          <w:tcPr>
            <w:tcW w:w="713" w:type="pct"/>
            <w:tcBorders>
              <w:top w:val="single" w:sz="4" w:space="0" w:color="auto"/>
            </w:tcBorders>
            <w:shd w:val="clear" w:color="auto" w:fill="auto"/>
          </w:tcPr>
          <w:p w:rsidR="00513FD2" w:rsidRPr="0097621B" w:rsidRDefault="00513FD2" w:rsidP="00513FD2">
            <w:pPr>
              <w:spacing w:before="120" w:after="120" w:line="259" w:lineRule="auto"/>
              <w:rPr>
                <w:rFonts w:cstheme="minorHAnsi"/>
                <w:sz w:val="20"/>
              </w:rPr>
            </w:pPr>
            <w:r w:rsidRPr="0097621B">
              <w:rPr>
                <w:sz w:val="20"/>
              </w:rPr>
              <w:t xml:space="preserve">≥67 </w:t>
            </w:r>
            <w:r>
              <w:rPr>
                <w:sz w:val="20"/>
              </w:rPr>
              <w:t>%</w:t>
            </w:r>
          </w:p>
        </w:tc>
      </w:tr>
    </w:tbl>
    <w:p w:rsidR="00513FD2" w:rsidRPr="0097621B" w:rsidRDefault="00513FD2" w:rsidP="00513FD2">
      <w:pPr>
        <w:shd w:val="clear" w:color="auto" w:fill="B1E4E3"/>
        <w:spacing w:before="120" w:after="120"/>
        <w:rPr>
          <w:b/>
          <w:sz w:val="20"/>
        </w:rPr>
      </w:pPr>
      <w:r w:rsidRPr="0097621B">
        <w:rPr>
          <w:b/>
          <w:sz w:val="20"/>
        </w:rPr>
        <w:t>Rationale</w:t>
      </w:r>
    </w:p>
    <w:p w:rsidR="00513FD2" w:rsidRPr="0097621B" w:rsidRDefault="00513FD2" w:rsidP="00513FD2">
      <w:pPr>
        <w:spacing w:before="120" w:after="120"/>
        <w:rPr>
          <w:sz w:val="20"/>
        </w:rPr>
      </w:pPr>
      <w:r w:rsidRPr="0097621B">
        <w:rPr>
          <w:sz w:val="20"/>
        </w:rPr>
        <w:t xml:space="preserve">Measuring the extent to which families with lower incomes are supported with the costs of raising children through the Family Tax Benefit, aims to demonstrate how these families are financially assisted through this program. This measure demonstrates the </w:t>
      </w:r>
      <w:r w:rsidRPr="0097621B">
        <w:rPr>
          <w:b/>
          <w:sz w:val="20"/>
        </w:rPr>
        <w:t>effectiveness</w:t>
      </w:r>
      <w:r w:rsidRPr="0097621B">
        <w:rPr>
          <w:sz w:val="20"/>
        </w:rPr>
        <w:t xml:space="preserve"> of the Family Tax Benefit in achieving the objective of the key activity: eligible families are helped with the cost of raising children.</w:t>
      </w:r>
    </w:p>
    <w:p w:rsidR="00D573FE" w:rsidRPr="0097621B" w:rsidRDefault="00513FD2" w:rsidP="00513FD2">
      <w:pPr>
        <w:spacing w:before="120" w:after="120"/>
        <w:rPr>
          <w:sz w:val="20"/>
        </w:rPr>
      </w:pPr>
      <w:r w:rsidRPr="0097621B">
        <w:rPr>
          <w:sz w:val="20"/>
        </w:rPr>
        <w:t xml:space="preserve">The target demonstrates the </w:t>
      </w:r>
      <w:r w:rsidRPr="0097621B">
        <w:rPr>
          <w:b/>
          <w:sz w:val="20"/>
        </w:rPr>
        <w:t>effectiveness</w:t>
      </w:r>
      <w:r w:rsidRPr="0097621B">
        <w:rPr>
          <w:sz w:val="20"/>
        </w:rPr>
        <w:t xml:space="preserve"> of the key activity, by showing the extent to which families with lower incomes are supported in comparison to the support provided to medium income families. The intent of</w:t>
      </w:r>
      <w:r w:rsidR="000B43AE">
        <w:rPr>
          <w:sz w:val="20"/>
        </w:rPr>
        <w:t> </w:t>
      </w:r>
      <w:r w:rsidRPr="0097621B">
        <w:rPr>
          <w:sz w:val="20"/>
        </w:rPr>
        <w:t>the policy is for low</w:t>
      </w:r>
      <w:r w:rsidRPr="0097621B">
        <w:rPr>
          <w:sz w:val="20"/>
        </w:rPr>
        <w:noBreakHyphen/>
        <w:t>income families to receive the majority of assistance provided by the</w:t>
      </w:r>
      <w:r>
        <w:rPr>
          <w:sz w:val="20"/>
        </w:rPr>
        <w:t xml:space="preserve"> government under this program.</w:t>
      </w:r>
    </w:p>
    <w:p w:rsidR="00513FD2" w:rsidRPr="0097621B" w:rsidRDefault="00513FD2" w:rsidP="00513FD2">
      <w:pPr>
        <w:shd w:val="clear" w:color="auto" w:fill="B1E4E3"/>
        <w:spacing w:before="120" w:after="120"/>
        <w:rPr>
          <w:b/>
          <w:sz w:val="20"/>
        </w:rPr>
      </w:pPr>
      <w:r w:rsidRPr="0097621B">
        <w:rPr>
          <w:b/>
          <w:sz w:val="20"/>
        </w:rPr>
        <w:t>Methodology</w:t>
      </w:r>
    </w:p>
    <w:p w:rsidR="00513FD2" w:rsidRPr="0097621B" w:rsidRDefault="00513FD2" w:rsidP="00513FD2">
      <w:pPr>
        <w:spacing w:before="120" w:after="120"/>
        <w:rPr>
          <w:sz w:val="20"/>
        </w:rPr>
      </w:pPr>
      <w:r w:rsidRPr="0097621B">
        <w:rPr>
          <w:sz w:val="20"/>
        </w:rPr>
        <w:t>The number of families with lower incomes supported through Family Tax Benefit is calculated using the total number of Annual Family Tax Benefit recipients. The Annual Family Tax Benefit recipients are filtered by</w:t>
      </w:r>
      <w:r w:rsidR="000B43AE">
        <w:rPr>
          <w:sz w:val="20"/>
        </w:rPr>
        <w:t> </w:t>
      </w:r>
      <w:r w:rsidRPr="0097621B">
        <w:rPr>
          <w:sz w:val="20"/>
        </w:rPr>
        <w:t>annual family adjusted taxable income:</w:t>
      </w:r>
    </w:p>
    <w:p w:rsidR="00513FD2" w:rsidRPr="0097621B" w:rsidRDefault="00513FD2" w:rsidP="00762037">
      <w:pPr>
        <w:numPr>
          <w:ilvl w:val="0"/>
          <w:numId w:val="15"/>
        </w:numPr>
        <w:spacing w:before="0" w:after="0" w:line="240" w:lineRule="auto"/>
        <w:ind w:left="624" w:hanging="340"/>
        <w:rPr>
          <w:sz w:val="20"/>
        </w:rPr>
      </w:pPr>
      <w:r w:rsidRPr="0097621B">
        <w:rPr>
          <w:sz w:val="20"/>
        </w:rPr>
        <w:t>equal to, or less than, the Lower Income Free Area (low-income families)</w:t>
      </w:r>
    </w:p>
    <w:p w:rsidR="00513FD2" w:rsidRPr="0097621B" w:rsidRDefault="00513FD2" w:rsidP="00762037">
      <w:pPr>
        <w:numPr>
          <w:ilvl w:val="0"/>
          <w:numId w:val="15"/>
        </w:numPr>
        <w:spacing w:before="0" w:after="0" w:line="240" w:lineRule="auto"/>
        <w:ind w:left="624" w:hanging="340"/>
        <w:rPr>
          <w:sz w:val="20"/>
        </w:rPr>
      </w:pPr>
      <w:r w:rsidRPr="0097621B">
        <w:rPr>
          <w:sz w:val="20"/>
        </w:rPr>
        <w:t>greater than the Lower Income Free Area.</w:t>
      </w:r>
    </w:p>
    <w:p w:rsidR="00154B9E" w:rsidRDefault="00154B9E">
      <w:pPr>
        <w:spacing w:before="0" w:after="160"/>
        <w:rPr>
          <w:sz w:val="20"/>
        </w:rPr>
      </w:pPr>
      <w:r>
        <w:rPr>
          <w:sz w:val="20"/>
        </w:rPr>
        <w:br w:type="page"/>
      </w:r>
    </w:p>
    <w:p w:rsidR="00513FD2" w:rsidRPr="0097621B" w:rsidRDefault="00513FD2" w:rsidP="00513FD2">
      <w:pPr>
        <w:spacing w:before="120" w:after="120"/>
        <w:rPr>
          <w:sz w:val="20"/>
        </w:rPr>
      </w:pPr>
      <w:r w:rsidRPr="0097621B">
        <w:rPr>
          <w:sz w:val="20"/>
        </w:rPr>
        <w:lastRenderedPageBreak/>
        <w:t>This is used to evaluate the per cent of support, measured in entitlement amounts, that is received by those families with income under the Family Tax Benefit Lower Income Free Area.</w:t>
      </w:r>
    </w:p>
    <w:p w:rsidR="00513FD2" w:rsidRPr="0097621B" w:rsidRDefault="00513FD2" w:rsidP="00513FD2">
      <w:pPr>
        <w:spacing w:before="120" w:after="120"/>
        <w:rPr>
          <w:sz w:val="20"/>
        </w:rPr>
      </w:pPr>
      <w:r w:rsidRPr="0097621B">
        <w:rPr>
          <w:sz w:val="20"/>
        </w:rPr>
        <w:t xml:space="preserve">The </w:t>
      </w:r>
      <w:r w:rsidRPr="0097621B">
        <w:rPr>
          <w:b/>
          <w:sz w:val="20"/>
        </w:rPr>
        <w:t>data source</w:t>
      </w:r>
      <w:r w:rsidRPr="0097621B">
        <w:rPr>
          <w:sz w:val="20"/>
        </w:rPr>
        <w:t xml:space="preserve"> used for this calculation is Services Australia administrative data.</w:t>
      </w:r>
    </w:p>
    <w:p w:rsidR="00513FD2" w:rsidRPr="0097621B" w:rsidRDefault="00513FD2" w:rsidP="00513FD2">
      <w:pPr>
        <w:shd w:val="clear" w:color="auto" w:fill="B1E4E3"/>
        <w:spacing w:before="120" w:after="120"/>
        <w:rPr>
          <w:b/>
          <w:sz w:val="20"/>
        </w:rPr>
      </w:pPr>
      <w:r w:rsidRPr="0097621B">
        <w:rPr>
          <w:b/>
          <w:sz w:val="20"/>
        </w:rPr>
        <w:t>Program Outputs</w:t>
      </w:r>
    </w:p>
    <w:p w:rsidR="00513FD2" w:rsidRPr="0097621B" w:rsidRDefault="00513FD2" w:rsidP="00762037">
      <w:pPr>
        <w:numPr>
          <w:ilvl w:val="0"/>
          <w:numId w:val="15"/>
        </w:numPr>
        <w:spacing w:before="0" w:after="0" w:line="240" w:lineRule="auto"/>
        <w:ind w:left="624" w:hanging="340"/>
        <w:rPr>
          <w:sz w:val="20"/>
        </w:rPr>
      </w:pPr>
      <w:r w:rsidRPr="0097621B">
        <w:rPr>
          <w:sz w:val="20"/>
        </w:rPr>
        <w:t>Administered outlays</w:t>
      </w:r>
    </w:p>
    <w:p w:rsidR="00513FD2" w:rsidRPr="0097621B" w:rsidRDefault="00513FD2" w:rsidP="00762037">
      <w:pPr>
        <w:numPr>
          <w:ilvl w:val="0"/>
          <w:numId w:val="15"/>
        </w:numPr>
        <w:spacing w:before="0" w:after="0" w:line="240" w:lineRule="auto"/>
        <w:ind w:left="624" w:hanging="340"/>
        <w:rPr>
          <w:sz w:val="20"/>
        </w:rPr>
      </w:pPr>
      <w:r w:rsidRPr="0097621B">
        <w:rPr>
          <w:sz w:val="20"/>
        </w:rPr>
        <w:t>Number of recipients</w:t>
      </w:r>
    </w:p>
    <w:p w:rsidR="00513FD2" w:rsidRPr="0097621B" w:rsidRDefault="00513FD2" w:rsidP="00762037">
      <w:pPr>
        <w:numPr>
          <w:ilvl w:val="0"/>
          <w:numId w:val="15"/>
        </w:numPr>
        <w:spacing w:before="0" w:after="0" w:line="240" w:lineRule="auto"/>
        <w:ind w:left="624" w:hanging="340"/>
        <w:rPr>
          <w:sz w:val="20"/>
        </w:rPr>
      </w:pPr>
      <w:r w:rsidRPr="0097621B">
        <w:rPr>
          <w:sz w:val="20"/>
        </w:rPr>
        <w:t>Payment accuracy</w:t>
      </w:r>
    </w:p>
    <w:p w:rsidR="00513FD2" w:rsidRPr="009B4DDE" w:rsidRDefault="00513FD2" w:rsidP="00513FD2">
      <w:pPr>
        <w:spacing w:after="160"/>
      </w:pPr>
      <w:r w:rsidRPr="009B4DDE">
        <w:br w:type="page"/>
      </w:r>
    </w:p>
    <w:p w:rsidR="00513FD2" w:rsidRPr="0097621B" w:rsidRDefault="00513FD2" w:rsidP="00513FD2">
      <w:pPr>
        <w:shd w:val="clear" w:color="auto" w:fill="005A70"/>
        <w:spacing w:before="120" w:after="120"/>
        <w:rPr>
          <w:b/>
          <w:color w:val="FFFFFF" w:themeColor="background1"/>
          <w:sz w:val="20"/>
        </w:rPr>
      </w:pPr>
      <w:r w:rsidRPr="0097621B">
        <w:rPr>
          <w:b/>
          <w:color w:val="FFFFFF" w:themeColor="background1"/>
          <w:sz w:val="20"/>
        </w:rPr>
        <w:lastRenderedPageBreak/>
        <w:t xml:space="preserve">PROGRAM 1.1 FAMILY ASSISTANCE </w:t>
      </w:r>
    </w:p>
    <w:p w:rsidR="00513FD2" w:rsidRPr="0097621B" w:rsidRDefault="00513FD2" w:rsidP="00513FD2">
      <w:pPr>
        <w:shd w:val="clear" w:color="auto" w:fill="005A70"/>
        <w:spacing w:before="120" w:after="120"/>
        <w:rPr>
          <w:color w:val="FFFFFF" w:themeColor="background1"/>
          <w:sz w:val="20"/>
        </w:rPr>
      </w:pPr>
      <w:r w:rsidRPr="0097621B">
        <w:rPr>
          <w:color w:val="FFFFFF" w:themeColor="background1"/>
          <w:sz w:val="20"/>
        </w:rPr>
        <w:t>Assist families to take time out of the workforce to bond with their children following birth or adoption and with the costs of their children.</w:t>
      </w:r>
    </w:p>
    <w:p w:rsidR="00513FD2" w:rsidRPr="0097621B" w:rsidRDefault="00513FD2" w:rsidP="00513FD2">
      <w:pPr>
        <w:shd w:val="clear" w:color="auto" w:fill="B1E4E3"/>
        <w:spacing w:before="120" w:after="120"/>
        <w:rPr>
          <w:rFonts w:cstheme="minorHAnsi"/>
          <w:b/>
          <w:sz w:val="20"/>
        </w:rPr>
      </w:pPr>
      <w:r w:rsidRPr="0097621B">
        <w:rPr>
          <w:rFonts w:cstheme="minorHAnsi"/>
          <w:b/>
          <w:sz w:val="20"/>
        </w:rPr>
        <w:t>Key Activity — 1.1.2 Child Support Scheme</w:t>
      </w:r>
    </w:p>
    <w:p w:rsidR="00513FD2" w:rsidRPr="0097621B" w:rsidRDefault="00513FD2" w:rsidP="00513FD2">
      <w:pPr>
        <w:spacing w:before="120" w:after="120"/>
        <w:rPr>
          <w:rFonts w:cstheme="minorHAnsi"/>
          <w:sz w:val="20"/>
        </w:rPr>
      </w:pPr>
      <w:r w:rsidRPr="0097621B">
        <w:rPr>
          <w:rFonts w:cstheme="minorHAnsi"/>
          <w:sz w:val="20"/>
        </w:rPr>
        <w:t xml:space="preserve">The Child Support Scheme is a key activity of the Family Assistance Program. The Child Support Scheme aims to ensure </w:t>
      </w:r>
      <w:r w:rsidRPr="0097621B">
        <w:rPr>
          <w:rFonts w:cstheme="minorHAnsi"/>
          <w:b/>
          <w:sz w:val="20"/>
        </w:rPr>
        <w:t>children</w:t>
      </w:r>
      <w:r w:rsidRPr="0097621B">
        <w:rPr>
          <w:rFonts w:cstheme="minorHAnsi"/>
          <w:sz w:val="20"/>
        </w:rPr>
        <w:t xml:space="preserve"> continue to receive support from their parents following separation. </w:t>
      </w:r>
    </w:p>
    <w:p w:rsidR="00513FD2" w:rsidRPr="0097621B" w:rsidRDefault="00513FD2" w:rsidP="00513FD2">
      <w:pPr>
        <w:spacing w:before="120" w:after="120"/>
        <w:rPr>
          <w:rFonts w:cstheme="minorHAnsi"/>
          <w:sz w:val="20"/>
        </w:rPr>
      </w:pPr>
      <w:r w:rsidRPr="0097621B">
        <w:rPr>
          <w:rFonts w:cstheme="minorHAnsi"/>
          <w:sz w:val="20"/>
        </w:rPr>
        <w:t>Child support payments are calculated according to an administrative formula that uses an income shares approach and is based on research into the cost of raising children in Australia. Child support payments can be transferred privately, or Services Australia can collect and transfer the payments on parents’ behalf.</w:t>
      </w:r>
    </w:p>
    <w:p w:rsidR="00513FD2" w:rsidRPr="0097621B" w:rsidRDefault="00513FD2" w:rsidP="00513FD2">
      <w:pPr>
        <w:spacing w:before="120" w:after="120"/>
        <w:rPr>
          <w:rFonts w:cstheme="minorHAnsi"/>
          <w:sz w:val="20"/>
        </w:rPr>
      </w:pPr>
      <w:r w:rsidRPr="0097621B">
        <w:rPr>
          <w:rFonts w:cstheme="minorHAnsi"/>
          <w:sz w:val="20"/>
        </w:rPr>
        <w:t>Child support payments and Family Tax Benefit Part A are closely linked. To receive more than the base rate of Family Tax Benefit Part A, separated parents who are entitled to apply for child support are required to</w:t>
      </w:r>
      <w:r w:rsidR="000B43AE">
        <w:rPr>
          <w:rFonts w:cstheme="minorHAnsi"/>
          <w:sz w:val="20"/>
        </w:rPr>
        <w:t> </w:t>
      </w:r>
      <w:r w:rsidRPr="0097621B">
        <w:rPr>
          <w:rFonts w:cstheme="minorHAnsi"/>
          <w:sz w:val="20"/>
        </w:rPr>
        <w:t>apply for a child support assessment through Services Australia, even if parents arrange the transfer of</w:t>
      </w:r>
      <w:r w:rsidR="000B43AE">
        <w:rPr>
          <w:rFonts w:cstheme="minorHAnsi"/>
          <w:sz w:val="20"/>
        </w:rPr>
        <w:t> </w:t>
      </w:r>
      <w:r w:rsidRPr="0097621B">
        <w:rPr>
          <w:rFonts w:cstheme="minorHAnsi"/>
          <w:sz w:val="20"/>
        </w:rPr>
        <w:t xml:space="preserve">their child support payments privately with the other parent. This is known as the </w:t>
      </w:r>
      <w:r w:rsidRPr="0097621B">
        <w:rPr>
          <w:rFonts w:cstheme="minorHAnsi"/>
          <w:b/>
          <w:sz w:val="20"/>
        </w:rPr>
        <w:t>Maintenance Action Test</w:t>
      </w:r>
      <w:r w:rsidRPr="0097621B">
        <w:rPr>
          <w:rFonts w:cstheme="minorHAnsi"/>
          <w:sz w:val="20"/>
        </w:rPr>
        <w:t xml:space="preserve"> (MAT). A parent who is a payer in a child support case is considered to be meeting the requirement to</w:t>
      </w:r>
      <w:r w:rsidR="000B43AE">
        <w:rPr>
          <w:rFonts w:cstheme="minorHAnsi"/>
          <w:sz w:val="20"/>
        </w:rPr>
        <w:t> </w:t>
      </w:r>
      <w:r w:rsidRPr="0097621B">
        <w:rPr>
          <w:rFonts w:cstheme="minorHAnsi"/>
          <w:sz w:val="20"/>
        </w:rPr>
        <w:t>take reasonable action for maintenance.</w:t>
      </w:r>
    </w:p>
    <w:p w:rsidR="00513FD2" w:rsidRPr="0097621B" w:rsidRDefault="00513FD2" w:rsidP="00513FD2">
      <w:pPr>
        <w:spacing w:before="120" w:after="120"/>
        <w:rPr>
          <w:rFonts w:cstheme="minorHAnsi"/>
          <w:sz w:val="20"/>
        </w:rPr>
      </w:pPr>
      <w:r w:rsidRPr="0097621B">
        <w:rPr>
          <w:rFonts w:cstheme="minorHAnsi"/>
          <w:b/>
          <w:sz w:val="20"/>
        </w:rPr>
        <w:t>The department</w:t>
      </w:r>
      <w:r w:rsidRPr="0097621B">
        <w:rPr>
          <w:rFonts w:cstheme="minorHAnsi"/>
          <w:sz w:val="20"/>
        </w:rPr>
        <w:t xml:space="preserve"> is responsible for designing and implementing the Child Support Scheme, including the administration of the child support policy and legislation. </w:t>
      </w:r>
      <w:r w:rsidRPr="0097621B">
        <w:rPr>
          <w:rFonts w:cstheme="minorHAnsi"/>
          <w:b/>
          <w:sz w:val="20"/>
        </w:rPr>
        <w:t>Services Australia</w:t>
      </w:r>
      <w:r w:rsidRPr="0097621B">
        <w:rPr>
          <w:rFonts w:cstheme="minorHAnsi"/>
          <w:sz w:val="20"/>
        </w:rPr>
        <w:t xml:space="preserve"> delivers the Child Support Scheme</w:t>
      </w:r>
      <w:r w:rsidRPr="0097621B" w:rsidDel="00445D1E">
        <w:rPr>
          <w:rFonts w:cstheme="minorHAnsi"/>
          <w:sz w:val="20"/>
        </w:rPr>
        <w:t xml:space="preserve"> </w:t>
      </w:r>
      <w:r w:rsidRPr="0097621B">
        <w:rPr>
          <w:rFonts w:cstheme="minorHAnsi"/>
          <w:sz w:val="20"/>
        </w:rPr>
        <w:t>on the department’s behalf and provides services to parents and carers. Services Australia assists parents to apply for a child support assessment and facilitates the collection and transfer of child support payments. Where payments are not made voluntarily, Services Australia has a range of powers to enforce the collection of child support.</w:t>
      </w:r>
    </w:p>
    <w:tbl>
      <w:tblPr>
        <w:tblStyle w:val="TableGrid39"/>
        <w:tblW w:w="4992" w:type="pct"/>
        <w:jc w:val="center"/>
        <w:tblBorders>
          <w:insideH w:val="single" w:sz="6" w:space="0" w:color="auto"/>
          <w:insideV w:val="single" w:sz="6" w:space="0" w:color="auto"/>
        </w:tblBorders>
        <w:tblLook w:val="04A0" w:firstRow="1" w:lastRow="0" w:firstColumn="1" w:lastColumn="0" w:noHBand="0" w:noVBand="1"/>
        <w:tblCaption w:val="1.1.2 Performance Measures and Targets"/>
        <w:tblDescription w:val="Table outlines the targeted payment percentages across 2022-23, 2023-24, 2024-25 and 2025-26"/>
      </w:tblPr>
      <w:tblGrid>
        <w:gridCol w:w="4957"/>
        <w:gridCol w:w="1134"/>
        <w:gridCol w:w="1275"/>
        <w:gridCol w:w="1132"/>
        <w:gridCol w:w="1115"/>
      </w:tblGrid>
      <w:tr w:rsidR="00513FD2" w:rsidRPr="0097621B" w:rsidTr="005B200F">
        <w:trPr>
          <w:cantSplit/>
          <w:trHeight w:val="356"/>
          <w:tblHeader/>
          <w:jc w:val="center"/>
        </w:trPr>
        <w:tc>
          <w:tcPr>
            <w:tcW w:w="5000" w:type="pct"/>
            <w:gridSpan w:val="5"/>
            <w:shd w:val="clear" w:color="auto" w:fill="D9D9D6"/>
          </w:tcPr>
          <w:p w:rsidR="00513FD2" w:rsidRPr="0097621B" w:rsidRDefault="00513FD2" w:rsidP="00513FD2">
            <w:pPr>
              <w:spacing w:before="120" w:after="120" w:line="259" w:lineRule="auto"/>
              <w:rPr>
                <w:rFonts w:cstheme="minorHAnsi"/>
                <w:b/>
                <w:sz w:val="20"/>
              </w:rPr>
            </w:pPr>
            <w:r w:rsidRPr="0097621B">
              <w:rPr>
                <w:rFonts w:cstheme="minorHAnsi"/>
                <w:b/>
                <w:sz w:val="20"/>
              </w:rPr>
              <w:t>Performance Measure</w:t>
            </w:r>
          </w:p>
        </w:tc>
      </w:tr>
      <w:tr w:rsidR="00513FD2" w:rsidRPr="0097621B" w:rsidTr="00513FD2">
        <w:trPr>
          <w:cantSplit/>
          <w:trHeight w:val="356"/>
          <w:jc w:val="center"/>
        </w:trPr>
        <w:tc>
          <w:tcPr>
            <w:tcW w:w="5000" w:type="pct"/>
            <w:gridSpan w:val="5"/>
            <w:shd w:val="clear" w:color="auto" w:fill="auto"/>
          </w:tcPr>
          <w:p w:rsidR="00513FD2" w:rsidRPr="0097621B" w:rsidRDefault="00513FD2" w:rsidP="00513FD2">
            <w:pPr>
              <w:spacing w:before="120" w:after="120" w:line="259" w:lineRule="auto"/>
              <w:rPr>
                <w:rFonts w:cstheme="minorHAnsi"/>
                <w:b/>
                <w:sz w:val="20"/>
              </w:rPr>
            </w:pPr>
            <w:r w:rsidRPr="0097621B">
              <w:rPr>
                <w:rFonts w:cstheme="minorHAnsi"/>
                <w:sz w:val="20"/>
              </w:rPr>
              <w:t>1.1.2.1 Extent to which separated parents in the child support system are supporting their children</w:t>
            </w:r>
          </w:p>
        </w:tc>
      </w:tr>
      <w:tr w:rsidR="00513FD2" w:rsidRPr="0097621B" w:rsidTr="00513FD2">
        <w:trPr>
          <w:cantSplit/>
          <w:trHeight w:val="356"/>
          <w:jc w:val="center"/>
        </w:trPr>
        <w:tc>
          <w:tcPr>
            <w:tcW w:w="2578" w:type="pct"/>
            <w:shd w:val="clear" w:color="auto" w:fill="D9D9D6"/>
          </w:tcPr>
          <w:p w:rsidR="00513FD2" w:rsidRPr="0097621B" w:rsidRDefault="00513FD2" w:rsidP="00513FD2">
            <w:pPr>
              <w:spacing w:before="120" w:after="120" w:line="259" w:lineRule="auto"/>
              <w:rPr>
                <w:rFonts w:cstheme="minorHAnsi"/>
                <w:sz w:val="20"/>
              </w:rPr>
            </w:pPr>
            <w:r w:rsidRPr="0097621B">
              <w:rPr>
                <w:rFonts w:cstheme="minorHAnsi"/>
                <w:b/>
                <w:sz w:val="20"/>
              </w:rPr>
              <w:t>Target</w:t>
            </w:r>
          </w:p>
        </w:tc>
        <w:tc>
          <w:tcPr>
            <w:tcW w:w="590" w:type="pct"/>
            <w:shd w:val="clear" w:color="auto" w:fill="D9D9D6"/>
            <w:vAlign w:val="center"/>
          </w:tcPr>
          <w:p w:rsidR="00513FD2" w:rsidRPr="0097621B" w:rsidRDefault="00513FD2" w:rsidP="00513FD2">
            <w:pPr>
              <w:spacing w:before="120" w:after="120" w:line="259" w:lineRule="auto"/>
              <w:rPr>
                <w:rFonts w:cstheme="minorHAnsi"/>
                <w:sz w:val="20"/>
              </w:rPr>
            </w:pPr>
            <w:r w:rsidRPr="0097621B">
              <w:rPr>
                <w:rFonts w:cstheme="minorHAnsi"/>
                <w:b/>
                <w:sz w:val="20"/>
              </w:rPr>
              <w:t>2022–23</w:t>
            </w:r>
          </w:p>
        </w:tc>
        <w:tc>
          <w:tcPr>
            <w:tcW w:w="663"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2023–24</w:t>
            </w:r>
          </w:p>
        </w:tc>
        <w:tc>
          <w:tcPr>
            <w:tcW w:w="589"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2024–25</w:t>
            </w:r>
          </w:p>
        </w:tc>
        <w:tc>
          <w:tcPr>
            <w:tcW w:w="580"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2025–26</w:t>
            </w:r>
          </w:p>
        </w:tc>
      </w:tr>
      <w:tr w:rsidR="00513FD2" w:rsidRPr="0097621B" w:rsidTr="00513FD2">
        <w:trPr>
          <w:cantSplit/>
          <w:trHeight w:val="356"/>
          <w:jc w:val="center"/>
        </w:trPr>
        <w:tc>
          <w:tcPr>
            <w:tcW w:w="2578" w:type="pct"/>
            <w:shd w:val="clear" w:color="auto" w:fill="auto"/>
          </w:tcPr>
          <w:p w:rsidR="00513FD2" w:rsidRPr="0097621B" w:rsidRDefault="00513FD2" w:rsidP="00276CDD">
            <w:pPr>
              <w:spacing w:before="120" w:after="120" w:line="259" w:lineRule="auto"/>
              <w:rPr>
                <w:rFonts w:cstheme="minorHAnsi"/>
                <w:sz w:val="20"/>
              </w:rPr>
            </w:pPr>
            <w:r w:rsidRPr="0097621B">
              <w:rPr>
                <w:rFonts w:cstheme="minorHAnsi"/>
                <w:sz w:val="20"/>
              </w:rPr>
              <w:sym w:font="Wingdings" w:char="F074"/>
            </w:r>
            <w:r w:rsidRPr="0097621B">
              <w:rPr>
                <w:rFonts w:cstheme="minorHAnsi"/>
                <w:sz w:val="20"/>
              </w:rPr>
              <w:t xml:space="preserve"> 1.1.2.1A At least 85</w:t>
            </w:r>
            <w:r w:rsidR="00276CDD">
              <w:rPr>
                <w:rFonts w:cstheme="minorHAnsi"/>
                <w:sz w:val="20"/>
              </w:rPr>
              <w:t>%</w:t>
            </w:r>
            <w:r w:rsidRPr="0097621B">
              <w:rPr>
                <w:rFonts w:cstheme="minorHAnsi"/>
                <w:sz w:val="20"/>
              </w:rPr>
              <w:t xml:space="preserve"> of Family Tax Benefit Part A children of separated parents meet the maintenance action test requirements.</w:t>
            </w:r>
          </w:p>
        </w:tc>
        <w:tc>
          <w:tcPr>
            <w:tcW w:w="590" w:type="pct"/>
          </w:tcPr>
          <w:p w:rsidR="00513FD2" w:rsidRPr="0097621B" w:rsidRDefault="00513FD2" w:rsidP="00513FD2">
            <w:pPr>
              <w:spacing w:before="120" w:after="120" w:line="259" w:lineRule="auto"/>
              <w:rPr>
                <w:rFonts w:cstheme="minorHAnsi"/>
                <w:sz w:val="20"/>
              </w:rPr>
            </w:pPr>
            <w:r w:rsidRPr="0097621B">
              <w:rPr>
                <w:rFonts w:cs="Arial"/>
                <w:color w:val="202124"/>
                <w:sz w:val="20"/>
                <w:shd w:val="clear" w:color="auto" w:fill="FFFFFF"/>
              </w:rPr>
              <w:t>≥85</w:t>
            </w:r>
            <w:r w:rsidRPr="0097621B">
              <w:rPr>
                <w:sz w:val="20"/>
                <w:lang w:eastAsia="en-GB"/>
              </w:rPr>
              <w:t xml:space="preserve"> </w:t>
            </w:r>
            <w:r>
              <w:rPr>
                <w:sz w:val="20"/>
                <w:lang w:eastAsia="en-GB"/>
              </w:rPr>
              <w:t>%</w:t>
            </w:r>
          </w:p>
        </w:tc>
        <w:tc>
          <w:tcPr>
            <w:tcW w:w="663" w:type="pct"/>
          </w:tcPr>
          <w:p w:rsidR="00513FD2" w:rsidRPr="0097621B" w:rsidRDefault="00513FD2" w:rsidP="00513FD2">
            <w:pPr>
              <w:spacing w:before="120" w:after="120" w:line="259" w:lineRule="auto"/>
              <w:rPr>
                <w:rFonts w:cstheme="minorHAnsi"/>
                <w:sz w:val="20"/>
              </w:rPr>
            </w:pPr>
            <w:r w:rsidRPr="0097621B">
              <w:rPr>
                <w:rFonts w:cs="Arial"/>
                <w:color w:val="202124"/>
                <w:sz w:val="20"/>
                <w:shd w:val="clear" w:color="auto" w:fill="FFFFFF"/>
              </w:rPr>
              <w:t>≥85</w:t>
            </w:r>
            <w:r>
              <w:rPr>
                <w:sz w:val="20"/>
                <w:lang w:eastAsia="en-GB"/>
              </w:rPr>
              <w:t xml:space="preserve"> %</w:t>
            </w:r>
          </w:p>
        </w:tc>
        <w:tc>
          <w:tcPr>
            <w:tcW w:w="589" w:type="pct"/>
          </w:tcPr>
          <w:p w:rsidR="00513FD2" w:rsidRPr="0097621B" w:rsidRDefault="00513FD2" w:rsidP="00513FD2">
            <w:pPr>
              <w:spacing w:before="120" w:after="120" w:line="259" w:lineRule="auto"/>
              <w:rPr>
                <w:rFonts w:cstheme="minorHAnsi"/>
                <w:sz w:val="20"/>
              </w:rPr>
            </w:pPr>
            <w:r w:rsidRPr="0097621B">
              <w:rPr>
                <w:rFonts w:cs="Arial"/>
                <w:color w:val="202124"/>
                <w:sz w:val="20"/>
                <w:shd w:val="clear" w:color="auto" w:fill="FFFFFF"/>
              </w:rPr>
              <w:t>≥85</w:t>
            </w:r>
            <w:r>
              <w:rPr>
                <w:sz w:val="20"/>
                <w:lang w:eastAsia="en-GB"/>
              </w:rPr>
              <w:t xml:space="preserve"> %</w:t>
            </w:r>
          </w:p>
        </w:tc>
        <w:tc>
          <w:tcPr>
            <w:tcW w:w="580" w:type="pct"/>
            <w:shd w:val="clear" w:color="auto" w:fill="FFFFFF" w:themeFill="background1"/>
          </w:tcPr>
          <w:p w:rsidR="00513FD2" w:rsidRPr="0097621B" w:rsidRDefault="00513FD2" w:rsidP="00513FD2">
            <w:pPr>
              <w:spacing w:before="120" w:after="120" w:line="259" w:lineRule="auto"/>
              <w:rPr>
                <w:rFonts w:cstheme="minorHAnsi"/>
                <w:sz w:val="20"/>
              </w:rPr>
            </w:pPr>
            <w:r w:rsidRPr="0097621B">
              <w:rPr>
                <w:rFonts w:cs="Arial"/>
                <w:color w:val="202124"/>
                <w:sz w:val="20"/>
                <w:shd w:val="clear" w:color="auto" w:fill="FFFFFF"/>
              </w:rPr>
              <w:t>≥85</w:t>
            </w:r>
            <w:r>
              <w:rPr>
                <w:sz w:val="20"/>
                <w:lang w:eastAsia="en-GB"/>
              </w:rPr>
              <w:t xml:space="preserve"> %</w:t>
            </w:r>
          </w:p>
        </w:tc>
      </w:tr>
    </w:tbl>
    <w:p w:rsidR="00513FD2" w:rsidRPr="0097621B" w:rsidRDefault="00513FD2" w:rsidP="00513FD2">
      <w:pPr>
        <w:shd w:val="clear" w:color="auto" w:fill="B1E4E3"/>
        <w:tabs>
          <w:tab w:val="left" w:pos="1366"/>
        </w:tabs>
        <w:spacing w:before="120" w:after="120"/>
        <w:rPr>
          <w:rFonts w:cstheme="minorHAnsi"/>
          <w:b/>
          <w:sz w:val="20"/>
        </w:rPr>
      </w:pPr>
      <w:r w:rsidRPr="0097621B">
        <w:rPr>
          <w:rFonts w:cstheme="minorHAnsi"/>
          <w:b/>
          <w:sz w:val="20"/>
        </w:rPr>
        <w:t>Rationale</w:t>
      </w:r>
      <w:r w:rsidRPr="0097621B">
        <w:rPr>
          <w:rFonts w:cstheme="minorHAnsi"/>
          <w:b/>
          <w:sz w:val="20"/>
        </w:rPr>
        <w:tab/>
      </w:r>
    </w:p>
    <w:p w:rsidR="00513FD2" w:rsidRPr="0097621B" w:rsidRDefault="00513FD2" w:rsidP="00513FD2">
      <w:pPr>
        <w:spacing w:before="120" w:after="120"/>
        <w:rPr>
          <w:rFonts w:cstheme="minorHAnsi"/>
          <w:sz w:val="20"/>
        </w:rPr>
      </w:pPr>
      <w:r w:rsidRPr="0097621B">
        <w:rPr>
          <w:rFonts w:cstheme="minorHAnsi"/>
          <w:sz w:val="20"/>
        </w:rPr>
        <w:t xml:space="preserve">Measuring the extent to which separated parents in the Child Support Scheme are supporting their children aims to demonstrate that the Child Support Scheme supports separated parents provide an appropriate level of financial support to their children. This measure demonstrates the </w:t>
      </w:r>
      <w:r w:rsidRPr="0097621B">
        <w:rPr>
          <w:rFonts w:cstheme="minorHAnsi"/>
          <w:b/>
          <w:sz w:val="20"/>
        </w:rPr>
        <w:t>effectiveness</w:t>
      </w:r>
      <w:r w:rsidRPr="0097621B">
        <w:rPr>
          <w:rFonts w:cstheme="minorHAnsi"/>
          <w:sz w:val="20"/>
        </w:rPr>
        <w:t xml:space="preserve"> of the Child Support Scheme in achieving the objective of the key activity: </w:t>
      </w:r>
      <w:r w:rsidRPr="0097621B">
        <w:rPr>
          <w:rFonts w:cstheme="minorHAnsi"/>
          <w:i/>
          <w:sz w:val="20"/>
        </w:rPr>
        <w:t>children continue to receive support from their parents following separation</w:t>
      </w:r>
      <w:r w:rsidRPr="0097621B">
        <w:rPr>
          <w:rFonts w:cstheme="minorHAnsi"/>
          <w:sz w:val="20"/>
        </w:rPr>
        <w:t>.</w:t>
      </w:r>
    </w:p>
    <w:p w:rsidR="00513FD2" w:rsidRPr="0097621B" w:rsidRDefault="00513FD2" w:rsidP="00762037">
      <w:pPr>
        <w:spacing w:before="0" w:after="0"/>
        <w:rPr>
          <w:rFonts w:cstheme="minorHAnsi"/>
          <w:sz w:val="20"/>
        </w:rPr>
      </w:pPr>
      <w:r w:rsidRPr="0097621B">
        <w:rPr>
          <w:rFonts w:cstheme="minorHAnsi"/>
          <w:sz w:val="20"/>
        </w:rPr>
        <w:t xml:space="preserve">The target demonstrates the </w:t>
      </w:r>
      <w:r w:rsidRPr="0097621B">
        <w:rPr>
          <w:rFonts w:cstheme="minorHAnsi"/>
          <w:b/>
          <w:sz w:val="20"/>
        </w:rPr>
        <w:t>effectiveness</w:t>
      </w:r>
      <w:r w:rsidRPr="0097621B">
        <w:rPr>
          <w:rFonts w:cstheme="minorHAnsi"/>
          <w:sz w:val="20"/>
        </w:rPr>
        <w:t xml:space="preserve"> of the key activity by showing:</w:t>
      </w:r>
    </w:p>
    <w:p w:rsidR="00513FD2" w:rsidRPr="0097621B" w:rsidRDefault="00513FD2" w:rsidP="00762037">
      <w:pPr>
        <w:numPr>
          <w:ilvl w:val="0"/>
          <w:numId w:val="15"/>
        </w:numPr>
        <w:spacing w:before="0" w:after="0"/>
        <w:ind w:left="624" w:hanging="340"/>
        <w:rPr>
          <w:sz w:val="20"/>
        </w:rPr>
      </w:pPr>
      <w:r w:rsidRPr="0097621B">
        <w:rPr>
          <w:sz w:val="20"/>
        </w:rPr>
        <w:t>The proportion of children of separated parents in the Family Tax Benefit system who are receiving child support from separated parents (i.e. those who meet the Famil</w:t>
      </w:r>
      <w:r w:rsidR="000B43AE">
        <w:rPr>
          <w:sz w:val="20"/>
        </w:rPr>
        <w:t>y Tax Benefit MAT requirements)</w:t>
      </w:r>
    </w:p>
    <w:p w:rsidR="00513FD2" w:rsidRPr="0097621B" w:rsidRDefault="00513FD2" w:rsidP="00762037">
      <w:pPr>
        <w:numPr>
          <w:ilvl w:val="0"/>
          <w:numId w:val="15"/>
        </w:numPr>
        <w:spacing w:before="0" w:after="0"/>
        <w:ind w:left="624" w:hanging="340"/>
        <w:rPr>
          <w:sz w:val="20"/>
        </w:rPr>
      </w:pPr>
      <w:r w:rsidRPr="0097621B">
        <w:rPr>
          <w:sz w:val="20"/>
        </w:rPr>
        <w:t>A significant per cent of these children continue to receive support from their parents following separation.</w:t>
      </w:r>
    </w:p>
    <w:p w:rsidR="00513FD2" w:rsidRPr="0097621B" w:rsidRDefault="00513FD2" w:rsidP="00513FD2">
      <w:pPr>
        <w:shd w:val="clear" w:color="auto" w:fill="B1E4E3"/>
        <w:spacing w:before="120" w:after="120"/>
        <w:rPr>
          <w:rFonts w:cstheme="minorHAnsi"/>
          <w:b/>
          <w:sz w:val="20"/>
        </w:rPr>
      </w:pPr>
      <w:r w:rsidRPr="0097621B">
        <w:rPr>
          <w:rFonts w:cstheme="minorHAnsi"/>
          <w:b/>
          <w:sz w:val="20"/>
        </w:rPr>
        <w:t>Methodology</w:t>
      </w:r>
    </w:p>
    <w:p w:rsidR="00513FD2" w:rsidRPr="0097621B" w:rsidRDefault="00513FD2" w:rsidP="00762037">
      <w:pPr>
        <w:spacing w:before="0" w:after="0"/>
        <w:rPr>
          <w:sz w:val="20"/>
        </w:rPr>
      </w:pPr>
      <w:r w:rsidRPr="0097621B">
        <w:rPr>
          <w:rFonts w:cstheme="minorHAnsi"/>
          <w:sz w:val="20"/>
        </w:rPr>
        <w:t xml:space="preserve">The number of Family Tax Benefit children of separated parents that meet the </w:t>
      </w:r>
      <w:r w:rsidRPr="0097621B">
        <w:rPr>
          <w:sz w:val="20"/>
        </w:rPr>
        <w:t>MAT requirements is based on the number of children subject to the MAT that:</w:t>
      </w:r>
    </w:p>
    <w:p w:rsidR="00513FD2" w:rsidRPr="0097621B" w:rsidRDefault="00513FD2" w:rsidP="00762037">
      <w:pPr>
        <w:numPr>
          <w:ilvl w:val="0"/>
          <w:numId w:val="15"/>
        </w:numPr>
        <w:spacing w:before="0" w:after="0" w:line="240" w:lineRule="auto"/>
        <w:ind w:left="624" w:hanging="340"/>
        <w:rPr>
          <w:sz w:val="20"/>
        </w:rPr>
      </w:pPr>
      <w:r w:rsidRPr="0097621B">
        <w:rPr>
          <w:sz w:val="20"/>
        </w:rPr>
        <w:t>are exempt from meeting MAT requirements</w:t>
      </w:r>
    </w:p>
    <w:p w:rsidR="00513FD2" w:rsidRPr="0097621B" w:rsidRDefault="00513FD2" w:rsidP="00762037">
      <w:pPr>
        <w:numPr>
          <w:ilvl w:val="0"/>
          <w:numId w:val="15"/>
        </w:numPr>
        <w:spacing w:before="0" w:after="0" w:line="240" w:lineRule="auto"/>
        <w:ind w:left="624" w:hanging="340"/>
        <w:rPr>
          <w:sz w:val="20"/>
        </w:rPr>
      </w:pPr>
      <w:r w:rsidRPr="0097621B">
        <w:rPr>
          <w:sz w:val="20"/>
        </w:rPr>
        <w:t>meet MAT requirements.</w:t>
      </w:r>
    </w:p>
    <w:p w:rsidR="0080603A" w:rsidRPr="0097621B" w:rsidRDefault="00513FD2" w:rsidP="00762037">
      <w:pPr>
        <w:spacing w:before="0" w:after="120"/>
        <w:rPr>
          <w:rFonts w:cstheme="minorHAnsi"/>
          <w:sz w:val="20"/>
        </w:rPr>
      </w:pPr>
      <w:r w:rsidRPr="0097621B">
        <w:rPr>
          <w:rFonts w:cstheme="minorHAnsi"/>
          <w:sz w:val="20"/>
        </w:rPr>
        <w:t>The percentage is based on the number of children that are exempt from the MAT, plus the number of</w:t>
      </w:r>
      <w:r w:rsidR="000B43AE">
        <w:rPr>
          <w:rFonts w:cstheme="minorHAnsi"/>
          <w:sz w:val="20"/>
        </w:rPr>
        <w:t> </w:t>
      </w:r>
      <w:r w:rsidRPr="0097621B">
        <w:rPr>
          <w:rFonts w:cstheme="minorHAnsi"/>
          <w:sz w:val="20"/>
        </w:rPr>
        <w:t>children that satisfy the MAT, as a proportion of all children subjected to the MAT.</w:t>
      </w:r>
    </w:p>
    <w:p w:rsidR="00513FD2" w:rsidRDefault="00513FD2" w:rsidP="00762037">
      <w:pPr>
        <w:spacing w:before="0" w:after="0"/>
        <w:rPr>
          <w:rFonts w:cstheme="minorHAnsi"/>
          <w:sz w:val="20"/>
        </w:rPr>
      </w:pPr>
      <w:r w:rsidRPr="0097621B">
        <w:rPr>
          <w:rFonts w:cstheme="minorHAnsi"/>
          <w:sz w:val="20"/>
        </w:rPr>
        <w:t xml:space="preserve">The </w:t>
      </w:r>
      <w:r w:rsidRPr="0097621B">
        <w:rPr>
          <w:rFonts w:cstheme="minorHAnsi"/>
          <w:b/>
          <w:sz w:val="20"/>
        </w:rPr>
        <w:t>data source</w:t>
      </w:r>
      <w:r w:rsidRPr="0097621B">
        <w:rPr>
          <w:rFonts w:cstheme="minorHAnsi"/>
          <w:sz w:val="20"/>
        </w:rPr>
        <w:t xml:space="preserve"> used for this calculation is Services Australia Family Tax Benefit administrative data.</w:t>
      </w:r>
    </w:p>
    <w:p w:rsidR="00513FD2" w:rsidRPr="0097621B" w:rsidRDefault="00513FD2" w:rsidP="00513FD2">
      <w:pPr>
        <w:shd w:val="clear" w:color="auto" w:fill="B1E4E3"/>
        <w:spacing w:before="120" w:after="120"/>
        <w:rPr>
          <w:rFonts w:cstheme="minorHAnsi"/>
          <w:b/>
          <w:sz w:val="20"/>
        </w:rPr>
      </w:pPr>
      <w:r w:rsidRPr="0097621B">
        <w:rPr>
          <w:rFonts w:cstheme="minorHAnsi"/>
          <w:b/>
          <w:sz w:val="20"/>
        </w:rPr>
        <w:t>Program Outputs</w:t>
      </w:r>
    </w:p>
    <w:p w:rsidR="00513FD2" w:rsidRPr="009B4DDE" w:rsidRDefault="00513FD2" w:rsidP="00762037">
      <w:pPr>
        <w:numPr>
          <w:ilvl w:val="0"/>
          <w:numId w:val="15"/>
        </w:numPr>
        <w:spacing w:before="0" w:after="0" w:line="240" w:lineRule="auto"/>
        <w:ind w:left="624" w:hanging="340"/>
      </w:pPr>
      <w:r w:rsidRPr="00D573FE">
        <w:rPr>
          <w:sz w:val="20"/>
        </w:rPr>
        <w:t>Number of cases</w:t>
      </w:r>
      <w:r w:rsidRPr="009B4DDE">
        <w:br w:type="page"/>
      </w:r>
    </w:p>
    <w:p w:rsidR="00513FD2" w:rsidRPr="0097621B" w:rsidRDefault="00513FD2" w:rsidP="00513FD2">
      <w:pPr>
        <w:shd w:val="clear" w:color="auto" w:fill="005A70"/>
        <w:spacing w:before="120" w:after="120"/>
        <w:rPr>
          <w:b/>
          <w:color w:val="FFFFFF" w:themeColor="background1"/>
          <w:sz w:val="20"/>
        </w:rPr>
      </w:pPr>
      <w:r w:rsidRPr="0097621B">
        <w:rPr>
          <w:b/>
          <w:color w:val="FFFFFF" w:themeColor="background1"/>
          <w:sz w:val="20"/>
        </w:rPr>
        <w:lastRenderedPageBreak/>
        <w:t xml:space="preserve">PROGRAM 1.1 FAMILY ASSISTANCE </w:t>
      </w:r>
    </w:p>
    <w:p w:rsidR="00513FD2" w:rsidRPr="0097621B" w:rsidRDefault="00513FD2" w:rsidP="00513FD2">
      <w:pPr>
        <w:shd w:val="clear" w:color="auto" w:fill="005A70"/>
        <w:spacing w:before="120" w:after="120"/>
        <w:rPr>
          <w:color w:val="FFFFFF" w:themeColor="background1"/>
          <w:sz w:val="20"/>
        </w:rPr>
      </w:pPr>
      <w:r w:rsidRPr="0097621B">
        <w:rPr>
          <w:color w:val="FFFFFF" w:themeColor="background1"/>
          <w:sz w:val="20"/>
        </w:rPr>
        <w:t>Assist families to take time out of the workforce to bond with their children following birth or adoption and with the costs of their children</w:t>
      </w:r>
    </w:p>
    <w:p w:rsidR="00513FD2" w:rsidRPr="0097621B" w:rsidRDefault="00513FD2" w:rsidP="00513FD2">
      <w:pPr>
        <w:shd w:val="clear" w:color="auto" w:fill="B1E4E3"/>
        <w:spacing w:before="120" w:after="120"/>
        <w:rPr>
          <w:b/>
          <w:sz w:val="20"/>
        </w:rPr>
      </w:pPr>
      <w:r w:rsidRPr="0097621B">
        <w:rPr>
          <w:b/>
          <w:sz w:val="20"/>
        </w:rPr>
        <w:t>Key Activity — 1.1.3 Parental Leave Pay</w:t>
      </w:r>
    </w:p>
    <w:p w:rsidR="00513FD2" w:rsidRPr="0097621B" w:rsidRDefault="00513FD2" w:rsidP="00513FD2">
      <w:pPr>
        <w:spacing w:before="120" w:after="120"/>
        <w:rPr>
          <w:sz w:val="20"/>
        </w:rPr>
      </w:pPr>
      <w:r w:rsidRPr="0097621B">
        <w:rPr>
          <w:sz w:val="20"/>
        </w:rPr>
        <w:t xml:space="preserve">Parental Leave Pay is a key activity of the Family Assistance Program. Parental Leave Pay aims to provide financial support to help eligible </w:t>
      </w:r>
      <w:r w:rsidRPr="0097621B">
        <w:rPr>
          <w:b/>
          <w:sz w:val="20"/>
        </w:rPr>
        <w:t>primary carers</w:t>
      </w:r>
      <w:r w:rsidRPr="0097621B">
        <w:rPr>
          <w:sz w:val="20"/>
        </w:rPr>
        <w:t xml:space="preserve"> to take time off work to care for a</w:t>
      </w:r>
      <w:r w:rsidR="000B43AE">
        <w:rPr>
          <w:sz w:val="20"/>
        </w:rPr>
        <w:t> </w:t>
      </w:r>
      <w:r w:rsidRPr="0097621B">
        <w:rPr>
          <w:sz w:val="20"/>
        </w:rPr>
        <w:t>newborn or recently adopted child, to enhance the health and development of mothers and their children. It</w:t>
      </w:r>
      <w:r w:rsidR="000B43AE">
        <w:rPr>
          <w:sz w:val="20"/>
        </w:rPr>
        <w:t> </w:t>
      </w:r>
      <w:r w:rsidRPr="0097621B">
        <w:rPr>
          <w:sz w:val="20"/>
        </w:rPr>
        <w:t>also aims to encourage women’s workforce participation and help employers retain skilled staff. Parental Leave Pay provides eligible primary carers with up to 18 weeks of pay based on the national minimum wage. To be eligible for Parental Leave Pay, a claimant must meet the scheme's work test, income test, and residency test.</w:t>
      </w:r>
    </w:p>
    <w:p w:rsidR="00513FD2" w:rsidRPr="0097621B" w:rsidRDefault="00513FD2" w:rsidP="00513FD2">
      <w:pPr>
        <w:spacing w:before="120" w:after="120"/>
        <w:rPr>
          <w:sz w:val="20"/>
        </w:rPr>
      </w:pPr>
      <w:r w:rsidRPr="0097621B">
        <w:rPr>
          <w:b/>
          <w:sz w:val="20"/>
        </w:rPr>
        <w:t>The department</w:t>
      </w:r>
      <w:r w:rsidRPr="0097621B">
        <w:rPr>
          <w:sz w:val="20"/>
        </w:rPr>
        <w:t xml:space="preserve"> is responsible for designing and implementing the key activity. This includes providing advice to Government on policy and legislation, program implementation and management, program performance, monitoring and meeting all relevant deliverables, setting guidelines and providing guidance and advice to Services Australia on the administration of the program. </w:t>
      </w:r>
      <w:r w:rsidRPr="0097621B">
        <w:rPr>
          <w:b/>
          <w:sz w:val="20"/>
        </w:rPr>
        <w:t>Services Australia</w:t>
      </w:r>
      <w:r w:rsidRPr="0097621B">
        <w:rPr>
          <w:sz w:val="20"/>
        </w:rPr>
        <w:t xml:space="preserve"> is the primary portfolio agency responsible for administering Parental Leave Pay on the department’s behalf, including receiving, processing and managing payment applications and delivering Parental Leave Pay payments. </w:t>
      </w:r>
    </w:p>
    <w:tbl>
      <w:tblPr>
        <w:tblStyle w:val="TableGrid391"/>
        <w:tblW w:w="4976" w:type="pct"/>
        <w:jc w:val="center"/>
        <w:tblBorders>
          <w:insideH w:val="single" w:sz="6" w:space="0" w:color="auto"/>
          <w:insideV w:val="single" w:sz="6" w:space="0" w:color="auto"/>
        </w:tblBorders>
        <w:tblLook w:val="04A0" w:firstRow="1" w:lastRow="0" w:firstColumn="1" w:lastColumn="0" w:noHBand="0" w:noVBand="1"/>
        <w:tblCaption w:val="1.1.3 Performance measures and targets"/>
        <w:tblDescription w:val="Table outlines the targeted payment percentages across 2022-23, 2023-24, 2024-25 and 2025-26"/>
      </w:tblPr>
      <w:tblGrid>
        <w:gridCol w:w="3957"/>
        <w:gridCol w:w="1405"/>
        <w:gridCol w:w="1405"/>
        <w:gridCol w:w="1405"/>
        <w:gridCol w:w="1410"/>
      </w:tblGrid>
      <w:tr w:rsidR="00513FD2" w:rsidRPr="0097621B" w:rsidTr="005B200F">
        <w:trPr>
          <w:cantSplit/>
          <w:trHeight w:val="356"/>
          <w:tblHeader/>
          <w:jc w:val="center"/>
        </w:trPr>
        <w:tc>
          <w:tcPr>
            <w:tcW w:w="5000" w:type="pct"/>
            <w:gridSpan w:val="5"/>
            <w:shd w:val="clear" w:color="auto" w:fill="D9D9D6"/>
          </w:tcPr>
          <w:p w:rsidR="00513FD2" w:rsidRPr="0097621B" w:rsidRDefault="00513FD2" w:rsidP="00513FD2">
            <w:pPr>
              <w:spacing w:before="120" w:after="120" w:line="259" w:lineRule="auto"/>
              <w:rPr>
                <w:b/>
                <w:sz w:val="20"/>
              </w:rPr>
            </w:pPr>
            <w:r w:rsidRPr="0097621B">
              <w:rPr>
                <w:b/>
                <w:sz w:val="20"/>
              </w:rPr>
              <w:t>Performance Measure</w:t>
            </w:r>
            <w:r w:rsidRPr="0097621B">
              <w:rPr>
                <w:b/>
                <w:sz w:val="20"/>
              </w:rPr>
              <w:tab/>
            </w:r>
          </w:p>
        </w:tc>
      </w:tr>
      <w:tr w:rsidR="00513FD2" w:rsidRPr="0097621B" w:rsidTr="00513FD2">
        <w:trPr>
          <w:cantSplit/>
          <w:trHeight w:val="356"/>
          <w:jc w:val="center"/>
        </w:trPr>
        <w:tc>
          <w:tcPr>
            <w:tcW w:w="5000" w:type="pct"/>
            <w:gridSpan w:val="5"/>
            <w:shd w:val="clear" w:color="auto" w:fill="auto"/>
          </w:tcPr>
          <w:p w:rsidR="00513FD2" w:rsidRPr="0097621B" w:rsidRDefault="00513FD2" w:rsidP="00513FD2">
            <w:pPr>
              <w:spacing w:before="120" w:after="120" w:line="259" w:lineRule="auto"/>
              <w:rPr>
                <w:rFonts w:cstheme="minorHAnsi"/>
                <w:b/>
                <w:sz w:val="20"/>
              </w:rPr>
            </w:pPr>
            <w:r w:rsidRPr="0097621B">
              <w:rPr>
                <w:sz w:val="20"/>
              </w:rPr>
              <w:t>1.1.3-1 Extent to which parents take Parental Leave Pay</w:t>
            </w:r>
          </w:p>
        </w:tc>
      </w:tr>
      <w:tr w:rsidR="00513FD2" w:rsidRPr="0097621B" w:rsidTr="00513FD2">
        <w:trPr>
          <w:cantSplit/>
          <w:trHeight w:val="356"/>
          <w:jc w:val="center"/>
        </w:trPr>
        <w:tc>
          <w:tcPr>
            <w:tcW w:w="2065" w:type="pct"/>
            <w:shd w:val="clear" w:color="auto" w:fill="D9D9D6"/>
          </w:tcPr>
          <w:p w:rsidR="00513FD2" w:rsidRPr="0097621B" w:rsidRDefault="00513FD2" w:rsidP="00513FD2">
            <w:pPr>
              <w:spacing w:before="120" w:after="120" w:line="259" w:lineRule="auto"/>
              <w:rPr>
                <w:rFonts w:cstheme="minorHAnsi"/>
                <w:sz w:val="20"/>
              </w:rPr>
            </w:pPr>
            <w:r w:rsidRPr="0097621B">
              <w:rPr>
                <w:rFonts w:cstheme="minorHAnsi"/>
                <w:b/>
                <w:sz w:val="20"/>
              </w:rPr>
              <w:t>Target</w:t>
            </w:r>
          </w:p>
        </w:tc>
        <w:tc>
          <w:tcPr>
            <w:tcW w:w="733" w:type="pct"/>
            <w:shd w:val="clear" w:color="auto" w:fill="D9D9D6"/>
            <w:vAlign w:val="center"/>
          </w:tcPr>
          <w:p w:rsidR="00513FD2" w:rsidRPr="0097621B" w:rsidRDefault="00513FD2" w:rsidP="00513FD2">
            <w:pPr>
              <w:spacing w:before="120" w:after="120" w:line="259" w:lineRule="auto"/>
              <w:rPr>
                <w:rFonts w:cstheme="minorHAnsi"/>
                <w:sz w:val="20"/>
              </w:rPr>
            </w:pPr>
            <w:r w:rsidRPr="0097621B">
              <w:rPr>
                <w:rFonts w:cstheme="minorHAnsi"/>
                <w:b/>
                <w:sz w:val="20"/>
              </w:rPr>
              <w:t>2022–23</w:t>
            </w:r>
          </w:p>
        </w:tc>
        <w:tc>
          <w:tcPr>
            <w:tcW w:w="733"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2023–24</w:t>
            </w:r>
          </w:p>
        </w:tc>
        <w:tc>
          <w:tcPr>
            <w:tcW w:w="733"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2024–25</w:t>
            </w:r>
          </w:p>
        </w:tc>
        <w:tc>
          <w:tcPr>
            <w:tcW w:w="736"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2025–26</w:t>
            </w:r>
          </w:p>
        </w:tc>
      </w:tr>
      <w:tr w:rsidR="00513FD2" w:rsidRPr="0097621B" w:rsidTr="00513FD2">
        <w:trPr>
          <w:cantSplit/>
          <w:trHeight w:val="356"/>
          <w:jc w:val="center"/>
        </w:trPr>
        <w:tc>
          <w:tcPr>
            <w:tcW w:w="2065" w:type="pct"/>
            <w:shd w:val="clear" w:color="auto" w:fill="auto"/>
          </w:tcPr>
          <w:p w:rsidR="00513FD2" w:rsidRPr="0097621B" w:rsidRDefault="00513FD2" w:rsidP="006A2344">
            <w:pPr>
              <w:spacing w:before="120" w:after="120" w:line="259" w:lineRule="auto"/>
              <w:rPr>
                <w:rFonts w:cstheme="minorHAnsi"/>
                <w:sz w:val="20"/>
              </w:rPr>
            </w:pPr>
            <w:r w:rsidRPr="0097621B">
              <w:rPr>
                <w:rFonts w:cstheme="minorHAnsi"/>
                <w:noProof/>
                <w:sz w:val="20"/>
                <w:lang w:eastAsia="en-AU"/>
              </w:rPr>
              <w:sym w:font="Wingdings" w:char="F074"/>
            </w:r>
            <w:r w:rsidRPr="0097621B">
              <w:rPr>
                <w:rFonts w:cstheme="minorHAnsi"/>
                <w:sz w:val="20"/>
              </w:rPr>
              <w:t xml:space="preserve"> 1.1.3-1A At least 95</w:t>
            </w:r>
            <w:r w:rsidR="006A2344">
              <w:rPr>
                <w:rFonts w:cstheme="minorHAnsi"/>
                <w:sz w:val="20"/>
              </w:rPr>
              <w:t>%</w:t>
            </w:r>
            <w:r w:rsidRPr="0097621B">
              <w:rPr>
                <w:rFonts w:cstheme="minorHAnsi"/>
                <w:sz w:val="20"/>
              </w:rPr>
              <w:t xml:space="preserve"> of eligible Parental Leave Pay families access payment.</w:t>
            </w:r>
          </w:p>
        </w:tc>
        <w:tc>
          <w:tcPr>
            <w:tcW w:w="733" w:type="pct"/>
            <w:shd w:val="clear" w:color="auto" w:fill="auto"/>
          </w:tcPr>
          <w:p w:rsidR="00513FD2" w:rsidRPr="0097621B" w:rsidRDefault="00513FD2" w:rsidP="00513FD2">
            <w:pPr>
              <w:spacing w:before="120" w:after="120" w:line="259" w:lineRule="auto"/>
              <w:rPr>
                <w:sz w:val="20"/>
              </w:rPr>
            </w:pPr>
            <w:r>
              <w:rPr>
                <w:sz w:val="20"/>
              </w:rPr>
              <w:t xml:space="preserve">≥95 </w:t>
            </w:r>
            <w:r>
              <w:rPr>
                <w:sz w:val="20"/>
                <w:lang w:eastAsia="en-GB"/>
              </w:rPr>
              <w:t>%</w:t>
            </w:r>
          </w:p>
        </w:tc>
        <w:tc>
          <w:tcPr>
            <w:tcW w:w="733" w:type="pct"/>
            <w:shd w:val="clear" w:color="auto" w:fill="auto"/>
          </w:tcPr>
          <w:p w:rsidR="00513FD2" w:rsidRPr="0097621B" w:rsidRDefault="00513FD2" w:rsidP="00513FD2">
            <w:pPr>
              <w:spacing w:before="120" w:after="120" w:line="259" w:lineRule="auto"/>
              <w:rPr>
                <w:sz w:val="20"/>
              </w:rPr>
            </w:pPr>
            <w:r w:rsidRPr="0097621B">
              <w:rPr>
                <w:sz w:val="20"/>
              </w:rPr>
              <w:t xml:space="preserve">≥95 </w:t>
            </w:r>
            <w:r>
              <w:rPr>
                <w:sz w:val="20"/>
                <w:lang w:eastAsia="en-GB"/>
              </w:rPr>
              <w:t>%</w:t>
            </w:r>
          </w:p>
        </w:tc>
        <w:tc>
          <w:tcPr>
            <w:tcW w:w="733" w:type="pct"/>
            <w:shd w:val="clear" w:color="auto" w:fill="auto"/>
          </w:tcPr>
          <w:p w:rsidR="00513FD2" w:rsidRPr="0097621B" w:rsidRDefault="00513FD2" w:rsidP="00513FD2">
            <w:pPr>
              <w:spacing w:before="120" w:after="120" w:line="259" w:lineRule="auto"/>
              <w:rPr>
                <w:sz w:val="20"/>
              </w:rPr>
            </w:pPr>
            <w:r w:rsidRPr="0097621B">
              <w:rPr>
                <w:sz w:val="20"/>
              </w:rPr>
              <w:t xml:space="preserve">≥95 </w:t>
            </w:r>
            <w:r>
              <w:rPr>
                <w:sz w:val="20"/>
                <w:lang w:eastAsia="en-GB"/>
              </w:rPr>
              <w:t>%</w:t>
            </w:r>
          </w:p>
        </w:tc>
        <w:tc>
          <w:tcPr>
            <w:tcW w:w="736" w:type="pct"/>
            <w:shd w:val="clear" w:color="auto" w:fill="auto"/>
          </w:tcPr>
          <w:p w:rsidR="00513FD2" w:rsidRPr="0097621B" w:rsidRDefault="00513FD2" w:rsidP="00513FD2">
            <w:pPr>
              <w:spacing w:before="120" w:after="120" w:line="259" w:lineRule="auto"/>
              <w:rPr>
                <w:sz w:val="20"/>
              </w:rPr>
            </w:pPr>
            <w:r w:rsidRPr="0097621B">
              <w:rPr>
                <w:sz w:val="20"/>
              </w:rPr>
              <w:t xml:space="preserve">≥95 </w:t>
            </w:r>
            <w:r>
              <w:rPr>
                <w:sz w:val="20"/>
                <w:lang w:eastAsia="en-GB"/>
              </w:rPr>
              <w:t>%</w:t>
            </w:r>
          </w:p>
        </w:tc>
      </w:tr>
    </w:tbl>
    <w:p w:rsidR="00513FD2" w:rsidRPr="0097621B" w:rsidRDefault="00513FD2" w:rsidP="00513FD2">
      <w:pPr>
        <w:shd w:val="clear" w:color="auto" w:fill="B1E4E3"/>
        <w:spacing w:before="120" w:after="120"/>
        <w:rPr>
          <w:b/>
          <w:sz w:val="20"/>
        </w:rPr>
      </w:pPr>
      <w:r w:rsidRPr="0097621B">
        <w:rPr>
          <w:b/>
          <w:sz w:val="20"/>
        </w:rPr>
        <w:t>Rationale</w:t>
      </w:r>
    </w:p>
    <w:p w:rsidR="00513FD2" w:rsidRPr="0097621B" w:rsidRDefault="00513FD2" w:rsidP="00513FD2">
      <w:pPr>
        <w:spacing w:before="120" w:after="120"/>
        <w:rPr>
          <w:sz w:val="20"/>
        </w:rPr>
      </w:pPr>
      <w:r w:rsidRPr="0097621B">
        <w:rPr>
          <w:sz w:val="20"/>
        </w:rPr>
        <w:t xml:space="preserve">Measuring the extent to which parents take Parental Leave Pay aims to demonstrate that parents are financially assisted to take time off work following the birth or adoption of a child. This measure demonstrates the </w:t>
      </w:r>
      <w:r w:rsidRPr="0097621B">
        <w:rPr>
          <w:b/>
          <w:sz w:val="20"/>
        </w:rPr>
        <w:t>effectiveness</w:t>
      </w:r>
      <w:r w:rsidRPr="0097621B">
        <w:rPr>
          <w:sz w:val="20"/>
        </w:rPr>
        <w:t xml:space="preserve"> of Parental Leave Pay in achieving the objective of the key activity: </w:t>
      </w:r>
      <w:r w:rsidRPr="0097621B">
        <w:rPr>
          <w:i/>
          <w:sz w:val="20"/>
        </w:rPr>
        <w:t>To provide financial support to help eligible working parents (usually birth mothers) spend more time at home with a new baby or</w:t>
      </w:r>
      <w:r w:rsidR="000B43AE">
        <w:rPr>
          <w:i/>
          <w:sz w:val="20"/>
        </w:rPr>
        <w:t> </w:t>
      </w:r>
      <w:r w:rsidRPr="0097621B">
        <w:rPr>
          <w:i/>
          <w:sz w:val="20"/>
        </w:rPr>
        <w:t>recently adopted child to enhance the health and development of mothers and their children.</w:t>
      </w:r>
    </w:p>
    <w:p w:rsidR="00513FD2" w:rsidRPr="0097621B" w:rsidRDefault="00513FD2" w:rsidP="00513FD2">
      <w:pPr>
        <w:spacing w:before="120" w:after="120"/>
        <w:rPr>
          <w:sz w:val="20"/>
        </w:rPr>
      </w:pPr>
      <w:r w:rsidRPr="0097621B">
        <w:rPr>
          <w:sz w:val="20"/>
        </w:rPr>
        <w:t xml:space="preserve">The target demonstrates the </w:t>
      </w:r>
      <w:r w:rsidRPr="0097621B">
        <w:rPr>
          <w:b/>
          <w:sz w:val="20"/>
        </w:rPr>
        <w:t>effectiveness</w:t>
      </w:r>
      <w:r w:rsidRPr="0097621B">
        <w:rPr>
          <w:sz w:val="20"/>
        </w:rPr>
        <w:t xml:space="preserve"> of the key activity by showing the proportion of eligible families that are assisted by the payment to take time off work following the birth or adoption of a child.</w:t>
      </w:r>
    </w:p>
    <w:p w:rsidR="00513FD2" w:rsidRPr="0097621B" w:rsidRDefault="00513FD2" w:rsidP="00513FD2">
      <w:pPr>
        <w:shd w:val="clear" w:color="auto" w:fill="B1E4E3"/>
        <w:spacing w:before="120" w:after="120"/>
        <w:rPr>
          <w:b/>
          <w:sz w:val="20"/>
        </w:rPr>
      </w:pPr>
      <w:r w:rsidRPr="0097621B">
        <w:rPr>
          <w:b/>
          <w:sz w:val="20"/>
        </w:rPr>
        <w:t>Methodology</w:t>
      </w:r>
    </w:p>
    <w:p w:rsidR="00513FD2" w:rsidRPr="0097621B" w:rsidRDefault="00513FD2" w:rsidP="00513FD2">
      <w:pPr>
        <w:spacing w:before="120" w:after="120"/>
        <w:rPr>
          <w:sz w:val="20"/>
        </w:rPr>
      </w:pPr>
      <w:r w:rsidRPr="0097621B">
        <w:rPr>
          <w:sz w:val="20"/>
        </w:rPr>
        <w:t>Eligibility is defined as Paid Parental Leave families that receive Paid Parental Leave payments. Access is</w:t>
      </w:r>
      <w:r w:rsidR="000B43AE">
        <w:rPr>
          <w:sz w:val="20"/>
        </w:rPr>
        <w:t> </w:t>
      </w:r>
      <w:r w:rsidRPr="0097621B">
        <w:rPr>
          <w:sz w:val="20"/>
        </w:rPr>
        <w:t>defined as the receipt of the payment for the entire 18-week period for which the payment is available.</w:t>
      </w:r>
    </w:p>
    <w:p w:rsidR="00513FD2" w:rsidRPr="0097621B" w:rsidRDefault="00513FD2" w:rsidP="00513FD2">
      <w:pPr>
        <w:spacing w:before="120" w:after="120"/>
        <w:rPr>
          <w:sz w:val="20"/>
        </w:rPr>
      </w:pPr>
      <w:r w:rsidRPr="0097621B">
        <w:rPr>
          <w:sz w:val="20"/>
        </w:rPr>
        <w:t>The percent is based on the number of Parental Leave Pay recipients that took the full 18 weeks Parental Leave Pay as a proportion of the total number of Parental Leave Pay recipients whose payments were finalised during the year.</w:t>
      </w:r>
    </w:p>
    <w:p w:rsidR="00513FD2" w:rsidRPr="0097621B" w:rsidRDefault="00513FD2" w:rsidP="00513FD2">
      <w:pPr>
        <w:spacing w:before="120" w:after="120"/>
        <w:rPr>
          <w:sz w:val="20"/>
        </w:rPr>
      </w:pPr>
      <w:r w:rsidRPr="0097621B">
        <w:rPr>
          <w:sz w:val="20"/>
        </w:rPr>
        <w:t xml:space="preserve">The </w:t>
      </w:r>
      <w:r w:rsidRPr="0097621B">
        <w:rPr>
          <w:b/>
          <w:sz w:val="20"/>
        </w:rPr>
        <w:t>data source</w:t>
      </w:r>
      <w:r w:rsidRPr="0097621B">
        <w:rPr>
          <w:sz w:val="20"/>
        </w:rPr>
        <w:t xml:space="preserve"> used for this calculation is Services Australia administrative data.</w:t>
      </w:r>
    </w:p>
    <w:p w:rsidR="00513FD2" w:rsidRPr="0097621B" w:rsidRDefault="00513FD2" w:rsidP="00513FD2">
      <w:pPr>
        <w:shd w:val="clear" w:color="auto" w:fill="B1E4E3"/>
        <w:spacing w:before="120" w:after="120"/>
        <w:rPr>
          <w:b/>
          <w:sz w:val="20"/>
        </w:rPr>
      </w:pPr>
      <w:r w:rsidRPr="0097621B">
        <w:rPr>
          <w:b/>
          <w:sz w:val="20"/>
        </w:rPr>
        <w:t>Program Outputs</w:t>
      </w:r>
    </w:p>
    <w:p w:rsidR="00513FD2" w:rsidRPr="0097621B" w:rsidRDefault="00513FD2" w:rsidP="00762037">
      <w:pPr>
        <w:numPr>
          <w:ilvl w:val="0"/>
          <w:numId w:val="15"/>
        </w:numPr>
        <w:spacing w:before="0" w:after="0" w:line="240" w:lineRule="auto"/>
        <w:ind w:left="624" w:hanging="340"/>
        <w:rPr>
          <w:sz w:val="20"/>
        </w:rPr>
      </w:pPr>
      <w:r w:rsidRPr="0097621B">
        <w:rPr>
          <w:sz w:val="20"/>
        </w:rPr>
        <w:t>Administered outlays</w:t>
      </w:r>
    </w:p>
    <w:p w:rsidR="00513FD2" w:rsidRPr="0097621B" w:rsidRDefault="00513FD2" w:rsidP="00762037">
      <w:pPr>
        <w:numPr>
          <w:ilvl w:val="0"/>
          <w:numId w:val="15"/>
        </w:numPr>
        <w:spacing w:before="0" w:after="0" w:line="240" w:lineRule="auto"/>
        <w:ind w:left="624" w:hanging="340"/>
        <w:rPr>
          <w:sz w:val="20"/>
        </w:rPr>
      </w:pPr>
      <w:r w:rsidRPr="0097621B">
        <w:rPr>
          <w:sz w:val="20"/>
        </w:rPr>
        <w:t>Number of recipients</w:t>
      </w:r>
    </w:p>
    <w:p w:rsidR="00513FD2" w:rsidRPr="009B4DDE" w:rsidRDefault="00513FD2" w:rsidP="00762037">
      <w:pPr>
        <w:spacing w:before="0" w:after="0" w:line="240" w:lineRule="auto"/>
      </w:pPr>
      <w:r>
        <w:br w:type="page"/>
      </w:r>
    </w:p>
    <w:p w:rsidR="00513FD2" w:rsidRPr="0097621B" w:rsidRDefault="00513FD2" w:rsidP="00513FD2">
      <w:pPr>
        <w:shd w:val="clear" w:color="auto" w:fill="005A70"/>
        <w:spacing w:before="120" w:after="120"/>
        <w:rPr>
          <w:b/>
          <w:color w:val="FFFFFF" w:themeColor="background1"/>
          <w:sz w:val="20"/>
        </w:rPr>
      </w:pPr>
      <w:r w:rsidRPr="0097621B">
        <w:rPr>
          <w:b/>
          <w:color w:val="FFFFFF" w:themeColor="background1"/>
          <w:sz w:val="20"/>
        </w:rPr>
        <w:lastRenderedPageBreak/>
        <w:t xml:space="preserve">PROGRAM 1.1 FAMILY ASSISTANCE </w:t>
      </w:r>
    </w:p>
    <w:p w:rsidR="00513FD2" w:rsidRPr="0097621B" w:rsidRDefault="00513FD2" w:rsidP="00513FD2">
      <w:pPr>
        <w:shd w:val="clear" w:color="auto" w:fill="005A70"/>
        <w:spacing w:before="120" w:after="120"/>
        <w:rPr>
          <w:color w:val="FFFFFF" w:themeColor="background1"/>
          <w:sz w:val="20"/>
        </w:rPr>
      </w:pPr>
      <w:r w:rsidRPr="0097621B">
        <w:rPr>
          <w:color w:val="FFFFFF" w:themeColor="background1"/>
          <w:sz w:val="20"/>
        </w:rPr>
        <w:t>Assist families to take time out of the workforce to bond with their children following birth or adoption and with the costs of their children</w:t>
      </w:r>
    </w:p>
    <w:p w:rsidR="00513FD2" w:rsidRPr="0097621B" w:rsidRDefault="00513FD2" w:rsidP="00513FD2">
      <w:pPr>
        <w:shd w:val="clear" w:color="auto" w:fill="B1E4E3"/>
        <w:spacing w:before="120" w:after="120"/>
        <w:rPr>
          <w:rFonts w:cstheme="minorHAnsi"/>
          <w:b/>
          <w:sz w:val="20"/>
        </w:rPr>
      </w:pPr>
      <w:r w:rsidRPr="0097621B">
        <w:rPr>
          <w:rFonts w:cstheme="minorHAnsi"/>
          <w:b/>
          <w:sz w:val="20"/>
        </w:rPr>
        <w:t>Key Activity — 1.1.4 Dad and Partner Pay</w:t>
      </w:r>
    </w:p>
    <w:p w:rsidR="00513FD2" w:rsidRPr="0097621B" w:rsidRDefault="00513FD2" w:rsidP="00513FD2">
      <w:pPr>
        <w:spacing w:before="120" w:after="120"/>
        <w:rPr>
          <w:sz w:val="22"/>
          <w:szCs w:val="20"/>
        </w:rPr>
      </w:pPr>
      <w:r w:rsidRPr="0097621B">
        <w:rPr>
          <w:rFonts w:cstheme="minorHAnsi"/>
          <w:sz w:val="20"/>
        </w:rPr>
        <w:t xml:space="preserve">Dad and Partner Pay is a key activity of the Family Assistance Program. </w:t>
      </w:r>
      <w:r w:rsidRPr="0097621B">
        <w:rPr>
          <w:sz w:val="20"/>
        </w:rPr>
        <w:t xml:space="preserve">Dad and Partner Pay </w:t>
      </w:r>
      <w:r w:rsidRPr="0097621B">
        <w:rPr>
          <w:rFonts w:cstheme="minorHAnsi"/>
          <w:sz w:val="20"/>
        </w:rPr>
        <w:t xml:space="preserve">provides financial support to eligible </w:t>
      </w:r>
      <w:r w:rsidRPr="0097621B">
        <w:rPr>
          <w:sz w:val="20"/>
        </w:rPr>
        <w:t xml:space="preserve">working fathers or partners to </w:t>
      </w:r>
      <w:r w:rsidRPr="0097621B">
        <w:rPr>
          <w:rFonts w:cstheme="minorHAnsi"/>
          <w:sz w:val="20"/>
        </w:rPr>
        <w:t xml:space="preserve">increase the time they take off work around the time of the birth or adoption. </w:t>
      </w:r>
      <w:r w:rsidRPr="0097621B">
        <w:rPr>
          <w:sz w:val="20"/>
        </w:rPr>
        <w:t xml:space="preserve">Dad and Partner Pay provides up to </w:t>
      </w:r>
      <w:r w:rsidR="006A2344">
        <w:rPr>
          <w:sz w:val="20"/>
        </w:rPr>
        <w:t>2</w:t>
      </w:r>
      <w:r w:rsidRPr="0097621B">
        <w:rPr>
          <w:sz w:val="20"/>
        </w:rPr>
        <w:t xml:space="preserve"> weeks’ pay, at a rate based on the national minimum wage. To be eligible for Dad and Partner Pay, a claimant must meet the scheme's work test, income test, and residency test.</w:t>
      </w:r>
    </w:p>
    <w:p w:rsidR="00513FD2" w:rsidRPr="0097621B" w:rsidRDefault="00513FD2" w:rsidP="00513FD2">
      <w:pPr>
        <w:spacing w:before="120" w:after="120"/>
        <w:rPr>
          <w:rFonts w:cstheme="minorHAnsi"/>
          <w:sz w:val="20"/>
        </w:rPr>
      </w:pPr>
      <w:r w:rsidRPr="0097621B">
        <w:rPr>
          <w:b/>
          <w:sz w:val="20"/>
        </w:rPr>
        <w:t>The department</w:t>
      </w:r>
      <w:r w:rsidRPr="0097621B">
        <w:rPr>
          <w:sz w:val="20"/>
        </w:rPr>
        <w:t xml:space="preserve"> is responsible for designing and implementing the key activity.</w:t>
      </w:r>
      <w:r>
        <w:rPr>
          <w:sz w:val="20"/>
        </w:rPr>
        <w:t xml:space="preserve"> </w:t>
      </w:r>
      <w:r w:rsidRPr="0097621B">
        <w:rPr>
          <w:sz w:val="20"/>
        </w:rPr>
        <w:t xml:space="preserve">This includes providing advice to Government on policy and legislation, program implementation and management, program performance, monitoring and meeting all relevant deliverables, setting guidelines and providing guidance and advice to Services Australia on the administration of the program. </w:t>
      </w:r>
      <w:r w:rsidRPr="0097621B">
        <w:rPr>
          <w:rFonts w:cstheme="minorHAnsi"/>
          <w:b/>
          <w:sz w:val="20"/>
        </w:rPr>
        <w:t>Services Australia</w:t>
      </w:r>
      <w:r w:rsidRPr="0097621B">
        <w:rPr>
          <w:rFonts w:cstheme="minorHAnsi"/>
          <w:sz w:val="20"/>
        </w:rPr>
        <w:t xml:space="preserve"> is the primary portfolio agency responsible for administering Dad and Partner Pay on the department’s behalf including receiving, processing and management payment applications and delivering Dad and Partner payments. </w:t>
      </w:r>
    </w:p>
    <w:tbl>
      <w:tblPr>
        <w:tblStyle w:val="TableGrid392"/>
        <w:tblW w:w="4977" w:type="pct"/>
        <w:jc w:val="center"/>
        <w:tblLook w:val="04A0" w:firstRow="1" w:lastRow="0" w:firstColumn="1" w:lastColumn="0" w:noHBand="0" w:noVBand="1"/>
        <w:tblCaption w:val="1.1.4 Performance measures and targets"/>
        <w:tblDescription w:val="Table outlines the targeted payment percentages across 2022-23, 2023-24, 2024-25 and 2025-26"/>
      </w:tblPr>
      <w:tblGrid>
        <w:gridCol w:w="3964"/>
        <w:gridCol w:w="1405"/>
        <w:gridCol w:w="1405"/>
        <w:gridCol w:w="1405"/>
        <w:gridCol w:w="1405"/>
      </w:tblGrid>
      <w:tr w:rsidR="00513FD2" w:rsidRPr="0097621B" w:rsidTr="005B200F">
        <w:trPr>
          <w:cantSplit/>
          <w:trHeight w:val="356"/>
          <w:tblHeader/>
          <w:jc w:val="center"/>
        </w:trPr>
        <w:tc>
          <w:tcPr>
            <w:tcW w:w="5000" w:type="pct"/>
            <w:gridSpan w:val="5"/>
            <w:shd w:val="clear" w:color="auto" w:fill="D9D9D6"/>
          </w:tcPr>
          <w:p w:rsidR="00513FD2" w:rsidRPr="0097621B" w:rsidRDefault="00513FD2" w:rsidP="00513FD2">
            <w:pPr>
              <w:spacing w:before="120" w:after="120" w:line="259" w:lineRule="auto"/>
              <w:rPr>
                <w:rFonts w:cstheme="minorHAnsi"/>
                <w:b/>
                <w:sz w:val="20"/>
              </w:rPr>
            </w:pPr>
            <w:r w:rsidRPr="0097621B">
              <w:rPr>
                <w:rFonts w:cstheme="minorHAnsi"/>
                <w:b/>
                <w:sz w:val="20"/>
              </w:rPr>
              <w:t>Performance Measure</w:t>
            </w:r>
          </w:p>
        </w:tc>
      </w:tr>
      <w:tr w:rsidR="00513FD2" w:rsidRPr="0097621B" w:rsidTr="00513FD2">
        <w:trPr>
          <w:cantSplit/>
          <w:trHeight w:val="356"/>
          <w:jc w:val="center"/>
        </w:trPr>
        <w:tc>
          <w:tcPr>
            <w:tcW w:w="5000" w:type="pct"/>
            <w:gridSpan w:val="5"/>
            <w:shd w:val="clear" w:color="auto" w:fill="auto"/>
          </w:tcPr>
          <w:p w:rsidR="00513FD2" w:rsidRPr="0097621B" w:rsidRDefault="00513FD2" w:rsidP="00513FD2">
            <w:pPr>
              <w:spacing w:before="120" w:after="120" w:line="259" w:lineRule="auto"/>
              <w:rPr>
                <w:rFonts w:cstheme="minorHAnsi"/>
                <w:b/>
                <w:sz w:val="20"/>
              </w:rPr>
            </w:pPr>
            <w:r w:rsidRPr="0097621B">
              <w:rPr>
                <w:rFonts w:cstheme="minorHAnsi"/>
                <w:sz w:val="20"/>
              </w:rPr>
              <w:t>1.1.4.1 Extent to which parents take Dad and Partner Pay.</w:t>
            </w:r>
          </w:p>
        </w:tc>
      </w:tr>
      <w:tr w:rsidR="00513FD2" w:rsidRPr="0097621B" w:rsidTr="00513FD2">
        <w:trPr>
          <w:cantSplit/>
          <w:trHeight w:val="356"/>
          <w:jc w:val="center"/>
        </w:trPr>
        <w:tc>
          <w:tcPr>
            <w:tcW w:w="2068" w:type="pct"/>
            <w:shd w:val="clear" w:color="auto" w:fill="D9D9D6"/>
          </w:tcPr>
          <w:p w:rsidR="00513FD2" w:rsidRPr="0097621B" w:rsidRDefault="00513FD2" w:rsidP="00513FD2">
            <w:pPr>
              <w:spacing w:before="120" w:after="120" w:line="259" w:lineRule="auto"/>
              <w:rPr>
                <w:rFonts w:cstheme="minorHAnsi"/>
                <w:sz w:val="20"/>
              </w:rPr>
            </w:pPr>
            <w:r w:rsidRPr="0097621B">
              <w:rPr>
                <w:rFonts w:cstheme="minorHAnsi"/>
                <w:b/>
                <w:sz w:val="20"/>
              </w:rPr>
              <w:t>Target</w:t>
            </w:r>
          </w:p>
        </w:tc>
        <w:tc>
          <w:tcPr>
            <w:tcW w:w="733" w:type="pct"/>
            <w:shd w:val="clear" w:color="auto" w:fill="D9D9D6"/>
          </w:tcPr>
          <w:p w:rsidR="00513FD2" w:rsidRPr="0097621B" w:rsidRDefault="00513FD2" w:rsidP="00513FD2">
            <w:pPr>
              <w:spacing w:before="120" w:after="120" w:line="259" w:lineRule="auto"/>
              <w:rPr>
                <w:rFonts w:cstheme="minorHAnsi"/>
                <w:sz w:val="20"/>
              </w:rPr>
            </w:pPr>
            <w:r w:rsidRPr="0097621B">
              <w:rPr>
                <w:rFonts w:cstheme="minorHAnsi"/>
                <w:b/>
                <w:sz w:val="20"/>
              </w:rPr>
              <w:t>2022–23</w:t>
            </w:r>
          </w:p>
        </w:tc>
        <w:tc>
          <w:tcPr>
            <w:tcW w:w="733" w:type="pct"/>
            <w:shd w:val="clear" w:color="auto" w:fill="D9D9D6"/>
          </w:tcPr>
          <w:p w:rsidR="00513FD2" w:rsidRPr="0097621B" w:rsidRDefault="00513FD2" w:rsidP="00513FD2">
            <w:pPr>
              <w:spacing w:before="120" w:after="120" w:line="259" w:lineRule="auto"/>
              <w:rPr>
                <w:rFonts w:cstheme="minorHAnsi"/>
                <w:b/>
                <w:sz w:val="20"/>
              </w:rPr>
            </w:pPr>
            <w:r w:rsidRPr="0097621B">
              <w:rPr>
                <w:rFonts w:cstheme="minorHAnsi"/>
                <w:b/>
                <w:sz w:val="20"/>
              </w:rPr>
              <w:t>2023–24</w:t>
            </w:r>
          </w:p>
        </w:tc>
        <w:tc>
          <w:tcPr>
            <w:tcW w:w="733" w:type="pct"/>
            <w:shd w:val="clear" w:color="auto" w:fill="D9D9D6"/>
          </w:tcPr>
          <w:p w:rsidR="00513FD2" w:rsidRPr="0097621B" w:rsidRDefault="00513FD2" w:rsidP="00513FD2">
            <w:pPr>
              <w:spacing w:before="120" w:after="120" w:line="259" w:lineRule="auto"/>
              <w:rPr>
                <w:rFonts w:cstheme="minorHAnsi"/>
                <w:b/>
                <w:sz w:val="20"/>
              </w:rPr>
            </w:pPr>
            <w:r w:rsidRPr="0097621B">
              <w:rPr>
                <w:rFonts w:cstheme="minorHAnsi"/>
                <w:b/>
                <w:sz w:val="20"/>
              </w:rPr>
              <w:t>2024–25</w:t>
            </w:r>
          </w:p>
        </w:tc>
        <w:tc>
          <w:tcPr>
            <w:tcW w:w="733" w:type="pct"/>
            <w:shd w:val="clear" w:color="auto" w:fill="D9D9D6"/>
          </w:tcPr>
          <w:p w:rsidR="00513FD2" w:rsidRPr="0097621B" w:rsidRDefault="00513FD2" w:rsidP="00513FD2">
            <w:pPr>
              <w:spacing w:before="120" w:after="120" w:line="259" w:lineRule="auto"/>
              <w:rPr>
                <w:rFonts w:cstheme="minorHAnsi"/>
                <w:b/>
                <w:sz w:val="20"/>
              </w:rPr>
            </w:pPr>
            <w:r w:rsidRPr="0097621B">
              <w:rPr>
                <w:rFonts w:cstheme="minorHAnsi"/>
                <w:b/>
                <w:sz w:val="20"/>
              </w:rPr>
              <w:t>2025–26</w:t>
            </w:r>
          </w:p>
        </w:tc>
      </w:tr>
      <w:tr w:rsidR="00513FD2" w:rsidRPr="0097621B" w:rsidTr="00513FD2">
        <w:trPr>
          <w:cantSplit/>
          <w:trHeight w:val="356"/>
          <w:jc w:val="center"/>
        </w:trPr>
        <w:tc>
          <w:tcPr>
            <w:tcW w:w="2068" w:type="pct"/>
            <w:shd w:val="clear" w:color="auto" w:fill="auto"/>
          </w:tcPr>
          <w:p w:rsidR="00513FD2" w:rsidRPr="0097621B" w:rsidRDefault="00513FD2" w:rsidP="006A2344">
            <w:pPr>
              <w:spacing w:before="120" w:after="120" w:line="259" w:lineRule="auto"/>
              <w:rPr>
                <w:rFonts w:cstheme="minorHAnsi"/>
                <w:sz w:val="20"/>
              </w:rPr>
            </w:pPr>
            <w:r w:rsidRPr="0097621B">
              <w:rPr>
                <w:sz w:val="20"/>
              </w:rPr>
              <w:sym w:font="Wingdings" w:char="F074"/>
            </w:r>
            <w:r w:rsidRPr="0097621B">
              <w:rPr>
                <w:sz w:val="20"/>
              </w:rPr>
              <w:t xml:space="preserve">1.1.4.1A At least </w:t>
            </w:r>
            <w:r w:rsidRPr="0097621B">
              <w:rPr>
                <w:rFonts w:cstheme="minorHAnsi"/>
                <w:sz w:val="20"/>
              </w:rPr>
              <w:t>95</w:t>
            </w:r>
            <w:r w:rsidR="006A2344">
              <w:rPr>
                <w:rFonts w:cstheme="minorHAnsi"/>
                <w:sz w:val="20"/>
              </w:rPr>
              <w:t>%</w:t>
            </w:r>
            <w:r w:rsidRPr="0097621B">
              <w:rPr>
                <w:rFonts w:cstheme="minorHAnsi"/>
                <w:sz w:val="20"/>
              </w:rPr>
              <w:t xml:space="preserve"> of eligible Dad and Partner Pay claimants access payment.</w:t>
            </w:r>
          </w:p>
        </w:tc>
        <w:tc>
          <w:tcPr>
            <w:tcW w:w="733" w:type="pct"/>
            <w:shd w:val="clear" w:color="auto" w:fill="auto"/>
          </w:tcPr>
          <w:p w:rsidR="00513FD2" w:rsidRPr="0097621B" w:rsidRDefault="00513FD2" w:rsidP="00513FD2">
            <w:pPr>
              <w:spacing w:before="120" w:after="120" w:line="259" w:lineRule="auto"/>
              <w:rPr>
                <w:rFonts w:cstheme="minorHAnsi"/>
                <w:sz w:val="20"/>
              </w:rPr>
            </w:pPr>
            <w:r w:rsidRPr="0097621B">
              <w:rPr>
                <w:sz w:val="20"/>
              </w:rPr>
              <w:t xml:space="preserve">≥95 </w:t>
            </w:r>
            <w:r>
              <w:rPr>
                <w:sz w:val="20"/>
                <w:lang w:eastAsia="en-GB"/>
              </w:rPr>
              <w:t>%</w:t>
            </w:r>
          </w:p>
        </w:tc>
        <w:tc>
          <w:tcPr>
            <w:tcW w:w="733" w:type="pct"/>
            <w:shd w:val="clear" w:color="auto" w:fill="auto"/>
          </w:tcPr>
          <w:p w:rsidR="00513FD2" w:rsidRPr="0097621B" w:rsidRDefault="00513FD2" w:rsidP="00513FD2">
            <w:pPr>
              <w:spacing w:before="120" w:after="120" w:line="259" w:lineRule="auto"/>
              <w:rPr>
                <w:rFonts w:cstheme="minorHAnsi"/>
                <w:sz w:val="20"/>
              </w:rPr>
            </w:pPr>
            <w:r w:rsidRPr="0097621B">
              <w:rPr>
                <w:sz w:val="20"/>
              </w:rPr>
              <w:t xml:space="preserve">≥95 </w:t>
            </w:r>
            <w:r>
              <w:rPr>
                <w:sz w:val="20"/>
                <w:lang w:eastAsia="en-GB"/>
              </w:rPr>
              <w:t>%</w:t>
            </w:r>
          </w:p>
        </w:tc>
        <w:tc>
          <w:tcPr>
            <w:tcW w:w="733" w:type="pct"/>
            <w:shd w:val="clear" w:color="auto" w:fill="auto"/>
          </w:tcPr>
          <w:p w:rsidR="00513FD2" w:rsidRPr="0097621B" w:rsidRDefault="00513FD2" w:rsidP="00513FD2">
            <w:pPr>
              <w:spacing w:before="120" w:after="120" w:line="259" w:lineRule="auto"/>
              <w:rPr>
                <w:rFonts w:cstheme="minorHAnsi"/>
                <w:sz w:val="20"/>
              </w:rPr>
            </w:pPr>
            <w:r w:rsidRPr="0097621B">
              <w:rPr>
                <w:sz w:val="20"/>
              </w:rPr>
              <w:t xml:space="preserve">≥95 </w:t>
            </w:r>
            <w:r>
              <w:rPr>
                <w:sz w:val="20"/>
                <w:lang w:eastAsia="en-GB"/>
              </w:rPr>
              <w:t>%</w:t>
            </w:r>
            <w:r w:rsidRPr="0097621B">
              <w:rPr>
                <w:sz w:val="20"/>
              </w:rPr>
              <w:t xml:space="preserve"> </w:t>
            </w:r>
          </w:p>
        </w:tc>
        <w:tc>
          <w:tcPr>
            <w:tcW w:w="733" w:type="pct"/>
            <w:shd w:val="clear" w:color="auto" w:fill="auto"/>
          </w:tcPr>
          <w:p w:rsidR="00513FD2" w:rsidRPr="0097621B" w:rsidRDefault="00513FD2" w:rsidP="00513FD2">
            <w:pPr>
              <w:spacing w:before="120" w:after="120" w:line="259" w:lineRule="auto"/>
              <w:rPr>
                <w:rFonts w:cstheme="minorHAnsi"/>
                <w:sz w:val="20"/>
              </w:rPr>
            </w:pPr>
            <w:r w:rsidRPr="0097621B">
              <w:rPr>
                <w:sz w:val="20"/>
              </w:rPr>
              <w:t xml:space="preserve">≥95 </w:t>
            </w:r>
            <w:r>
              <w:rPr>
                <w:sz w:val="20"/>
                <w:lang w:eastAsia="en-GB"/>
              </w:rPr>
              <w:t>%</w:t>
            </w:r>
          </w:p>
        </w:tc>
      </w:tr>
    </w:tbl>
    <w:p w:rsidR="00513FD2" w:rsidRPr="0097621B" w:rsidRDefault="00513FD2" w:rsidP="00513FD2">
      <w:pPr>
        <w:shd w:val="clear" w:color="auto" w:fill="B1E4E3"/>
        <w:spacing w:before="120" w:after="120"/>
        <w:rPr>
          <w:rFonts w:cstheme="minorHAnsi"/>
          <w:b/>
          <w:sz w:val="20"/>
        </w:rPr>
      </w:pPr>
      <w:r w:rsidRPr="0097621B">
        <w:rPr>
          <w:rFonts w:cstheme="minorHAnsi"/>
          <w:b/>
          <w:sz w:val="20"/>
        </w:rPr>
        <w:t>Rationale</w:t>
      </w:r>
    </w:p>
    <w:p w:rsidR="00513FD2" w:rsidRPr="0097621B" w:rsidRDefault="00513FD2" w:rsidP="00513FD2">
      <w:pPr>
        <w:spacing w:before="120" w:after="120"/>
        <w:rPr>
          <w:rFonts w:cstheme="minorHAnsi"/>
          <w:sz w:val="20"/>
        </w:rPr>
      </w:pPr>
      <w:r w:rsidRPr="0097621B">
        <w:rPr>
          <w:rFonts w:cstheme="minorHAnsi"/>
          <w:sz w:val="20"/>
        </w:rPr>
        <w:t xml:space="preserve">Measuring the extent to which parents take Dad and Partner Pay aims to demonstrate that fathers and partners caring for a newborn or newly adopted child are financially assisted to increase the time they take off work around the time of the birth or adoption. This measure demonstrates the </w:t>
      </w:r>
      <w:r w:rsidRPr="0097621B">
        <w:rPr>
          <w:rFonts w:cstheme="minorHAnsi"/>
          <w:b/>
          <w:sz w:val="20"/>
        </w:rPr>
        <w:t>effectiveness</w:t>
      </w:r>
      <w:r w:rsidRPr="0097621B">
        <w:rPr>
          <w:rFonts w:cstheme="minorHAnsi"/>
          <w:sz w:val="20"/>
        </w:rPr>
        <w:t xml:space="preserve"> of Dad and Partner Pay in achieving the objective</w:t>
      </w:r>
      <w:r w:rsidRPr="0097621B">
        <w:rPr>
          <w:rFonts w:cstheme="minorHAnsi"/>
          <w:i/>
          <w:sz w:val="20"/>
        </w:rPr>
        <w:t xml:space="preserve"> to provide financial support to help eligible fathers and partners to</w:t>
      </w:r>
      <w:r w:rsidR="000B43AE">
        <w:rPr>
          <w:rFonts w:cstheme="minorHAnsi"/>
          <w:i/>
          <w:sz w:val="20"/>
        </w:rPr>
        <w:t> </w:t>
      </w:r>
      <w:r w:rsidRPr="0097621B">
        <w:rPr>
          <w:rFonts w:cstheme="minorHAnsi"/>
          <w:i/>
          <w:sz w:val="20"/>
        </w:rPr>
        <w:t>increase the time they take off work around the time of the birth or adoption, to create further opportunities to bond with their child, and to allow fathers and partners to take a greater share of caring responsibilities and support their partners from the beginning of a child’s life.</w:t>
      </w:r>
      <w:r w:rsidRPr="0097621B">
        <w:rPr>
          <w:rFonts w:cstheme="minorHAnsi"/>
          <w:sz w:val="20"/>
        </w:rPr>
        <w:t xml:space="preserve"> </w:t>
      </w:r>
    </w:p>
    <w:p w:rsidR="00513FD2" w:rsidRPr="0097621B" w:rsidRDefault="00513FD2" w:rsidP="00513FD2">
      <w:pPr>
        <w:spacing w:before="120" w:after="120"/>
        <w:rPr>
          <w:rFonts w:cstheme="minorHAnsi"/>
          <w:sz w:val="20"/>
        </w:rPr>
      </w:pPr>
      <w:r w:rsidRPr="0097621B">
        <w:rPr>
          <w:rFonts w:cstheme="minorHAnsi"/>
          <w:sz w:val="20"/>
        </w:rPr>
        <w:t xml:space="preserve">The target demonstrates the </w:t>
      </w:r>
      <w:r w:rsidRPr="0097621B">
        <w:rPr>
          <w:rFonts w:cstheme="minorHAnsi"/>
          <w:b/>
          <w:sz w:val="20"/>
        </w:rPr>
        <w:t>effectiveness</w:t>
      </w:r>
      <w:r w:rsidRPr="0097621B">
        <w:rPr>
          <w:rFonts w:cstheme="minorHAnsi"/>
          <w:sz w:val="20"/>
        </w:rPr>
        <w:t xml:space="preserve"> of the key activity by showing the proportion of eligible fathers and partners that access the Dad and Partner Pay payment, for the full two-week period for which the payment is available.</w:t>
      </w:r>
    </w:p>
    <w:p w:rsidR="00513FD2" w:rsidRPr="0097621B" w:rsidRDefault="00513FD2" w:rsidP="00513FD2">
      <w:pPr>
        <w:shd w:val="clear" w:color="auto" w:fill="B1E4E3"/>
        <w:spacing w:before="120" w:after="120"/>
        <w:rPr>
          <w:rFonts w:cstheme="minorHAnsi"/>
          <w:b/>
          <w:sz w:val="20"/>
        </w:rPr>
      </w:pPr>
      <w:r w:rsidRPr="0097621B">
        <w:rPr>
          <w:rFonts w:cstheme="minorHAnsi"/>
          <w:b/>
          <w:sz w:val="20"/>
        </w:rPr>
        <w:t>Methodology</w:t>
      </w:r>
    </w:p>
    <w:p w:rsidR="00513FD2" w:rsidRPr="0097621B" w:rsidRDefault="00513FD2" w:rsidP="00513FD2">
      <w:pPr>
        <w:spacing w:before="120" w:after="120"/>
        <w:rPr>
          <w:rFonts w:cstheme="minorHAnsi"/>
          <w:sz w:val="20"/>
        </w:rPr>
      </w:pPr>
      <w:r w:rsidRPr="0097621B">
        <w:rPr>
          <w:rFonts w:cstheme="minorHAnsi"/>
          <w:sz w:val="20"/>
        </w:rPr>
        <w:t>Eligibility is defined as Dad and Partner Pay claimants who receive the Dad and Partner Pay payment.</w:t>
      </w:r>
      <w:r>
        <w:rPr>
          <w:rFonts w:cstheme="minorHAnsi"/>
          <w:sz w:val="20"/>
        </w:rPr>
        <w:t xml:space="preserve"> </w:t>
      </w:r>
      <w:r w:rsidRPr="0097621B">
        <w:rPr>
          <w:rFonts w:cstheme="minorHAnsi"/>
          <w:sz w:val="20"/>
        </w:rPr>
        <w:t xml:space="preserve">Access is defined as the receipt of the payment for the entire </w:t>
      </w:r>
      <w:r w:rsidR="00193208">
        <w:rPr>
          <w:rFonts w:cstheme="minorHAnsi"/>
          <w:sz w:val="20"/>
        </w:rPr>
        <w:t xml:space="preserve">2 </w:t>
      </w:r>
      <w:r w:rsidRPr="0097621B">
        <w:rPr>
          <w:rFonts w:cstheme="minorHAnsi"/>
          <w:sz w:val="20"/>
        </w:rPr>
        <w:t>week period for which the payment is</w:t>
      </w:r>
      <w:r w:rsidR="000B43AE">
        <w:rPr>
          <w:rFonts w:cstheme="minorHAnsi"/>
          <w:sz w:val="20"/>
        </w:rPr>
        <w:t> </w:t>
      </w:r>
      <w:r w:rsidRPr="0097621B">
        <w:rPr>
          <w:rFonts w:cstheme="minorHAnsi"/>
          <w:sz w:val="20"/>
        </w:rPr>
        <w:t>available.</w:t>
      </w:r>
    </w:p>
    <w:p w:rsidR="00513FD2" w:rsidRPr="0097621B" w:rsidRDefault="00513FD2" w:rsidP="00513FD2">
      <w:pPr>
        <w:spacing w:before="120" w:after="120"/>
        <w:rPr>
          <w:rFonts w:cstheme="minorHAnsi"/>
          <w:sz w:val="20"/>
        </w:rPr>
      </w:pPr>
      <w:r w:rsidRPr="0097621B">
        <w:rPr>
          <w:rFonts w:cstheme="minorHAnsi"/>
          <w:sz w:val="20"/>
        </w:rPr>
        <w:t>The number of Dad and Partner Pay claimants that took the full</w:t>
      </w:r>
      <w:r w:rsidR="006A2344">
        <w:rPr>
          <w:rFonts w:cstheme="minorHAnsi"/>
          <w:sz w:val="20"/>
        </w:rPr>
        <w:t xml:space="preserve"> 2</w:t>
      </w:r>
      <w:r w:rsidRPr="0097621B">
        <w:rPr>
          <w:rFonts w:cstheme="minorHAnsi"/>
          <w:sz w:val="20"/>
        </w:rPr>
        <w:t xml:space="preserve"> weeks as a proportion of the total number of Dad and Partner Pay claimants whose payment was finalised during the year, for the most recent</w:t>
      </w:r>
      <w:r w:rsidR="006A2344">
        <w:rPr>
          <w:rFonts w:cstheme="minorHAnsi"/>
          <w:sz w:val="20"/>
        </w:rPr>
        <w:t xml:space="preserve"> 3</w:t>
      </w:r>
      <w:r w:rsidRPr="0097621B">
        <w:rPr>
          <w:rFonts w:cstheme="minorHAnsi"/>
          <w:sz w:val="20"/>
        </w:rPr>
        <w:t xml:space="preserve"> years of data. </w:t>
      </w:r>
    </w:p>
    <w:p w:rsidR="00513FD2" w:rsidRPr="0097621B" w:rsidRDefault="00513FD2" w:rsidP="00513FD2">
      <w:pPr>
        <w:spacing w:before="120" w:after="120"/>
        <w:rPr>
          <w:rFonts w:cstheme="minorHAnsi"/>
          <w:sz w:val="20"/>
        </w:rPr>
      </w:pPr>
      <w:r w:rsidRPr="0097621B">
        <w:rPr>
          <w:rFonts w:cstheme="minorHAnsi"/>
          <w:sz w:val="20"/>
        </w:rPr>
        <w:t xml:space="preserve">The </w:t>
      </w:r>
      <w:r w:rsidRPr="0097621B">
        <w:rPr>
          <w:rFonts w:cstheme="minorHAnsi"/>
          <w:b/>
          <w:sz w:val="20"/>
        </w:rPr>
        <w:t>data source</w:t>
      </w:r>
      <w:r w:rsidRPr="0097621B">
        <w:rPr>
          <w:rFonts w:cstheme="minorHAnsi"/>
          <w:sz w:val="20"/>
        </w:rPr>
        <w:t xml:space="preserve"> used for this calculation is Services Australia administrative data.</w:t>
      </w:r>
    </w:p>
    <w:p w:rsidR="00513FD2" w:rsidRPr="0097621B" w:rsidRDefault="00513FD2" w:rsidP="00513FD2">
      <w:pPr>
        <w:shd w:val="clear" w:color="auto" w:fill="B1E4E3"/>
        <w:spacing w:before="120" w:after="120"/>
        <w:rPr>
          <w:rFonts w:cstheme="minorHAnsi"/>
          <w:b/>
          <w:sz w:val="20"/>
        </w:rPr>
      </w:pPr>
      <w:r w:rsidRPr="0097621B">
        <w:rPr>
          <w:rFonts w:cstheme="minorHAnsi"/>
          <w:b/>
          <w:sz w:val="20"/>
        </w:rPr>
        <w:t>Program Output</w:t>
      </w:r>
    </w:p>
    <w:p w:rsidR="00513FD2" w:rsidRPr="0097621B" w:rsidRDefault="00513FD2" w:rsidP="00762037">
      <w:pPr>
        <w:numPr>
          <w:ilvl w:val="0"/>
          <w:numId w:val="15"/>
        </w:numPr>
        <w:spacing w:before="0" w:after="0" w:line="240" w:lineRule="auto"/>
        <w:ind w:left="624" w:hanging="340"/>
        <w:rPr>
          <w:sz w:val="20"/>
        </w:rPr>
      </w:pPr>
      <w:r w:rsidRPr="0097621B">
        <w:rPr>
          <w:sz w:val="20"/>
        </w:rPr>
        <w:t>Administered outlays</w:t>
      </w:r>
    </w:p>
    <w:p w:rsidR="00513FD2" w:rsidRPr="009B4DDE" w:rsidRDefault="00513FD2" w:rsidP="00762037">
      <w:pPr>
        <w:numPr>
          <w:ilvl w:val="0"/>
          <w:numId w:val="15"/>
        </w:numPr>
        <w:spacing w:before="0" w:after="0" w:line="240" w:lineRule="auto"/>
        <w:ind w:left="624" w:hanging="340"/>
      </w:pPr>
      <w:r w:rsidRPr="0097621B">
        <w:rPr>
          <w:sz w:val="20"/>
        </w:rPr>
        <w:t>Number of recipients</w:t>
      </w:r>
      <w:r w:rsidRPr="009B4DDE">
        <w:br w:type="page"/>
      </w:r>
    </w:p>
    <w:p w:rsidR="00513FD2" w:rsidRPr="0097621B" w:rsidRDefault="00513FD2" w:rsidP="00513FD2">
      <w:pPr>
        <w:shd w:val="clear" w:color="auto" w:fill="005A70"/>
        <w:spacing w:before="120" w:after="120"/>
        <w:rPr>
          <w:b/>
          <w:color w:val="FFFFFF" w:themeColor="background1"/>
          <w:sz w:val="20"/>
        </w:rPr>
      </w:pPr>
      <w:r w:rsidRPr="0097621B">
        <w:rPr>
          <w:b/>
          <w:color w:val="FFFFFF" w:themeColor="background1"/>
          <w:sz w:val="20"/>
        </w:rPr>
        <w:lastRenderedPageBreak/>
        <w:t>PROGRAM 1.2 SUPPORT FOR SENIORS</w:t>
      </w:r>
    </w:p>
    <w:p w:rsidR="00513FD2" w:rsidRPr="0097621B" w:rsidRDefault="00513FD2" w:rsidP="00513FD2">
      <w:pPr>
        <w:shd w:val="clear" w:color="auto" w:fill="005A70"/>
        <w:spacing w:before="120" w:after="120"/>
        <w:rPr>
          <w:sz w:val="20"/>
        </w:rPr>
      </w:pPr>
      <w:r w:rsidRPr="0097621B">
        <w:rPr>
          <w:color w:val="FFFFFF" w:themeColor="background1"/>
          <w:sz w:val="20"/>
        </w:rPr>
        <w:t>This program aims to make payments to senior Australians to assist them financially in a manner that encourages them to productively manage resources and life transitions.</w:t>
      </w:r>
    </w:p>
    <w:p w:rsidR="00513FD2" w:rsidRPr="0097621B" w:rsidRDefault="00513FD2" w:rsidP="00513FD2">
      <w:pPr>
        <w:shd w:val="clear" w:color="auto" w:fill="B1E4E3"/>
        <w:spacing w:before="120" w:after="120"/>
        <w:rPr>
          <w:b/>
          <w:sz w:val="20"/>
        </w:rPr>
      </w:pPr>
      <w:r w:rsidRPr="0097621B">
        <w:rPr>
          <w:b/>
          <w:sz w:val="20"/>
        </w:rPr>
        <w:t>Key Activity – 1.2.1 Age Pension</w:t>
      </w:r>
    </w:p>
    <w:p w:rsidR="00513FD2" w:rsidRPr="0097621B" w:rsidRDefault="00513FD2" w:rsidP="00762037">
      <w:pPr>
        <w:spacing w:before="40" w:after="40"/>
        <w:rPr>
          <w:sz w:val="20"/>
        </w:rPr>
      </w:pPr>
      <w:r w:rsidRPr="0097621B">
        <w:rPr>
          <w:sz w:val="20"/>
        </w:rPr>
        <w:t>The Age Pension is a key activity of the Income Support for Seniors Program. The key activity aims to</w:t>
      </w:r>
      <w:r w:rsidR="000B43AE">
        <w:rPr>
          <w:sz w:val="20"/>
        </w:rPr>
        <w:t> </w:t>
      </w:r>
      <w:r w:rsidRPr="0097621B">
        <w:rPr>
          <w:sz w:val="20"/>
        </w:rPr>
        <w:t xml:space="preserve">provide income support to </w:t>
      </w:r>
      <w:r w:rsidRPr="0097621B">
        <w:rPr>
          <w:b/>
          <w:sz w:val="20"/>
        </w:rPr>
        <w:t>Senior Australians</w:t>
      </w:r>
      <w:r w:rsidRPr="0097621B">
        <w:rPr>
          <w:sz w:val="20"/>
        </w:rPr>
        <w:t xml:space="preserve"> who need it, while encouraging pensioners to maximise their overall incomes. The Age Pension is paid to people who meet age and residency requirements, subject</w:t>
      </w:r>
      <w:r w:rsidR="000B43AE">
        <w:rPr>
          <w:sz w:val="20"/>
        </w:rPr>
        <w:t> </w:t>
      </w:r>
      <w:r w:rsidRPr="0097621B">
        <w:rPr>
          <w:sz w:val="20"/>
        </w:rPr>
        <w:t>to a means test. Pension rates are indexed to ensure they keep pace with Australian price and wage increases.</w:t>
      </w:r>
    </w:p>
    <w:p w:rsidR="00513FD2" w:rsidRPr="0097621B" w:rsidRDefault="00513FD2" w:rsidP="00762037">
      <w:pPr>
        <w:spacing w:before="0" w:after="120"/>
        <w:rPr>
          <w:sz w:val="20"/>
        </w:rPr>
      </w:pPr>
      <w:r w:rsidRPr="0097621B">
        <w:rPr>
          <w:b/>
          <w:sz w:val="20"/>
        </w:rPr>
        <w:t>The department</w:t>
      </w:r>
      <w:r w:rsidRPr="0097621B">
        <w:rPr>
          <w:sz w:val="20"/>
        </w:rPr>
        <w:t xml:space="preserve"> is responsible for designing and implementing the key activity. This includes providing advice to Government on policy and legislation, program implementation and management, program performance, monitoring and meeting all relevant deliverables, setting guidelines and providing guidance and advice to Services Australia on the administration of the program. </w:t>
      </w:r>
      <w:r w:rsidRPr="0097621B">
        <w:rPr>
          <w:b/>
          <w:sz w:val="20"/>
        </w:rPr>
        <w:t>Services Australia</w:t>
      </w:r>
      <w:r w:rsidRPr="0097621B">
        <w:rPr>
          <w:sz w:val="20"/>
        </w:rPr>
        <w:t xml:space="preserve"> is the primary portfolio agency responsible for administering the key activity on the department’s behalf including receiving, processing and managing applications, and delivering payments.</w:t>
      </w:r>
    </w:p>
    <w:tbl>
      <w:tblPr>
        <w:tblStyle w:val="TableGrid39"/>
        <w:tblW w:w="5002" w:type="pct"/>
        <w:jc w:val="center"/>
        <w:tblLook w:val="04A0" w:firstRow="1" w:lastRow="0" w:firstColumn="1" w:lastColumn="0" w:noHBand="0" w:noVBand="1"/>
        <w:tblCaption w:val="1.2.1 performance measure and target"/>
        <w:tblDescription w:val="Table outlines the targeted payment percentages across 2022-23, 2023-24, 2024-25 and 2025-26"/>
      </w:tblPr>
      <w:tblGrid>
        <w:gridCol w:w="4108"/>
        <w:gridCol w:w="1381"/>
        <w:gridCol w:w="1381"/>
        <w:gridCol w:w="1381"/>
        <w:gridCol w:w="1381"/>
      </w:tblGrid>
      <w:tr w:rsidR="00513FD2" w:rsidRPr="0097621B" w:rsidTr="005B200F">
        <w:trPr>
          <w:cantSplit/>
          <w:trHeight w:val="356"/>
          <w:tblHeader/>
          <w:jc w:val="center"/>
        </w:trPr>
        <w:tc>
          <w:tcPr>
            <w:tcW w:w="5000" w:type="pct"/>
            <w:gridSpan w:val="5"/>
            <w:shd w:val="clear" w:color="auto" w:fill="D9D9D6"/>
          </w:tcPr>
          <w:p w:rsidR="00513FD2" w:rsidRPr="0097621B" w:rsidRDefault="00513FD2" w:rsidP="00513FD2">
            <w:pPr>
              <w:spacing w:before="120" w:after="120" w:line="259" w:lineRule="auto"/>
              <w:rPr>
                <w:b/>
                <w:sz w:val="20"/>
              </w:rPr>
            </w:pPr>
            <w:r w:rsidRPr="0097621B">
              <w:rPr>
                <w:b/>
                <w:sz w:val="20"/>
              </w:rPr>
              <w:t>Performance Measure</w:t>
            </w:r>
            <w:r w:rsidRPr="0097621B">
              <w:rPr>
                <w:b/>
                <w:sz w:val="20"/>
              </w:rPr>
              <w:tab/>
            </w:r>
          </w:p>
        </w:tc>
      </w:tr>
      <w:tr w:rsidR="00513FD2" w:rsidRPr="0097621B" w:rsidTr="00513FD2">
        <w:trPr>
          <w:cantSplit/>
          <w:trHeight w:val="356"/>
          <w:jc w:val="center"/>
        </w:trPr>
        <w:tc>
          <w:tcPr>
            <w:tcW w:w="5000" w:type="pct"/>
            <w:gridSpan w:val="5"/>
            <w:shd w:val="clear" w:color="auto" w:fill="auto"/>
          </w:tcPr>
          <w:p w:rsidR="00513FD2" w:rsidRPr="0097621B" w:rsidRDefault="00513FD2" w:rsidP="00513FD2">
            <w:pPr>
              <w:spacing w:before="120" w:after="120" w:line="259" w:lineRule="auto"/>
              <w:rPr>
                <w:rFonts w:cstheme="minorHAnsi"/>
                <w:b/>
                <w:sz w:val="20"/>
              </w:rPr>
            </w:pPr>
            <w:r w:rsidRPr="0097621B">
              <w:rPr>
                <w:sz w:val="20"/>
              </w:rPr>
              <w:t>1.2.1-1 Extent to which people over the Age Pension qualification age are supported in their retirement through the Age Pension or other income support.</w:t>
            </w:r>
          </w:p>
        </w:tc>
      </w:tr>
      <w:tr w:rsidR="00513FD2" w:rsidRPr="0097621B" w:rsidTr="00513FD2">
        <w:trPr>
          <w:cantSplit/>
          <w:trHeight w:val="356"/>
          <w:jc w:val="center"/>
        </w:trPr>
        <w:tc>
          <w:tcPr>
            <w:tcW w:w="2132" w:type="pct"/>
            <w:shd w:val="clear" w:color="auto" w:fill="D9D9D6"/>
          </w:tcPr>
          <w:p w:rsidR="00513FD2" w:rsidRPr="0097621B" w:rsidRDefault="00513FD2" w:rsidP="00513FD2">
            <w:pPr>
              <w:spacing w:before="120" w:after="120" w:line="259" w:lineRule="auto"/>
              <w:rPr>
                <w:rFonts w:cstheme="minorHAnsi"/>
                <w:sz w:val="20"/>
              </w:rPr>
            </w:pPr>
            <w:r w:rsidRPr="0097621B">
              <w:rPr>
                <w:rFonts w:cstheme="minorHAnsi"/>
                <w:b/>
                <w:sz w:val="20"/>
              </w:rPr>
              <w:t>Target</w:t>
            </w:r>
          </w:p>
        </w:tc>
        <w:tc>
          <w:tcPr>
            <w:tcW w:w="717" w:type="pct"/>
            <w:shd w:val="clear" w:color="auto" w:fill="D9D9D6"/>
            <w:vAlign w:val="center"/>
          </w:tcPr>
          <w:p w:rsidR="00513FD2" w:rsidRPr="0097621B" w:rsidRDefault="00513FD2" w:rsidP="00513FD2">
            <w:pPr>
              <w:spacing w:before="120" w:after="120" w:line="259" w:lineRule="auto"/>
              <w:rPr>
                <w:rFonts w:cstheme="minorHAnsi"/>
                <w:sz w:val="20"/>
              </w:rPr>
            </w:pPr>
            <w:r w:rsidRPr="0097621B">
              <w:rPr>
                <w:rFonts w:cstheme="minorHAnsi"/>
                <w:b/>
                <w:sz w:val="20"/>
              </w:rPr>
              <w:t>2022–23</w:t>
            </w:r>
          </w:p>
        </w:tc>
        <w:tc>
          <w:tcPr>
            <w:tcW w:w="717"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2023–24</w:t>
            </w:r>
          </w:p>
        </w:tc>
        <w:tc>
          <w:tcPr>
            <w:tcW w:w="717"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2024–25</w:t>
            </w:r>
          </w:p>
        </w:tc>
        <w:tc>
          <w:tcPr>
            <w:tcW w:w="718"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2025–26</w:t>
            </w:r>
          </w:p>
        </w:tc>
      </w:tr>
      <w:tr w:rsidR="00513FD2" w:rsidRPr="0097621B" w:rsidTr="00513FD2">
        <w:trPr>
          <w:cantSplit/>
          <w:trHeight w:val="356"/>
          <w:jc w:val="center"/>
        </w:trPr>
        <w:tc>
          <w:tcPr>
            <w:tcW w:w="2132" w:type="pct"/>
            <w:shd w:val="clear" w:color="auto" w:fill="auto"/>
          </w:tcPr>
          <w:p w:rsidR="00513FD2" w:rsidRPr="0097621B" w:rsidRDefault="00513FD2" w:rsidP="006A2344">
            <w:pPr>
              <w:spacing w:before="120" w:after="120" w:line="259" w:lineRule="auto"/>
              <w:rPr>
                <w:rFonts w:cstheme="minorHAnsi"/>
                <w:sz w:val="20"/>
              </w:rPr>
            </w:pPr>
            <w:r w:rsidRPr="0097621B">
              <w:rPr>
                <w:sz w:val="20"/>
              </w:rPr>
              <w:sym w:font="Wingdings" w:char="F074"/>
            </w:r>
            <w:r w:rsidRPr="0097621B">
              <w:rPr>
                <w:sz w:val="20"/>
              </w:rPr>
              <w:t xml:space="preserve">1.2.1-1A </w:t>
            </w:r>
            <w:r w:rsidRPr="0097621B">
              <w:rPr>
                <w:rFonts w:cstheme="minorHAnsi"/>
                <w:sz w:val="20"/>
              </w:rPr>
              <w:t>75</w:t>
            </w:r>
            <w:r w:rsidR="006A2344">
              <w:rPr>
                <w:rFonts w:cstheme="minorHAnsi"/>
                <w:sz w:val="20"/>
              </w:rPr>
              <w:t>%</w:t>
            </w:r>
            <w:r w:rsidRPr="0097621B">
              <w:rPr>
                <w:rFonts w:cstheme="minorHAnsi"/>
                <w:sz w:val="20"/>
              </w:rPr>
              <w:t xml:space="preserve"> or below of people of Age Pension age are supported by the Age Pension or other income support.</w:t>
            </w:r>
          </w:p>
        </w:tc>
        <w:tc>
          <w:tcPr>
            <w:tcW w:w="717" w:type="pct"/>
            <w:shd w:val="clear" w:color="auto" w:fill="auto"/>
          </w:tcPr>
          <w:p w:rsidR="00513FD2" w:rsidRPr="0097621B" w:rsidRDefault="00513FD2" w:rsidP="00513FD2">
            <w:pPr>
              <w:spacing w:before="120" w:after="120" w:line="259" w:lineRule="auto"/>
              <w:rPr>
                <w:rFonts w:cstheme="minorHAnsi"/>
                <w:sz w:val="20"/>
              </w:rPr>
            </w:pPr>
            <w:r w:rsidRPr="0097621B">
              <w:rPr>
                <w:sz w:val="20"/>
                <w:u w:val="single"/>
                <w:lang w:eastAsia="en-GB"/>
              </w:rPr>
              <w:t>&lt;</w:t>
            </w:r>
            <w:r w:rsidRPr="0097621B">
              <w:rPr>
                <w:sz w:val="20"/>
                <w:lang w:eastAsia="en-GB"/>
              </w:rPr>
              <w:t xml:space="preserve">75 </w:t>
            </w:r>
            <w:r>
              <w:rPr>
                <w:sz w:val="20"/>
                <w:lang w:eastAsia="en-GB"/>
              </w:rPr>
              <w:t>%</w:t>
            </w:r>
          </w:p>
        </w:tc>
        <w:tc>
          <w:tcPr>
            <w:tcW w:w="717" w:type="pct"/>
            <w:shd w:val="clear" w:color="auto" w:fill="auto"/>
          </w:tcPr>
          <w:p w:rsidR="00513FD2" w:rsidRPr="0097621B" w:rsidRDefault="00513FD2" w:rsidP="00513FD2">
            <w:pPr>
              <w:spacing w:before="120" w:after="120" w:line="259" w:lineRule="auto"/>
              <w:rPr>
                <w:rFonts w:cstheme="minorHAnsi"/>
                <w:sz w:val="20"/>
              </w:rPr>
            </w:pPr>
            <w:r w:rsidRPr="0097621B">
              <w:rPr>
                <w:sz w:val="20"/>
                <w:u w:val="single"/>
                <w:lang w:eastAsia="en-GB"/>
              </w:rPr>
              <w:t>&lt;</w:t>
            </w:r>
            <w:r w:rsidRPr="0097621B">
              <w:rPr>
                <w:sz w:val="20"/>
                <w:lang w:eastAsia="en-GB"/>
              </w:rPr>
              <w:t xml:space="preserve">75 </w:t>
            </w:r>
            <w:r>
              <w:rPr>
                <w:sz w:val="20"/>
                <w:lang w:eastAsia="en-GB"/>
              </w:rPr>
              <w:t>%</w:t>
            </w:r>
          </w:p>
        </w:tc>
        <w:tc>
          <w:tcPr>
            <w:tcW w:w="717" w:type="pct"/>
            <w:shd w:val="clear" w:color="auto" w:fill="auto"/>
          </w:tcPr>
          <w:p w:rsidR="00513FD2" w:rsidRPr="0097621B" w:rsidRDefault="00513FD2" w:rsidP="00513FD2">
            <w:pPr>
              <w:spacing w:before="120" w:after="120" w:line="259" w:lineRule="auto"/>
              <w:rPr>
                <w:rFonts w:cstheme="minorHAnsi"/>
                <w:sz w:val="20"/>
              </w:rPr>
            </w:pPr>
            <w:r w:rsidRPr="0097621B">
              <w:rPr>
                <w:sz w:val="20"/>
                <w:u w:val="single"/>
                <w:lang w:eastAsia="en-GB"/>
              </w:rPr>
              <w:t>&lt;</w:t>
            </w:r>
            <w:r w:rsidRPr="0097621B">
              <w:rPr>
                <w:sz w:val="20"/>
                <w:lang w:eastAsia="en-GB"/>
              </w:rPr>
              <w:t xml:space="preserve">75 </w:t>
            </w:r>
            <w:r>
              <w:rPr>
                <w:sz w:val="20"/>
                <w:lang w:eastAsia="en-GB"/>
              </w:rPr>
              <w:t>%</w:t>
            </w:r>
          </w:p>
        </w:tc>
        <w:tc>
          <w:tcPr>
            <w:tcW w:w="718" w:type="pct"/>
            <w:shd w:val="clear" w:color="auto" w:fill="FFFFFF" w:themeFill="background1"/>
          </w:tcPr>
          <w:p w:rsidR="00513FD2" w:rsidRPr="0097621B" w:rsidRDefault="00513FD2" w:rsidP="00513FD2">
            <w:pPr>
              <w:spacing w:before="120" w:after="120" w:line="259" w:lineRule="auto"/>
              <w:rPr>
                <w:rFonts w:cstheme="minorHAnsi"/>
                <w:sz w:val="20"/>
              </w:rPr>
            </w:pPr>
            <w:r w:rsidRPr="0097621B">
              <w:rPr>
                <w:sz w:val="20"/>
                <w:u w:val="single"/>
                <w:lang w:eastAsia="en-GB"/>
              </w:rPr>
              <w:t>&lt;</w:t>
            </w:r>
            <w:r w:rsidRPr="0097621B">
              <w:rPr>
                <w:sz w:val="20"/>
                <w:lang w:eastAsia="en-GB"/>
              </w:rPr>
              <w:t xml:space="preserve">75 </w:t>
            </w:r>
            <w:r>
              <w:rPr>
                <w:sz w:val="20"/>
                <w:lang w:eastAsia="en-GB"/>
              </w:rPr>
              <w:t>%</w:t>
            </w:r>
          </w:p>
        </w:tc>
      </w:tr>
    </w:tbl>
    <w:p w:rsidR="00513FD2" w:rsidRPr="0097621B" w:rsidRDefault="00513FD2" w:rsidP="00513FD2">
      <w:pPr>
        <w:shd w:val="clear" w:color="auto" w:fill="B1E4E3"/>
        <w:spacing w:before="120" w:after="120"/>
        <w:rPr>
          <w:b/>
          <w:sz w:val="20"/>
        </w:rPr>
      </w:pPr>
      <w:r w:rsidRPr="0097621B">
        <w:rPr>
          <w:b/>
          <w:sz w:val="20"/>
        </w:rPr>
        <w:t xml:space="preserve">Rationale </w:t>
      </w:r>
    </w:p>
    <w:p w:rsidR="00513FD2" w:rsidRPr="0097621B" w:rsidRDefault="00513FD2" w:rsidP="00513FD2">
      <w:pPr>
        <w:spacing w:before="120" w:after="120"/>
        <w:rPr>
          <w:sz w:val="20"/>
        </w:rPr>
      </w:pPr>
      <w:r w:rsidRPr="0097621B">
        <w:rPr>
          <w:sz w:val="20"/>
        </w:rPr>
        <w:t xml:space="preserve">Measuring the extent to which people over the Age Pension qualification age are supported in their retirement through the Age Pension, or other income support, aims to demonstrate that senior Australians with low to moderate means are assisted financially. This measure demonstrates the </w:t>
      </w:r>
      <w:r w:rsidRPr="0097621B">
        <w:rPr>
          <w:b/>
          <w:sz w:val="20"/>
        </w:rPr>
        <w:t>effectiveness</w:t>
      </w:r>
      <w:r w:rsidRPr="0097621B">
        <w:rPr>
          <w:sz w:val="20"/>
        </w:rPr>
        <w:t xml:space="preserve"> of the Age Pension in achieving the objective of the key activity: </w:t>
      </w:r>
      <w:r w:rsidRPr="0097621B">
        <w:rPr>
          <w:i/>
          <w:sz w:val="20"/>
        </w:rPr>
        <w:t>Senior Australi</w:t>
      </w:r>
      <w:r w:rsidR="000B43AE">
        <w:rPr>
          <w:i/>
          <w:sz w:val="20"/>
        </w:rPr>
        <w:t>ans are assisted financially in </w:t>
      </w:r>
      <w:r w:rsidRPr="0097621B">
        <w:rPr>
          <w:i/>
          <w:sz w:val="20"/>
        </w:rPr>
        <w:t>a</w:t>
      </w:r>
      <w:r w:rsidR="000B43AE">
        <w:rPr>
          <w:i/>
          <w:sz w:val="20"/>
        </w:rPr>
        <w:t> </w:t>
      </w:r>
      <w:r w:rsidRPr="0097621B">
        <w:rPr>
          <w:i/>
          <w:sz w:val="20"/>
        </w:rPr>
        <w:t>manner that encourages them to productively manage resources and life transitions.</w:t>
      </w:r>
    </w:p>
    <w:p w:rsidR="00513FD2" w:rsidRPr="0097621B" w:rsidRDefault="00513FD2" w:rsidP="00762037">
      <w:pPr>
        <w:spacing w:before="0" w:after="0"/>
        <w:rPr>
          <w:sz w:val="20"/>
        </w:rPr>
      </w:pPr>
      <w:r w:rsidRPr="0097621B">
        <w:rPr>
          <w:sz w:val="20"/>
        </w:rPr>
        <w:t xml:space="preserve">The target demonstrates the </w:t>
      </w:r>
      <w:r w:rsidRPr="0097621B">
        <w:rPr>
          <w:b/>
          <w:sz w:val="20"/>
        </w:rPr>
        <w:t>effectiveness</w:t>
      </w:r>
      <w:r w:rsidRPr="0097621B">
        <w:rPr>
          <w:sz w:val="20"/>
        </w:rPr>
        <w:t xml:space="preserve"> of the key activity by showing:</w:t>
      </w:r>
    </w:p>
    <w:p w:rsidR="00513FD2" w:rsidRPr="0097621B" w:rsidRDefault="00513FD2" w:rsidP="00762037">
      <w:pPr>
        <w:numPr>
          <w:ilvl w:val="0"/>
          <w:numId w:val="15"/>
        </w:numPr>
        <w:spacing w:before="0" w:after="0" w:line="240" w:lineRule="auto"/>
        <w:ind w:left="624" w:hanging="340"/>
        <w:rPr>
          <w:sz w:val="20"/>
        </w:rPr>
      </w:pPr>
      <w:r w:rsidRPr="0097621B">
        <w:rPr>
          <w:sz w:val="20"/>
        </w:rPr>
        <w:t>Funding is targeted to senior Australians with low to moderate means to maintain their financial wellbeing, in a manner that encourages self-reliance during retirement</w:t>
      </w:r>
    </w:p>
    <w:p w:rsidR="00513FD2" w:rsidRPr="0097621B" w:rsidRDefault="00513FD2" w:rsidP="00762037">
      <w:pPr>
        <w:numPr>
          <w:ilvl w:val="0"/>
          <w:numId w:val="15"/>
        </w:numPr>
        <w:spacing w:before="0" w:after="0" w:line="240" w:lineRule="auto"/>
        <w:ind w:left="624" w:hanging="340"/>
        <w:rPr>
          <w:sz w:val="20"/>
        </w:rPr>
      </w:pPr>
      <w:r w:rsidRPr="0097621B">
        <w:rPr>
          <w:sz w:val="20"/>
        </w:rPr>
        <w:t>The remaining proportion of senior Australians not receiving a payment can fully support themselves due to the level of their income and assets, consistent with the objective of self-reliance.</w:t>
      </w:r>
    </w:p>
    <w:p w:rsidR="00C11EE2" w:rsidRPr="0097621B" w:rsidRDefault="00513FD2" w:rsidP="00513FD2">
      <w:pPr>
        <w:shd w:val="clear" w:color="auto" w:fill="B1E4E3"/>
        <w:spacing w:before="120" w:after="120"/>
        <w:rPr>
          <w:b/>
          <w:sz w:val="20"/>
        </w:rPr>
      </w:pPr>
      <w:r w:rsidRPr="0097621B">
        <w:rPr>
          <w:b/>
          <w:sz w:val="20"/>
        </w:rPr>
        <w:t>Methodology</w:t>
      </w:r>
    </w:p>
    <w:p w:rsidR="00513FD2" w:rsidRPr="0097621B" w:rsidRDefault="00513FD2" w:rsidP="00762037">
      <w:pPr>
        <w:spacing w:before="0" w:after="0" w:line="240" w:lineRule="auto"/>
        <w:rPr>
          <w:sz w:val="20"/>
        </w:rPr>
      </w:pPr>
      <w:r w:rsidRPr="0097621B">
        <w:rPr>
          <w:sz w:val="20"/>
        </w:rPr>
        <w:t>The number of people supported by the Age Pension or other income support is calculated using the number of:</w:t>
      </w:r>
    </w:p>
    <w:p w:rsidR="00513FD2" w:rsidRPr="0097621B" w:rsidRDefault="00513FD2" w:rsidP="00762037">
      <w:pPr>
        <w:numPr>
          <w:ilvl w:val="0"/>
          <w:numId w:val="15"/>
        </w:numPr>
        <w:spacing w:before="0" w:after="0" w:line="240" w:lineRule="auto"/>
        <w:ind w:left="624" w:hanging="340"/>
        <w:rPr>
          <w:sz w:val="20"/>
        </w:rPr>
      </w:pPr>
      <w:r w:rsidRPr="0097621B">
        <w:rPr>
          <w:sz w:val="20"/>
        </w:rPr>
        <w:t xml:space="preserve">Age </w:t>
      </w:r>
      <w:r w:rsidR="006A2344">
        <w:rPr>
          <w:sz w:val="20"/>
        </w:rPr>
        <w:t>P</w:t>
      </w:r>
      <w:r w:rsidRPr="0097621B">
        <w:rPr>
          <w:sz w:val="20"/>
        </w:rPr>
        <w:t xml:space="preserve">ension recipients </w:t>
      </w:r>
    </w:p>
    <w:p w:rsidR="00513FD2" w:rsidRPr="0097621B" w:rsidRDefault="00513FD2" w:rsidP="00762037">
      <w:pPr>
        <w:numPr>
          <w:ilvl w:val="0"/>
          <w:numId w:val="15"/>
        </w:numPr>
        <w:spacing w:before="0" w:after="0" w:line="240" w:lineRule="auto"/>
        <w:ind w:left="624" w:hanging="340"/>
        <w:rPr>
          <w:sz w:val="20"/>
        </w:rPr>
      </w:pPr>
      <w:r w:rsidRPr="0097621B">
        <w:rPr>
          <w:sz w:val="20"/>
        </w:rPr>
        <w:t>DVA Service Pension and Income Support Supplement recipients over pension age</w:t>
      </w:r>
    </w:p>
    <w:p w:rsidR="00513FD2" w:rsidRPr="0097621B" w:rsidRDefault="00513FD2" w:rsidP="00762037">
      <w:pPr>
        <w:numPr>
          <w:ilvl w:val="0"/>
          <w:numId w:val="15"/>
        </w:numPr>
        <w:spacing w:before="0" w:after="0" w:line="240" w:lineRule="auto"/>
        <w:ind w:left="624" w:hanging="340"/>
        <w:rPr>
          <w:sz w:val="20"/>
        </w:rPr>
      </w:pPr>
      <w:r w:rsidRPr="0097621B">
        <w:rPr>
          <w:sz w:val="20"/>
        </w:rPr>
        <w:t>other income support recipients over pension age.</w:t>
      </w:r>
    </w:p>
    <w:p w:rsidR="00513FD2" w:rsidRPr="0097621B" w:rsidRDefault="00513FD2" w:rsidP="00762037">
      <w:pPr>
        <w:spacing w:before="0" w:after="0"/>
        <w:rPr>
          <w:sz w:val="20"/>
        </w:rPr>
      </w:pPr>
      <w:r w:rsidRPr="0097621B">
        <w:rPr>
          <w:sz w:val="20"/>
        </w:rPr>
        <w:t>Australian Bureau of Statistics population projection</w:t>
      </w:r>
      <w:r w:rsidR="00C10A42">
        <w:rPr>
          <w:sz w:val="20"/>
        </w:rPr>
        <w:t>s</w:t>
      </w:r>
      <w:r w:rsidRPr="0097621B">
        <w:rPr>
          <w:sz w:val="20"/>
        </w:rPr>
        <w:t xml:space="preserve"> are used to measure the number of people over pension age.</w:t>
      </w:r>
    </w:p>
    <w:p w:rsidR="00513FD2" w:rsidRPr="0097621B" w:rsidRDefault="00513FD2" w:rsidP="00762037">
      <w:pPr>
        <w:spacing w:before="0" w:after="0"/>
        <w:rPr>
          <w:sz w:val="20"/>
        </w:rPr>
      </w:pPr>
      <w:r w:rsidRPr="0097621B">
        <w:rPr>
          <w:sz w:val="20"/>
        </w:rPr>
        <w:t xml:space="preserve">The </w:t>
      </w:r>
      <w:r w:rsidRPr="0097621B">
        <w:rPr>
          <w:b/>
          <w:sz w:val="20"/>
        </w:rPr>
        <w:t>data sources</w:t>
      </w:r>
      <w:r w:rsidRPr="0097621B">
        <w:rPr>
          <w:sz w:val="20"/>
        </w:rPr>
        <w:t xml:space="preserve"> used for this calculation are:</w:t>
      </w:r>
    </w:p>
    <w:p w:rsidR="00513FD2" w:rsidRPr="0097621B" w:rsidRDefault="00513FD2" w:rsidP="00762037">
      <w:pPr>
        <w:numPr>
          <w:ilvl w:val="0"/>
          <w:numId w:val="15"/>
        </w:numPr>
        <w:spacing w:before="0" w:after="0" w:line="240" w:lineRule="auto"/>
        <w:ind w:left="624" w:hanging="340"/>
        <w:rPr>
          <w:sz w:val="20"/>
        </w:rPr>
      </w:pPr>
      <w:r w:rsidRPr="0097621B">
        <w:rPr>
          <w:sz w:val="20"/>
        </w:rPr>
        <w:t>Services Australia administrative data</w:t>
      </w:r>
    </w:p>
    <w:p w:rsidR="00513FD2" w:rsidRPr="0097621B" w:rsidRDefault="00513FD2" w:rsidP="00762037">
      <w:pPr>
        <w:numPr>
          <w:ilvl w:val="0"/>
          <w:numId w:val="15"/>
        </w:numPr>
        <w:spacing w:before="0" w:after="0" w:line="240" w:lineRule="auto"/>
        <w:ind w:left="624" w:hanging="340"/>
        <w:rPr>
          <w:sz w:val="20"/>
        </w:rPr>
      </w:pPr>
      <w:r w:rsidRPr="0097621B">
        <w:rPr>
          <w:sz w:val="20"/>
        </w:rPr>
        <w:t>DVA administrative data</w:t>
      </w:r>
    </w:p>
    <w:p w:rsidR="00513FD2" w:rsidRPr="0097621B" w:rsidRDefault="00513FD2" w:rsidP="00762037">
      <w:pPr>
        <w:numPr>
          <w:ilvl w:val="0"/>
          <w:numId w:val="15"/>
        </w:numPr>
        <w:spacing w:before="0" w:after="0" w:line="240" w:lineRule="auto"/>
        <w:ind w:left="624" w:hanging="340"/>
        <w:rPr>
          <w:sz w:val="20"/>
        </w:rPr>
      </w:pPr>
      <w:r w:rsidRPr="0097621B">
        <w:rPr>
          <w:sz w:val="20"/>
        </w:rPr>
        <w:t>Australian Bureau of Statistics data – Population Projections, Australia 2017-2066, which draws on</w:t>
      </w:r>
      <w:r w:rsidR="000B43AE">
        <w:rPr>
          <w:sz w:val="20"/>
        </w:rPr>
        <w:t> </w:t>
      </w:r>
      <w:r w:rsidRPr="0097621B">
        <w:rPr>
          <w:sz w:val="20"/>
        </w:rPr>
        <w:t>the base population data set released on 20 September 2018.</w:t>
      </w:r>
    </w:p>
    <w:p w:rsidR="00C11EE2" w:rsidRPr="0097621B" w:rsidRDefault="00513FD2" w:rsidP="00513FD2">
      <w:pPr>
        <w:shd w:val="clear" w:color="auto" w:fill="B1E4E3"/>
        <w:spacing w:before="120" w:after="120"/>
        <w:rPr>
          <w:b/>
          <w:sz w:val="20"/>
        </w:rPr>
      </w:pPr>
      <w:r w:rsidRPr="0097621B">
        <w:rPr>
          <w:b/>
          <w:sz w:val="20"/>
        </w:rPr>
        <w:t>Program Outputs</w:t>
      </w:r>
    </w:p>
    <w:p w:rsidR="00513FD2" w:rsidRPr="0097621B" w:rsidRDefault="00513FD2" w:rsidP="00762037">
      <w:pPr>
        <w:numPr>
          <w:ilvl w:val="0"/>
          <w:numId w:val="15"/>
        </w:numPr>
        <w:spacing w:before="0" w:after="0" w:line="240" w:lineRule="auto"/>
        <w:ind w:left="624" w:hanging="340"/>
        <w:rPr>
          <w:sz w:val="20"/>
        </w:rPr>
      </w:pPr>
      <w:r w:rsidRPr="0097621B">
        <w:rPr>
          <w:sz w:val="20"/>
        </w:rPr>
        <w:t>Administered outlays</w:t>
      </w:r>
    </w:p>
    <w:p w:rsidR="00513FD2" w:rsidRPr="0097621B" w:rsidRDefault="00513FD2" w:rsidP="00762037">
      <w:pPr>
        <w:numPr>
          <w:ilvl w:val="0"/>
          <w:numId w:val="15"/>
        </w:numPr>
        <w:spacing w:before="0" w:after="0" w:line="240" w:lineRule="auto"/>
        <w:ind w:left="624" w:hanging="340"/>
        <w:rPr>
          <w:sz w:val="20"/>
        </w:rPr>
      </w:pPr>
      <w:r w:rsidRPr="0097621B">
        <w:rPr>
          <w:sz w:val="20"/>
        </w:rPr>
        <w:t>Number of recipients</w:t>
      </w:r>
    </w:p>
    <w:p w:rsidR="00513FD2" w:rsidRPr="0097621B" w:rsidRDefault="00513FD2" w:rsidP="00762037">
      <w:pPr>
        <w:numPr>
          <w:ilvl w:val="0"/>
          <w:numId w:val="15"/>
        </w:numPr>
        <w:spacing w:before="0" w:after="0" w:line="240" w:lineRule="auto"/>
        <w:ind w:left="624" w:hanging="340"/>
        <w:rPr>
          <w:sz w:val="20"/>
        </w:rPr>
      </w:pPr>
      <w:r w:rsidRPr="0097621B">
        <w:rPr>
          <w:sz w:val="20"/>
        </w:rPr>
        <w:t>Payment accuracy</w:t>
      </w:r>
      <w:r w:rsidRPr="0097621B">
        <w:rPr>
          <w:sz w:val="20"/>
        </w:rPr>
        <w:br w:type="page"/>
      </w:r>
    </w:p>
    <w:p w:rsidR="00513FD2" w:rsidRPr="0097621B" w:rsidRDefault="00513FD2" w:rsidP="00513FD2">
      <w:pPr>
        <w:shd w:val="clear" w:color="auto" w:fill="005A70"/>
        <w:spacing w:before="120" w:after="120"/>
        <w:rPr>
          <w:b/>
          <w:color w:val="FFFFFF" w:themeColor="background1"/>
          <w:sz w:val="20"/>
        </w:rPr>
      </w:pPr>
      <w:r w:rsidRPr="0097621B">
        <w:rPr>
          <w:b/>
          <w:color w:val="FFFFFF" w:themeColor="background1"/>
          <w:sz w:val="20"/>
        </w:rPr>
        <w:lastRenderedPageBreak/>
        <w:t>PROGRAM 1.3 FINANCIAL SUPPORT FOR PEOPLE WITH DISABILITY</w:t>
      </w:r>
    </w:p>
    <w:p w:rsidR="00513FD2" w:rsidRPr="0097621B" w:rsidRDefault="00513FD2" w:rsidP="00513FD2">
      <w:pPr>
        <w:shd w:val="clear" w:color="auto" w:fill="005A70"/>
        <w:spacing w:before="120" w:after="120"/>
        <w:rPr>
          <w:color w:val="FFFFFF" w:themeColor="background1"/>
          <w:sz w:val="20"/>
        </w:rPr>
      </w:pPr>
      <w:r w:rsidRPr="0097621B">
        <w:rPr>
          <w:color w:val="FFFFFF" w:themeColor="background1"/>
          <w:sz w:val="20"/>
        </w:rPr>
        <w:t>This program aims to make payments to eligible people with disability who are unable to support themselves to achieve financial independence.</w:t>
      </w:r>
    </w:p>
    <w:p w:rsidR="00513FD2" w:rsidRPr="0097621B" w:rsidRDefault="00513FD2" w:rsidP="00513FD2">
      <w:pPr>
        <w:shd w:val="clear" w:color="auto" w:fill="B1E4E3"/>
        <w:spacing w:before="120" w:after="120"/>
        <w:rPr>
          <w:b/>
          <w:sz w:val="20"/>
        </w:rPr>
      </w:pPr>
      <w:r w:rsidRPr="0097621B">
        <w:rPr>
          <w:b/>
          <w:sz w:val="20"/>
        </w:rPr>
        <w:t>Key Activity — 1.3.1 Disability Support Pension (DSP)</w:t>
      </w:r>
    </w:p>
    <w:p w:rsidR="00513FD2" w:rsidRPr="0097621B" w:rsidRDefault="00513FD2" w:rsidP="00513FD2">
      <w:pPr>
        <w:spacing w:before="120" w:after="120"/>
        <w:rPr>
          <w:sz w:val="20"/>
        </w:rPr>
      </w:pPr>
      <w:r w:rsidRPr="0097621B">
        <w:rPr>
          <w:sz w:val="20"/>
        </w:rPr>
        <w:t xml:space="preserve">The Disability Support Pension is a key activity of the Income Support for People with Disability. The key activity aims to make payments to eligible </w:t>
      </w:r>
      <w:r w:rsidRPr="0097621B">
        <w:rPr>
          <w:b/>
          <w:sz w:val="20"/>
        </w:rPr>
        <w:t>people with disability who cannot fully support themselves</w:t>
      </w:r>
      <w:r w:rsidRPr="0097621B">
        <w:rPr>
          <w:sz w:val="20"/>
        </w:rPr>
        <w:t>.</w:t>
      </w:r>
    </w:p>
    <w:p w:rsidR="00513FD2" w:rsidRPr="0097621B" w:rsidRDefault="00513FD2" w:rsidP="00513FD2">
      <w:pPr>
        <w:spacing w:before="120" w:after="120"/>
        <w:rPr>
          <w:sz w:val="20"/>
        </w:rPr>
      </w:pPr>
      <w:r w:rsidRPr="0097621B">
        <w:rPr>
          <w:sz w:val="20"/>
        </w:rPr>
        <w:t>The Disability Support Pension is an income support payment paid fortnightly, for people who are unable to</w:t>
      </w:r>
      <w:r w:rsidR="000B43AE">
        <w:rPr>
          <w:sz w:val="20"/>
        </w:rPr>
        <w:t> </w:t>
      </w:r>
      <w:r w:rsidRPr="0097621B">
        <w:rPr>
          <w:sz w:val="20"/>
        </w:rPr>
        <w:t>fully support themselves financially through work due to permanent physical, intellectual, or psychiatric impairment. People with a profound or severe disability are defined as those people needing help or</w:t>
      </w:r>
      <w:r w:rsidR="000B43AE">
        <w:rPr>
          <w:sz w:val="20"/>
        </w:rPr>
        <w:t> </w:t>
      </w:r>
      <w:r w:rsidRPr="0097621B">
        <w:rPr>
          <w:sz w:val="20"/>
        </w:rPr>
        <w:t>assistance in one or more of the 3 core activity areas of self-care, mobility, and communication because of</w:t>
      </w:r>
      <w:r w:rsidR="000B43AE">
        <w:rPr>
          <w:sz w:val="20"/>
        </w:rPr>
        <w:t> </w:t>
      </w:r>
      <w:r w:rsidRPr="0097621B">
        <w:rPr>
          <w:sz w:val="20"/>
        </w:rPr>
        <w:t>a disability, long-term health condition (lasting six months or more) or old age.</w:t>
      </w:r>
    </w:p>
    <w:p w:rsidR="00513FD2" w:rsidRPr="0097621B" w:rsidRDefault="00513FD2" w:rsidP="00513FD2">
      <w:pPr>
        <w:spacing w:before="120" w:after="120"/>
        <w:rPr>
          <w:sz w:val="20"/>
        </w:rPr>
      </w:pPr>
      <w:r w:rsidRPr="0097621B">
        <w:rPr>
          <w:b/>
          <w:sz w:val="20"/>
        </w:rPr>
        <w:t>The department</w:t>
      </w:r>
      <w:r w:rsidRPr="0097621B">
        <w:rPr>
          <w:sz w:val="20"/>
        </w:rPr>
        <w:t xml:space="preserve"> is responsible for designing and implementing the key activity. This includes providing advice to Government on policy and legislation, program implementation and management, program performance, monitoring and meeting all relevant deliverables, setting guidelines and providing guidance and advice to Services Australia on the administration of the program. </w:t>
      </w:r>
      <w:r w:rsidRPr="0097621B">
        <w:rPr>
          <w:b/>
          <w:sz w:val="20"/>
        </w:rPr>
        <w:t>Services Australia</w:t>
      </w:r>
      <w:r w:rsidRPr="0097621B">
        <w:rPr>
          <w:sz w:val="20"/>
        </w:rPr>
        <w:t xml:space="preserve"> is the primary portfolio agency responsible for administering the Disability Support Pension on the department’s behalf, including managing applications and making payments.</w:t>
      </w:r>
    </w:p>
    <w:tbl>
      <w:tblPr>
        <w:tblStyle w:val="TableGrid39"/>
        <w:tblW w:w="5013" w:type="pct"/>
        <w:tblLook w:val="04A0" w:firstRow="1" w:lastRow="0" w:firstColumn="1" w:lastColumn="0" w:noHBand="0" w:noVBand="1"/>
        <w:tblCaption w:val="1.3.1 performance measure and target"/>
        <w:tblDescription w:val="Table outlines the targeted payment percentages across 2022-23, 2023-24, 2024-25 and 2025-26"/>
      </w:tblPr>
      <w:tblGrid>
        <w:gridCol w:w="5219"/>
        <w:gridCol w:w="1108"/>
        <w:gridCol w:w="1110"/>
        <w:gridCol w:w="1110"/>
        <w:gridCol w:w="1106"/>
      </w:tblGrid>
      <w:tr w:rsidR="00513FD2" w:rsidRPr="0097621B" w:rsidTr="005B200F">
        <w:trPr>
          <w:cantSplit/>
          <w:trHeight w:val="356"/>
          <w:tblHeader/>
        </w:trPr>
        <w:tc>
          <w:tcPr>
            <w:tcW w:w="5000" w:type="pct"/>
            <w:gridSpan w:val="5"/>
            <w:shd w:val="clear" w:color="auto" w:fill="D9D9D6"/>
          </w:tcPr>
          <w:p w:rsidR="00513FD2" w:rsidRPr="0097621B" w:rsidRDefault="00513FD2" w:rsidP="00513FD2">
            <w:pPr>
              <w:spacing w:before="120" w:after="120" w:line="259" w:lineRule="auto"/>
              <w:rPr>
                <w:rFonts w:cstheme="minorHAnsi"/>
                <w:b/>
                <w:sz w:val="20"/>
              </w:rPr>
            </w:pPr>
            <w:r w:rsidRPr="0097621B">
              <w:rPr>
                <w:b/>
                <w:sz w:val="20"/>
              </w:rPr>
              <w:t>Performance Measure</w:t>
            </w:r>
            <w:r w:rsidRPr="0097621B">
              <w:rPr>
                <w:b/>
                <w:sz w:val="20"/>
              </w:rPr>
              <w:tab/>
            </w:r>
          </w:p>
        </w:tc>
      </w:tr>
      <w:tr w:rsidR="00513FD2" w:rsidRPr="0097621B" w:rsidTr="00513FD2">
        <w:trPr>
          <w:cantSplit/>
          <w:trHeight w:val="356"/>
        </w:trPr>
        <w:tc>
          <w:tcPr>
            <w:tcW w:w="5000" w:type="pct"/>
            <w:gridSpan w:val="5"/>
            <w:shd w:val="clear" w:color="auto" w:fill="auto"/>
          </w:tcPr>
          <w:p w:rsidR="00513FD2" w:rsidRPr="0097621B" w:rsidRDefault="00513FD2" w:rsidP="00513FD2">
            <w:pPr>
              <w:spacing w:before="120" w:after="120" w:line="259" w:lineRule="auto"/>
              <w:rPr>
                <w:rFonts w:cstheme="minorHAnsi"/>
                <w:b/>
                <w:sz w:val="20"/>
              </w:rPr>
            </w:pPr>
            <w:r w:rsidRPr="0097621B">
              <w:rPr>
                <w:sz w:val="20"/>
              </w:rPr>
              <w:t>1.3.1-1 Extent to which people of working age with a profound or severe disability are paid the Disability Support Pension.</w:t>
            </w:r>
          </w:p>
        </w:tc>
      </w:tr>
      <w:tr w:rsidR="00513FD2" w:rsidRPr="0097621B" w:rsidTr="00513FD2">
        <w:trPr>
          <w:cantSplit/>
          <w:trHeight w:val="356"/>
        </w:trPr>
        <w:tc>
          <w:tcPr>
            <w:tcW w:w="2703" w:type="pct"/>
            <w:shd w:val="clear" w:color="auto" w:fill="D9D9D6"/>
          </w:tcPr>
          <w:p w:rsidR="00513FD2" w:rsidRPr="0097621B" w:rsidRDefault="00513FD2" w:rsidP="00513FD2">
            <w:pPr>
              <w:spacing w:before="120" w:after="120" w:line="259" w:lineRule="auto"/>
              <w:rPr>
                <w:rFonts w:cstheme="minorHAnsi"/>
                <w:sz w:val="20"/>
              </w:rPr>
            </w:pPr>
            <w:r w:rsidRPr="0097621B">
              <w:rPr>
                <w:rFonts w:cstheme="minorHAnsi"/>
                <w:b/>
                <w:sz w:val="20"/>
              </w:rPr>
              <w:t>Target</w:t>
            </w:r>
          </w:p>
        </w:tc>
        <w:tc>
          <w:tcPr>
            <w:tcW w:w="574" w:type="pct"/>
            <w:shd w:val="clear" w:color="auto" w:fill="D9D9D6"/>
            <w:vAlign w:val="center"/>
          </w:tcPr>
          <w:p w:rsidR="00513FD2" w:rsidRPr="0097621B" w:rsidRDefault="00513FD2" w:rsidP="00513FD2">
            <w:pPr>
              <w:spacing w:before="120" w:after="120" w:line="259" w:lineRule="auto"/>
              <w:rPr>
                <w:rFonts w:cstheme="minorHAnsi"/>
                <w:sz w:val="20"/>
              </w:rPr>
            </w:pPr>
            <w:r w:rsidRPr="0097621B">
              <w:rPr>
                <w:rFonts w:cstheme="minorHAnsi"/>
                <w:b/>
                <w:sz w:val="20"/>
              </w:rPr>
              <w:t>2022–23</w:t>
            </w:r>
          </w:p>
        </w:tc>
        <w:tc>
          <w:tcPr>
            <w:tcW w:w="575"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2023–24</w:t>
            </w:r>
          </w:p>
        </w:tc>
        <w:tc>
          <w:tcPr>
            <w:tcW w:w="575"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2024–25</w:t>
            </w:r>
          </w:p>
        </w:tc>
        <w:tc>
          <w:tcPr>
            <w:tcW w:w="574"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2025–26</w:t>
            </w:r>
          </w:p>
        </w:tc>
      </w:tr>
      <w:tr w:rsidR="00513FD2" w:rsidRPr="0097621B" w:rsidTr="00513FD2">
        <w:trPr>
          <w:cantSplit/>
          <w:trHeight w:val="356"/>
        </w:trPr>
        <w:tc>
          <w:tcPr>
            <w:tcW w:w="2703" w:type="pct"/>
            <w:shd w:val="clear" w:color="auto" w:fill="FFFFFF" w:themeFill="background1"/>
          </w:tcPr>
          <w:p w:rsidR="00513FD2" w:rsidRPr="0097621B" w:rsidRDefault="00513FD2" w:rsidP="006A2344">
            <w:pPr>
              <w:spacing w:before="120" w:after="120" w:line="259" w:lineRule="auto"/>
              <w:rPr>
                <w:rFonts w:cstheme="minorHAnsi"/>
                <w:sz w:val="20"/>
              </w:rPr>
            </w:pPr>
            <w:r w:rsidRPr="0097621B">
              <w:rPr>
                <w:noProof/>
                <w:sz w:val="20"/>
                <w:lang w:eastAsia="en-AU"/>
              </w:rPr>
              <w:sym w:font="Wingdings" w:char="F074"/>
            </w:r>
            <w:r w:rsidRPr="0097621B">
              <w:rPr>
                <w:noProof/>
                <w:sz w:val="20"/>
                <w:lang w:eastAsia="en-AU"/>
              </w:rPr>
              <w:t xml:space="preserve">1.3.1-1A At least </w:t>
            </w:r>
            <w:r w:rsidRPr="0097621B">
              <w:rPr>
                <w:rFonts w:cstheme="minorHAnsi"/>
                <w:sz w:val="20"/>
              </w:rPr>
              <w:t>90</w:t>
            </w:r>
            <w:r w:rsidR="006A2344">
              <w:rPr>
                <w:rFonts w:cstheme="minorHAnsi"/>
                <w:sz w:val="20"/>
              </w:rPr>
              <w:t>%</w:t>
            </w:r>
            <w:r w:rsidRPr="0097621B">
              <w:rPr>
                <w:rFonts w:cstheme="minorHAnsi"/>
                <w:sz w:val="20"/>
              </w:rPr>
              <w:t xml:space="preserve"> of people with a profound or severe disability of working age are supported by the Disability Support Pension.</w:t>
            </w:r>
          </w:p>
        </w:tc>
        <w:tc>
          <w:tcPr>
            <w:tcW w:w="574" w:type="pct"/>
            <w:shd w:val="clear" w:color="auto" w:fill="FFFFFF" w:themeFill="background1"/>
          </w:tcPr>
          <w:p w:rsidR="00513FD2" w:rsidRPr="0097621B" w:rsidRDefault="00513FD2" w:rsidP="00513FD2">
            <w:pPr>
              <w:spacing w:before="120" w:after="120" w:line="259" w:lineRule="auto"/>
              <w:rPr>
                <w:sz w:val="20"/>
              </w:rPr>
            </w:pPr>
            <w:r w:rsidRPr="0097621B">
              <w:rPr>
                <w:sz w:val="20"/>
              </w:rPr>
              <w:t xml:space="preserve">≥90 </w:t>
            </w:r>
            <w:r>
              <w:rPr>
                <w:sz w:val="20"/>
                <w:lang w:eastAsia="en-GB"/>
              </w:rPr>
              <w:t>%</w:t>
            </w:r>
          </w:p>
        </w:tc>
        <w:tc>
          <w:tcPr>
            <w:tcW w:w="575" w:type="pct"/>
            <w:shd w:val="clear" w:color="auto" w:fill="FFFFFF" w:themeFill="background1"/>
          </w:tcPr>
          <w:p w:rsidR="00513FD2" w:rsidRPr="0097621B" w:rsidRDefault="00513FD2" w:rsidP="00513FD2">
            <w:pPr>
              <w:spacing w:before="120" w:after="120" w:line="259" w:lineRule="auto"/>
              <w:rPr>
                <w:sz w:val="20"/>
              </w:rPr>
            </w:pPr>
            <w:r w:rsidRPr="0097621B">
              <w:rPr>
                <w:sz w:val="20"/>
              </w:rPr>
              <w:t xml:space="preserve">≥90 </w:t>
            </w:r>
            <w:r>
              <w:rPr>
                <w:sz w:val="20"/>
                <w:lang w:eastAsia="en-GB"/>
              </w:rPr>
              <w:t>%</w:t>
            </w:r>
          </w:p>
        </w:tc>
        <w:tc>
          <w:tcPr>
            <w:tcW w:w="575" w:type="pct"/>
            <w:shd w:val="clear" w:color="auto" w:fill="FFFFFF" w:themeFill="background1"/>
          </w:tcPr>
          <w:p w:rsidR="00513FD2" w:rsidRPr="0097621B" w:rsidRDefault="00513FD2" w:rsidP="00513FD2">
            <w:pPr>
              <w:spacing w:before="120" w:after="120" w:line="259" w:lineRule="auto"/>
              <w:rPr>
                <w:sz w:val="20"/>
              </w:rPr>
            </w:pPr>
            <w:r w:rsidRPr="0097621B">
              <w:rPr>
                <w:sz w:val="20"/>
              </w:rPr>
              <w:t xml:space="preserve">≥90 </w:t>
            </w:r>
            <w:r>
              <w:rPr>
                <w:sz w:val="20"/>
                <w:lang w:eastAsia="en-GB"/>
              </w:rPr>
              <w:t>%</w:t>
            </w:r>
          </w:p>
        </w:tc>
        <w:tc>
          <w:tcPr>
            <w:tcW w:w="574" w:type="pct"/>
            <w:shd w:val="clear" w:color="auto" w:fill="FFFFFF" w:themeFill="background1"/>
          </w:tcPr>
          <w:p w:rsidR="00513FD2" w:rsidRPr="0097621B" w:rsidRDefault="00513FD2" w:rsidP="00513FD2">
            <w:pPr>
              <w:spacing w:before="120" w:after="120" w:line="259" w:lineRule="auto"/>
              <w:rPr>
                <w:sz w:val="20"/>
              </w:rPr>
            </w:pPr>
            <w:r w:rsidRPr="0097621B">
              <w:rPr>
                <w:sz w:val="20"/>
              </w:rPr>
              <w:t xml:space="preserve">≥90 </w:t>
            </w:r>
            <w:r>
              <w:rPr>
                <w:sz w:val="20"/>
                <w:lang w:eastAsia="en-GB"/>
              </w:rPr>
              <w:t>%</w:t>
            </w:r>
          </w:p>
        </w:tc>
      </w:tr>
    </w:tbl>
    <w:p w:rsidR="00513FD2" w:rsidRPr="0097621B" w:rsidRDefault="00513FD2" w:rsidP="00513FD2">
      <w:pPr>
        <w:shd w:val="clear" w:color="auto" w:fill="B1E4E3"/>
        <w:spacing w:before="120" w:after="120"/>
        <w:rPr>
          <w:b/>
          <w:sz w:val="20"/>
        </w:rPr>
      </w:pPr>
      <w:r w:rsidRPr="0097621B">
        <w:rPr>
          <w:b/>
          <w:sz w:val="20"/>
        </w:rPr>
        <w:t>Rationale</w:t>
      </w:r>
    </w:p>
    <w:p w:rsidR="00513FD2" w:rsidRPr="0097621B" w:rsidRDefault="00513FD2" w:rsidP="00513FD2">
      <w:pPr>
        <w:spacing w:before="120" w:after="120"/>
        <w:rPr>
          <w:i/>
          <w:sz w:val="20"/>
        </w:rPr>
      </w:pPr>
      <w:r w:rsidRPr="0097621B">
        <w:rPr>
          <w:sz w:val="20"/>
        </w:rPr>
        <w:t xml:space="preserve">Measuring the extent to which people of working age with a profound or severe disability are paid the Disability Support Pension aims to demonstrate that eligible people with a disability who cannot fully support themselves are being financially assisted. That is, that those with sufficient means should not receive the Disability Support Pension. This measure demonstrates the </w:t>
      </w:r>
      <w:r w:rsidRPr="0097621B">
        <w:rPr>
          <w:b/>
          <w:sz w:val="20"/>
        </w:rPr>
        <w:t>effectiveness</w:t>
      </w:r>
      <w:r w:rsidRPr="0097621B">
        <w:rPr>
          <w:sz w:val="20"/>
        </w:rPr>
        <w:t xml:space="preserve"> of the Disability Support Pension in achieving the objective of the key activity: </w:t>
      </w:r>
      <w:r w:rsidRPr="0097621B">
        <w:rPr>
          <w:i/>
          <w:sz w:val="20"/>
        </w:rPr>
        <w:t>To make payments to eligible people with disability who cannot fully support themselves.</w:t>
      </w:r>
    </w:p>
    <w:p w:rsidR="00513FD2" w:rsidRPr="0097621B" w:rsidRDefault="00513FD2" w:rsidP="00762037">
      <w:pPr>
        <w:spacing w:before="120" w:after="0"/>
        <w:rPr>
          <w:sz w:val="20"/>
        </w:rPr>
      </w:pPr>
      <w:r w:rsidRPr="0097621B">
        <w:rPr>
          <w:sz w:val="20"/>
        </w:rPr>
        <w:t xml:space="preserve">The target demonstrates the </w:t>
      </w:r>
      <w:r w:rsidRPr="0097621B">
        <w:rPr>
          <w:b/>
          <w:sz w:val="20"/>
        </w:rPr>
        <w:t>effectiveness</w:t>
      </w:r>
      <w:r w:rsidRPr="0097621B">
        <w:rPr>
          <w:sz w:val="20"/>
        </w:rPr>
        <w:t xml:space="preserve"> of the key activity by showing:</w:t>
      </w:r>
    </w:p>
    <w:p w:rsidR="00513FD2" w:rsidRPr="0097621B" w:rsidRDefault="00513FD2" w:rsidP="00762037">
      <w:pPr>
        <w:numPr>
          <w:ilvl w:val="0"/>
          <w:numId w:val="15"/>
        </w:numPr>
        <w:spacing w:before="0" w:after="0" w:line="240" w:lineRule="auto"/>
        <w:ind w:left="624" w:hanging="340"/>
        <w:rPr>
          <w:sz w:val="20"/>
        </w:rPr>
      </w:pPr>
      <w:r w:rsidRPr="0097621B">
        <w:rPr>
          <w:sz w:val="20"/>
        </w:rPr>
        <w:t xml:space="preserve">A significant </w:t>
      </w:r>
      <w:r w:rsidR="001F6F38">
        <w:rPr>
          <w:sz w:val="20"/>
        </w:rPr>
        <w:t>percentage</w:t>
      </w:r>
      <w:r w:rsidRPr="0097621B">
        <w:rPr>
          <w:sz w:val="20"/>
        </w:rPr>
        <w:t xml:space="preserve"> of people with a severe disability who are unable to support themselves are in receipt of financial support</w:t>
      </w:r>
    </w:p>
    <w:p w:rsidR="00513FD2" w:rsidRPr="0097621B" w:rsidRDefault="00513FD2" w:rsidP="00762037">
      <w:pPr>
        <w:numPr>
          <w:ilvl w:val="0"/>
          <w:numId w:val="15"/>
        </w:numPr>
        <w:spacing w:before="0" w:after="0" w:line="240" w:lineRule="auto"/>
        <w:ind w:left="624" w:hanging="340"/>
        <w:rPr>
          <w:sz w:val="20"/>
        </w:rPr>
      </w:pPr>
      <w:r w:rsidRPr="0097621B">
        <w:rPr>
          <w:sz w:val="20"/>
        </w:rPr>
        <w:t>Funding is targeted to financially assist people with disability who are unable to support themselves to achieve financial independence.</w:t>
      </w:r>
    </w:p>
    <w:p w:rsidR="00513FD2" w:rsidRPr="0097621B" w:rsidRDefault="00513FD2" w:rsidP="00513FD2">
      <w:pPr>
        <w:shd w:val="clear" w:color="auto" w:fill="B1E4E3"/>
        <w:spacing w:before="120" w:after="120"/>
        <w:rPr>
          <w:b/>
          <w:sz w:val="20"/>
        </w:rPr>
      </w:pPr>
      <w:r w:rsidRPr="0097621B">
        <w:rPr>
          <w:b/>
          <w:sz w:val="20"/>
        </w:rPr>
        <w:t>Methodology</w:t>
      </w:r>
    </w:p>
    <w:p w:rsidR="00513FD2" w:rsidRPr="0097621B" w:rsidRDefault="00513FD2" w:rsidP="00513FD2">
      <w:pPr>
        <w:spacing w:before="120" w:after="120"/>
        <w:rPr>
          <w:sz w:val="20"/>
        </w:rPr>
      </w:pPr>
      <w:r w:rsidRPr="0097621B">
        <w:rPr>
          <w:sz w:val="20"/>
        </w:rPr>
        <w:t>The number of people receiving the Disability Support Pension is based on the number of people receiving the Disability Support Pension aged 16 to 64 inclusive, who are severely or profoundly disabled.</w:t>
      </w:r>
    </w:p>
    <w:p w:rsidR="00513FD2" w:rsidRPr="0097621B" w:rsidRDefault="00513FD2" w:rsidP="00513FD2">
      <w:pPr>
        <w:spacing w:before="120" w:after="120"/>
        <w:rPr>
          <w:sz w:val="20"/>
        </w:rPr>
      </w:pPr>
      <w:r w:rsidRPr="0097621B">
        <w:rPr>
          <w:sz w:val="20"/>
        </w:rPr>
        <w:t>The number of people with a profound or severe disability of working age is based on the number of</w:t>
      </w:r>
      <w:r w:rsidR="000B43AE">
        <w:rPr>
          <w:sz w:val="20"/>
        </w:rPr>
        <w:t> </w:t>
      </w:r>
      <w:r w:rsidRPr="0097621B">
        <w:rPr>
          <w:sz w:val="20"/>
        </w:rPr>
        <w:t>Australians who are severely or profoundly disabled between the ages of 15 to 64.</w:t>
      </w:r>
    </w:p>
    <w:p w:rsidR="00513FD2" w:rsidRPr="0097621B" w:rsidRDefault="00513FD2" w:rsidP="00762037">
      <w:pPr>
        <w:spacing w:before="0" w:after="0"/>
        <w:rPr>
          <w:sz w:val="20"/>
        </w:rPr>
      </w:pPr>
      <w:r w:rsidRPr="0097621B">
        <w:rPr>
          <w:sz w:val="20"/>
        </w:rPr>
        <w:t xml:space="preserve">The </w:t>
      </w:r>
      <w:r w:rsidRPr="0097621B">
        <w:rPr>
          <w:b/>
          <w:sz w:val="20"/>
        </w:rPr>
        <w:t>data sources</w:t>
      </w:r>
      <w:r w:rsidRPr="0097621B">
        <w:rPr>
          <w:sz w:val="20"/>
        </w:rPr>
        <w:t xml:space="preserve"> used for this calculation are:</w:t>
      </w:r>
    </w:p>
    <w:p w:rsidR="00513FD2" w:rsidRPr="0097621B" w:rsidRDefault="00513FD2" w:rsidP="00762037">
      <w:pPr>
        <w:numPr>
          <w:ilvl w:val="0"/>
          <w:numId w:val="15"/>
        </w:numPr>
        <w:spacing w:before="0" w:after="0" w:line="240" w:lineRule="auto"/>
        <w:ind w:left="624" w:hanging="340"/>
        <w:rPr>
          <w:sz w:val="20"/>
        </w:rPr>
      </w:pPr>
      <w:r w:rsidRPr="0097621B">
        <w:rPr>
          <w:sz w:val="20"/>
        </w:rPr>
        <w:t>Service</w:t>
      </w:r>
      <w:r w:rsidR="000B43AE">
        <w:rPr>
          <w:sz w:val="20"/>
        </w:rPr>
        <w:t>s Australia administrative data</w:t>
      </w:r>
    </w:p>
    <w:p w:rsidR="00513FD2" w:rsidRPr="0097621B" w:rsidRDefault="00513FD2" w:rsidP="00762037">
      <w:pPr>
        <w:numPr>
          <w:ilvl w:val="0"/>
          <w:numId w:val="15"/>
        </w:numPr>
        <w:spacing w:before="0" w:after="0" w:line="240" w:lineRule="auto"/>
        <w:ind w:left="624" w:hanging="340"/>
        <w:rPr>
          <w:sz w:val="20"/>
        </w:rPr>
      </w:pPr>
      <w:r w:rsidRPr="0097621B">
        <w:rPr>
          <w:sz w:val="20"/>
        </w:rPr>
        <w:t xml:space="preserve">Australian Bureau of Statistics </w:t>
      </w:r>
      <w:r w:rsidR="00132C9F">
        <w:rPr>
          <w:sz w:val="20"/>
        </w:rPr>
        <w:t xml:space="preserve">- </w:t>
      </w:r>
      <w:r w:rsidRPr="0097621B">
        <w:rPr>
          <w:sz w:val="20"/>
        </w:rPr>
        <w:t xml:space="preserve">Survey </w:t>
      </w:r>
      <w:r w:rsidR="00694DD2">
        <w:rPr>
          <w:sz w:val="20"/>
        </w:rPr>
        <w:t>of</w:t>
      </w:r>
      <w:r w:rsidR="00694DD2" w:rsidRPr="0097621B">
        <w:rPr>
          <w:sz w:val="20"/>
        </w:rPr>
        <w:t xml:space="preserve"> </w:t>
      </w:r>
      <w:r w:rsidRPr="0097621B">
        <w:rPr>
          <w:sz w:val="20"/>
        </w:rPr>
        <w:t>Disability, Ageing and Carers.</w:t>
      </w:r>
    </w:p>
    <w:p w:rsidR="00513FD2" w:rsidRPr="0097621B" w:rsidRDefault="00513FD2" w:rsidP="00513FD2">
      <w:pPr>
        <w:shd w:val="clear" w:color="auto" w:fill="B1E4E3"/>
        <w:spacing w:before="120" w:after="120"/>
        <w:rPr>
          <w:b/>
          <w:sz w:val="20"/>
        </w:rPr>
      </w:pPr>
      <w:r w:rsidRPr="0097621B">
        <w:rPr>
          <w:b/>
          <w:sz w:val="20"/>
        </w:rPr>
        <w:t>Program Outputs</w:t>
      </w:r>
    </w:p>
    <w:p w:rsidR="00513FD2" w:rsidRPr="0097621B" w:rsidRDefault="00513FD2" w:rsidP="00762037">
      <w:pPr>
        <w:numPr>
          <w:ilvl w:val="0"/>
          <w:numId w:val="15"/>
        </w:numPr>
        <w:spacing w:before="0" w:after="0" w:line="240" w:lineRule="auto"/>
        <w:ind w:left="624" w:hanging="340"/>
        <w:rPr>
          <w:sz w:val="20"/>
        </w:rPr>
      </w:pPr>
      <w:r w:rsidRPr="0097621B">
        <w:rPr>
          <w:sz w:val="20"/>
        </w:rPr>
        <w:t>Administered outlays</w:t>
      </w:r>
    </w:p>
    <w:p w:rsidR="00513FD2" w:rsidRPr="0097621B" w:rsidRDefault="00513FD2" w:rsidP="00762037">
      <w:pPr>
        <w:numPr>
          <w:ilvl w:val="0"/>
          <w:numId w:val="15"/>
        </w:numPr>
        <w:spacing w:before="0" w:after="0" w:line="240" w:lineRule="auto"/>
        <w:ind w:left="624" w:hanging="340"/>
        <w:rPr>
          <w:sz w:val="20"/>
        </w:rPr>
      </w:pPr>
      <w:r w:rsidRPr="0097621B">
        <w:rPr>
          <w:sz w:val="20"/>
        </w:rPr>
        <w:t>Number of recipients</w:t>
      </w:r>
    </w:p>
    <w:p w:rsidR="00513FD2" w:rsidRPr="0097621B" w:rsidRDefault="00513FD2" w:rsidP="00762037">
      <w:pPr>
        <w:numPr>
          <w:ilvl w:val="0"/>
          <w:numId w:val="15"/>
        </w:numPr>
        <w:spacing w:before="0" w:after="0" w:line="240" w:lineRule="auto"/>
        <w:ind w:left="624" w:hanging="340"/>
        <w:rPr>
          <w:sz w:val="20"/>
        </w:rPr>
      </w:pPr>
      <w:r w:rsidRPr="0097621B">
        <w:rPr>
          <w:sz w:val="20"/>
        </w:rPr>
        <w:t>Payment Accuracy</w:t>
      </w:r>
      <w:r w:rsidRPr="009B4DDE">
        <w:br w:type="page"/>
      </w:r>
    </w:p>
    <w:p w:rsidR="00513FD2" w:rsidRPr="0097621B" w:rsidRDefault="00513FD2" w:rsidP="00513FD2">
      <w:pPr>
        <w:shd w:val="clear" w:color="auto" w:fill="005A70"/>
        <w:spacing w:before="120" w:after="120"/>
        <w:rPr>
          <w:rFonts w:cstheme="minorHAnsi"/>
          <w:b/>
          <w:color w:val="FFFFFF" w:themeColor="background1"/>
          <w:sz w:val="20"/>
        </w:rPr>
      </w:pPr>
      <w:r w:rsidRPr="0097621B">
        <w:rPr>
          <w:rFonts w:cstheme="minorHAnsi"/>
          <w:b/>
          <w:color w:val="FFFFFF" w:themeColor="background1"/>
          <w:sz w:val="20"/>
        </w:rPr>
        <w:lastRenderedPageBreak/>
        <w:t>PROGRAM 1.4 FINANCIAL SUPPORT FOR CARERS</w:t>
      </w:r>
    </w:p>
    <w:p w:rsidR="00513FD2" w:rsidRPr="0097621B" w:rsidRDefault="00513FD2" w:rsidP="00513FD2">
      <w:pPr>
        <w:shd w:val="clear" w:color="auto" w:fill="005A70"/>
        <w:spacing w:before="120" w:after="120"/>
        <w:rPr>
          <w:rFonts w:cstheme="minorHAnsi"/>
          <w:color w:val="FFFFFF" w:themeColor="background1"/>
          <w:sz w:val="20"/>
        </w:rPr>
      </w:pPr>
      <w:r w:rsidRPr="0097621B">
        <w:rPr>
          <w:rFonts w:cstheme="minorHAnsi"/>
          <w:color w:val="FFFFFF" w:themeColor="background1"/>
          <w:sz w:val="20"/>
        </w:rPr>
        <w:t>This program aims to make payments and allowances to financially assist eligible carers of people with disability or a severe medical condition.</w:t>
      </w:r>
    </w:p>
    <w:p w:rsidR="00513FD2" w:rsidRPr="0097621B" w:rsidRDefault="00513FD2" w:rsidP="00513FD2">
      <w:pPr>
        <w:shd w:val="clear" w:color="auto" w:fill="B1E4E3"/>
        <w:spacing w:before="120" w:after="120"/>
        <w:rPr>
          <w:rFonts w:cstheme="minorHAnsi"/>
          <w:b/>
          <w:sz w:val="20"/>
        </w:rPr>
      </w:pPr>
      <w:r w:rsidRPr="0097621B">
        <w:rPr>
          <w:rFonts w:cstheme="minorHAnsi"/>
          <w:b/>
          <w:sz w:val="20"/>
        </w:rPr>
        <w:t>Key Activity — 1.4.1 Carer Payment and Carer Allowance</w:t>
      </w:r>
    </w:p>
    <w:p w:rsidR="00513FD2" w:rsidRPr="0097621B" w:rsidRDefault="00513FD2" w:rsidP="00513FD2">
      <w:pPr>
        <w:spacing w:before="120" w:after="120"/>
        <w:rPr>
          <w:rFonts w:cstheme="minorHAnsi"/>
          <w:sz w:val="20"/>
        </w:rPr>
      </w:pPr>
      <w:r w:rsidRPr="0097621B">
        <w:rPr>
          <w:rFonts w:cstheme="minorHAnsi"/>
          <w:sz w:val="20"/>
        </w:rPr>
        <w:t xml:space="preserve">The Carer Payment and Carer Allowance are key activities of the Financial Support for Carers Program and provide financial assistance to eligible </w:t>
      </w:r>
      <w:r w:rsidRPr="0097621B">
        <w:rPr>
          <w:rFonts w:cstheme="minorHAnsi"/>
          <w:b/>
          <w:sz w:val="20"/>
        </w:rPr>
        <w:t>carers of people with disability or a severe medical condition</w:t>
      </w:r>
      <w:r w:rsidRPr="0097621B">
        <w:rPr>
          <w:rFonts w:cstheme="minorHAnsi"/>
          <w:sz w:val="20"/>
        </w:rPr>
        <w:t>.</w:t>
      </w:r>
    </w:p>
    <w:p w:rsidR="00513FD2" w:rsidRPr="0097621B" w:rsidRDefault="00513FD2" w:rsidP="00513FD2">
      <w:pPr>
        <w:spacing w:before="120" w:after="120"/>
        <w:rPr>
          <w:rFonts w:cstheme="minorHAnsi"/>
          <w:sz w:val="20"/>
        </w:rPr>
      </w:pPr>
      <w:r w:rsidRPr="0097621B">
        <w:rPr>
          <w:rFonts w:cstheme="minorHAnsi"/>
          <w:b/>
          <w:sz w:val="20"/>
        </w:rPr>
        <w:t>Carer Payment</w:t>
      </w:r>
      <w:r w:rsidRPr="0097621B">
        <w:rPr>
          <w:rFonts w:cstheme="minorHAnsi"/>
          <w:sz w:val="20"/>
        </w:rPr>
        <w:t xml:space="preserve"> aims to make payments to eligible carers of people with disability or a severe medical condition. Carer Payment may be paid where the constant care a carer provides to a child (under 16 years) and/or adult </w:t>
      </w:r>
      <w:r w:rsidR="00DA577A">
        <w:rPr>
          <w:rFonts w:cstheme="minorHAnsi"/>
          <w:sz w:val="20"/>
        </w:rPr>
        <w:t>(</w:t>
      </w:r>
      <w:r w:rsidRPr="0097621B">
        <w:rPr>
          <w:rFonts w:cstheme="minorHAnsi"/>
          <w:sz w:val="20"/>
        </w:rPr>
        <w:t>16 years and over) with a disability or medical condition, prevents them from supporting themselves through paid employment. Carer Payment recipients automatically qualify for a Pensioner Concession Card and short term or episodic carers a Health Care Card. Carer Payment is income and assets tested and paid at the same rate as other social security pensions. Carer Payment recipients may also qualify for Carer Allowance.</w:t>
      </w:r>
    </w:p>
    <w:p w:rsidR="00513FD2" w:rsidRPr="0097621B" w:rsidRDefault="00513FD2" w:rsidP="00513FD2">
      <w:pPr>
        <w:spacing w:before="120" w:after="120"/>
        <w:rPr>
          <w:rFonts w:cstheme="minorHAnsi"/>
          <w:sz w:val="20"/>
        </w:rPr>
      </w:pPr>
      <w:r w:rsidRPr="0097621B">
        <w:rPr>
          <w:rFonts w:cstheme="minorHAnsi"/>
          <w:b/>
          <w:sz w:val="20"/>
        </w:rPr>
        <w:t>Carer Allowance</w:t>
      </w:r>
      <w:r w:rsidRPr="0097621B">
        <w:rPr>
          <w:rFonts w:cstheme="minorHAnsi"/>
          <w:sz w:val="20"/>
        </w:rPr>
        <w:t xml:space="preserve"> aims to provide an income supplement to people who provide daily care and attention in</w:t>
      </w:r>
      <w:r w:rsidR="000B43AE">
        <w:rPr>
          <w:rFonts w:cstheme="minorHAnsi"/>
          <w:sz w:val="20"/>
        </w:rPr>
        <w:t> </w:t>
      </w:r>
      <w:r w:rsidRPr="0097621B">
        <w:rPr>
          <w:rFonts w:cstheme="minorHAnsi"/>
          <w:sz w:val="20"/>
        </w:rPr>
        <w:t>a</w:t>
      </w:r>
      <w:r w:rsidR="000B43AE">
        <w:rPr>
          <w:rFonts w:cstheme="minorHAnsi"/>
          <w:sz w:val="20"/>
        </w:rPr>
        <w:t> </w:t>
      </w:r>
      <w:r w:rsidRPr="0097621B">
        <w:rPr>
          <w:rFonts w:cstheme="minorHAnsi"/>
          <w:sz w:val="20"/>
        </w:rPr>
        <w:t>private home to a person with disability or a severe medical condition. Carer Allowance is a fortnightly payment for carers who provide daily care and attention to a child (under 16 years) or an adult (over</w:t>
      </w:r>
      <w:r w:rsidR="00437D60">
        <w:rPr>
          <w:rFonts w:cstheme="minorHAnsi"/>
          <w:sz w:val="20"/>
        </w:rPr>
        <w:t> </w:t>
      </w:r>
      <w:r w:rsidRPr="0097621B">
        <w:rPr>
          <w:rFonts w:cstheme="minorHAnsi"/>
          <w:sz w:val="20"/>
        </w:rPr>
        <w:t>16</w:t>
      </w:r>
      <w:r w:rsidR="000B43AE">
        <w:rPr>
          <w:rFonts w:cstheme="minorHAnsi"/>
          <w:sz w:val="20"/>
        </w:rPr>
        <w:t> </w:t>
      </w:r>
      <w:r w:rsidRPr="0097621B">
        <w:rPr>
          <w:rFonts w:cstheme="minorHAnsi"/>
          <w:sz w:val="20"/>
        </w:rPr>
        <w:t>years).</w:t>
      </w:r>
    </w:p>
    <w:p w:rsidR="00513FD2" w:rsidRPr="0097621B" w:rsidRDefault="00513FD2" w:rsidP="00513FD2">
      <w:pPr>
        <w:spacing w:before="120" w:after="120"/>
        <w:rPr>
          <w:rFonts w:cstheme="minorHAnsi"/>
          <w:sz w:val="20"/>
        </w:rPr>
      </w:pPr>
      <w:r w:rsidRPr="0097621B">
        <w:rPr>
          <w:b/>
          <w:sz w:val="20"/>
        </w:rPr>
        <w:t>The department</w:t>
      </w:r>
      <w:r w:rsidRPr="0097621B">
        <w:rPr>
          <w:sz w:val="20"/>
        </w:rPr>
        <w:t xml:space="preserve"> is responsible for designing and implementing the key activity. This includes providing advice to Government on policy and legislation, program implementation and management, program performance, monitoring and meeting all relevant deliverables, setting guidelines and providing guidance and advice to Services Australia on the administration of the program. </w:t>
      </w:r>
      <w:r w:rsidRPr="0097621B">
        <w:rPr>
          <w:rFonts w:cstheme="minorHAnsi"/>
          <w:b/>
          <w:sz w:val="20"/>
        </w:rPr>
        <w:t>Services Australia</w:t>
      </w:r>
      <w:r w:rsidRPr="0097621B">
        <w:rPr>
          <w:rFonts w:cstheme="minorHAnsi"/>
          <w:sz w:val="20"/>
        </w:rPr>
        <w:t xml:space="preserve"> is the primary portfolio agency responsible for administering the Carer Payment and Carer Allowance on the department’s behalf including managing applications and making payments.</w:t>
      </w:r>
    </w:p>
    <w:tbl>
      <w:tblPr>
        <w:tblStyle w:val="TableGrid39"/>
        <w:tblW w:w="5000" w:type="pct"/>
        <w:jc w:val="center"/>
        <w:tblLook w:val="04A0" w:firstRow="1" w:lastRow="0" w:firstColumn="1" w:lastColumn="0" w:noHBand="0" w:noVBand="1"/>
        <w:tblCaption w:val="1.4.1 performance measure and target"/>
        <w:tblDescription w:val="Table outlines the targeted payment percentages across 2022-23, 2023-24, 2024-25 and 2025-26"/>
      </w:tblPr>
      <w:tblGrid>
        <w:gridCol w:w="4536"/>
        <w:gridCol w:w="1273"/>
        <w:gridCol w:w="1273"/>
        <w:gridCol w:w="1273"/>
        <w:gridCol w:w="1273"/>
      </w:tblGrid>
      <w:tr w:rsidR="00513FD2" w:rsidRPr="0097621B" w:rsidTr="005B200F">
        <w:trPr>
          <w:cantSplit/>
          <w:trHeight w:val="356"/>
          <w:tblHeader/>
          <w:jc w:val="center"/>
        </w:trPr>
        <w:tc>
          <w:tcPr>
            <w:tcW w:w="5000" w:type="pct"/>
            <w:gridSpan w:val="5"/>
            <w:shd w:val="clear" w:color="auto" w:fill="D9D9D6"/>
          </w:tcPr>
          <w:p w:rsidR="00513FD2" w:rsidRPr="0097621B" w:rsidRDefault="00513FD2" w:rsidP="00513FD2">
            <w:pPr>
              <w:spacing w:before="120" w:after="120" w:line="259" w:lineRule="auto"/>
              <w:rPr>
                <w:rFonts w:cstheme="minorHAnsi"/>
                <w:b/>
                <w:sz w:val="20"/>
              </w:rPr>
            </w:pPr>
            <w:r w:rsidRPr="0097621B">
              <w:rPr>
                <w:rFonts w:cstheme="minorHAnsi"/>
                <w:b/>
                <w:sz w:val="20"/>
              </w:rPr>
              <w:t>Performance Measure</w:t>
            </w:r>
          </w:p>
        </w:tc>
      </w:tr>
      <w:tr w:rsidR="00513FD2" w:rsidRPr="0097621B" w:rsidTr="00513FD2">
        <w:trPr>
          <w:cantSplit/>
          <w:trHeight w:val="356"/>
          <w:jc w:val="center"/>
        </w:trPr>
        <w:tc>
          <w:tcPr>
            <w:tcW w:w="5000" w:type="pct"/>
            <w:gridSpan w:val="5"/>
            <w:shd w:val="clear" w:color="auto" w:fill="auto"/>
          </w:tcPr>
          <w:p w:rsidR="00513FD2" w:rsidRPr="0097621B" w:rsidRDefault="00513FD2" w:rsidP="00513FD2">
            <w:pPr>
              <w:spacing w:before="120" w:after="120" w:line="259" w:lineRule="auto"/>
              <w:rPr>
                <w:rFonts w:cstheme="minorHAnsi"/>
                <w:b/>
                <w:sz w:val="20"/>
              </w:rPr>
            </w:pPr>
            <w:r w:rsidRPr="0097621B">
              <w:rPr>
                <w:rFonts w:cstheme="minorHAnsi"/>
                <w:sz w:val="20"/>
              </w:rPr>
              <w:t>1.4.1-1 Extent to which payments are made to, or with respect to, carers unable to fully support themselves.</w:t>
            </w:r>
          </w:p>
        </w:tc>
      </w:tr>
      <w:tr w:rsidR="00513FD2" w:rsidRPr="0097621B" w:rsidTr="00513FD2">
        <w:trPr>
          <w:cantSplit/>
          <w:trHeight w:val="356"/>
          <w:jc w:val="center"/>
        </w:trPr>
        <w:tc>
          <w:tcPr>
            <w:tcW w:w="2356" w:type="pct"/>
            <w:shd w:val="clear" w:color="auto" w:fill="D9D9D6"/>
          </w:tcPr>
          <w:p w:rsidR="00513FD2" w:rsidRPr="0097621B" w:rsidRDefault="00513FD2" w:rsidP="00513FD2">
            <w:pPr>
              <w:spacing w:before="120" w:after="120" w:line="259" w:lineRule="auto"/>
              <w:rPr>
                <w:rFonts w:cstheme="minorHAnsi"/>
                <w:b/>
                <w:sz w:val="20"/>
              </w:rPr>
            </w:pPr>
            <w:r w:rsidRPr="0097621B">
              <w:rPr>
                <w:rFonts w:cstheme="minorHAnsi"/>
                <w:b/>
                <w:sz w:val="20"/>
              </w:rPr>
              <w:t>Target</w:t>
            </w:r>
          </w:p>
        </w:tc>
        <w:tc>
          <w:tcPr>
            <w:tcW w:w="661"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2022–23</w:t>
            </w:r>
          </w:p>
        </w:tc>
        <w:tc>
          <w:tcPr>
            <w:tcW w:w="661"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2023–24</w:t>
            </w:r>
          </w:p>
        </w:tc>
        <w:tc>
          <w:tcPr>
            <w:tcW w:w="661"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2024–25</w:t>
            </w:r>
          </w:p>
        </w:tc>
        <w:tc>
          <w:tcPr>
            <w:tcW w:w="661"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2025–26</w:t>
            </w:r>
          </w:p>
        </w:tc>
      </w:tr>
      <w:tr w:rsidR="00513FD2" w:rsidRPr="0097621B" w:rsidTr="00513FD2">
        <w:trPr>
          <w:cantSplit/>
          <w:trHeight w:val="356"/>
          <w:jc w:val="center"/>
        </w:trPr>
        <w:tc>
          <w:tcPr>
            <w:tcW w:w="2356" w:type="pct"/>
            <w:shd w:val="clear" w:color="auto" w:fill="auto"/>
          </w:tcPr>
          <w:p w:rsidR="00513FD2" w:rsidRPr="0097621B" w:rsidRDefault="00513FD2" w:rsidP="006A2344">
            <w:pPr>
              <w:spacing w:before="120" w:after="120" w:line="259" w:lineRule="auto"/>
              <w:rPr>
                <w:rFonts w:cstheme="minorHAnsi"/>
                <w:sz w:val="20"/>
              </w:rPr>
            </w:pPr>
            <w:r w:rsidRPr="0097621B">
              <w:rPr>
                <w:noProof/>
                <w:sz w:val="20"/>
                <w:lang w:eastAsia="en-AU"/>
              </w:rPr>
              <w:sym w:font="Wingdings" w:char="F074"/>
            </w:r>
            <w:r w:rsidRPr="0097621B">
              <w:rPr>
                <w:noProof/>
                <w:sz w:val="20"/>
                <w:lang w:eastAsia="en-AU"/>
              </w:rPr>
              <w:t xml:space="preserve">1.4.1-1A </w:t>
            </w:r>
            <w:r w:rsidRPr="0097621B">
              <w:rPr>
                <w:rFonts w:cstheme="minorHAnsi"/>
                <w:sz w:val="20"/>
              </w:rPr>
              <w:t>At least 70</w:t>
            </w:r>
            <w:r w:rsidR="006A2344">
              <w:rPr>
                <w:rFonts w:cstheme="minorHAnsi"/>
                <w:sz w:val="20"/>
              </w:rPr>
              <w:t>%</w:t>
            </w:r>
            <w:r w:rsidRPr="0097621B">
              <w:rPr>
                <w:rFonts w:cstheme="minorHAnsi"/>
                <w:sz w:val="20"/>
              </w:rPr>
              <w:t xml:space="preserve"> of primary carers in Australia are supported by Carer Payment and/or Carer Allowance.</w:t>
            </w:r>
          </w:p>
        </w:tc>
        <w:tc>
          <w:tcPr>
            <w:tcW w:w="661" w:type="pct"/>
          </w:tcPr>
          <w:p w:rsidR="00513FD2" w:rsidRPr="0097621B" w:rsidRDefault="00513FD2" w:rsidP="00513FD2">
            <w:pPr>
              <w:spacing w:before="120" w:after="120" w:line="259" w:lineRule="auto"/>
              <w:rPr>
                <w:rFonts w:cstheme="minorHAnsi"/>
                <w:sz w:val="20"/>
              </w:rPr>
            </w:pPr>
            <w:r w:rsidRPr="0097621B">
              <w:rPr>
                <w:rFonts w:cs="Arial"/>
                <w:color w:val="202124"/>
                <w:sz w:val="20"/>
                <w:shd w:val="clear" w:color="auto" w:fill="FFFFFF"/>
              </w:rPr>
              <w:t>≥70</w:t>
            </w:r>
            <w:r w:rsidRPr="0097621B">
              <w:rPr>
                <w:sz w:val="20"/>
                <w:lang w:eastAsia="en-GB"/>
              </w:rPr>
              <w:t xml:space="preserve"> </w:t>
            </w:r>
            <w:r>
              <w:rPr>
                <w:sz w:val="20"/>
                <w:lang w:eastAsia="en-GB"/>
              </w:rPr>
              <w:t>%</w:t>
            </w:r>
          </w:p>
        </w:tc>
        <w:tc>
          <w:tcPr>
            <w:tcW w:w="661" w:type="pct"/>
          </w:tcPr>
          <w:p w:rsidR="00513FD2" w:rsidRPr="0097621B" w:rsidRDefault="00513FD2" w:rsidP="00513FD2">
            <w:pPr>
              <w:spacing w:before="120" w:after="120" w:line="259" w:lineRule="auto"/>
              <w:rPr>
                <w:rFonts w:cstheme="minorHAnsi"/>
                <w:sz w:val="20"/>
              </w:rPr>
            </w:pPr>
            <w:r w:rsidRPr="0097621B">
              <w:rPr>
                <w:rFonts w:cs="Arial"/>
                <w:color w:val="202124"/>
                <w:sz w:val="20"/>
                <w:shd w:val="clear" w:color="auto" w:fill="FFFFFF"/>
              </w:rPr>
              <w:t>≥70</w:t>
            </w:r>
            <w:r w:rsidRPr="0097621B">
              <w:rPr>
                <w:sz w:val="20"/>
                <w:lang w:eastAsia="en-GB"/>
              </w:rPr>
              <w:t xml:space="preserve"> </w:t>
            </w:r>
            <w:r>
              <w:rPr>
                <w:sz w:val="20"/>
                <w:lang w:eastAsia="en-GB"/>
              </w:rPr>
              <w:t>%</w:t>
            </w:r>
          </w:p>
        </w:tc>
        <w:tc>
          <w:tcPr>
            <w:tcW w:w="661" w:type="pct"/>
          </w:tcPr>
          <w:p w:rsidR="00513FD2" w:rsidRPr="0097621B" w:rsidRDefault="00513FD2" w:rsidP="00513FD2">
            <w:pPr>
              <w:spacing w:before="120" w:after="120" w:line="259" w:lineRule="auto"/>
              <w:rPr>
                <w:rFonts w:cstheme="minorHAnsi"/>
                <w:sz w:val="20"/>
              </w:rPr>
            </w:pPr>
            <w:r w:rsidRPr="0097621B">
              <w:rPr>
                <w:rFonts w:cs="Arial"/>
                <w:color w:val="202124"/>
                <w:sz w:val="20"/>
                <w:shd w:val="clear" w:color="auto" w:fill="FFFFFF"/>
              </w:rPr>
              <w:t>≥70</w:t>
            </w:r>
            <w:r w:rsidRPr="0097621B">
              <w:rPr>
                <w:sz w:val="20"/>
                <w:lang w:eastAsia="en-GB"/>
              </w:rPr>
              <w:t xml:space="preserve"> </w:t>
            </w:r>
            <w:r>
              <w:rPr>
                <w:sz w:val="20"/>
                <w:lang w:eastAsia="en-GB"/>
              </w:rPr>
              <w:t>%</w:t>
            </w:r>
          </w:p>
        </w:tc>
        <w:tc>
          <w:tcPr>
            <w:tcW w:w="661" w:type="pct"/>
            <w:shd w:val="clear" w:color="auto" w:fill="FFFFFF" w:themeFill="background1"/>
          </w:tcPr>
          <w:p w:rsidR="00513FD2" w:rsidRPr="0097621B" w:rsidRDefault="00513FD2" w:rsidP="00513FD2">
            <w:pPr>
              <w:spacing w:before="120" w:after="120" w:line="259" w:lineRule="auto"/>
              <w:rPr>
                <w:rFonts w:cstheme="minorHAnsi"/>
                <w:sz w:val="20"/>
              </w:rPr>
            </w:pPr>
            <w:r w:rsidRPr="0097621B">
              <w:rPr>
                <w:rFonts w:cs="Arial"/>
                <w:color w:val="202124"/>
                <w:sz w:val="20"/>
                <w:shd w:val="clear" w:color="auto" w:fill="FFFFFF"/>
              </w:rPr>
              <w:t>≥70</w:t>
            </w:r>
            <w:r>
              <w:rPr>
                <w:rFonts w:cs="Arial"/>
                <w:color w:val="202124"/>
                <w:sz w:val="20"/>
                <w:shd w:val="clear" w:color="auto" w:fill="FFFFFF"/>
              </w:rPr>
              <w:t xml:space="preserve"> </w:t>
            </w:r>
            <w:r>
              <w:rPr>
                <w:sz w:val="20"/>
                <w:lang w:eastAsia="en-GB"/>
              </w:rPr>
              <w:t>%</w:t>
            </w:r>
          </w:p>
        </w:tc>
      </w:tr>
    </w:tbl>
    <w:p w:rsidR="00513FD2" w:rsidRPr="0097621B" w:rsidRDefault="00513FD2" w:rsidP="00762037">
      <w:pPr>
        <w:shd w:val="clear" w:color="auto" w:fill="B1E4E3"/>
        <w:spacing w:before="40" w:after="40"/>
        <w:rPr>
          <w:rFonts w:cstheme="minorHAnsi"/>
          <w:b/>
          <w:sz w:val="20"/>
        </w:rPr>
      </w:pPr>
      <w:r w:rsidRPr="0097621B">
        <w:rPr>
          <w:rFonts w:cstheme="minorHAnsi"/>
          <w:b/>
          <w:sz w:val="20"/>
        </w:rPr>
        <w:t>Rationale</w:t>
      </w:r>
    </w:p>
    <w:p w:rsidR="00513FD2" w:rsidRPr="0097621B" w:rsidRDefault="00513FD2" w:rsidP="00762037">
      <w:pPr>
        <w:spacing w:before="0" w:after="0"/>
        <w:rPr>
          <w:rFonts w:cstheme="minorHAnsi"/>
          <w:sz w:val="20"/>
        </w:rPr>
      </w:pPr>
      <w:r w:rsidRPr="0097621B">
        <w:rPr>
          <w:rFonts w:cstheme="minorHAnsi"/>
          <w:sz w:val="20"/>
        </w:rPr>
        <w:t xml:space="preserve">Measuring the </w:t>
      </w:r>
      <w:r w:rsidRPr="0097621B">
        <w:rPr>
          <w:rFonts w:cstheme="minorHAnsi"/>
          <w:i/>
          <w:sz w:val="20"/>
        </w:rPr>
        <w:t xml:space="preserve">extent to which payments are made to, or with respect to, carers unable to fully support themselves </w:t>
      </w:r>
      <w:r w:rsidRPr="0097621B">
        <w:rPr>
          <w:rFonts w:cstheme="minorHAnsi"/>
          <w:sz w:val="20"/>
        </w:rPr>
        <w:t xml:space="preserve">aims to demonstrate that carers of people with disability or a severe medical condition are financially assisted. This measure demonstrates the effectiveness of the Carer Payment and Carer Allowance in achieving the objectives of the key activities. The target demonstrates </w:t>
      </w:r>
      <w:r w:rsidRPr="0097621B">
        <w:rPr>
          <w:rFonts w:cstheme="minorHAnsi"/>
          <w:b/>
          <w:sz w:val="20"/>
        </w:rPr>
        <w:t>effectiveness</w:t>
      </w:r>
      <w:r w:rsidRPr="0097621B">
        <w:rPr>
          <w:rFonts w:cstheme="minorHAnsi"/>
          <w:sz w:val="20"/>
        </w:rPr>
        <w:t xml:space="preserve"> of the key activity by showing a significant </w:t>
      </w:r>
      <w:r w:rsidR="001F6F38">
        <w:rPr>
          <w:rFonts w:cstheme="minorHAnsi"/>
          <w:sz w:val="20"/>
        </w:rPr>
        <w:t>percentage</w:t>
      </w:r>
      <w:r w:rsidRPr="0097621B">
        <w:rPr>
          <w:rFonts w:cstheme="minorHAnsi"/>
          <w:sz w:val="20"/>
        </w:rPr>
        <w:t xml:space="preserve"> of eligible carers, unable to fully support themselves, are in receipt of financial support.</w:t>
      </w:r>
    </w:p>
    <w:p w:rsidR="00513FD2" w:rsidRPr="0097621B" w:rsidRDefault="00513FD2" w:rsidP="00513FD2">
      <w:pPr>
        <w:shd w:val="clear" w:color="auto" w:fill="B1E4E3"/>
        <w:spacing w:before="120" w:after="120"/>
        <w:rPr>
          <w:rFonts w:cstheme="minorHAnsi"/>
          <w:b/>
          <w:sz w:val="20"/>
        </w:rPr>
      </w:pPr>
      <w:r w:rsidRPr="0097621B">
        <w:rPr>
          <w:rFonts w:cstheme="minorHAnsi"/>
          <w:b/>
          <w:sz w:val="20"/>
        </w:rPr>
        <w:t>Methodology</w:t>
      </w:r>
    </w:p>
    <w:p w:rsidR="00513FD2" w:rsidRPr="0097621B" w:rsidRDefault="00513FD2" w:rsidP="00762037">
      <w:pPr>
        <w:spacing w:before="40" w:after="40"/>
        <w:rPr>
          <w:rFonts w:cstheme="minorHAnsi"/>
          <w:sz w:val="20"/>
        </w:rPr>
      </w:pPr>
      <w:r w:rsidRPr="0097621B">
        <w:rPr>
          <w:rFonts w:cstheme="minorHAnsi"/>
          <w:sz w:val="20"/>
        </w:rPr>
        <w:t>The number of primary carers in Australia that are supported is calculated using the number of payment recipients of Carer Payment, Carer Allowance (Adult) and Carer Allowance (Child).</w:t>
      </w:r>
    </w:p>
    <w:p w:rsidR="00513FD2" w:rsidRPr="0097621B" w:rsidRDefault="00513FD2" w:rsidP="00762037">
      <w:pPr>
        <w:spacing w:before="40" w:after="40"/>
        <w:rPr>
          <w:rFonts w:cstheme="minorHAnsi"/>
          <w:sz w:val="20"/>
        </w:rPr>
      </w:pPr>
      <w:r w:rsidRPr="0097621B">
        <w:rPr>
          <w:rFonts w:cstheme="minorHAnsi"/>
          <w:sz w:val="20"/>
        </w:rPr>
        <w:t>The number of primary carers in Australia is based on the Australian Bureau of Statistics – Survey of</w:t>
      </w:r>
      <w:r w:rsidR="000B43AE">
        <w:rPr>
          <w:rFonts w:cstheme="minorHAnsi"/>
          <w:sz w:val="20"/>
        </w:rPr>
        <w:t> </w:t>
      </w:r>
      <w:r w:rsidRPr="0097621B">
        <w:rPr>
          <w:rFonts w:cstheme="minorHAnsi"/>
          <w:sz w:val="20"/>
        </w:rPr>
        <w:t>Disability, Ageing and Carers.</w:t>
      </w:r>
    </w:p>
    <w:p w:rsidR="00513FD2" w:rsidRPr="0097621B" w:rsidRDefault="00513FD2" w:rsidP="00762037">
      <w:pPr>
        <w:spacing w:before="0" w:after="0"/>
        <w:rPr>
          <w:rFonts w:cstheme="minorHAnsi"/>
          <w:sz w:val="20"/>
        </w:rPr>
      </w:pPr>
      <w:r w:rsidRPr="0097621B">
        <w:rPr>
          <w:rFonts w:cstheme="minorHAnsi"/>
          <w:sz w:val="20"/>
        </w:rPr>
        <w:t xml:space="preserve">The </w:t>
      </w:r>
      <w:r w:rsidRPr="0097621B">
        <w:rPr>
          <w:rFonts w:cstheme="minorHAnsi"/>
          <w:b/>
          <w:sz w:val="20"/>
        </w:rPr>
        <w:t>data sources</w:t>
      </w:r>
      <w:r w:rsidRPr="0097621B">
        <w:rPr>
          <w:rFonts w:cstheme="minorHAnsi"/>
          <w:sz w:val="20"/>
        </w:rPr>
        <w:t xml:space="preserve"> used for this calculation are:</w:t>
      </w:r>
    </w:p>
    <w:p w:rsidR="00513FD2" w:rsidRPr="0097621B" w:rsidRDefault="00513FD2" w:rsidP="00762037">
      <w:pPr>
        <w:numPr>
          <w:ilvl w:val="0"/>
          <w:numId w:val="15"/>
        </w:numPr>
        <w:spacing w:before="0" w:after="0" w:line="240" w:lineRule="auto"/>
        <w:ind w:left="624" w:hanging="340"/>
        <w:rPr>
          <w:sz w:val="20"/>
        </w:rPr>
      </w:pPr>
      <w:r w:rsidRPr="0097621B">
        <w:rPr>
          <w:sz w:val="20"/>
        </w:rPr>
        <w:t>Services Australia administrative da</w:t>
      </w:r>
      <w:r w:rsidR="000B43AE">
        <w:rPr>
          <w:sz w:val="20"/>
        </w:rPr>
        <w:t>ta</w:t>
      </w:r>
    </w:p>
    <w:p w:rsidR="00513FD2" w:rsidRPr="0097621B" w:rsidRDefault="00513FD2" w:rsidP="00762037">
      <w:pPr>
        <w:numPr>
          <w:ilvl w:val="0"/>
          <w:numId w:val="15"/>
        </w:numPr>
        <w:spacing w:before="0" w:after="0" w:line="240" w:lineRule="auto"/>
        <w:ind w:left="624" w:hanging="340"/>
        <w:rPr>
          <w:sz w:val="20"/>
        </w:rPr>
      </w:pPr>
      <w:r w:rsidRPr="0097621B">
        <w:rPr>
          <w:sz w:val="20"/>
        </w:rPr>
        <w:t>Australian Bureau of Statistics – Survey of Disability, Ageing and Carers.</w:t>
      </w:r>
    </w:p>
    <w:p w:rsidR="00437D60" w:rsidRPr="0097621B" w:rsidRDefault="00513FD2" w:rsidP="00513FD2">
      <w:pPr>
        <w:shd w:val="clear" w:color="auto" w:fill="B1E4E3"/>
        <w:spacing w:before="120" w:after="120"/>
        <w:rPr>
          <w:b/>
          <w:sz w:val="20"/>
        </w:rPr>
      </w:pPr>
      <w:r w:rsidRPr="0097621B">
        <w:rPr>
          <w:b/>
          <w:sz w:val="20"/>
        </w:rPr>
        <w:t>Program Outputs</w:t>
      </w:r>
    </w:p>
    <w:p w:rsidR="00513FD2" w:rsidRPr="0097621B" w:rsidRDefault="00513FD2" w:rsidP="00762037">
      <w:pPr>
        <w:numPr>
          <w:ilvl w:val="0"/>
          <w:numId w:val="15"/>
        </w:numPr>
        <w:spacing w:before="0" w:after="0" w:line="240" w:lineRule="auto"/>
        <w:ind w:left="624" w:hanging="340"/>
        <w:rPr>
          <w:sz w:val="20"/>
        </w:rPr>
      </w:pPr>
      <w:r w:rsidRPr="0097621B">
        <w:rPr>
          <w:sz w:val="20"/>
        </w:rPr>
        <w:t>Administered outlays</w:t>
      </w:r>
    </w:p>
    <w:p w:rsidR="00513FD2" w:rsidRPr="0097621B" w:rsidRDefault="00513FD2" w:rsidP="00762037">
      <w:pPr>
        <w:numPr>
          <w:ilvl w:val="0"/>
          <w:numId w:val="15"/>
        </w:numPr>
        <w:spacing w:before="0" w:after="0" w:line="240" w:lineRule="auto"/>
        <w:ind w:left="624" w:hanging="340"/>
        <w:rPr>
          <w:sz w:val="20"/>
        </w:rPr>
      </w:pPr>
      <w:r w:rsidRPr="0097621B">
        <w:rPr>
          <w:sz w:val="20"/>
        </w:rPr>
        <w:t>Number of recipients</w:t>
      </w:r>
    </w:p>
    <w:p w:rsidR="00513FD2" w:rsidRPr="0097621B" w:rsidRDefault="00513FD2" w:rsidP="00762037">
      <w:pPr>
        <w:numPr>
          <w:ilvl w:val="0"/>
          <w:numId w:val="15"/>
        </w:numPr>
        <w:spacing w:before="0" w:after="0" w:line="240" w:lineRule="auto"/>
        <w:ind w:left="624" w:hanging="340"/>
        <w:rPr>
          <w:rFonts w:cstheme="minorHAnsi"/>
        </w:rPr>
      </w:pPr>
      <w:r w:rsidRPr="0097621B">
        <w:rPr>
          <w:sz w:val="20"/>
        </w:rPr>
        <w:t>Payment Accuracy</w:t>
      </w:r>
      <w:r w:rsidRPr="0097621B">
        <w:rPr>
          <w:rFonts w:cstheme="minorHAnsi"/>
        </w:rPr>
        <w:br w:type="page"/>
      </w:r>
    </w:p>
    <w:p w:rsidR="00513FD2" w:rsidRPr="0097621B" w:rsidRDefault="00513FD2" w:rsidP="00513FD2">
      <w:pPr>
        <w:shd w:val="clear" w:color="auto" w:fill="005A70"/>
        <w:spacing w:before="120" w:after="120"/>
        <w:rPr>
          <w:b/>
          <w:color w:val="FFFFFF" w:themeColor="background1"/>
          <w:sz w:val="20"/>
        </w:rPr>
      </w:pPr>
      <w:r w:rsidRPr="0097621B">
        <w:rPr>
          <w:b/>
          <w:color w:val="FFFFFF" w:themeColor="background1"/>
          <w:sz w:val="20"/>
        </w:rPr>
        <w:lastRenderedPageBreak/>
        <w:t xml:space="preserve">PROGRAM 1.5 WORKING AGE PAYMENTS </w:t>
      </w:r>
    </w:p>
    <w:p w:rsidR="00513FD2" w:rsidRPr="0097621B" w:rsidRDefault="00513FD2" w:rsidP="00513FD2">
      <w:pPr>
        <w:shd w:val="clear" w:color="auto" w:fill="005A70"/>
        <w:spacing w:before="120" w:after="120"/>
        <w:rPr>
          <w:color w:val="FFFFFF" w:themeColor="background1"/>
          <w:sz w:val="20"/>
        </w:rPr>
      </w:pPr>
      <w:r w:rsidRPr="0097621B">
        <w:rPr>
          <w:color w:val="FFFFFF" w:themeColor="background1"/>
          <w:sz w:val="20"/>
        </w:rPr>
        <w:t>To provide financial assistance to people while they are unable to fully support themselves through work.</w:t>
      </w:r>
    </w:p>
    <w:p w:rsidR="00513FD2" w:rsidRPr="0097621B" w:rsidRDefault="00513FD2" w:rsidP="00513FD2">
      <w:pPr>
        <w:shd w:val="clear" w:color="auto" w:fill="B1E4E3"/>
        <w:spacing w:before="120" w:after="120"/>
        <w:rPr>
          <w:b/>
          <w:sz w:val="20"/>
        </w:rPr>
      </w:pPr>
      <w:r w:rsidRPr="0097621B">
        <w:rPr>
          <w:b/>
          <w:sz w:val="20"/>
        </w:rPr>
        <w:t>Key Activity</w:t>
      </w:r>
      <w:r w:rsidRPr="0097621B">
        <w:rPr>
          <w:sz w:val="20"/>
        </w:rPr>
        <w:t xml:space="preserve"> </w:t>
      </w:r>
      <w:r w:rsidRPr="0097621B">
        <w:rPr>
          <w:b/>
          <w:sz w:val="20"/>
        </w:rPr>
        <w:t>— 1.5.1 JobSeeker Payment, Parenting Payment, Youth Allowance (Other)</w:t>
      </w:r>
    </w:p>
    <w:p w:rsidR="00513FD2" w:rsidRPr="0097621B" w:rsidRDefault="00513FD2" w:rsidP="00513FD2">
      <w:pPr>
        <w:spacing w:before="120" w:after="120"/>
        <w:rPr>
          <w:sz w:val="20"/>
        </w:rPr>
      </w:pPr>
      <w:r w:rsidRPr="0097621B">
        <w:rPr>
          <w:sz w:val="20"/>
        </w:rPr>
        <w:t>The JobSeeker Payment, Parenting Payment &amp; Youth Allowance (Other) are key activities of the Working Age Payments program.</w:t>
      </w:r>
    </w:p>
    <w:p w:rsidR="00513FD2" w:rsidRPr="0097621B" w:rsidRDefault="00513FD2" w:rsidP="00513FD2">
      <w:pPr>
        <w:spacing w:before="120" w:after="120"/>
        <w:rPr>
          <w:sz w:val="20"/>
        </w:rPr>
      </w:pPr>
      <w:r w:rsidRPr="0097621B">
        <w:rPr>
          <w:sz w:val="20"/>
        </w:rPr>
        <w:t>Working Age Payments assist people who are temporarily unable to support themselves through work or</w:t>
      </w:r>
      <w:r w:rsidR="000B43AE">
        <w:rPr>
          <w:sz w:val="20"/>
        </w:rPr>
        <w:t> </w:t>
      </w:r>
      <w:r w:rsidRPr="0097621B">
        <w:rPr>
          <w:sz w:val="20"/>
        </w:rPr>
        <w:t>who have a limited capacity to work due to disability or caring responsibilities as well as bereaved partners. Eligibility for payments is targeted with means testing and supplementary payments are available where people have additional costs, ensuring that assistance is directed to those with the greatest need. Recipients who have the capacity to work are required to actively seek work and may be required to attend training or work experience to improve their job prospects.</w:t>
      </w:r>
    </w:p>
    <w:p w:rsidR="00513FD2" w:rsidRPr="0097621B" w:rsidRDefault="00513FD2" w:rsidP="001F64C0">
      <w:pPr>
        <w:numPr>
          <w:ilvl w:val="0"/>
          <w:numId w:val="15"/>
        </w:numPr>
        <w:spacing w:before="120" w:after="120"/>
        <w:ind w:left="624" w:hanging="340"/>
        <w:rPr>
          <w:sz w:val="20"/>
        </w:rPr>
      </w:pPr>
      <w:r w:rsidRPr="0097621B">
        <w:rPr>
          <w:b/>
          <w:sz w:val="20"/>
        </w:rPr>
        <w:t>JobSeeker Payment</w:t>
      </w:r>
      <w:r w:rsidRPr="0097621B">
        <w:rPr>
          <w:sz w:val="20"/>
        </w:rPr>
        <w:t xml:space="preserve"> aims to provide the main income support payment for eligible people aged between </w:t>
      </w:r>
      <w:r w:rsidRPr="0097621B">
        <w:rPr>
          <w:b/>
          <w:sz w:val="20"/>
        </w:rPr>
        <w:t>22 years to Age Pension qualification age</w:t>
      </w:r>
      <w:r w:rsidRPr="0097621B">
        <w:rPr>
          <w:sz w:val="20"/>
        </w:rPr>
        <w:t xml:space="preserve"> who are looking for work, who temporarily cannot work or study because of an injury or illness, or bereaved partners in the period immediately following the death of their partners.</w:t>
      </w:r>
    </w:p>
    <w:p w:rsidR="00513FD2" w:rsidRPr="0097621B" w:rsidRDefault="00513FD2" w:rsidP="001F64C0">
      <w:pPr>
        <w:numPr>
          <w:ilvl w:val="0"/>
          <w:numId w:val="15"/>
        </w:numPr>
        <w:spacing w:before="120" w:after="120"/>
        <w:ind w:left="624" w:hanging="340"/>
        <w:rPr>
          <w:sz w:val="20"/>
        </w:rPr>
      </w:pPr>
      <w:r w:rsidRPr="0097621B">
        <w:rPr>
          <w:b/>
          <w:sz w:val="20"/>
        </w:rPr>
        <w:t>Parenting Payment</w:t>
      </w:r>
      <w:r w:rsidRPr="0097621B">
        <w:rPr>
          <w:sz w:val="20"/>
        </w:rPr>
        <w:t xml:space="preserve"> aims to provide an income support payment for </w:t>
      </w:r>
      <w:r w:rsidRPr="0097621B">
        <w:rPr>
          <w:b/>
          <w:sz w:val="20"/>
        </w:rPr>
        <w:t>single parents, partnered parents, or guardians</w:t>
      </w:r>
      <w:r w:rsidRPr="0097621B">
        <w:rPr>
          <w:sz w:val="20"/>
        </w:rPr>
        <w:t xml:space="preserve"> who have principal care for a young child; it provides them with incentives to</w:t>
      </w:r>
      <w:r w:rsidR="000B43AE">
        <w:rPr>
          <w:sz w:val="20"/>
        </w:rPr>
        <w:t> </w:t>
      </w:r>
      <w:r w:rsidRPr="0097621B">
        <w:rPr>
          <w:sz w:val="20"/>
        </w:rPr>
        <w:t>increase workforce participation.</w:t>
      </w:r>
    </w:p>
    <w:p w:rsidR="00513FD2" w:rsidRPr="0097621B" w:rsidRDefault="00513FD2" w:rsidP="001F64C0">
      <w:pPr>
        <w:numPr>
          <w:ilvl w:val="0"/>
          <w:numId w:val="15"/>
        </w:numPr>
        <w:spacing w:before="120" w:after="120"/>
        <w:ind w:left="624" w:hanging="340"/>
        <w:rPr>
          <w:sz w:val="20"/>
        </w:rPr>
      </w:pPr>
      <w:r w:rsidRPr="0097621B">
        <w:rPr>
          <w:b/>
          <w:sz w:val="20"/>
        </w:rPr>
        <w:t>Youth Allowance (Other)</w:t>
      </w:r>
      <w:r w:rsidRPr="0097621B">
        <w:rPr>
          <w:sz w:val="20"/>
        </w:rPr>
        <w:t xml:space="preserve"> aims to make payments to eligible </w:t>
      </w:r>
      <w:r w:rsidRPr="0097621B">
        <w:rPr>
          <w:b/>
          <w:sz w:val="20"/>
        </w:rPr>
        <w:t>young people 16 to 21 years</w:t>
      </w:r>
      <w:r w:rsidRPr="0097621B">
        <w:rPr>
          <w:sz w:val="20"/>
        </w:rPr>
        <w:t xml:space="preserve"> of age who are looking for full time work or undertaking approved activities.</w:t>
      </w:r>
    </w:p>
    <w:p w:rsidR="00513FD2" w:rsidRPr="0097621B" w:rsidRDefault="00513FD2" w:rsidP="00513FD2">
      <w:pPr>
        <w:spacing w:before="120" w:after="120"/>
        <w:rPr>
          <w:sz w:val="20"/>
        </w:rPr>
      </w:pPr>
      <w:r w:rsidRPr="0097621B">
        <w:rPr>
          <w:b/>
          <w:sz w:val="20"/>
        </w:rPr>
        <w:t>The department</w:t>
      </w:r>
      <w:r w:rsidRPr="0097621B">
        <w:rPr>
          <w:sz w:val="20"/>
        </w:rPr>
        <w:t xml:space="preserve"> is responsible for designing and implementing the key activity. This includes providing advice to Government on policy and legislation, program implementation and management, program performance, monitoring and meeting all relevant deliverables, setting guidelines and providing guidance and advice to Services Australia on the administration of the program. </w:t>
      </w:r>
      <w:r w:rsidRPr="0097621B">
        <w:rPr>
          <w:b/>
          <w:sz w:val="20"/>
        </w:rPr>
        <w:t>Services Australia</w:t>
      </w:r>
      <w:r w:rsidRPr="0097621B">
        <w:rPr>
          <w:sz w:val="20"/>
        </w:rPr>
        <w:t xml:space="preserve"> is the primary portfolio agency responsible for administering the key activities on the department’s behalf, including receiving, processing and managing payment applications, and delivering the JobSeeker Payment, Parenting Payment and Youth Allowance (Other).</w:t>
      </w:r>
    </w:p>
    <w:tbl>
      <w:tblPr>
        <w:tblStyle w:val="TableGrid393"/>
        <w:tblW w:w="5000" w:type="pct"/>
        <w:jc w:val="center"/>
        <w:tblLayout w:type="fixed"/>
        <w:tblLook w:val="04A0" w:firstRow="1" w:lastRow="0" w:firstColumn="1" w:lastColumn="0" w:noHBand="0" w:noVBand="1"/>
        <w:tblCaption w:val="1.5.1 performance measure and target"/>
        <w:tblDescription w:val="Table outlines the targeted payment percentages across 2022-23, 2023-24, 2024-25 and 2025-26"/>
      </w:tblPr>
      <w:tblGrid>
        <w:gridCol w:w="2720"/>
        <w:gridCol w:w="1727"/>
        <w:gridCol w:w="1727"/>
        <w:gridCol w:w="1727"/>
        <w:gridCol w:w="1727"/>
      </w:tblGrid>
      <w:tr w:rsidR="00513FD2" w:rsidRPr="0097621B" w:rsidTr="005B200F">
        <w:trPr>
          <w:cantSplit/>
          <w:trHeight w:val="356"/>
          <w:tblHeader/>
          <w:jc w:val="center"/>
        </w:trPr>
        <w:tc>
          <w:tcPr>
            <w:tcW w:w="5000" w:type="pct"/>
            <w:gridSpan w:val="5"/>
            <w:shd w:val="clear" w:color="auto" w:fill="D9D9D6"/>
          </w:tcPr>
          <w:p w:rsidR="00513FD2" w:rsidRPr="0097621B" w:rsidRDefault="00513FD2" w:rsidP="00513FD2">
            <w:pPr>
              <w:spacing w:before="120" w:after="120" w:line="259" w:lineRule="auto"/>
              <w:rPr>
                <w:rFonts w:cstheme="minorHAnsi"/>
                <w:b/>
                <w:sz w:val="20"/>
              </w:rPr>
            </w:pPr>
            <w:r w:rsidRPr="0097621B">
              <w:rPr>
                <w:rFonts w:cstheme="minorHAnsi"/>
                <w:b/>
                <w:sz w:val="20"/>
              </w:rPr>
              <w:t>Performance Measure</w:t>
            </w:r>
          </w:p>
        </w:tc>
      </w:tr>
      <w:tr w:rsidR="00513FD2" w:rsidRPr="0097621B" w:rsidTr="00513FD2">
        <w:trPr>
          <w:cantSplit/>
          <w:trHeight w:val="356"/>
          <w:jc w:val="center"/>
        </w:trPr>
        <w:tc>
          <w:tcPr>
            <w:tcW w:w="5000" w:type="pct"/>
            <w:gridSpan w:val="5"/>
            <w:shd w:val="clear" w:color="auto" w:fill="auto"/>
          </w:tcPr>
          <w:p w:rsidR="00513FD2" w:rsidRPr="0097621B" w:rsidRDefault="00513FD2" w:rsidP="00513FD2">
            <w:pPr>
              <w:spacing w:before="120" w:after="120" w:line="259" w:lineRule="auto"/>
              <w:rPr>
                <w:sz w:val="20"/>
              </w:rPr>
            </w:pPr>
            <w:r w:rsidRPr="0097621B">
              <w:rPr>
                <w:sz w:val="20"/>
              </w:rPr>
              <w:t>1.5.1-1 Extent to which payments are made to, or with respect to, people unable to fully support themselves.</w:t>
            </w:r>
          </w:p>
        </w:tc>
      </w:tr>
      <w:tr w:rsidR="00513FD2" w:rsidRPr="0097621B" w:rsidTr="00513FD2">
        <w:trPr>
          <w:cantSplit/>
          <w:trHeight w:val="356"/>
          <w:jc w:val="center"/>
        </w:trPr>
        <w:tc>
          <w:tcPr>
            <w:tcW w:w="1412" w:type="pct"/>
            <w:shd w:val="clear" w:color="auto" w:fill="D9D9D6"/>
          </w:tcPr>
          <w:p w:rsidR="00513FD2" w:rsidRPr="0097621B" w:rsidRDefault="00513FD2" w:rsidP="00513FD2">
            <w:pPr>
              <w:spacing w:before="120" w:after="120" w:line="259" w:lineRule="auto"/>
              <w:rPr>
                <w:rFonts w:cstheme="minorHAnsi"/>
                <w:b/>
                <w:sz w:val="20"/>
              </w:rPr>
            </w:pPr>
            <w:r w:rsidRPr="0097621B">
              <w:rPr>
                <w:rFonts w:cstheme="minorHAnsi"/>
                <w:b/>
                <w:sz w:val="20"/>
              </w:rPr>
              <w:t>Target</w:t>
            </w:r>
          </w:p>
        </w:tc>
        <w:tc>
          <w:tcPr>
            <w:tcW w:w="897"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2022–23</w:t>
            </w:r>
          </w:p>
        </w:tc>
        <w:tc>
          <w:tcPr>
            <w:tcW w:w="897"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2023–24</w:t>
            </w:r>
          </w:p>
        </w:tc>
        <w:tc>
          <w:tcPr>
            <w:tcW w:w="897"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2024–25</w:t>
            </w:r>
          </w:p>
        </w:tc>
        <w:tc>
          <w:tcPr>
            <w:tcW w:w="897"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2025–26</w:t>
            </w:r>
          </w:p>
        </w:tc>
      </w:tr>
      <w:tr w:rsidR="00513FD2" w:rsidRPr="0097621B" w:rsidTr="00513FD2">
        <w:trPr>
          <w:cantSplit/>
          <w:trHeight w:val="356"/>
          <w:jc w:val="center"/>
        </w:trPr>
        <w:tc>
          <w:tcPr>
            <w:tcW w:w="1412" w:type="pct"/>
            <w:shd w:val="clear" w:color="auto" w:fill="FFFFFF" w:themeFill="background1"/>
          </w:tcPr>
          <w:p w:rsidR="00513FD2" w:rsidRPr="0097621B" w:rsidRDefault="00513FD2" w:rsidP="00513FD2">
            <w:pPr>
              <w:spacing w:before="120" w:after="120" w:line="259" w:lineRule="auto"/>
              <w:rPr>
                <w:rFonts w:cstheme="minorHAnsi"/>
                <w:sz w:val="20"/>
              </w:rPr>
            </w:pPr>
            <w:r w:rsidRPr="0097621B">
              <w:rPr>
                <w:rFonts w:cstheme="minorHAnsi"/>
                <w:noProof/>
                <w:sz w:val="20"/>
                <w:lang w:eastAsia="en-AU"/>
              </w:rPr>
              <w:sym w:font="Wingdings" w:char="F074"/>
            </w:r>
            <w:r w:rsidRPr="0097621B">
              <w:rPr>
                <w:rFonts w:cstheme="minorHAnsi"/>
                <w:noProof/>
                <w:sz w:val="20"/>
                <w:lang w:eastAsia="en-AU"/>
              </w:rPr>
              <w:t xml:space="preserve">1.5-1A </w:t>
            </w:r>
            <w:r w:rsidRPr="0097621B">
              <w:rPr>
                <w:rFonts w:cstheme="minorHAnsi"/>
                <w:sz w:val="20"/>
              </w:rPr>
              <w:t>Changes in recipient numbers align with movements in the unemployment rate.</w:t>
            </w:r>
          </w:p>
        </w:tc>
        <w:tc>
          <w:tcPr>
            <w:tcW w:w="897" w:type="pct"/>
            <w:shd w:val="clear" w:color="auto" w:fill="FFFFFF" w:themeFill="background1"/>
            <w:vAlign w:val="center"/>
          </w:tcPr>
          <w:p w:rsidR="00513FD2" w:rsidRPr="0097621B" w:rsidRDefault="00513FD2" w:rsidP="00513FD2">
            <w:pPr>
              <w:spacing w:before="120" w:after="120" w:line="259" w:lineRule="auto"/>
              <w:rPr>
                <w:rFonts w:cstheme="minorHAnsi"/>
                <w:sz w:val="20"/>
              </w:rPr>
            </w:pPr>
            <w:r w:rsidRPr="0097621B">
              <w:rPr>
                <w:rFonts w:cstheme="minorHAnsi"/>
                <w:sz w:val="20"/>
              </w:rPr>
              <w:t>Recipient numbers and unemployment rate are positively correlated</w:t>
            </w:r>
          </w:p>
        </w:tc>
        <w:tc>
          <w:tcPr>
            <w:tcW w:w="897" w:type="pct"/>
            <w:shd w:val="clear" w:color="auto" w:fill="FFFFFF" w:themeFill="background1"/>
            <w:vAlign w:val="center"/>
          </w:tcPr>
          <w:p w:rsidR="00513FD2" w:rsidRPr="0097621B" w:rsidRDefault="00513FD2" w:rsidP="00513FD2">
            <w:pPr>
              <w:spacing w:before="120" w:after="120" w:line="259" w:lineRule="auto"/>
              <w:rPr>
                <w:rFonts w:cstheme="minorHAnsi"/>
                <w:sz w:val="20"/>
              </w:rPr>
            </w:pPr>
            <w:r w:rsidRPr="0097621B">
              <w:rPr>
                <w:rFonts w:cstheme="minorHAnsi"/>
                <w:sz w:val="20"/>
              </w:rPr>
              <w:t>Recipient numbers and unemployment rate are positively correlated</w:t>
            </w:r>
          </w:p>
        </w:tc>
        <w:tc>
          <w:tcPr>
            <w:tcW w:w="897" w:type="pct"/>
            <w:shd w:val="clear" w:color="auto" w:fill="FFFFFF" w:themeFill="background1"/>
            <w:vAlign w:val="center"/>
          </w:tcPr>
          <w:p w:rsidR="00513FD2" w:rsidRPr="0097621B" w:rsidRDefault="00513FD2" w:rsidP="00513FD2">
            <w:pPr>
              <w:spacing w:before="120" w:after="120" w:line="259" w:lineRule="auto"/>
              <w:rPr>
                <w:rFonts w:cstheme="minorHAnsi"/>
                <w:sz w:val="20"/>
              </w:rPr>
            </w:pPr>
            <w:r w:rsidRPr="0097621B">
              <w:rPr>
                <w:rFonts w:cstheme="minorHAnsi"/>
                <w:sz w:val="20"/>
              </w:rPr>
              <w:t>Recipient numbers and unemployment rate are positively correlated</w:t>
            </w:r>
          </w:p>
        </w:tc>
        <w:tc>
          <w:tcPr>
            <w:tcW w:w="897" w:type="pct"/>
            <w:shd w:val="clear" w:color="auto" w:fill="FFFFFF" w:themeFill="background1"/>
            <w:vAlign w:val="center"/>
          </w:tcPr>
          <w:p w:rsidR="00513FD2" w:rsidRPr="0097621B" w:rsidRDefault="00513FD2" w:rsidP="00513FD2">
            <w:pPr>
              <w:spacing w:before="120" w:after="120" w:line="259" w:lineRule="auto"/>
              <w:rPr>
                <w:rFonts w:cstheme="minorHAnsi"/>
                <w:sz w:val="20"/>
              </w:rPr>
            </w:pPr>
            <w:r w:rsidRPr="0097621B">
              <w:rPr>
                <w:rFonts w:cstheme="minorHAnsi"/>
                <w:sz w:val="20"/>
              </w:rPr>
              <w:t>Recipient numbers and unemployment rate are positively correlated</w:t>
            </w:r>
          </w:p>
        </w:tc>
      </w:tr>
    </w:tbl>
    <w:p w:rsidR="00513FD2" w:rsidRPr="0097621B" w:rsidRDefault="00513FD2" w:rsidP="00513FD2">
      <w:pPr>
        <w:shd w:val="clear" w:color="auto" w:fill="B1E4E3"/>
        <w:spacing w:before="120" w:after="120"/>
        <w:rPr>
          <w:b/>
          <w:sz w:val="20"/>
        </w:rPr>
      </w:pPr>
      <w:r w:rsidRPr="0097621B">
        <w:rPr>
          <w:b/>
          <w:sz w:val="20"/>
        </w:rPr>
        <w:t>Rationale</w:t>
      </w:r>
    </w:p>
    <w:p w:rsidR="00513FD2" w:rsidRPr="0097621B" w:rsidRDefault="00513FD2" w:rsidP="00513FD2">
      <w:pPr>
        <w:spacing w:before="120" w:after="120"/>
        <w:rPr>
          <w:sz w:val="20"/>
        </w:rPr>
      </w:pPr>
      <w:r w:rsidRPr="0097621B">
        <w:rPr>
          <w:sz w:val="20"/>
        </w:rPr>
        <w:t xml:space="preserve">Measuring the </w:t>
      </w:r>
      <w:r w:rsidRPr="0097621B">
        <w:rPr>
          <w:i/>
          <w:sz w:val="20"/>
        </w:rPr>
        <w:t>Extent to which payments are made to, or with respect to, people unable to fully support themselves</w:t>
      </w:r>
      <w:r w:rsidRPr="0097621B">
        <w:rPr>
          <w:sz w:val="20"/>
        </w:rPr>
        <w:t xml:space="preserve"> aims to demonstrate that people who are temporarily unable to support themselves through work or have a limited capacity to work due to disability or caring responsibilities, are assisted financially. This</w:t>
      </w:r>
      <w:r w:rsidR="000B43AE">
        <w:rPr>
          <w:sz w:val="20"/>
        </w:rPr>
        <w:t> </w:t>
      </w:r>
      <w:r w:rsidRPr="0097621B">
        <w:rPr>
          <w:sz w:val="20"/>
        </w:rPr>
        <w:t xml:space="preserve">measure demonstrates the </w:t>
      </w:r>
      <w:r w:rsidRPr="0097621B">
        <w:rPr>
          <w:b/>
          <w:sz w:val="20"/>
        </w:rPr>
        <w:t>effectiveness</w:t>
      </w:r>
      <w:r w:rsidRPr="0097621B">
        <w:rPr>
          <w:sz w:val="20"/>
        </w:rPr>
        <w:t xml:space="preserve"> of the JobSeeker Payment, Parenting Payment &amp; Youth Allowance (Other) in achieving the objectives of the key activities: </w:t>
      </w:r>
      <w:r w:rsidRPr="0097621B">
        <w:rPr>
          <w:i/>
          <w:sz w:val="20"/>
        </w:rPr>
        <w:t>To financially assist people who are temporarily unable to support themselves through work or have a limited capacity to work.</w:t>
      </w:r>
    </w:p>
    <w:p w:rsidR="00513FD2" w:rsidRPr="0097621B" w:rsidRDefault="00513FD2" w:rsidP="00513FD2">
      <w:pPr>
        <w:spacing w:before="120" w:after="120"/>
        <w:rPr>
          <w:sz w:val="20"/>
        </w:rPr>
      </w:pPr>
      <w:r w:rsidRPr="0097621B">
        <w:rPr>
          <w:sz w:val="20"/>
        </w:rPr>
        <w:t xml:space="preserve">The extent to which </w:t>
      </w:r>
      <w:r w:rsidRPr="0097621B">
        <w:rPr>
          <w:i/>
          <w:sz w:val="20"/>
        </w:rPr>
        <w:t>changes in recipient numbers align with movements in the unemployment rate</w:t>
      </w:r>
      <w:r w:rsidRPr="0097621B">
        <w:rPr>
          <w:sz w:val="20"/>
        </w:rPr>
        <w:t xml:space="preserve"> demonstrates </w:t>
      </w:r>
      <w:r w:rsidRPr="0097621B">
        <w:rPr>
          <w:b/>
          <w:sz w:val="20"/>
        </w:rPr>
        <w:t>effectiveness</w:t>
      </w:r>
      <w:r w:rsidRPr="0097621B">
        <w:rPr>
          <w:sz w:val="20"/>
        </w:rPr>
        <w:t>, by showing how the system responds to need in the community when unemployment rates are high and that those leaving Working Age Payments are able to support themselves through work when unemployment rates are low. It also demonstrates the effectiveness of payment policy in</w:t>
      </w:r>
      <w:r w:rsidR="000B43AE">
        <w:rPr>
          <w:sz w:val="20"/>
        </w:rPr>
        <w:t> </w:t>
      </w:r>
      <w:r w:rsidRPr="0097621B">
        <w:rPr>
          <w:sz w:val="20"/>
        </w:rPr>
        <w:t xml:space="preserve">providing the right incentives for income support recipients to take up available work. </w:t>
      </w:r>
    </w:p>
    <w:p w:rsidR="00001B01" w:rsidRDefault="00460EC7" w:rsidP="005B6BFD">
      <w:pPr>
        <w:spacing w:before="0" w:after="0" w:line="240" w:lineRule="auto"/>
        <w:rPr>
          <w:sz w:val="20"/>
        </w:rPr>
      </w:pPr>
      <w:r w:rsidRPr="00460EC7">
        <w:rPr>
          <w:sz w:val="20"/>
        </w:rPr>
        <w:lastRenderedPageBreak/>
        <w:t xml:space="preserve">The unemployment rate and the number of people supported by working age payments have both trended downwards over the past year. As the economy continues to recover from the COVID-19 pandemic, the department will continue to closely monitor these indicators, giving consideration to whether the current measure and target are the best option for assessing the effectiveness of the Working Age Payments program. </w:t>
      </w:r>
    </w:p>
    <w:p w:rsidR="00001B01" w:rsidRPr="0097621B" w:rsidRDefault="00DA6F93" w:rsidP="00513FD2">
      <w:pPr>
        <w:shd w:val="clear" w:color="auto" w:fill="B1E4E3"/>
        <w:spacing w:before="120" w:after="120"/>
        <w:rPr>
          <w:b/>
          <w:sz w:val="20"/>
        </w:rPr>
      </w:pPr>
      <w:r>
        <w:rPr>
          <w:b/>
          <w:sz w:val="20"/>
        </w:rPr>
        <w:t>M</w:t>
      </w:r>
      <w:r w:rsidR="00513FD2" w:rsidRPr="0097621B">
        <w:rPr>
          <w:b/>
          <w:sz w:val="20"/>
        </w:rPr>
        <w:t>ethodology</w:t>
      </w:r>
    </w:p>
    <w:p w:rsidR="00603361" w:rsidRPr="00603361" w:rsidRDefault="00603361" w:rsidP="00513FD2">
      <w:pPr>
        <w:spacing w:before="120" w:after="120"/>
        <w:rPr>
          <w:sz w:val="22"/>
        </w:rPr>
      </w:pPr>
      <w:r w:rsidRPr="00603361">
        <w:rPr>
          <w:sz w:val="20"/>
          <w:szCs w:val="18"/>
        </w:rPr>
        <w:t>The performance measure is calculated by comparing the number of people supported by working age payments with the unemployment rate on a month-to-month basis. This assesses the consistency of the number of recipients of working age payments with the unemployment rate, and whether changes to the unemployment rate are reflected in the number of recipients of working age payments.</w:t>
      </w:r>
    </w:p>
    <w:p w:rsidR="00513FD2" w:rsidRPr="0097621B" w:rsidRDefault="00513FD2" w:rsidP="00513FD2">
      <w:pPr>
        <w:spacing w:before="120" w:after="120"/>
        <w:rPr>
          <w:sz w:val="20"/>
        </w:rPr>
      </w:pPr>
      <w:r w:rsidRPr="0097621B">
        <w:rPr>
          <w:sz w:val="20"/>
        </w:rPr>
        <w:t xml:space="preserve">The </w:t>
      </w:r>
      <w:r w:rsidRPr="0097621B">
        <w:rPr>
          <w:i/>
          <w:sz w:val="20"/>
        </w:rPr>
        <w:t>number of people supported by Working Age Payments</w:t>
      </w:r>
      <w:r w:rsidRPr="0097621B">
        <w:rPr>
          <w:sz w:val="20"/>
        </w:rPr>
        <w:t xml:space="preserve"> is calculated using the number of recipients of:</w:t>
      </w:r>
    </w:p>
    <w:p w:rsidR="00513FD2" w:rsidRPr="0097621B" w:rsidRDefault="00513FD2" w:rsidP="00762037">
      <w:pPr>
        <w:numPr>
          <w:ilvl w:val="0"/>
          <w:numId w:val="16"/>
        </w:numPr>
        <w:autoSpaceDE w:val="0"/>
        <w:autoSpaceDN w:val="0"/>
        <w:adjustRightInd w:val="0"/>
        <w:spacing w:before="0" w:after="0" w:line="240" w:lineRule="auto"/>
        <w:ind w:left="624" w:hanging="340"/>
        <w:rPr>
          <w:sz w:val="20"/>
        </w:rPr>
      </w:pPr>
      <w:r w:rsidRPr="0097621B">
        <w:rPr>
          <w:sz w:val="20"/>
        </w:rPr>
        <w:t>JobSeeker Payment</w:t>
      </w:r>
    </w:p>
    <w:p w:rsidR="00513FD2" w:rsidRPr="0097621B" w:rsidRDefault="00513FD2" w:rsidP="00762037">
      <w:pPr>
        <w:numPr>
          <w:ilvl w:val="0"/>
          <w:numId w:val="16"/>
        </w:numPr>
        <w:autoSpaceDE w:val="0"/>
        <w:autoSpaceDN w:val="0"/>
        <w:adjustRightInd w:val="0"/>
        <w:spacing w:before="0" w:after="0" w:line="240" w:lineRule="auto"/>
        <w:ind w:left="624" w:hanging="340"/>
        <w:rPr>
          <w:sz w:val="20"/>
        </w:rPr>
      </w:pPr>
      <w:r w:rsidRPr="0097621B">
        <w:rPr>
          <w:sz w:val="20"/>
        </w:rPr>
        <w:t>Parenting Payment (Partnered + Single)</w:t>
      </w:r>
    </w:p>
    <w:p w:rsidR="00513FD2" w:rsidRPr="0097621B" w:rsidRDefault="00513FD2" w:rsidP="00762037">
      <w:pPr>
        <w:numPr>
          <w:ilvl w:val="0"/>
          <w:numId w:val="16"/>
        </w:numPr>
        <w:autoSpaceDE w:val="0"/>
        <w:autoSpaceDN w:val="0"/>
        <w:adjustRightInd w:val="0"/>
        <w:spacing w:before="0" w:after="0" w:line="240" w:lineRule="auto"/>
        <w:ind w:left="624" w:hanging="340"/>
        <w:rPr>
          <w:sz w:val="20"/>
        </w:rPr>
      </w:pPr>
      <w:r w:rsidRPr="0097621B">
        <w:rPr>
          <w:sz w:val="20"/>
        </w:rPr>
        <w:t>Youth Allowance (Other).</w:t>
      </w:r>
    </w:p>
    <w:p w:rsidR="00513FD2" w:rsidRPr="0097621B" w:rsidRDefault="00513FD2" w:rsidP="00513FD2">
      <w:pPr>
        <w:spacing w:before="120" w:after="120"/>
        <w:rPr>
          <w:sz w:val="20"/>
        </w:rPr>
      </w:pPr>
      <w:r w:rsidRPr="0097621B">
        <w:rPr>
          <w:sz w:val="20"/>
        </w:rPr>
        <w:t xml:space="preserve">The </w:t>
      </w:r>
      <w:r w:rsidRPr="0097621B">
        <w:rPr>
          <w:i/>
          <w:sz w:val="20"/>
        </w:rPr>
        <w:t>unemployment rate</w:t>
      </w:r>
      <w:r w:rsidRPr="0097621B">
        <w:rPr>
          <w:sz w:val="20"/>
        </w:rPr>
        <w:t xml:space="preserve"> uses the Australian Bureau of Statistics, Labour Force Survey - Seasonally adjusted unemployment rate.</w:t>
      </w:r>
    </w:p>
    <w:p w:rsidR="00513FD2" w:rsidRPr="0097621B" w:rsidRDefault="00513FD2" w:rsidP="00513FD2">
      <w:pPr>
        <w:spacing w:before="120" w:after="120"/>
        <w:rPr>
          <w:sz w:val="20"/>
        </w:rPr>
      </w:pPr>
      <w:r w:rsidRPr="0097621B">
        <w:rPr>
          <w:sz w:val="20"/>
        </w:rPr>
        <w:t xml:space="preserve">The </w:t>
      </w:r>
      <w:r w:rsidRPr="0097621B">
        <w:rPr>
          <w:b/>
          <w:sz w:val="20"/>
        </w:rPr>
        <w:t>data sources</w:t>
      </w:r>
      <w:r w:rsidRPr="0097621B">
        <w:rPr>
          <w:sz w:val="20"/>
        </w:rPr>
        <w:t xml:space="preserve"> used for this calculation are:</w:t>
      </w:r>
    </w:p>
    <w:p w:rsidR="00513FD2" w:rsidRPr="0097621B" w:rsidRDefault="00513FD2" w:rsidP="00762037">
      <w:pPr>
        <w:numPr>
          <w:ilvl w:val="0"/>
          <w:numId w:val="16"/>
        </w:numPr>
        <w:autoSpaceDE w:val="0"/>
        <w:autoSpaceDN w:val="0"/>
        <w:adjustRightInd w:val="0"/>
        <w:spacing w:before="0" w:after="0" w:line="240" w:lineRule="auto"/>
        <w:ind w:left="624" w:hanging="340"/>
        <w:rPr>
          <w:sz w:val="20"/>
        </w:rPr>
      </w:pPr>
      <w:r w:rsidRPr="0097621B">
        <w:rPr>
          <w:sz w:val="20"/>
        </w:rPr>
        <w:t>Services Australia administrative data</w:t>
      </w:r>
    </w:p>
    <w:p w:rsidR="00513FD2" w:rsidRPr="0097621B" w:rsidRDefault="00513FD2" w:rsidP="00762037">
      <w:pPr>
        <w:numPr>
          <w:ilvl w:val="0"/>
          <w:numId w:val="16"/>
        </w:numPr>
        <w:autoSpaceDE w:val="0"/>
        <w:autoSpaceDN w:val="0"/>
        <w:adjustRightInd w:val="0"/>
        <w:spacing w:before="0" w:after="0" w:line="240" w:lineRule="auto"/>
        <w:ind w:left="624" w:hanging="340"/>
        <w:rPr>
          <w:sz w:val="20"/>
        </w:rPr>
      </w:pPr>
      <w:r w:rsidRPr="0097621B">
        <w:rPr>
          <w:sz w:val="20"/>
        </w:rPr>
        <w:t>Australian Bureau of Statistics, Labour Force Survey - Seasonally adjusted unemployment rate.</w:t>
      </w:r>
    </w:p>
    <w:p w:rsidR="00513FD2" w:rsidRPr="0097621B" w:rsidRDefault="00513FD2" w:rsidP="00513FD2">
      <w:pPr>
        <w:shd w:val="clear" w:color="auto" w:fill="B1E4E3"/>
        <w:spacing w:before="120" w:after="120"/>
        <w:rPr>
          <w:b/>
          <w:sz w:val="20"/>
        </w:rPr>
      </w:pPr>
      <w:r w:rsidRPr="0097621B">
        <w:rPr>
          <w:b/>
          <w:sz w:val="20"/>
        </w:rPr>
        <w:t>Program Outputs</w:t>
      </w:r>
    </w:p>
    <w:p w:rsidR="00513FD2" w:rsidRPr="0097621B" w:rsidRDefault="00513FD2" w:rsidP="00762037">
      <w:pPr>
        <w:numPr>
          <w:ilvl w:val="0"/>
          <w:numId w:val="16"/>
        </w:numPr>
        <w:autoSpaceDE w:val="0"/>
        <w:autoSpaceDN w:val="0"/>
        <w:adjustRightInd w:val="0"/>
        <w:spacing w:before="0" w:after="0" w:line="240" w:lineRule="auto"/>
        <w:ind w:left="624" w:hanging="340"/>
        <w:rPr>
          <w:sz w:val="20"/>
        </w:rPr>
      </w:pPr>
      <w:r w:rsidRPr="0097621B">
        <w:rPr>
          <w:sz w:val="20"/>
        </w:rPr>
        <w:t>Administered outlays</w:t>
      </w:r>
    </w:p>
    <w:p w:rsidR="00513FD2" w:rsidRPr="0097621B" w:rsidRDefault="00513FD2" w:rsidP="00762037">
      <w:pPr>
        <w:numPr>
          <w:ilvl w:val="0"/>
          <w:numId w:val="15"/>
        </w:numPr>
        <w:spacing w:before="0" w:after="0" w:line="240" w:lineRule="auto"/>
        <w:ind w:left="624" w:hanging="340"/>
        <w:rPr>
          <w:sz w:val="20"/>
        </w:rPr>
      </w:pPr>
      <w:r w:rsidRPr="0097621B">
        <w:rPr>
          <w:sz w:val="20"/>
        </w:rPr>
        <w:t>Number of recipients</w:t>
      </w:r>
    </w:p>
    <w:p w:rsidR="00513FD2" w:rsidRPr="0097621B" w:rsidRDefault="00513FD2" w:rsidP="00762037">
      <w:pPr>
        <w:numPr>
          <w:ilvl w:val="0"/>
          <w:numId w:val="15"/>
        </w:numPr>
        <w:spacing w:before="0" w:after="0" w:line="240" w:lineRule="auto"/>
        <w:ind w:left="624" w:hanging="340"/>
        <w:rPr>
          <w:sz w:val="20"/>
        </w:rPr>
      </w:pPr>
      <w:r w:rsidRPr="0097621B">
        <w:rPr>
          <w:sz w:val="20"/>
        </w:rPr>
        <w:t>Payment accuracy</w:t>
      </w:r>
    </w:p>
    <w:p w:rsidR="00513FD2" w:rsidRPr="0097621B" w:rsidRDefault="00513FD2" w:rsidP="00513FD2">
      <w:pPr>
        <w:spacing w:before="120" w:after="120"/>
        <w:rPr>
          <w:rFonts w:cstheme="minorHAnsi"/>
          <w:sz w:val="20"/>
        </w:rPr>
      </w:pPr>
      <w:r w:rsidRPr="0097621B">
        <w:rPr>
          <w:rFonts w:cstheme="minorHAnsi"/>
          <w:sz w:val="20"/>
        </w:rPr>
        <w:br w:type="page"/>
      </w:r>
    </w:p>
    <w:p w:rsidR="00513FD2" w:rsidRPr="0097621B" w:rsidRDefault="00513FD2" w:rsidP="00513FD2">
      <w:pPr>
        <w:shd w:val="clear" w:color="auto" w:fill="005A70"/>
        <w:spacing w:before="120" w:after="120"/>
        <w:rPr>
          <w:rFonts w:cstheme="minorHAnsi"/>
          <w:color w:val="FFFFFF" w:themeColor="background1"/>
          <w:sz w:val="20"/>
        </w:rPr>
      </w:pPr>
      <w:r w:rsidRPr="0097621B">
        <w:rPr>
          <w:rFonts w:cstheme="minorHAnsi"/>
          <w:b/>
          <w:color w:val="FFFFFF" w:themeColor="background1"/>
          <w:sz w:val="20"/>
        </w:rPr>
        <w:lastRenderedPageBreak/>
        <w:t>PROGRAM 1.6 STUDENT PAYMENTS</w:t>
      </w:r>
      <w:r w:rsidRPr="0097621B">
        <w:rPr>
          <w:rFonts w:cstheme="minorHAnsi"/>
          <w:color w:val="FFFFFF" w:themeColor="background1"/>
          <w:sz w:val="20"/>
        </w:rPr>
        <w:t xml:space="preserve"> </w:t>
      </w:r>
    </w:p>
    <w:p w:rsidR="00513FD2" w:rsidRPr="0097621B" w:rsidRDefault="00513FD2" w:rsidP="00513FD2">
      <w:pPr>
        <w:shd w:val="clear" w:color="auto" w:fill="005A70"/>
        <w:spacing w:before="120" w:after="120"/>
        <w:rPr>
          <w:rFonts w:cstheme="minorHAnsi"/>
          <w:color w:val="FFFFFF" w:themeColor="background1"/>
          <w:sz w:val="20"/>
        </w:rPr>
      </w:pPr>
      <w:r w:rsidRPr="0097621B">
        <w:rPr>
          <w:rFonts w:cstheme="minorHAnsi"/>
          <w:color w:val="FFFFFF" w:themeColor="background1"/>
          <w:sz w:val="20"/>
        </w:rPr>
        <w:t>To support eligible students whilst they undertake education and training, so that they can gain employment. To increase access and participation by Indigenous Australian students in secondary and tertiary education and accelerate their educational outcomes.</w:t>
      </w:r>
    </w:p>
    <w:p w:rsidR="00513FD2" w:rsidRPr="0097621B" w:rsidRDefault="00513FD2" w:rsidP="00513FD2">
      <w:pPr>
        <w:shd w:val="clear" w:color="auto" w:fill="B1E4E3"/>
        <w:spacing w:before="120" w:after="120"/>
        <w:rPr>
          <w:rFonts w:cstheme="minorHAnsi"/>
          <w:b/>
          <w:sz w:val="20"/>
        </w:rPr>
      </w:pPr>
      <w:r w:rsidRPr="0097621B">
        <w:rPr>
          <w:rFonts w:cstheme="minorHAnsi"/>
          <w:b/>
          <w:sz w:val="20"/>
        </w:rPr>
        <w:t xml:space="preserve">Key Activity — 1.6.1 Youth Allowance (Student), Austudy, ABSTUDY </w:t>
      </w:r>
    </w:p>
    <w:p w:rsidR="00513FD2" w:rsidRPr="0097621B" w:rsidRDefault="00513FD2" w:rsidP="00513FD2">
      <w:pPr>
        <w:spacing w:before="120" w:after="120"/>
        <w:rPr>
          <w:rFonts w:cstheme="minorHAnsi"/>
          <w:sz w:val="20"/>
        </w:rPr>
      </w:pPr>
      <w:r w:rsidRPr="0097621B">
        <w:rPr>
          <w:rFonts w:cstheme="minorHAnsi"/>
          <w:sz w:val="20"/>
        </w:rPr>
        <w:t>Youth Allowance (Student), Austudy and ABSTUDY are key activities of the Student Payments program.</w:t>
      </w:r>
    </w:p>
    <w:p w:rsidR="00513FD2" w:rsidRPr="0097621B" w:rsidRDefault="00513FD2" w:rsidP="00762037">
      <w:pPr>
        <w:numPr>
          <w:ilvl w:val="0"/>
          <w:numId w:val="16"/>
        </w:numPr>
        <w:autoSpaceDE w:val="0"/>
        <w:autoSpaceDN w:val="0"/>
        <w:adjustRightInd w:val="0"/>
        <w:spacing w:before="0" w:after="0"/>
        <w:ind w:left="624" w:hanging="340"/>
        <w:rPr>
          <w:rFonts w:cstheme="minorHAnsi"/>
          <w:color w:val="000000"/>
          <w:sz w:val="20"/>
        </w:rPr>
      </w:pPr>
      <w:r w:rsidRPr="0097621B">
        <w:rPr>
          <w:rFonts w:cstheme="minorHAnsi"/>
          <w:b/>
          <w:bCs/>
          <w:color w:val="000000"/>
          <w:sz w:val="20"/>
        </w:rPr>
        <w:t xml:space="preserve">Youth Allowance (Student) </w:t>
      </w:r>
      <w:r w:rsidRPr="0097621B">
        <w:rPr>
          <w:rFonts w:cstheme="minorHAnsi"/>
          <w:color w:val="000000"/>
          <w:sz w:val="20"/>
        </w:rPr>
        <w:t xml:space="preserve">aims to make payments to eligible </w:t>
      </w:r>
      <w:r w:rsidRPr="0097621B">
        <w:rPr>
          <w:rFonts w:cstheme="minorHAnsi"/>
          <w:b/>
          <w:bCs/>
          <w:color w:val="000000"/>
          <w:sz w:val="20"/>
        </w:rPr>
        <w:t>students or apprentices aged 16</w:t>
      </w:r>
      <w:r w:rsidR="000B43AE">
        <w:rPr>
          <w:rFonts w:cstheme="minorHAnsi"/>
          <w:b/>
          <w:bCs/>
          <w:color w:val="000000"/>
          <w:sz w:val="20"/>
        </w:rPr>
        <w:t> </w:t>
      </w:r>
      <w:r w:rsidRPr="0097621B">
        <w:rPr>
          <w:rFonts w:cstheme="minorHAnsi"/>
          <w:b/>
          <w:bCs/>
          <w:color w:val="000000"/>
          <w:sz w:val="20"/>
        </w:rPr>
        <w:t>to</w:t>
      </w:r>
      <w:r w:rsidR="000B43AE">
        <w:rPr>
          <w:rFonts w:cstheme="minorHAnsi"/>
          <w:b/>
          <w:bCs/>
          <w:color w:val="000000"/>
          <w:sz w:val="20"/>
        </w:rPr>
        <w:t> </w:t>
      </w:r>
      <w:r w:rsidRPr="0097621B">
        <w:rPr>
          <w:rFonts w:cstheme="minorHAnsi"/>
          <w:b/>
          <w:bCs/>
          <w:color w:val="000000"/>
          <w:sz w:val="20"/>
        </w:rPr>
        <w:t xml:space="preserve">24 years </w:t>
      </w:r>
      <w:r w:rsidRPr="0097621B">
        <w:rPr>
          <w:rFonts w:cstheme="minorHAnsi"/>
          <w:color w:val="000000"/>
          <w:sz w:val="20"/>
        </w:rPr>
        <w:t xml:space="preserve">who are in need of financial assistance to undertake education or training. </w:t>
      </w:r>
    </w:p>
    <w:p w:rsidR="00513FD2" w:rsidRPr="0097621B" w:rsidRDefault="00513FD2" w:rsidP="00762037">
      <w:pPr>
        <w:numPr>
          <w:ilvl w:val="0"/>
          <w:numId w:val="16"/>
        </w:numPr>
        <w:autoSpaceDE w:val="0"/>
        <w:autoSpaceDN w:val="0"/>
        <w:adjustRightInd w:val="0"/>
        <w:spacing w:before="0" w:after="0"/>
        <w:ind w:left="624" w:hanging="340"/>
        <w:rPr>
          <w:rFonts w:cstheme="minorHAnsi"/>
          <w:color w:val="000000"/>
          <w:sz w:val="20"/>
        </w:rPr>
      </w:pPr>
      <w:r w:rsidRPr="0097621B">
        <w:rPr>
          <w:rFonts w:cstheme="minorHAnsi"/>
          <w:b/>
          <w:bCs/>
          <w:color w:val="000000"/>
          <w:sz w:val="20"/>
        </w:rPr>
        <w:t xml:space="preserve">Austudy </w:t>
      </w:r>
      <w:r w:rsidRPr="0097621B">
        <w:rPr>
          <w:rFonts w:cstheme="minorHAnsi"/>
          <w:color w:val="000000"/>
          <w:sz w:val="20"/>
        </w:rPr>
        <w:t xml:space="preserve">aims to make payments to eligible </w:t>
      </w:r>
      <w:r w:rsidRPr="0097621B">
        <w:rPr>
          <w:rFonts w:cstheme="minorHAnsi"/>
          <w:b/>
          <w:bCs/>
          <w:color w:val="000000"/>
          <w:sz w:val="20"/>
        </w:rPr>
        <w:t xml:space="preserve">students or apprentices aged 25 years and over </w:t>
      </w:r>
      <w:r w:rsidRPr="0097621B">
        <w:rPr>
          <w:rFonts w:cstheme="minorHAnsi"/>
          <w:color w:val="000000"/>
          <w:sz w:val="20"/>
        </w:rPr>
        <w:t xml:space="preserve">who are in need of financial assistance to undertake education or training. </w:t>
      </w:r>
    </w:p>
    <w:p w:rsidR="00513FD2" w:rsidRPr="0097621B" w:rsidRDefault="00513FD2" w:rsidP="00762037">
      <w:pPr>
        <w:numPr>
          <w:ilvl w:val="0"/>
          <w:numId w:val="16"/>
        </w:numPr>
        <w:autoSpaceDE w:val="0"/>
        <w:autoSpaceDN w:val="0"/>
        <w:adjustRightInd w:val="0"/>
        <w:spacing w:before="0" w:after="0"/>
        <w:ind w:left="624" w:hanging="340"/>
        <w:rPr>
          <w:rFonts w:cstheme="minorHAnsi"/>
          <w:color w:val="000000"/>
          <w:sz w:val="20"/>
        </w:rPr>
      </w:pPr>
      <w:r w:rsidRPr="0097621B">
        <w:rPr>
          <w:rFonts w:cstheme="minorHAnsi"/>
          <w:b/>
          <w:bCs/>
          <w:color w:val="000000"/>
          <w:sz w:val="20"/>
        </w:rPr>
        <w:t xml:space="preserve">ABSTUDY </w:t>
      </w:r>
      <w:r w:rsidRPr="0097621B">
        <w:rPr>
          <w:rFonts w:cstheme="minorHAnsi"/>
          <w:color w:val="000000"/>
          <w:sz w:val="20"/>
        </w:rPr>
        <w:t xml:space="preserve">aims to provide a group of payments to eligible </w:t>
      </w:r>
      <w:r w:rsidRPr="0097621B">
        <w:rPr>
          <w:rFonts w:cstheme="minorHAnsi"/>
          <w:b/>
          <w:bCs/>
          <w:color w:val="000000"/>
          <w:sz w:val="20"/>
        </w:rPr>
        <w:t xml:space="preserve">Aboriginal and Torres Strait Islander students or apprentices </w:t>
      </w:r>
      <w:r w:rsidRPr="0097621B">
        <w:rPr>
          <w:rFonts w:cstheme="minorHAnsi"/>
          <w:color w:val="000000"/>
          <w:sz w:val="20"/>
        </w:rPr>
        <w:t xml:space="preserve">to address the particular educational disadvantages faced by Aboriginal and Torres Strait Islander people. </w:t>
      </w:r>
    </w:p>
    <w:p w:rsidR="00513FD2" w:rsidRPr="0097621B" w:rsidRDefault="00513FD2" w:rsidP="00513FD2">
      <w:pPr>
        <w:spacing w:before="120" w:after="120"/>
        <w:rPr>
          <w:rFonts w:cstheme="minorHAnsi"/>
          <w:sz w:val="20"/>
        </w:rPr>
      </w:pPr>
      <w:r w:rsidRPr="0097621B">
        <w:rPr>
          <w:b/>
          <w:sz w:val="20"/>
        </w:rPr>
        <w:t>The department</w:t>
      </w:r>
      <w:r w:rsidRPr="0097621B">
        <w:rPr>
          <w:sz w:val="20"/>
        </w:rPr>
        <w:t xml:space="preserve"> is responsible for designing and implementing the key activity. This includes providing advice to </w:t>
      </w:r>
      <w:r w:rsidR="006A2344">
        <w:rPr>
          <w:sz w:val="20"/>
        </w:rPr>
        <w:t>g</w:t>
      </w:r>
      <w:r w:rsidRPr="0097621B">
        <w:rPr>
          <w:sz w:val="20"/>
        </w:rPr>
        <w:t xml:space="preserve">overnment on policy and legislation, program implementation and management, program performance, monitoring and meeting all relevant deliverables, setting guidelines and providing guidance and advice to Services Australia on the administration of the program. </w:t>
      </w:r>
      <w:r w:rsidRPr="0097621B">
        <w:rPr>
          <w:rFonts w:cstheme="minorHAnsi"/>
          <w:b/>
          <w:sz w:val="20"/>
        </w:rPr>
        <w:t>Services Australia</w:t>
      </w:r>
      <w:r w:rsidRPr="0097621B">
        <w:rPr>
          <w:rFonts w:cstheme="minorHAnsi"/>
          <w:sz w:val="20"/>
        </w:rPr>
        <w:t xml:space="preserve"> is the primary portfolio agency responsible for administering the key activities on the department’s behalf including receiving, processing and managing payment application and delivering student payments. </w:t>
      </w:r>
    </w:p>
    <w:tbl>
      <w:tblPr>
        <w:tblStyle w:val="TableGrid394"/>
        <w:tblW w:w="5039" w:type="pct"/>
        <w:jc w:val="center"/>
        <w:tblLayout w:type="fixed"/>
        <w:tblLook w:val="04A0" w:firstRow="1" w:lastRow="0" w:firstColumn="1" w:lastColumn="0" w:noHBand="0" w:noVBand="1"/>
        <w:tblCaption w:val="1.6.1 performance measure and target"/>
        <w:tblDescription w:val="Table outlines the targeted changes across 2022-23, 2023-24, 2024-25 and 2025-26"/>
      </w:tblPr>
      <w:tblGrid>
        <w:gridCol w:w="2871"/>
        <w:gridCol w:w="1708"/>
        <w:gridCol w:w="1708"/>
        <w:gridCol w:w="1708"/>
        <w:gridCol w:w="1708"/>
      </w:tblGrid>
      <w:tr w:rsidR="00513FD2" w:rsidRPr="0097621B" w:rsidTr="005B200F">
        <w:trPr>
          <w:cantSplit/>
          <w:trHeight w:val="356"/>
          <w:tblHeader/>
          <w:jc w:val="center"/>
        </w:trPr>
        <w:tc>
          <w:tcPr>
            <w:tcW w:w="5000" w:type="pct"/>
            <w:gridSpan w:val="5"/>
            <w:shd w:val="clear" w:color="auto" w:fill="D9D9D6"/>
          </w:tcPr>
          <w:p w:rsidR="00513FD2" w:rsidRPr="0097621B" w:rsidRDefault="00513FD2" w:rsidP="00513FD2">
            <w:pPr>
              <w:spacing w:before="120" w:after="120" w:line="259" w:lineRule="auto"/>
              <w:rPr>
                <w:rFonts w:cstheme="minorHAnsi"/>
                <w:b/>
                <w:sz w:val="20"/>
              </w:rPr>
            </w:pPr>
            <w:r w:rsidRPr="0097621B">
              <w:rPr>
                <w:rFonts w:cstheme="minorHAnsi"/>
                <w:b/>
                <w:sz w:val="20"/>
              </w:rPr>
              <w:t>Performance Measure</w:t>
            </w:r>
          </w:p>
        </w:tc>
      </w:tr>
      <w:tr w:rsidR="00513FD2" w:rsidRPr="0097621B" w:rsidTr="00513FD2">
        <w:trPr>
          <w:cantSplit/>
          <w:trHeight w:val="356"/>
          <w:jc w:val="center"/>
        </w:trPr>
        <w:tc>
          <w:tcPr>
            <w:tcW w:w="5000" w:type="pct"/>
            <w:gridSpan w:val="5"/>
            <w:shd w:val="clear" w:color="auto" w:fill="auto"/>
          </w:tcPr>
          <w:p w:rsidR="00513FD2" w:rsidRPr="0097621B" w:rsidRDefault="00513FD2" w:rsidP="00513FD2">
            <w:pPr>
              <w:spacing w:before="120" w:after="120" w:line="259" w:lineRule="auto"/>
              <w:rPr>
                <w:rFonts w:cstheme="minorHAnsi"/>
                <w:b/>
                <w:sz w:val="20"/>
              </w:rPr>
            </w:pPr>
            <w:r w:rsidRPr="0097621B">
              <w:rPr>
                <w:rFonts w:cstheme="minorHAnsi"/>
                <w:sz w:val="20"/>
              </w:rPr>
              <w:t>1.6.1.1 Extent to which payment recipients have improved financial self-reliance.</w:t>
            </w:r>
          </w:p>
        </w:tc>
      </w:tr>
      <w:tr w:rsidR="00513FD2" w:rsidRPr="0097621B" w:rsidTr="00513FD2">
        <w:trPr>
          <w:cantSplit/>
          <w:trHeight w:val="356"/>
          <w:jc w:val="center"/>
        </w:trPr>
        <w:tc>
          <w:tcPr>
            <w:tcW w:w="1480" w:type="pct"/>
            <w:shd w:val="clear" w:color="auto" w:fill="D9D9D6"/>
          </w:tcPr>
          <w:p w:rsidR="00513FD2" w:rsidRPr="0097621B" w:rsidRDefault="00513FD2" w:rsidP="00513FD2">
            <w:pPr>
              <w:spacing w:before="120" w:after="120" w:line="259" w:lineRule="auto"/>
              <w:rPr>
                <w:rFonts w:cstheme="minorHAnsi"/>
                <w:b/>
                <w:sz w:val="20"/>
              </w:rPr>
            </w:pPr>
            <w:r w:rsidRPr="0097621B">
              <w:rPr>
                <w:rFonts w:cstheme="minorHAnsi"/>
                <w:b/>
                <w:sz w:val="20"/>
              </w:rPr>
              <w:t>Target</w:t>
            </w:r>
          </w:p>
        </w:tc>
        <w:tc>
          <w:tcPr>
            <w:tcW w:w="880"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2022–23</w:t>
            </w:r>
          </w:p>
        </w:tc>
        <w:tc>
          <w:tcPr>
            <w:tcW w:w="880"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2023–24</w:t>
            </w:r>
          </w:p>
        </w:tc>
        <w:tc>
          <w:tcPr>
            <w:tcW w:w="880"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2024–25</w:t>
            </w:r>
          </w:p>
        </w:tc>
        <w:tc>
          <w:tcPr>
            <w:tcW w:w="880"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2025–26</w:t>
            </w:r>
          </w:p>
        </w:tc>
      </w:tr>
      <w:tr w:rsidR="00513FD2" w:rsidRPr="0097621B" w:rsidTr="00513FD2">
        <w:trPr>
          <w:cantSplit/>
          <w:trHeight w:val="356"/>
          <w:jc w:val="center"/>
        </w:trPr>
        <w:tc>
          <w:tcPr>
            <w:tcW w:w="1480" w:type="pct"/>
            <w:shd w:val="clear" w:color="auto" w:fill="FFFFFF" w:themeFill="background1"/>
          </w:tcPr>
          <w:p w:rsidR="00513FD2" w:rsidRPr="0097621B" w:rsidRDefault="00513FD2" w:rsidP="00513FD2">
            <w:pPr>
              <w:spacing w:before="120" w:after="120" w:line="259" w:lineRule="auto"/>
              <w:rPr>
                <w:rFonts w:cstheme="minorHAnsi"/>
                <w:sz w:val="20"/>
              </w:rPr>
            </w:pPr>
            <w:r w:rsidRPr="0097621B">
              <w:rPr>
                <w:sz w:val="20"/>
              </w:rPr>
              <w:sym w:font="Wingdings" w:char="F074"/>
            </w:r>
            <w:r w:rsidRPr="0097621B">
              <w:rPr>
                <w:sz w:val="20"/>
              </w:rPr>
              <w:t>1.6.1.1A</w:t>
            </w:r>
            <w:r w:rsidRPr="0097621B">
              <w:rPr>
                <w:rFonts w:cstheme="minorHAnsi"/>
                <w:sz w:val="20"/>
              </w:rPr>
              <w:t xml:space="preserve"> The proportion of Austudy, Youth Allowance and ABSTUDY recipients who are not receiving income support 3/6/12 months after exiting student payments aligns with movements in the unemployment rate.</w:t>
            </w:r>
          </w:p>
        </w:tc>
        <w:tc>
          <w:tcPr>
            <w:tcW w:w="880" w:type="pct"/>
            <w:shd w:val="clear" w:color="auto" w:fill="FFFFFF" w:themeFill="background1"/>
            <w:vAlign w:val="center"/>
          </w:tcPr>
          <w:p w:rsidR="00513FD2" w:rsidRPr="0097621B" w:rsidRDefault="00513FD2" w:rsidP="00513FD2">
            <w:pPr>
              <w:spacing w:before="120" w:after="120" w:line="259" w:lineRule="auto"/>
              <w:rPr>
                <w:rFonts w:cstheme="minorHAnsi"/>
                <w:sz w:val="20"/>
              </w:rPr>
            </w:pPr>
            <w:r w:rsidRPr="0097621B">
              <w:rPr>
                <w:rFonts w:cstheme="minorHAnsi"/>
                <w:sz w:val="20"/>
              </w:rPr>
              <w:t>Changes in exit rates align with changes in unemployment rate</w:t>
            </w:r>
          </w:p>
        </w:tc>
        <w:tc>
          <w:tcPr>
            <w:tcW w:w="880" w:type="pct"/>
            <w:shd w:val="clear" w:color="auto" w:fill="FFFFFF" w:themeFill="background1"/>
            <w:vAlign w:val="center"/>
          </w:tcPr>
          <w:p w:rsidR="00513FD2" w:rsidRPr="0097621B" w:rsidRDefault="00513FD2" w:rsidP="00513FD2">
            <w:pPr>
              <w:spacing w:before="120" w:after="120" w:line="259" w:lineRule="auto"/>
              <w:rPr>
                <w:rFonts w:cstheme="minorHAnsi"/>
                <w:sz w:val="20"/>
              </w:rPr>
            </w:pPr>
            <w:r w:rsidRPr="0097621B">
              <w:rPr>
                <w:rFonts w:cstheme="minorHAnsi"/>
                <w:sz w:val="20"/>
              </w:rPr>
              <w:t>Changes in exit rates align with changes in unemployment rate</w:t>
            </w:r>
          </w:p>
        </w:tc>
        <w:tc>
          <w:tcPr>
            <w:tcW w:w="880" w:type="pct"/>
            <w:shd w:val="clear" w:color="auto" w:fill="FFFFFF" w:themeFill="background1"/>
            <w:vAlign w:val="center"/>
          </w:tcPr>
          <w:p w:rsidR="00513FD2" w:rsidRPr="0097621B" w:rsidRDefault="00513FD2" w:rsidP="00513FD2">
            <w:pPr>
              <w:spacing w:before="120" w:after="120" w:line="259" w:lineRule="auto"/>
              <w:rPr>
                <w:rFonts w:cstheme="minorHAnsi"/>
                <w:sz w:val="20"/>
              </w:rPr>
            </w:pPr>
            <w:r w:rsidRPr="0097621B">
              <w:rPr>
                <w:rFonts w:cstheme="minorHAnsi"/>
                <w:sz w:val="20"/>
              </w:rPr>
              <w:t>Changes in exit rates align with changes in unemployment rate</w:t>
            </w:r>
          </w:p>
        </w:tc>
        <w:tc>
          <w:tcPr>
            <w:tcW w:w="880" w:type="pct"/>
            <w:shd w:val="clear" w:color="auto" w:fill="FFFFFF" w:themeFill="background1"/>
            <w:vAlign w:val="center"/>
          </w:tcPr>
          <w:p w:rsidR="00513FD2" w:rsidRPr="0097621B" w:rsidRDefault="00513FD2" w:rsidP="00513FD2">
            <w:pPr>
              <w:spacing w:before="120" w:after="120" w:line="259" w:lineRule="auto"/>
              <w:rPr>
                <w:rFonts w:cstheme="minorHAnsi"/>
                <w:sz w:val="20"/>
              </w:rPr>
            </w:pPr>
            <w:r w:rsidRPr="0097621B">
              <w:rPr>
                <w:rFonts w:cstheme="minorHAnsi"/>
                <w:sz w:val="20"/>
              </w:rPr>
              <w:t>Changes in exit rates align with changes in unemployment rate</w:t>
            </w:r>
          </w:p>
        </w:tc>
      </w:tr>
    </w:tbl>
    <w:p w:rsidR="00513FD2" w:rsidRPr="0097621B" w:rsidRDefault="00513FD2" w:rsidP="00513FD2">
      <w:pPr>
        <w:shd w:val="clear" w:color="auto" w:fill="B1E4E3"/>
        <w:spacing w:before="120" w:after="120"/>
        <w:rPr>
          <w:b/>
          <w:sz w:val="20"/>
        </w:rPr>
      </w:pPr>
      <w:r w:rsidRPr="0097621B">
        <w:rPr>
          <w:b/>
          <w:sz w:val="20"/>
        </w:rPr>
        <w:t>Rationale</w:t>
      </w:r>
    </w:p>
    <w:p w:rsidR="00513FD2" w:rsidRPr="0097621B" w:rsidRDefault="00513FD2" w:rsidP="00762037">
      <w:pPr>
        <w:spacing w:before="40" w:after="40"/>
        <w:rPr>
          <w:sz w:val="20"/>
        </w:rPr>
      </w:pPr>
      <w:r w:rsidRPr="0097621B">
        <w:rPr>
          <w:sz w:val="20"/>
        </w:rPr>
        <w:t xml:space="preserve">Measuring the extent to which payment recipients have improved financial self-reliance aims to demonstrate that students receive income support and other financial assistance to achieve growth in skills, qualifications, and productivity and have improved self-reliance. This measure demonstrates the </w:t>
      </w:r>
      <w:r w:rsidRPr="0097621B">
        <w:rPr>
          <w:b/>
          <w:sz w:val="20"/>
        </w:rPr>
        <w:t>effectiveness</w:t>
      </w:r>
      <w:r w:rsidRPr="0097621B">
        <w:rPr>
          <w:sz w:val="20"/>
        </w:rPr>
        <w:t xml:space="preserve"> of ABSTUDY, Austudy and Youth Allowance (Student) in achieving the objectives of the key activity: </w:t>
      </w:r>
      <w:r w:rsidRPr="0097621B">
        <w:rPr>
          <w:i/>
          <w:sz w:val="20"/>
        </w:rPr>
        <w:t>Recipients have improved financial self-reliance</w:t>
      </w:r>
      <w:r w:rsidRPr="0097621B">
        <w:rPr>
          <w:sz w:val="20"/>
        </w:rPr>
        <w:t>.</w:t>
      </w:r>
    </w:p>
    <w:p w:rsidR="00513FD2" w:rsidRPr="0097621B" w:rsidRDefault="00513FD2" w:rsidP="00513FD2">
      <w:pPr>
        <w:spacing w:before="120" w:after="120"/>
        <w:rPr>
          <w:sz w:val="20"/>
        </w:rPr>
      </w:pPr>
      <w:r w:rsidRPr="0097621B">
        <w:rPr>
          <w:sz w:val="20"/>
        </w:rPr>
        <w:t xml:space="preserve">Targeting the proportion of recipients who are not receiving income support after exiting student payments, aligns with movements in the unemployment rate, and demonstrates the </w:t>
      </w:r>
      <w:r w:rsidRPr="0097621B">
        <w:rPr>
          <w:b/>
          <w:sz w:val="20"/>
        </w:rPr>
        <w:t>effectiveness</w:t>
      </w:r>
      <w:r w:rsidRPr="0097621B">
        <w:rPr>
          <w:sz w:val="20"/>
        </w:rPr>
        <w:t xml:space="preserve"> of the key activity by</w:t>
      </w:r>
      <w:r w:rsidR="001F64C0">
        <w:rPr>
          <w:sz w:val="20"/>
        </w:rPr>
        <w:t> </w:t>
      </w:r>
      <w:r w:rsidRPr="0097621B">
        <w:rPr>
          <w:sz w:val="20"/>
        </w:rPr>
        <w:t>showing that those leaving the temporary payments are able to support themselves through employment.</w:t>
      </w:r>
    </w:p>
    <w:p w:rsidR="00513FD2" w:rsidRPr="0097621B" w:rsidRDefault="00513FD2" w:rsidP="00513FD2">
      <w:pPr>
        <w:shd w:val="clear" w:color="auto" w:fill="B1E4E3"/>
        <w:spacing w:before="120" w:after="120"/>
        <w:rPr>
          <w:b/>
          <w:sz w:val="20"/>
        </w:rPr>
      </w:pPr>
      <w:r w:rsidRPr="0097621B">
        <w:rPr>
          <w:b/>
          <w:sz w:val="20"/>
        </w:rPr>
        <w:t>Methodology</w:t>
      </w:r>
    </w:p>
    <w:p w:rsidR="00513FD2" w:rsidRPr="0097621B" w:rsidRDefault="00513FD2" w:rsidP="00DA577A">
      <w:pPr>
        <w:spacing w:before="120" w:after="120"/>
        <w:rPr>
          <w:sz w:val="20"/>
        </w:rPr>
      </w:pPr>
      <w:r w:rsidRPr="0097621B">
        <w:rPr>
          <w:sz w:val="20"/>
        </w:rPr>
        <w:t xml:space="preserve">The </w:t>
      </w:r>
      <w:r w:rsidRPr="0097621B">
        <w:rPr>
          <w:i/>
          <w:sz w:val="20"/>
        </w:rPr>
        <w:t>number of recipients exiting student payments</w:t>
      </w:r>
      <w:r w:rsidRPr="0097621B">
        <w:rPr>
          <w:sz w:val="20"/>
        </w:rPr>
        <w:t xml:space="preserve"> is calculated using the number of:</w:t>
      </w:r>
    </w:p>
    <w:p w:rsidR="00513FD2" w:rsidRPr="0097621B" w:rsidRDefault="00513FD2" w:rsidP="00762037">
      <w:pPr>
        <w:numPr>
          <w:ilvl w:val="0"/>
          <w:numId w:val="17"/>
        </w:numPr>
        <w:spacing w:before="0" w:after="0" w:line="240" w:lineRule="auto"/>
        <w:ind w:left="641" w:hanging="357"/>
        <w:rPr>
          <w:sz w:val="20"/>
        </w:rPr>
      </w:pPr>
      <w:r w:rsidRPr="0097621B">
        <w:rPr>
          <w:sz w:val="20"/>
        </w:rPr>
        <w:t>recipients that exit from Austudy, Youth Allowance (Student) and ABSTUDY over a 12 month calendar year, where the recipient has been on a student payment for more than 3 months</w:t>
      </w:r>
    </w:p>
    <w:p w:rsidR="00513FD2" w:rsidRPr="0097621B" w:rsidRDefault="00513FD2" w:rsidP="00762037">
      <w:pPr>
        <w:numPr>
          <w:ilvl w:val="0"/>
          <w:numId w:val="17"/>
        </w:numPr>
        <w:spacing w:before="0" w:after="0" w:line="240" w:lineRule="auto"/>
        <w:ind w:left="641" w:hanging="357"/>
        <w:rPr>
          <w:sz w:val="20"/>
        </w:rPr>
      </w:pPr>
      <w:r w:rsidRPr="0097621B">
        <w:rPr>
          <w:sz w:val="20"/>
        </w:rPr>
        <w:t>recipient numbers for the 12 months following the calendar year of exit.</w:t>
      </w:r>
    </w:p>
    <w:p w:rsidR="00513FD2" w:rsidRPr="0097621B" w:rsidRDefault="00513FD2" w:rsidP="00DA577A">
      <w:pPr>
        <w:spacing w:before="120" w:after="120"/>
        <w:rPr>
          <w:sz w:val="20"/>
        </w:rPr>
      </w:pPr>
      <w:r w:rsidRPr="0097621B">
        <w:rPr>
          <w:sz w:val="20"/>
        </w:rPr>
        <w:t xml:space="preserve">The </w:t>
      </w:r>
      <w:r w:rsidRPr="0097621B">
        <w:rPr>
          <w:i/>
          <w:sz w:val="20"/>
        </w:rPr>
        <w:t>unemployment rate</w:t>
      </w:r>
      <w:r w:rsidRPr="0097621B">
        <w:rPr>
          <w:sz w:val="20"/>
        </w:rPr>
        <w:t xml:space="preserve"> uses the Australian Bureau of Statistics, National Accounts, Labour Force Australia.</w:t>
      </w:r>
    </w:p>
    <w:p w:rsidR="00DA577A" w:rsidRDefault="00DA577A">
      <w:pPr>
        <w:spacing w:before="0" w:after="160"/>
        <w:rPr>
          <w:sz w:val="20"/>
        </w:rPr>
      </w:pPr>
      <w:r>
        <w:rPr>
          <w:sz w:val="20"/>
        </w:rPr>
        <w:br w:type="page"/>
      </w:r>
    </w:p>
    <w:p w:rsidR="00513FD2" w:rsidRPr="0097621B" w:rsidRDefault="00513FD2" w:rsidP="00DA577A">
      <w:pPr>
        <w:spacing w:before="120" w:after="120"/>
        <w:rPr>
          <w:sz w:val="20"/>
        </w:rPr>
      </w:pPr>
      <w:r w:rsidRPr="0097621B">
        <w:rPr>
          <w:sz w:val="20"/>
        </w:rPr>
        <w:lastRenderedPageBreak/>
        <w:t xml:space="preserve">The </w:t>
      </w:r>
      <w:r w:rsidRPr="0097621B">
        <w:rPr>
          <w:b/>
          <w:sz w:val="20"/>
        </w:rPr>
        <w:t>data sources</w:t>
      </w:r>
      <w:r w:rsidRPr="0097621B">
        <w:rPr>
          <w:sz w:val="20"/>
        </w:rPr>
        <w:t xml:space="preserve"> used for this calculation are:</w:t>
      </w:r>
    </w:p>
    <w:p w:rsidR="00513FD2" w:rsidRPr="0097621B" w:rsidRDefault="00513FD2" w:rsidP="00762037">
      <w:pPr>
        <w:numPr>
          <w:ilvl w:val="0"/>
          <w:numId w:val="15"/>
        </w:numPr>
        <w:spacing w:before="0" w:after="0" w:line="240" w:lineRule="auto"/>
        <w:ind w:left="624" w:hanging="340"/>
        <w:rPr>
          <w:sz w:val="20"/>
        </w:rPr>
      </w:pPr>
      <w:r w:rsidRPr="0097621B">
        <w:rPr>
          <w:sz w:val="20"/>
        </w:rPr>
        <w:t>Services Australia administrative data</w:t>
      </w:r>
    </w:p>
    <w:p w:rsidR="00513FD2" w:rsidRPr="0097621B" w:rsidRDefault="00513FD2" w:rsidP="00762037">
      <w:pPr>
        <w:numPr>
          <w:ilvl w:val="0"/>
          <w:numId w:val="15"/>
        </w:numPr>
        <w:spacing w:before="0" w:after="0" w:line="240" w:lineRule="auto"/>
        <w:ind w:left="624" w:hanging="340"/>
        <w:rPr>
          <w:sz w:val="20"/>
        </w:rPr>
      </w:pPr>
      <w:r w:rsidRPr="0097621B">
        <w:rPr>
          <w:sz w:val="20"/>
        </w:rPr>
        <w:t>Australian Bureau of Statistics, National Accounts - Labour Force Australia.</w:t>
      </w:r>
    </w:p>
    <w:p w:rsidR="00513FD2" w:rsidRPr="0097621B" w:rsidRDefault="00513FD2" w:rsidP="00513FD2">
      <w:pPr>
        <w:shd w:val="clear" w:color="auto" w:fill="B1E4E3"/>
        <w:spacing w:before="120" w:after="120"/>
        <w:rPr>
          <w:b/>
          <w:sz w:val="20"/>
        </w:rPr>
      </w:pPr>
      <w:r w:rsidRPr="0097621B">
        <w:rPr>
          <w:b/>
          <w:sz w:val="20"/>
        </w:rPr>
        <w:t>Program Outputs</w:t>
      </w:r>
    </w:p>
    <w:p w:rsidR="00513FD2" w:rsidRPr="0097621B" w:rsidRDefault="00513FD2" w:rsidP="00762037">
      <w:pPr>
        <w:numPr>
          <w:ilvl w:val="0"/>
          <w:numId w:val="15"/>
        </w:numPr>
        <w:spacing w:before="0" w:after="0" w:line="240" w:lineRule="auto"/>
        <w:ind w:left="624" w:hanging="340"/>
        <w:rPr>
          <w:sz w:val="20"/>
        </w:rPr>
      </w:pPr>
      <w:r w:rsidRPr="0097621B">
        <w:rPr>
          <w:sz w:val="20"/>
        </w:rPr>
        <w:t>Administered outlays</w:t>
      </w:r>
    </w:p>
    <w:p w:rsidR="00513FD2" w:rsidRPr="0097621B" w:rsidRDefault="00513FD2" w:rsidP="00762037">
      <w:pPr>
        <w:numPr>
          <w:ilvl w:val="0"/>
          <w:numId w:val="15"/>
        </w:numPr>
        <w:spacing w:before="0" w:after="0" w:line="240" w:lineRule="auto"/>
        <w:ind w:left="624" w:hanging="340"/>
        <w:rPr>
          <w:sz w:val="20"/>
        </w:rPr>
      </w:pPr>
      <w:r w:rsidRPr="0097621B">
        <w:rPr>
          <w:sz w:val="20"/>
        </w:rPr>
        <w:t>Number of recipients</w:t>
      </w:r>
    </w:p>
    <w:p w:rsidR="00513FD2" w:rsidRPr="0097621B" w:rsidRDefault="00513FD2" w:rsidP="00762037">
      <w:pPr>
        <w:numPr>
          <w:ilvl w:val="0"/>
          <w:numId w:val="15"/>
        </w:numPr>
        <w:spacing w:before="0" w:after="0" w:line="240" w:lineRule="auto"/>
        <w:ind w:left="624" w:hanging="340"/>
        <w:rPr>
          <w:sz w:val="20"/>
        </w:rPr>
      </w:pPr>
      <w:r w:rsidRPr="0097621B">
        <w:rPr>
          <w:sz w:val="20"/>
        </w:rPr>
        <w:t>Payment accuracy</w:t>
      </w:r>
    </w:p>
    <w:p w:rsidR="00513FD2" w:rsidRPr="0097621B" w:rsidRDefault="00513FD2" w:rsidP="00762037">
      <w:pPr>
        <w:spacing w:before="0" w:after="0" w:line="240" w:lineRule="auto"/>
        <w:rPr>
          <w:sz w:val="20"/>
        </w:rPr>
      </w:pPr>
      <w:r w:rsidRPr="0097621B">
        <w:rPr>
          <w:sz w:val="20"/>
        </w:rPr>
        <w:br w:type="page"/>
      </w:r>
    </w:p>
    <w:p w:rsidR="00513FD2" w:rsidRPr="0097621B" w:rsidRDefault="00513FD2" w:rsidP="00513FD2">
      <w:pPr>
        <w:shd w:val="clear" w:color="auto" w:fill="005A70"/>
        <w:spacing w:before="120" w:after="120"/>
        <w:rPr>
          <w:b/>
          <w:color w:val="FFFFFF" w:themeColor="background1"/>
          <w:sz w:val="20"/>
        </w:rPr>
      </w:pPr>
      <w:r w:rsidRPr="0097621B">
        <w:rPr>
          <w:b/>
          <w:color w:val="FFFFFF" w:themeColor="background1"/>
          <w:sz w:val="20"/>
        </w:rPr>
        <w:lastRenderedPageBreak/>
        <w:t>OUTCOME 1 CROSS PROGRAM: COMMONWEALTH RENT ASSISTANCE</w:t>
      </w:r>
    </w:p>
    <w:p w:rsidR="00513FD2" w:rsidRPr="0097621B" w:rsidRDefault="00513FD2" w:rsidP="00513FD2">
      <w:pPr>
        <w:shd w:val="clear" w:color="auto" w:fill="005A70"/>
        <w:spacing w:before="120" w:after="120"/>
        <w:rPr>
          <w:color w:val="FFFFFF" w:themeColor="background1"/>
          <w:sz w:val="20"/>
        </w:rPr>
      </w:pPr>
      <w:r w:rsidRPr="0097621B">
        <w:rPr>
          <w:color w:val="FFFFFF" w:themeColor="background1"/>
          <w:sz w:val="20"/>
        </w:rPr>
        <w:t>This program aims to make payments to eligible income support or family payment recipients to assist with the costs of renting private and community housing.</w:t>
      </w:r>
    </w:p>
    <w:p w:rsidR="00513FD2" w:rsidRPr="0097621B" w:rsidRDefault="00513FD2" w:rsidP="00513FD2">
      <w:pPr>
        <w:shd w:val="clear" w:color="auto" w:fill="B1E4E3"/>
        <w:spacing w:before="120" w:after="120"/>
        <w:rPr>
          <w:b/>
          <w:sz w:val="20"/>
        </w:rPr>
      </w:pPr>
      <w:r w:rsidRPr="0097621B">
        <w:rPr>
          <w:b/>
          <w:sz w:val="20"/>
        </w:rPr>
        <w:t xml:space="preserve">Key Activity — </w:t>
      </w:r>
      <w:r>
        <w:rPr>
          <w:b/>
          <w:sz w:val="20"/>
        </w:rPr>
        <w:t xml:space="preserve">Commonwealth </w:t>
      </w:r>
      <w:r w:rsidRPr="0097621B">
        <w:rPr>
          <w:b/>
          <w:sz w:val="20"/>
        </w:rPr>
        <w:t>Rent Assistance</w:t>
      </w:r>
    </w:p>
    <w:p w:rsidR="00513FD2" w:rsidRPr="0097621B" w:rsidRDefault="00513FD2" w:rsidP="00762037">
      <w:pPr>
        <w:spacing w:before="120" w:after="0"/>
        <w:rPr>
          <w:sz w:val="20"/>
        </w:rPr>
      </w:pPr>
      <w:r w:rsidRPr="0097621B">
        <w:rPr>
          <w:sz w:val="20"/>
        </w:rPr>
        <w:t>Commonwealth Rent Assistance (CRA) is a supplementary payment to assist eligible Australians receiving income support or family assistance payments with the cost of private rental or community housing. Individuals receiving the following payments may be eligible for Rent Assistance:</w:t>
      </w:r>
    </w:p>
    <w:p w:rsidR="00513FD2" w:rsidRPr="0097621B" w:rsidRDefault="00513FD2" w:rsidP="00762037">
      <w:pPr>
        <w:numPr>
          <w:ilvl w:val="0"/>
          <w:numId w:val="15"/>
        </w:numPr>
        <w:spacing w:before="0" w:after="0"/>
        <w:ind w:left="624" w:hanging="340"/>
        <w:rPr>
          <w:sz w:val="20"/>
        </w:rPr>
      </w:pPr>
      <w:r w:rsidRPr="0097621B">
        <w:rPr>
          <w:sz w:val="20"/>
        </w:rPr>
        <w:t>Age Pension, Carer Payment or Disability Support Pension</w:t>
      </w:r>
    </w:p>
    <w:p w:rsidR="00513FD2" w:rsidRPr="0097621B" w:rsidRDefault="00513FD2" w:rsidP="00762037">
      <w:pPr>
        <w:numPr>
          <w:ilvl w:val="0"/>
          <w:numId w:val="15"/>
        </w:numPr>
        <w:spacing w:before="0" w:after="0"/>
        <w:ind w:left="624" w:hanging="340"/>
        <w:rPr>
          <w:sz w:val="20"/>
        </w:rPr>
      </w:pPr>
      <w:r w:rsidRPr="0097621B">
        <w:rPr>
          <w:sz w:val="20"/>
        </w:rPr>
        <w:t>ABSTUDY Living Allowance, Austudy or Youth Allowance</w:t>
      </w:r>
    </w:p>
    <w:p w:rsidR="00513FD2" w:rsidRPr="0097621B" w:rsidRDefault="00513FD2" w:rsidP="00762037">
      <w:pPr>
        <w:numPr>
          <w:ilvl w:val="0"/>
          <w:numId w:val="15"/>
        </w:numPr>
        <w:spacing w:before="0" w:after="0"/>
        <w:ind w:left="624" w:hanging="340"/>
        <w:rPr>
          <w:sz w:val="20"/>
        </w:rPr>
      </w:pPr>
      <w:r w:rsidRPr="0097621B">
        <w:rPr>
          <w:sz w:val="20"/>
        </w:rPr>
        <w:t>Widow Allowance</w:t>
      </w:r>
    </w:p>
    <w:p w:rsidR="00513FD2" w:rsidRPr="0097621B" w:rsidRDefault="00513FD2" w:rsidP="00762037">
      <w:pPr>
        <w:numPr>
          <w:ilvl w:val="0"/>
          <w:numId w:val="15"/>
        </w:numPr>
        <w:spacing w:before="0" w:after="0"/>
        <w:ind w:left="624" w:hanging="340"/>
        <w:rPr>
          <w:sz w:val="20"/>
        </w:rPr>
      </w:pPr>
      <w:r w:rsidRPr="0097621B">
        <w:rPr>
          <w:sz w:val="20"/>
        </w:rPr>
        <w:t xml:space="preserve">Partner Allowance or Special Benefit </w:t>
      </w:r>
    </w:p>
    <w:p w:rsidR="00513FD2" w:rsidRPr="0097621B" w:rsidRDefault="00513FD2" w:rsidP="00762037">
      <w:pPr>
        <w:numPr>
          <w:ilvl w:val="0"/>
          <w:numId w:val="15"/>
        </w:numPr>
        <w:spacing w:before="0" w:after="0"/>
        <w:ind w:left="624" w:hanging="340"/>
        <w:rPr>
          <w:sz w:val="20"/>
        </w:rPr>
      </w:pPr>
      <w:r w:rsidRPr="0097621B">
        <w:rPr>
          <w:sz w:val="20"/>
        </w:rPr>
        <w:t>Family Tax Benefit (FTB) – Part A, at more than the base rate</w:t>
      </w:r>
    </w:p>
    <w:p w:rsidR="00513FD2" w:rsidRPr="0097621B" w:rsidRDefault="00513FD2" w:rsidP="00762037">
      <w:pPr>
        <w:numPr>
          <w:ilvl w:val="0"/>
          <w:numId w:val="15"/>
        </w:numPr>
        <w:spacing w:before="0" w:after="0"/>
        <w:ind w:left="624" w:hanging="340"/>
        <w:rPr>
          <w:sz w:val="20"/>
        </w:rPr>
      </w:pPr>
      <w:r w:rsidRPr="0097621B">
        <w:rPr>
          <w:sz w:val="20"/>
        </w:rPr>
        <w:t>Parenting Payment, partnered and single</w:t>
      </w:r>
    </w:p>
    <w:p w:rsidR="00513FD2" w:rsidRPr="0097621B" w:rsidRDefault="00513FD2" w:rsidP="00762037">
      <w:pPr>
        <w:numPr>
          <w:ilvl w:val="0"/>
          <w:numId w:val="15"/>
        </w:numPr>
        <w:spacing w:before="0" w:after="0"/>
        <w:ind w:left="624" w:hanging="340"/>
        <w:rPr>
          <w:sz w:val="20"/>
        </w:rPr>
      </w:pPr>
      <w:r w:rsidRPr="0097621B">
        <w:rPr>
          <w:sz w:val="20"/>
        </w:rPr>
        <w:t>JobSeeker Payment or Farm Household Allowance.</w:t>
      </w:r>
    </w:p>
    <w:p w:rsidR="000976A8" w:rsidRPr="00762037" w:rsidRDefault="000976A8" w:rsidP="00762037">
      <w:pPr>
        <w:spacing w:before="0" w:after="120"/>
        <w:rPr>
          <w:b/>
          <w:sz w:val="2"/>
        </w:rPr>
      </w:pPr>
    </w:p>
    <w:p w:rsidR="00513FD2" w:rsidRPr="0097621B" w:rsidRDefault="00513FD2" w:rsidP="00762037">
      <w:pPr>
        <w:spacing w:before="0" w:after="120"/>
        <w:rPr>
          <w:sz w:val="20"/>
        </w:rPr>
      </w:pPr>
      <w:r w:rsidRPr="0097621B">
        <w:rPr>
          <w:b/>
          <w:sz w:val="20"/>
        </w:rPr>
        <w:t>The department</w:t>
      </w:r>
      <w:r w:rsidRPr="0097621B">
        <w:rPr>
          <w:sz w:val="20"/>
        </w:rPr>
        <w:t xml:space="preserve"> is responsible for CRA policy. </w:t>
      </w:r>
      <w:r w:rsidRPr="0097621B">
        <w:rPr>
          <w:b/>
          <w:sz w:val="20"/>
        </w:rPr>
        <w:t>Services Australia</w:t>
      </w:r>
      <w:r w:rsidRPr="0097621B">
        <w:rPr>
          <w:sz w:val="20"/>
        </w:rPr>
        <w:t xml:space="preserve"> is the primary portfolio agency responsible for administering CRA, including assessments, compliance and payments.</w:t>
      </w:r>
    </w:p>
    <w:tbl>
      <w:tblPr>
        <w:tblStyle w:val="TableGrid39"/>
        <w:tblW w:w="4985" w:type="pct"/>
        <w:jc w:val="center"/>
        <w:tblLook w:val="04A0" w:firstRow="1" w:lastRow="0" w:firstColumn="1" w:lastColumn="0" w:noHBand="0" w:noVBand="1"/>
        <w:tblCaption w:val="Commonwealth Rent Assistance (CRA) - Performance measure and target"/>
        <w:tblDescription w:val="Table outlines the targeted CRA across 2022-23, 2023-24, 2024-25 and 2025-26"/>
      </w:tblPr>
      <w:tblGrid>
        <w:gridCol w:w="3187"/>
        <w:gridCol w:w="1603"/>
        <w:gridCol w:w="1603"/>
        <w:gridCol w:w="1603"/>
        <w:gridCol w:w="1603"/>
      </w:tblGrid>
      <w:tr w:rsidR="00513FD2" w:rsidRPr="0097621B" w:rsidTr="005B200F">
        <w:trPr>
          <w:cantSplit/>
          <w:trHeight w:val="356"/>
          <w:tblHeader/>
          <w:jc w:val="center"/>
        </w:trPr>
        <w:tc>
          <w:tcPr>
            <w:tcW w:w="5000" w:type="pct"/>
            <w:gridSpan w:val="5"/>
            <w:shd w:val="clear" w:color="auto" w:fill="D9D9D6"/>
          </w:tcPr>
          <w:p w:rsidR="00513FD2" w:rsidRPr="0097621B" w:rsidRDefault="00513FD2" w:rsidP="00513FD2">
            <w:pPr>
              <w:spacing w:before="120" w:after="120" w:line="259" w:lineRule="auto"/>
              <w:rPr>
                <w:b/>
                <w:sz w:val="20"/>
              </w:rPr>
            </w:pPr>
            <w:r w:rsidRPr="0097621B">
              <w:rPr>
                <w:b/>
                <w:sz w:val="20"/>
              </w:rPr>
              <w:t>Performance Measure</w:t>
            </w:r>
            <w:r w:rsidRPr="0097621B">
              <w:rPr>
                <w:b/>
                <w:sz w:val="20"/>
              </w:rPr>
              <w:tab/>
            </w:r>
          </w:p>
        </w:tc>
      </w:tr>
      <w:tr w:rsidR="00513FD2" w:rsidRPr="0097621B" w:rsidTr="00513FD2">
        <w:trPr>
          <w:cantSplit/>
          <w:trHeight w:val="356"/>
          <w:jc w:val="center"/>
        </w:trPr>
        <w:tc>
          <w:tcPr>
            <w:tcW w:w="5000" w:type="pct"/>
            <w:gridSpan w:val="5"/>
            <w:shd w:val="clear" w:color="auto" w:fill="auto"/>
          </w:tcPr>
          <w:p w:rsidR="00513FD2" w:rsidRPr="0097621B" w:rsidRDefault="00513FD2" w:rsidP="00513FD2">
            <w:pPr>
              <w:spacing w:before="120" w:after="120" w:line="259" w:lineRule="auto"/>
              <w:rPr>
                <w:rFonts w:cstheme="minorHAnsi"/>
                <w:b/>
                <w:sz w:val="20"/>
              </w:rPr>
            </w:pPr>
            <w:r w:rsidRPr="0097621B">
              <w:rPr>
                <w:sz w:val="20"/>
              </w:rPr>
              <w:t>Australians receiving income support or family assistance payments are assisted with the cost of private rental or community housing.</w:t>
            </w:r>
          </w:p>
        </w:tc>
      </w:tr>
      <w:tr w:rsidR="00513FD2" w:rsidRPr="0097621B" w:rsidTr="00513FD2">
        <w:trPr>
          <w:cantSplit/>
          <w:trHeight w:val="356"/>
          <w:jc w:val="center"/>
        </w:trPr>
        <w:tc>
          <w:tcPr>
            <w:tcW w:w="1660" w:type="pct"/>
            <w:shd w:val="clear" w:color="auto" w:fill="D9D9D6"/>
          </w:tcPr>
          <w:p w:rsidR="00513FD2" w:rsidRPr="0097621B" w:rsidRDefault="00513FD2" w:rsidP="00513FD2">
            <w:pPr>
              <w:spacing w:before="120" w:after="120" w:line="259" w:lineRule="auto"/>
              <w:rPr>
                <w:rFonts w:cstheme="minorHAnsi"/>
                <w:b/>
                <w:sz w:val="20"/>
              </w:rPr>
            </w:pPr>
            <w:r w:rsidRPr="0097621B">
              <w:rPr>
                <w:rFonts w:cstheme="minorHAnsi"/>
                <w:b/>
                <w:sz w:val="20"/>
              </w:rPr>
              <w:t>Target</w:t>
            </w:r>
          </w:p>
        </w:tc>
        <w:tc>
          <w:tcPr>
            <w:tcW w:w="835"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2022–23</w:t>
            </w:r>
          </w:p>
        </w:tc>
        <w:tc>
          <w:tcPr>
            <w:tcW w:w="835"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2023–24</w:t>
            </w:r>
          </w:p>
        </w:tc>
        <w:tc>
          <w:tcPr>
            <w:tcW w:w="835"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2024–25</w:t>
            </w:r>
          </w:p>
        </w:tc>
        <w:tc>
          <w:tcPr>
            <w:tcW w:w="835" w:type="pct"/>
            <w:shd w:val="clear" w:color="auto" w:fill="D9D9D6"/>
            <w:vAlign w:val="center"/>
          </w:tcPr>
          <w:p w:rsidR="00513FD2" w:rsidRPr="0097621B" w:rsidRDefault="00513FD2" w:rsidP="00513FD2">
            <w:pPr>
              <w:spacing w:before="120" w:after="120" w:line="259" w:lineRule="auto"/>
              <w:rPr>
                <w:rFonts w:cstheme="minorHAnsi"/>
                <w:b/>
                <w:sz w:val="20"/>
              </w:rPr>
            </w:pPr>
            <w:r w:rsidRPr="0097621B">
              <w:rPr>
                <w:rFonts w:cstheme="minorHAnsi"/>
                <w:b/>
                <w:sz w:val="20"/>
              </w:rPr>
              <w:t>2025–26</w:t>
            </w:r>
          </w:p>
        </w:tc>
      </w:tr>
      <w:tr w:rsidR="00513FD2" w:rsidRPr="0097621B" w:rsidTr="00513FD2">
        <w:trPr>
          <w:cantSplit/>
          <w:trHeight w:val="356"/>
          <w:jc w:val="center"/>
        </w:trPr>
        <w:tc>
          <w:tcPr>
            <w:tcW w:w="1660" w:type="pct"/>
            <w:shd w:val="clear" w:color="auto" w:fill="FFFFFF" w:themeFill="background1"/>
          </w:tcPr>
          <w:p w:rsidR="00513FD2" w:rsidRPr="0097621B" w:rsidRDefault="00513FD2" w:rsidP="00513FD2">
            <w:pPr>
              <w:spacing w:before="120" w:after="120" w:line="259" w:lineRule="auto"/>
              <w:rPr>
                <w:rFonts w:cstheme="minorHAnsi"/>
                <w:sz w:val="20"/>
              </w:rPr>
            </w:pPr>
            <w:r w:rsidRPr="0097621B">
              <w:rPr>
                <w:sz w:val="20"/>
                <w:lang w:eastAsia="en-GB"/>
              </w:rPr>
              <w:t>Commonwealth Rent Assistance (CRA) reduces the proportion of recipient households in "rental stress" by at least 25 percentage points</w:t>
            </w:r>
            <w:r w:rsidRPr="0097621B">
              <w:rPr>
                <w:sz w:val="16"/>
                <w:vertAlign w:val="superscript"/>
                <w:lang w:eastAsia="en-GB"/>
              </w:rPr>
              <w:footnoteReference w:id="2"/>
            </w:r>
          </w:p>
        </w:tc>
        <w:tc>
          <w:tcPr>
            <w:tcW w:w="835" w:type="pct"/>
            <w:shd w:val="clear" w:color="auto" w:fill="FFFFFF" w:themeFill="background1"/>
          </w:tcPr>
          <w:p w:rsidR="00513FD2" w:rsidRPr="0097621B" w:rsidRDefault="00513FD2" w:rsidP="00513FD2">
            <w:pPr>
              <w:spacing w:before="120" w:after="120" w:line="259" w:lineRule="auto"/>
              <w:rPr>
                <w:rFonts w:cstheme="minorHAnsi"/>
                <w:sz w:val="20"/>
              </w:rPr>
            </w:pPr>
            <w:r w:rsidRPr="0097621B">
              <w:rPr>
                <w:sz w:val="20"/>
                <w:lang w:eastAsia="en-GB"/>
              </w:rPr>
              <w:t>CRA reduces the proportion of recipient households in "rental stress" by at least 25 percentage point</w:t>
            </w:r>
            <w:r w:rsidR="006A2344">
              <w:rPr>
                <w:sz w:val="20"/>
                <w:lang w:eastAsia="en-GB"/>
              </w:rPr>
              <w:t>s</w:t>
            </w:r>
          </w:p>
        </w:tc>
        <w:tc>
          <w:tcPr>
            <w:tcW w:w="835" w:type="pct"/>
            <w:shd w:val="clear" w:color="auto" w:fill="FFFFFF" w:themeFill="background1"/>
          </w:tcPr>
          <w:p w:rsidR="00513FD2" w:rsidRPr="0097621B" w:rsidRDefault="00513FD2" w:rsidP="00513FD2">
            <w:pPr>
              <w:spacing w:before="120" w:after="120" w:line="259" w:lineRule="auto"/>
              <w:rPr>
                <w:rFonts w:cstheme="minorHAnsi"/>
                <w:sz w:val="20"/>
              </w:rPr>
            </w:pPr>
            <w:r w:rsidRPr="0097621B">
              <w:rPr>
                <w:sz w:val="20"/>
                <w:lang w:eastAsia="en-GB"/>
              </w:rPr>
              <w:t>CRA reduces the proportion of recipient households in "rental stress" by at least 25 percentage point</w:t>
            </w:r>
            <w:r w:rsidR="006A2344">
              <w:rPr>
                <w:sz w:val="20"/>
                <w:lang w:eastAsia="en-GB"/>
              </w:rPr>
              <w:t>s</w:t>
            </w:r>
          </w:p>
        </w:tc>
        <w:tc>
          <w:tcPr>
            <w:tcW w:w="835" w:type="pct"/>
            <w:shd w:val="clear" w:color="auto" w:fill="FFFFFF" w:themeFill="background1"/>
          </w:tcPr>
          <w:p w:rsidR="00513FD2" w:rsidRPr="0097621B" w:rsidRDefault="00513FD2" w:rsidP="00513FD2">
            <w:pPr>
              <w:spacing w:before="120" w:after="120" w:line="259" w:lineRule="auto"/>
              <w:rPr>
                <w:rFonts w:cstheme="minorHAnsi"/>
                <w:sz w:val="20"/>
              </w:rPr>
            </w:pPr>
            <w:r w:rsidRPr="0097621B">
              <w:rPr>
                <w:sz w:val="20"/>
                <w:lang w:eastAsia="en-GB"/>
              </w:rPr>
              <w:t>CRA reduces the proportion of recipient households in "rental stress" by at least 25 percentage point</w:t>
            </w:r>
            <w:r w:rsidR="006A2344">
              <w:rPr>
                <w:sz w:val="20"/>
                <w:lang w:eastAsia="en-GB"/>
              </w:rPr>
              <w:t>s</w:t>
            </w:r>
          </w:p>
        </w:tc>
        <w:tc>
          <w:tcPr>
            <w:tcW w:w="835" w:type="pct"/>
            <w:shd w:val="clear" w:color="auto" w:fill="FFFFFF" w:themeFill="background1"/>
          </w:tcPr>
          <w:p w:rsidR="00513FD2" w:rsidRPr="0097621B" w:rsidRDefault="00513FD2" w:rsidP="00513FD2">
            <w:pPr>
              <w:spacing w:before="120" w:after="120" w:line="259" w:lineRule="auto"/>
              <w:rPr>
                <w:rFonts w:cstheme="minorHAnsi"/>
                <w:sz w:val="20"/>
              </w:rPr>
            </w:pPr>
            <w:r w:rsidRPr="0097621B">
              <w:rPr>
                <w:sz w:val="20"/>
                <w:lang w:eastAsia="en-GB"/>
              </w:rPr>
              <w:t>CRA reduces the proportion of recipient households in "rental stress" by at least 25 percentage point</w:t>
            </w:r>
            <w:r w:rsidR="006A2344">
              <w:rPr>
                <w:sz w:val="20"/>
                <w:lang w:eastAsia="en-GB"/>
              </w:rPr>
              <w:t>s</w:t>
            </w:r>
          </w:p>
        </w:tc>
      </w:tr>
    </w:tbl>
    <w:p w:rsidR="00513FD2" w:rsidRPr="0097621B" w:rsidRDefault="00513FD2" w:rsidP="00513FD2">
      <w:pPr>
        <w:shd w:val="clear" w:color="auto" w:fill="B1E4E3"/>
        <w:spacing w:before="120" w:after="120"/>
        <w:ind w:left="720" w:hanging="720"/>
        <w:rPr>
          <w:b/>
          <w:sz w:val="20"/>
        </w:rPr>
      </w:pPr>
      <w:r w:rsidRPr="0097621B">
        <w:rPr>
          <w:b/>
          <w:sz w:val="20"/>
        </w:rPr>
        <w:t>Rationale</w:t>
      </w:r>
    </w:p>
    <w:p w:rsidR="00513FD2" w:rsidRPr="0097621B" w:rsidRDefault="00513FD2" w:rsidP="00762037">
      <w:pPr>
        <w:spacing w:before="40" w:after="40"/>
        <w:rPr>
          <w:i/>
          <w:sz w:val="20"/>
        </w:rPr>
      </w:pPr>
      <w:r w:rsidRPr="0097621B">
        <w:rPr>
          <w:sz w:val="20"/>
        </w:rPr>
        <w:t xml:space="preserve">This measure demonstrates the </w:t>
      </w:r>
      <w:r w:rsidRPr="0097621B">
        <w:rPr>
          <w:b/>
          <w:sz w:val="20"/>
        </w:rPr>
        <w:t>effect</w:t>
      </w:r>
      <w:r w:rsidRPr="0097621B">
        <w:rPr>
          <w:sz w:val="20"/>
        </w:rPr>
        <w:t xml:space="preserve"> of CRA in achieving the objective Outcome 1 which aims to deliver: </w:t>
      </w:r>
      <w:r w:rsidRPr="0097621B">
        <w:rPr>
          <w:i/>
          <w:sz w:val="20"/>
          <w:lang w:eastAsia="en-GB"/>
        </w:rPr>
        <w:t>a</w:t>
      </w:r>
      <w:r w:rsidR="001F64C0">
        <w:rPr>
          <w:i/>
          <w:sz w:val="20"/>
          <w:lang w:eastAsia="en-GB"/>
        </w:rPr>
        <w:t> </w:t>
      </w:r>
      <w:r w:rsidRPr="0097621B">
        <w:rPr>
          <w:i/>
          <w:sz w:val="20"/>
          <w:lang w:eastAsia="en-GB"/>
        </w:rPr>
        <w:t>sustainable social security system that incentivises self-reliance and supports people who cannot fully support themselves by providing targeted payments and assistance.</w:t>
      </w:r>
      <w:r w:rsidRPr="0097621B" w:rsidDel="00A22CBB">
        <w:rPr>
          <w:sz w:val="20"/>
        </w:rPr>
        <w:t xml:space="preserve"> </w:t>
      </w:r>
    </w:p>
    <w:p w:rsidR="00513FD2" w:rsidRPr="0097621B" w:rsidRDefault="00513FD2" w:rsidP="00762037">
      <w:pPr>
        <w:spacing w:before="40" w:after="40"/>
        <w:rPr>
          <w:sz w:val="20"/>
        </w:rPr>
      </w:pPr>
      <w:r w:rsidRPr="0097621B">
        <w:rPr>
          <w:sz w:val="20"/>
        </w:rPr>
        <w:t xml:space="preserve">Reducing </w:t>
      </w:r>
      <w:r w:rsidRPr="0097621B">
        <w:rPr>
          <w:sz w:val="20"/>
          <w:lang w:eastAsia="en-GB"/>
        </w:rPr>
        <w:t>the proportion of recipient households in "rental stress" by at least 25 percentage points</w:t>
      </w:r>
      <w:r w:rsidRPr="0097621B">
        <w:rPr>
          <w:i/>
          <w:sz w:val="20"/>
          <w:lang w:eastAsia="en-GB"/>
        </w:rPr>
        <w:t xml:space="preserve"> </w:t>
      </w:r>
      <w:r w:rsidRPr="0097621B">
        <w:rPr>
          <w:sz w:val="20"/>
        </w:rPr>
        <w:t xml:space="preserve">measures the </w:t>
      </w:r>
      <w:r w:rsidRPr="0097621B">
        <w:rPr>
          <w:b/>
          <w:sz w:val="20"/>
        </w:rPr>
        <w:t>effectiveness</w:t>
      </w:r>
      <w:r w:rsidRPr="0097621B">
        <w:rPr>
          <w:sz w:val="20"/>
        </w:rPr>
        <w:t xml:space="preserve"> of CRA for the overall number of recipient households. </w:t>
      </w:r>
    </w:p>
    <w:p w:rsidR="00513FD2" w:rsidRPr="0097621B" w:rsidRDefault="00513FD2" w:rsidP="00513FD2">
      <w:pPr>
        <w:shd w:val="clear" w:color="auto" w:fill="B1E4E3"/>
        <w:spacing w:before="120" w:after="120"/>
        <w:ind w:left="720" w:hanging="720"/>
        <w:rPr>
          <w:b/>
          <w:sz w:val="20"/>
        </w:rPr>
      </w:pPr>
      <w:r w:rsidRPr="0097621B">
        <w:rPr>
          <w:b/>
          <w:sz w:val="20"/>
        </w:rPr>
        <w:t>Methodology</w:t>
      </w:r>
    </w:p>
    <w:p w:rsidR="00513FD2" w:rsidRPr="0097621B" w:rsidRDefault="00513FD2" w:rsidP="00762037">
      <w:pPr>
        <w:spacing w:before="120" w:after="0"/>
        <w:rPr>
          <w:sz w:val="20"/>
        </w:rPr>
      </w:pPr>
      <w:r w:rsidRPr="0097621B">
        <w:rPr>
          <w:sz w:val="20"/>
        </w:rPr>
        <w:t>Rental stress is defined as a rent assistance recipient household paying more than 30</w:t>
      </w:r>
      <w:r w:rsidR="006A2344">
        <w:rPr>
          <w:sz w:val="20"/>
        </w:rPr>
        <w:t>%</w:t>
      </w:r>
      <w:r w:rsidRPr="0097621B">
        <w:rPr>
          <w:sz w:val="20"/>
        </w:rPr>
        <w:t xml:space="preserve"> of their income on rent. The proportion of </w:t>
      </w:r>
      <w:r w:rsidRPr="0097621B">
        <w:rPr>
          <w:i/>
          <w:sz w:val="20"/>
        </w:rPr>
        <w:t>individuals and families experiencing rental stress after receipt of CRA</w:t>
      </w:r>
      <w:r w:rsidRPr="0097621B">
        <w:rPr>
          <w:sz w:val="20"/>
        </w:rPr>
        <w:t xml:space="preserve"> is</w:t>
      </w:r>
      <w:r w:rsidR="001F64C0">
        <w:rPr>
          <w:sz w:val="20"/>
        </w:rPr>
        <w:t> </w:t>
      </w:r>
      <w:r w:rsidRPr="0097621B">
        <w:rPr>
          <w:sz w:val="20"/>
        </w:rPr>
        <w:t>calculated using:</w:t>
      </w:r>
    </w:p>
    <w:p w:rsidR="00513FD2" w:rsidRPr="0097621B" w:rsidRDefault="00513FD2" w:rsidP="00762037">
      <w:pPr>
        <w:numPr>
          <w:ilvl w:val="0"/>
          <w:numId w:val="18"/>
        </w:numPr>
        <w:spacing w:before="0" w:after="0" w:line="240" w:lineRule="auto"/>
        <w:ind w:left="641" w:hanging="357"/>
        <w:rPr>
          <w:sz w:val="20"/>
        </w:rPr>
      </w:pPr>
      <w:r w:rsidRPr="0097621B">
        <w:rPr>
          <w:sz w:val="20"/>
        </w:rPr>
        <w:t>Percentage of CRA recipients paying more than 30</w:t>
      </w:r>
      <w:r w:rsidR="006A2344">
        <w:rPr>
          <w:sz w:val="20"/>
        </w:rPr>
        <w:t>%</w:t>
      </w:r>
      <w:r w:rsidRPr="0097621B">
        <w:rPr>
          <w:sz w:val="20"/>
        </w:rPr>
        <w:t xml:space="preserve"> of their income in rent prior to receiving CRA</w:t>
      </w:r>
      <w:r>
        <w:rPr>
          <w:sz w:val="20"/>
        </w:rPr>
        <w:t>.</w:t>
      </w:r>
    </w:p>
    <w:p w:rsidR="00513FD2" w:rsidRPr="0097621B" w:rsidRDefault="00513FD2" w:rsidP="00762037">
      <w:pPr>
        <w:numPr>
          <w:ilvl w:val="0"/>
          <w:numId w:val="18"/>
        </w:numPr>
        <w:spacing w:before="0" w:after="0" w:line="240" w:lineRule="auto"/>
        <w:ind w:left="641" w:hanging="357"/>
        <w:rPr>
          <w:sz w:val="20"/>
        </w:rPr>
      </w:pPr>
      <w:r w:rsidRPr="0097621B">
        <w:rPr>
          <w:sz w:val="20"/>
        </w:rPr>
        <w:t>Percentage of CRA recipients paying more than 30</w:t>
      </w:r>
      <w:r w:rsidR="006A2344">
        <w:rPr>
          <w:sz w:val="20"/>
        </w:rPr>
        <w:t>%</w:t>
      </w:r>
      <w:r w:rsidRPr="0097621B">
        <w:rPr>
          <w:sz w:val="20"/>
        </w:rPr>
        <w:t xml:space="preserve"> of their income in rent </w:t>
      </w:r>
      <w:r w:rsidR="00C16A72">
        <w:rPr>
          <w:sz w:val="20"/>
        </w:rPr>
        <w:t xml:space="preserve">including </w:t>
      </w:r>
      <w:r w:rsidRPr="0097621B">
        <w:rPr>
          <w:sz w:val="20"/>
        </w:rPr>
        <w:t>after receiving CRA.</w:t>
      </w:r>
    </w:p>
    <w:p w:rsidR="00513FD2" w:rsidRPr="0097621B" w:rsidRDefault="00513FD2" w:rsidP="00762037">
      <w:pPr>
        <w:spacing w:before="0" w:after="0"/>
        <w:ind w:left="720" w:hanging="720"/>
        <w:rPr>
          <w:sz w:val="20"/>
        </w:rPr>
      </w:pPr>
      <w:r w:rsidRPr="0097621B">
        <w:rPr>
          <w:sz w:val="20"/>
        </w:rPr>
        <w:t xml:space="preserve">The </w:t>
      </w:r>
      <w:r w:rsidRPr="0097621B">
        <w:rPr>
          <w:b/>
          <w:sz w:val="20"/>
        </w:rPr>
        <w:t>data source</w:t>
      </w:r>
      <w:r w:rsidRPr="0097621B">
        <w:rPr>
          <w:sz w:val="20"/>
        </w:rPr>
        <w:t xml:space="preserve"> used for this calculation is the Department of Social Services Housing Data Set.</w:t>
      </w:r>
    </w:p>
    <w:p w:rsidR="00513FD2" w:rsidRPr="0097621B" w:rsidRDefault="00513FD2" w:rsidP="00762037">
      <w:pPr>
        <w:shd w:val="clear" w:color="auto" w:fill="B1E4E3"/>
        <w:spacing w:before="120" w:after="0"/>
        <w:ind w:left="720" w:hanging="720"/>
        <w:rPr>
          <w:b/>
          <w:sz w:val="20"/>
        </w:rPr>
      </w:pPr>
      <w:r w:rsidRPr="0097621B">
        <w:rPr>
          <w:b/>
          <w:sz w:val="20"/>
        </w:rPr>
        <w:t xml:space="preserve">Program Outputs </w:t>
      </w:r>
    </w:p>
    <w:p w:rsidR="00513FD2" w:rsidRPr="0097621B" w:rsidRDefault="00513FD2" w:rsidP="00762037">
      <w:pPr>
        <w:numPr>
          <w:ilvl w:val="0"/>
          <w:numId w:val="19"/>
        </w:numPr>
        <w:spacing w:before="0" w:after="0" w:line="240" w:lineRule="auto"/>
        <w:ind w:left="641" w:hanging="357"/>
        <w:rPr>
          <w:sz w:val="20"/>
        </w:rPr>
      </w:pPr>
      <w:r w:rsidRPr="0097621B">
        <w:rPr>
          <w:sz w:val="20"/>
        </w:rPr>
        <w:t>Administered outlays</w:t>
      </w:r>
    </w:p>
    <w:p w:rsidR="00513FD2" w:rsidRDefault="00513FD2" w:rsidP="00762037">
      <w:pPr>
        <w:numPr>
          <w:ilvl w:val="0"/>
          <w:numId w:val="19"/>
        </w:numPr>
        <w:spacing w:before="0" w:after="0" w:line="240" w:lineRule="auto"/>
        <w:ind w:left="641" w:hanging="357"/>
        <w:rPr>
          <w:sz w:val="20"/>
        </w:rPr>
      </w:pPr>
      <w:r w:rsidRPr="0097621B">
        <w:rPr>
          <w:sz w:val="20"/>
        </w:rPr>
        <w:t>Number of recipients</w:t>
      </w:r>
    </w:p>
    <w:p w:rsidR="00C16A72" w:rsidRPr="00E14328" w:rsidRDefault="00C16A72" w:rsidP="00762037">
      <w:pPr>
        <w:numPr>
          <w:ilvl w:val="0"/>
          <w:numId w:val="19"/>
        </w:numPr>
        <w:spacing w:before="0" w:after="0" w:line="240" w:lineRule="auto"/>
        <w:ind w:left="641" w:hanging="357"/>
        <w:rPr>
          <w:sz w:val="20"/>
        </w:rPr>
      </w:pPr>
      <w:r>
        <w:rPr>
          <w:sz w:val="20"/>
        </w:rPr>
        <w:t>Payment accuracy</w:t>
      </w:r>
    </w:p>
    <w:p w:rsidR="00513FD2" w:rsidRPr="0097621B" w:rsidRDefault="00513FD2" w:rsidP="00513FD2">
      <w:pPr>
        <w:pStyle w:val="Heading1-NP"/>
        <w:rPr>
          <w:rFonts w:eastAsia="Times New Roman"/>
        </w:rPr>
      </w:pPr>
      <w:bookmarkStart w:id="63" w:name="_Toc77593303"/>
      <w:bookmarkStart w:id="64" w:name="_Toc111026126"/>
      <w:bookmarkStart w:id="65" w:name="_Toc47604306"/>
      <w:bookmarkStart w:id="66" w:name="_Toc77081689"/>
      <w:bookmarkStart w:id="67" w:name="_Toc77593311"/>
      <w:bookmarkStart w:id="68" w:name="_Toc47604314"/>
      <w:bookmarkStart w:id="69" w:name="_Toc77081691"/>
      <w:r w:rsidRPr="0097621B">
        <w:rPr>
          <w:rFonts w:eastAsia="Times New Roman"/>
        </w:rPr>
        <w:lastRenderedPageBreak/>
        <w:t>Outcome 2: Families and Communities</w:t>
      </w:r>
      <w:bookmarkEnd w:id="63"/>
      <w:bookmarkEnd w:id="64"/>
    </w:p>
    <w:p w:rsidR="00513FD2" w:rsidRPr="003D49C4" w:rsidRDefault="00513FD2" w:rsidP="003D49C4">
      <w:pPr>
        <w:pStyle w:val="Heading2"/>
        <w:rPr>
          <w:rFonts w:eastAsia="Times New Roman"/>
          <w:color w:val="auto"/>
        </w:rPr>
      </w:pPr>
      <w:bookmarkStart w:id="70" w:name="_Toc77593305"/>
      <w:bookmarkStart w:id="71" w:name="_Toc111026127"/>
      <w:r w:rsidRPr="003D49C4">
        <w:rPr>
          <w:rFonts w:eastAsia="Times New Roman"/>
          <w:color w:val="auto"/>
        </w:rPr>
        <w:t>Programs and activities</w:t>
      </w:r>
      <w:bookmarkEnd w:id="70"/>
      <w:bookmarkEnd w:id="71"/>
    </w:p>
    <w:p w:rsidR="00513FD2" w:rsidRPr="00661D7D" w:rsidRDefault="00513FD2" w:rsidP="00513FD2">
      <w:pPr>
        <w:spacing w:before="120" w:after="120"/>
        <w:rPr>
          <w:rFonts w:eastAsia="Times New Roman" w:cs="Times New Roman"/>
          <w:sz w:val="20"/>
        </w:rPr>
      </w:pPr>
      <w:r w:rsidRPr="00661D7D">
        <w:rPr>
          <w:rFonts w:eastAsia="Times New Roman" w:cs="Times New Roman"/>
          <w:sz w:val="20"/>
        </w:rPr>
        <w:t>Outcome 2 comprises one program underpinned by a number of activities that seek to contribute to stronger and more resilient individuals, children, families and communities. The table below depicts how this purpose is translated into measurable activities.</w:t>
      </w:r>
    </w:p>
    <w:p w:rsidR="00513FD2" w:rsidRPr="00661D7D" w:rsidRDefault="00513FD2" w:rsidP="00513FD2">
      <w:pPr>
        <w:spacing w:before="120" w:after="120"/>
        <w:rPr>
          <w:rFonts w:eastAsia="Times New Roman" w:cs="Times New Roman"/>
          <w:sz w:val="20"/>
        </w:rPr>
      </w:pPr>
      <w:r w:rsidRPr="00661D7D">
        <w:rPr>
          <w:rFonts w:eastAsia="Times New Roman" w:cs="Times New Roman"/>
          <w:sz w:val="20"/>
        </w:rPr>
        <w:t>An in-depth description of each of the activities, performance measures, targets, rationale, methodology and outputs are in the Performance Tables Section on the page</w:t>
      </w:r>
      <w:r w:rsidR="00B001B0">
        <w:rPr>
          <w:rFonts w:eastAsia="Times New Roman" w:cs="Times New Roman"/>
          <w:sz w:val="20"/>
        </w:rPr>
        <w:t>s that follow</w:t>
      </w:r>
      <w:r w:rsidRPr="00661D7D">
        <w:rPr>
          <w:rFonts w:eastAsia="Times New Roman" w:cs="Times New Roman"/>
          <w:sz w:val="20"/>
        </w:rPr>
        <w:t xml:space="preserve">. </w:t>
      </w:r>
    </w:p>
    <w:p w:rsidR="00513FD2" w:rsidRPr="00661D7D" w:rsidRDefault="00513FD2" w:rsidP="00513FD2">
      <w:pPr>
        <w:shd w:val="clear" w:color="auto" w:fill="275D38"/>
        <w:spacing w:before="120" w:after="120"/>
        <w:rPr>
          <w:rFonts w:eastAsia="Times New Roman" w:cs="Calibri"/>
          <w:b/>
          <w:bCs/>
          <w:color w:val="FFFFFF"/>
          <w:sz w:val="20"/>
        </w:rPr>
      </w:pPr>
      <w:r w:rsidRPr="00661D7D">
        <w:rPr>
          <w:rFonts w:eastAsia="Times New Roman" w:cs="Calibri"/>
          <w:b/>
          <w:bCs/>
          <w:color w:val="FFFFFF"/>
          <w:sz w:val="20"/>
        </w:rPr>
        <w:t xml:space="preserve">Outcome 2 – Families and Communities </w:t>
      </w:r>
    </w:p>
    <w:p w:rsidR="00513FD2" w:rsidRPr="00661D7D" w:rsidRDefault="00513FD2" w:rsidP="00513FD2">
      <w:pPr>
        <w:shd w:val="clear" w:color="auto" w:fill="275D38"/>
        <w:spacing w:before="120" w:after="120"/>
        <w:rPr>
          <w:rFonts w:eastAsia="Times New Roman" w:cs="Times New Roman"/>
          <w:sz w:val="20"/>
        </w:rPr>
      </w:pPr>
      <w:r w:rsidRPr="00661D7D">
        <w:rPr>
          <w:rFonts w:eastAsia="Times New Roman" w:cs="Calibri"/>
          <w:color w:val="FFFFFF"/>
          <w:sz w:val="20"/>
          <w:bdr w:val="nil"/>
        </w:rPr>
        <w:t>Contribute to stronger and more resilient individuals, children, families, and communities by providing targeted supports.</w:t>
      </w:r>
    </w:p>
    <w:tbl>
      <w:tblPr>
        <w:tblStyle w:val="TableGrid"/>
        <w:tblW w:w="9782" w:type="dxa"/>
        <w:jc w:val="center"/>
        <w:tblBorders>
          <w:top w:val="none" w:sz="0" w:space="0" w:color="auto"/>
          <w:left w:val="single" w:sz="36" w:space="0" w:color="FFFFFF"/>
          <w:bottom w:val="single" w:sz="36" w:space="0" w:color="FFFFFF"/>
          <w:right w:val="single" w:sz="36" w:space="0" w:color="FFFFFF"/>
          <w:insideH w:val="none" w:sz="0" w:space="0" w:color="auto"/>
          <w:insideV w:val="single" w:sz="36" w:space="0" w:color="FFFFFF"/>
        </w:tblBorders>
        <w:tblLayout w:type="fixed"/>
        <w:tblLook w:val="04A0" w:firstRow="1" w:lastRow="0" w:firstColumn="1" w:lastColumn="0" w:noHBand="0" w:noVBand="1"/>
        <w:tblCaption w:val="Programs and activities"/>
        <w:tblDescription w:val="Outcome 1 Social Security"/>
      </w:tblPr>
      <w:tblGrid>
        <w:gridCol w:w="9782"/>
      </w:tblGrid>
      <w:tr w:rsidR="00513FD2" w:rsidRPr="00E04D63" w:rsidTr="005B200F">
        <w:trPr>
          <w:tblHeader/>
          <w:jc w:val="center"/>
        </w:trPr>
        <w:tc>
          <w:tcPr>
            <w:tcW w:w="9782" w:type="dxa"/>
            <w:tcBorders>
              <w:top w:val="single" w:sz="36" w:space="0" w:color="FFFFFF"/>
              <w:left w:val="single" w:sz="36" w:space="0" w:color="FFFFFF"/>
              <w:bottom w:val="single" w:sz="36" w:space="0" w:color="FFFFFF"/>
              <w:right w:val="single" w:sz="36" w:space="0" w:color="FFFFFF"/>
            </w:tcBorders>
            <w:shd w:val="clear" w:color="auto" w:fill="275D38"/>
          </w:tcPr>
          <w:p w:rsidR="00513FD2" w:rsidRPr="00575CC9" w:rsidRDefault="00513FD2" w:rsidP="00513FD2">
            <w:pPr>
              <w:spacing w:before="120" w:after="120" w:line="259" w:lineRule="auto"/>
              <w:jc w:val="center"/>
              <w:rPr>
                <w:rFonts w:cs="Calibri"/>
                <w:b/>
                <w:color w:val="FFFFFF"/>
                <w:sz w:val="20"/>
              </w:rPr>
            </w:pPr>
            <w:r w:rsidRPr="00575CC9">
              <w:rPr>
                <w:rFonts w:cs="Calibri"/>
                <w:b/>
                <w:bCs/>
                <w:color w:val="FFFFFF"/>
                <w:sz w:val="20"/>
              </w:rPr>
              <w:t>Program 2.1</w:t>
            </w:r>
          </w:p>
          <w:p w:rsidR="00513FD2" w:rsidRPr="00E04D63" w:rsidRDefault="00513FD2" w:rsidP="00513FD2">
            <w:pPr>
              <w:spacing w:before="120" w:after="120" w:line="259" w:lineRule="auto"/>
              <w:jc w:val="center"/>
              <w:rPr>
                <w:rFonts w:cs="Calibri"/>
                <w:color w:val="FFFFFF"/>
                <w:sz w:val="16"/>
                <w:szCs w:val="16"/>
              </w:rPr>
            </w:pPr>
            <w:r w:rsidRPr="00575CC9">
              <w:rPr>
                <w:rFonts w:cs="Calibri"/>
                <w:b/>
                <w:color w:val="FFFFFF"/>
                <w:sz w:val="20"/>
              </w:rPr>
              <w:t>Families and Communities</w:t>
            </w:r>
            <w:r w:rsidRPr="00E04D63">
              <w:rPr>
                <w:rFonts w:cs="Calibri"/>
                <w:color w:val="FFFFFF"/>
                <w:sz w:val="16"/>
                <w:szCs w:val="16"/>
              </w:rPr>
              <w:t xml:space="preserve"> </w:t>
            </w:r>
          </w:p>
        </w:tc>
      </w:tr>
      <w:tr w:rsidR="00513FD2" w:rsidRPr="00E04D63" w:rsidTr="00513FD2">
        <w:trPr>
          <w:jc w:val="center"/>
        </w:trPr>
        <w:tc>
          <w:tcPr>
            <w:tcW w:w="9782" w:type="dxa"/>
            <w:tcBorders>
              <w:top w:val="single" w:sz="36" w:space="0" w:color="FFFFFF"/>
              <w:left w:val="single" w:sz="36" w:space="0" w:color="FFFFFF"/>
              <w:bottom w:val="single" w:sz="36" w:space="0" w:color="FFFFFF"/>
              <w:right w:val="single" w:sz="36" w:space="0" w:color="FFFFFF"/>
            </w:tcBorders>
            <w:shd w:val="clear" w:color="auto" w:fill="C2E189"/>
          </w:tcPr>
          <w:p w:rsidR="00513FD2" w:rsidRPr="00575CC9" w:rsidRDefault="00513FD2" w:rsidP="00513FD2">
            <w:pPr>
              <w:spacing w:before="120" w:after="120" w:line="259" w:lineRule="auto"/>
              <w:ind w:left="85"/>
              <w:jc w:val="center"/>
              <w:rPr>
                <w:rFonts w:cs="Calibri"/>
                <w:b/>
                <w:sz w:val="20"/>
              </w:rPr>
            </w:pPr>
            <w:r w:rsidRPr="00575CC9">
              <w:rPr>
                <w:rFonts w:cs="Calibri"/>
                <w:b/>
                <w:bCs/>
                <w:sz w:val="20"/>
              </w:rPr>
              <w:t>Key activities</w:t>
            </w:r>
          </w:p>
          <w:p w:rsidR="00513FD2" w:rsidRPr="00E04D63" w:rsidRDefault="00513FD2" w:rsidP="00513FD2">
            <w:pPr>
              <w:spacing w:before="120" w:after="120" w:line="259" w:lineRule="auto"/>
              <w:ind w:left="170"/>
              <w:rPr>
                <w:rFonts w:cs="Calibri"/>
                <w:sz w:val="20"/>
              </w:rPr>
            </w:pPr>
            <w:r w:rsidRPr="00E04D63">
              <w:rPr>
                <w:rFonts w:cs="Calibri"/>
                <w:sz w:val="20"/>
              </w:rPr>
              <w:t xml:space="preserve">2.1.1 </w:t>
            </w:r>
            <w:r w:rsidR="00987007">
              <w:rPr>
                <w:rFonts w:cs="Calibri"/>
                <w:sz w:val="20"/>
              </w:rPr>
              <w:t xml:space="preserve">– </w:t>
            </w:r>
            <w:r w:rsidRPr="00E04D63">
              <w:rPr>
                <w:rFonts w:cs="Calibri"/>
                <w:sz w:val="20"/>
              </w:rPr>
              <w:t>Families and Children</w:t>
            </w:r>
          </w:p>
          <w:p w:rsidR="00513FD2" w:rsidRPr="00E04D63" w:rsidRDefault="00513FD2" w:rsidP="00513FD2">
            <w:pPr>
              <w:spacing w:before="120" w:after="120" w:line="259" w:lineRule="auto"/>
              <w:ind w:left="170"/>
              <w:rPr>
                <w:rFonts w:cs="Calibri"/>
                <w:sz w:val="20"/>
              </w:rPr>
            </w:pPr>
            <w:r w:rsidRPr="00E04D63">
              <w:rPr>
                <w:rFonts w:cs="Calibri"/>
                <w:sz w:val="20"/>
              </w:rPr>
              <w:t xml:space="preserve">2.1.2 </w:t>
            </w:r>
            <w:r w:rsidR="00987007">
              <w:rPr>
                <w:rFonts w:cs="Calibri"/>
                <w:sz w:val="20"/>
              </w:rPr>
              <w:t xml:space="preserve">– </w:t>
            </w:r>
            <w:r w:rsidRPr="00E04D63">
              <w:rPr>
                <w:rFonts w:cs="Calibri"/>
                <w:sz w:val="20"/>
              </w:rPr>
              <w:t xml:space="preserve">Women’s Safety </w:t>
            </w:r>
          </w:p>
          <w:p w:rsidR="00513FD2" w:rsidRPr="00E04D63" w:rsidRDefault="00513FD2" w:rsidP="00513FD2">
            <w:pPr>
              <w:spacing w:before="120" w:after="120" w:line="259" w:lineRule="auto"/>
              <w:ind w:left="170"/>
              <w:rPr>
                <w:rFonts w:cs="Calibri"/>
                <w:sz w:val="20"/>
              </w:rPr>
            </w:pPr>
            <w:r w:rsidRPr="00E04D63">
              <w:rPr>
                <w:rFonts w:cs="Calibri"/>
                <w:sz w:val="20"/>
              </w:rPr>
              <w:t xml:space="preserve">2.1.3 </w:t>
            </w:r>
            <w:r w:rsidR="00987007">
              <w:rPr>
                <w:rFonts w:cs="Calibri"/>
                <w:sz w:val="20"/>
              </w:rPr>
              <w:t xml:space="preserve">– </w:t>
            </w:r>
            <w:r w:rsidRPr="00E04D63">
              <w:rPr>
                <w:rFonts w:cs="Calibri"/>
                <w:sz w:val="20"/>
              </w:rPr>
              <w:t>Financial Wellbeing and Capability</w:t>
            </w:r>
          </w:p>
          <w:p w:rsidR="00513FD2" w:rsidRPr="00E04D63" w:rsidRDefault="00513FD2" w:rsidP="00513FD2">
            <w:pPr>
              <w:spacing w:before="120" w:after="120" w:line="259" w:lineRule="auto"/>
              <w:ind w:left="170"/>
              <w:rPr>
                <w:rFonts w:cs="Calibri"/>
                <w:sz w:val="20"/>
              </w:rPr>
            </w:pPr>
            <w:r w:rsidRPr="00E04D63">
              <w:rPr>
                <w:rFonts w:cs="Calibri"/>
                <w:sz w:val="20"/>
              </w:rPr>
              <w:t xml:space="preserve">2.1.4 </w:t>
            </w:r>
            <w:r w:rsidR="00987007">
              <w:rPr>
                <w:rFonts w:cs="Calibri"/>
                <w:sz w:val="20"/>
              </w:rPr>
              <w:t xml:space="preserve">– </w:t>
            </w:r>
            <w:r w:rsidRPr="00E04D63">
              <w:rPr>
                <w:rFonts w:cs="Calibri"/>
                <w:sz w:val="20"/>
              </w:rPr>
              <w:t xml:space="preserve">Income Management </w:t>
            </w:r>
          </w:p>
          <w:p w:rsidR="00513FD2" w:rsidRDefault="00513FD2" w:rsidP="00987007">
            <w:pPr>
              <w:spacing w:before="120" w:after="120" w:line="259" w:lineRule="auto"/>
              <w:ind w:left="170"/>
              <w:rPr>
                <w:rFonts w:cs="Calibri"/>
                <w:sz w:val="20"/>
              </w:rPr>
            </w:pPr>
            <w:r w:rsidRPr="00E04D63">
              <w:rPr>
                <w:rFonts w:cs="Calibri"/>
                <w:sz w:val="20"/>
              </w:rPr>
              <w:t xml:space="preserve">2.1.5 </w:t>
            </w:r>
            <w:r w:rsidR="00987007">
              <w:rPr>
                <w:rFonts w:cs="Calibri"/>
                <w:sz w:val="20"/>
              </w:rPr>
              <w:t xml:space="preserve">– </w:t>
            </w:r>
            <w:r w:rsidRPr="00E04D63">
              <w:rPr>
                <w:rFonts w:cs="Calibri"/>
                <w:sz w:val="20"/>
              </w:rPr>
              <w:t>National Redress Scheme for Institutional Child Sexual Abuse</w:t>
            </w:r>
          </w:p>
          <w:p w:rsidR="00990ED3" w:rsidRPr="00E04D63" w:rsidRDefault="00990ED3" w:rsidP="00987007">
            <w:pPr>
              <w:spacing w:before="120" w:after="120" w:line="259" w:lineRule="auto"/>
              <w:ind w:left="170"/>
              <w:rPr>
                <w:rFonts w:cs="Calibri"/>
                <w:sz w:val="20"/>
              </w:rPr>
            </w:pPr>
          </w:p>
        </w:tc>
      </w:tr>
    </w:tbl>
    <w:p w:rsidR="00513FD2" w:rsidRPr="00E04D63" w:rsidRDefault="00513FD2" w:rsidP="00513FD2">
      <w:pPr>
        <w:spacing w:before="0" w:after="160"/>
        <w:rPr>
          <w:rFonts w:eastAsia="Times New Roman" w:cs="Times New Roman"/>
          <w:sz w:val="22"/>
        </w:rPr>
      </w:pPr>
      <w:r w:rsidRPr="00E04D63">
        <w:rPr>
          <w:rFonts w:eastAsia="Times New Roman" w:cs="Times New Roman"/>
          <w:sz w:val="22"/>
        </w:rPr>
        <w:br w:type="page"/>
      </w:r>
    </w:p>
    <w:p w:rsidR="00513FD2" w:rsidRPr="00621014" w:rsidRDefault="00513FD2" w:rsidP="00513FD2">
      <w:pPr>
        <w:pStyle w:val="Heading2-NP"/>
        <w:rPr>
          <w:rFonts w:eastAsia="Times New Roman" w:cs="Calibri"/>
          <w:szCs w:val="18"/>
        </w:rPr>
      </w:pPr>
      <w:bookmarkStart w:id="72" w:name="_Toc77593306"/>
      <w:bookmarkStart w:id="73" w:name="_Toc111026128"/>
      <w:r w:rsidRPr="00621014">
        <w:rPr>
          <w:rFonts w:eastAsia="Times New Roman"/>
        </w:rPr>
        <w:lastRenderedPageBreak/>
        <w:t>Performance Tables Outcome 2: Families and Communities</w:t>
      </w:r>
      <w:bookmarkEnd w:id="65"/>
      <w:bookmarkEnd w:id="66"/>
      <w:bookmarkEnd w:id="72"/>
      <w:bookmarkEnd w:id="73"/>
    </w:p>
    <w:p w:rsidR="00513FD2" w:rsidRPr="00661D7D" w:rsidRDefault="00513FD2" w:rsidP="00513FD2">
      <w:pPr>
        <w:shd w:val="clear" w:color="auto" w:fill="275D38"/>
        <w:spacing w:before="120" w:after="120"/>
        <w:rPr>
          <w:rFonts w:eastAsia="Times New Roman" w:cs="Arial"/>
          <w:b/>
          <w:color w:val="FFFFFF"/>
          <w:sz w:val="20"/>
          <w:szCs w:val="20"/>
        </w:rPr>
      </w:pPr>
      <w:r w:rsidRPr="00661D7D">
        <w:rPr>
          <w:rFonts w:eastAsia="Times New Roman" w:cs="Arial"/>
          <w:b/>
          <w:color w:val="FFFFFF"/>
          <w:sz w:val="20"/>
          <w:szCs w:val="20"/>
        </w:rPr>
        <w:t>PROGRAM 2.1 FAMILIES AND COMMUNITIES</w:t>
      </w:r>
    </w:p>
    <w:p w:rsidR="00513FD2" w:rsidRPr="00661D7D" w:rsidRDefault="00513FD2" w:rsidP="00513FD2">
      <w:pPr>
        <w:shd w:val="clear" w:color="auto" w:fill="275D38"/>
        <w:spacing w:before="120" w:after="120"/>
        <w:rPr>
          <w:rFonts w:eastAsia="Times New Roman" w:cs="Arial"/>
          <w:color w:val="FFFFFF"/>
          <w:sz w:val="20"/>
          <w:szCs w:val="20"/>
        </w:rPr>
      </w:pPr>
      <w:r w:rsidRPr="00661D7D">
        <w:rPr>
          <w:rFonts w:eastAsia="Times New Roman" w:cs="Arial"/>
          <w:color w:val="FFFFFF"/>
          <w:sz w:val="20"/>
          <w:szCs w:val="20"/>
        </w:rPr>
        <w:t>To strengthen relationships, support families, improve wellbeing of children and young people, reduce the cost of family breakdown, and strengthen family and community functioning.</w:t>
      </w:r>
    </w:p>
    <w:p w:rsidR="00513FD2" w:rsidRPr="00661D7D" w:rsidRDefault="00513FD2" w:rsidP="00513FD2">
      <w:pPr>
        <w:shd w:val="clear" w:color="auto" w:fill="C2E189"/>
        <w:spacing w:before="120" w:after="120"/>
        <w:rPr>
          <w:rFonts w:eastAsia="Times New Roman" w:cs="Arial"/>
          <w:b/>
          <w:sz w:val="20"/>
          <w:szCs w:val="20"/>
        </w:rPr>
      </w:pPr>
      <w:r w:rsidRPr="00661D7D">
        <w:rPr>
          <w:rFonts w:eastAsia="Times New Roman" w:cs="Arial"/>
          <w:b/>
          <w:sz w:val="20"/>
          <w:szCs w:val="20"/>
        </w:rPr>
        <w:t xml:space="preserve">Key Activity — 2.1.1 Families and Children </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Families and Children is a key activity of the Families and Communities Program. The Families and Children key activity aims to provide services and initiatives to support families, strengthen relationships, improve the wellbeing of children and young people, enhance family and community functioning, and build capacity within the families and communities sector.</w:t>
      </w:r>
    </w:p>
    <w:p w:rsidR="00513FD2" w:rsidRPr="00661D7D" w:rsidRDefault="00513FD2" w:rsidP="00513FD2">
      <w:pPr>
        <w:spacing w:before="120" w:after="120"/>
        <w:rPr>
          <w:rFonts w:eastAsia="Times New Roman" w:cs="Arial"/>
          <w:sz w:val="20"/>
          <w:szCs w:val="20"/>
        </w:rPr>
      </w:pPr>
      <w:r w:rsidRPr="00661D7D">
        <w:rPr>
          <w:rFonts w:eastAsia="Times New Roman" w:cs="Arial"/>
          <w:b/>
          <w:sz w:val="20"/>
          <w:szCs w:val="20"/>
        </w:rPr>
        <w:t>Families and children service providers</w:t>
      </w:r>
      <w:r w:rsidRPr="00661D7D">
        <w:rPr>
          <w:rFonts w:eastAsia="Times New Roman" w:cs="Arial"/>
          <w:sz w:val="20"/>
          <w:szCs w:val="20"/>
        </w:rPr>
        <w:t xml:space="preserve"> deliver early intervention and prevention activities to improve the wellbeing of families and children (including after separation), including parenting programs, relationship counselling, playgroups and other supports.</w:t>
      </w:r>
    </w:p>
    <w:p w:rsidR="00513FD2" w:rsidRPr="00661D7D" w:rsidRDefault="00513FD2" w:rsidP="00513FD2">
      <w:pPr>
        <w:spacing w:before="120" w:after="120"/>
        <w:rPr>
          <w:rFonts w:eastAsia="Times New Roman" w:cs="Arial"/>
          <w:sz w:val="20"/>
          <w:szCs w:val="20"/>
        </w:rPr>
      </w:pPr>
      <w:r w:rsidRPr="00661D7D">
        <w:rPr>
          <w:rFonts w:eastAsia="Times New Roman" w:cs="Arial"/>
          <w:b/>
          <w:sz w:val="20"/>
          <w:szCs w:val="20"/>
        </w:rPr>
        <w:t>The department</w:t>
      </w:r>
      <w:r w:rsidRPr="00661D7D">
        <w:rPr>
          <w:rFonts w:eastAsia="Times New Roman" w:cs="Arial"/>
          <w:sz w:val="20"/>
          <w:szCs w:val="20"/>
        </w:rPr>
        <w:t xml:space="preserve"> is responsible for designing and implementing the Families and Children key activity, including: </w:t>
      </w:r>
    </w:p>
    <w:p w:rsidR="00513FD2" w:rsidRPr="00795C89" w:rsidRDefault="00513FD2" w:rsidP="00762037">
      <w:pPr>
        <w:numPr>
          <w:ilvl w:val="0"/>
          <w:numId w:val="18"/>
        </w:numPr>
        <w:spacing w:before="0" w:after="0" w:line="240" w:lineRule="auto"/>
        <w:ind w:left="641" w:hanging="357"/>
        <w:rPr>
          <w:sz w:val="20"/>
        </w:rPr>
      </w:pPr>
      <w:r w:rsidRPr="00795C89">
        <w:rPr>
          <w:sz w:val="20"/>
        </w:rPr>
        <w:t>designing policy and legislation</w:t>
      </w:r>
    </w:p>
    <w:p w:rsidR="00513FD2" w:rsidRDefault="00513FD2" w:rsidP="00762037">
      <w:pPr>
        <w:numPr>
          <w:ilvl w:val="0"/>
          <w:numId w:val="18"/>
        </w:numPr>
        <w:spacing w:before="0" w:after="0" w:line="240" w:lineRule="auto"/>
        <w:ind w:left="641" w:hanging="357"/>
        <w:rPr>
          <w:sz w:val="20"/>
        </w:rPr>
      </w:pPr>
      <w:r w:rsidRPr="00795C89">
        <w:rPr>
          <w:sz w:val="20"/>
        </w:rPr>
        <w:t xml:space="preserve">designing and managing grants to service providers. </w:t>
      </w:r>
    </w:p>
    <w:p w:rsidR="00001B01" w:rsidRPr="00795C89" w:rsidRDefault="00001B01" w:rsidP="005B6BFD">
      <w:pPr>
        <w:spacing w:before="0" w:after="0" w:line="240" w:lineRule="auto"/>
        <w:ind w:left="641"/>
        <w:rPr>
          <w:sz w:val="20"/>
        </w:rPr>
      </w:pPr>
    </w:p>
    <w:tbl>
      <w:tblPr>
        <w:tblStyle w:val="TableGrid39"/>
        <w:tblW w:w="4976" w:type="pct"/>
        <w:jc w:val="center"/>
        <w:tblLook w:val="04A0" w:firstRow="1" w:lastRow="0" w:firstColumn="1" w:lastColumn="0" w:noHBand="0" w:noVBand="1"/>
        <w:tblCaption w:val="2.1.1 performance measure and target"/>
        <w:tblDescription w:val="Table outlines the targeted payment percentages across 2022-23, 2023-24, 2024-25 and 2025-26"/>
      </w:tblPr>
      <w:tblGrid>
        <w:gridCol w:w="4531"/>
        <w:gridCol w:w="1276"/>
        <w:gridCol w:w="1276"/>
        <w:gridCol w:w="1274"/>
        <w:gridCol w:w="1225"/>
      </w:tblGrid>
      <w:tr w:rsidR="00513FD2" w:rsidRPr="00661D7D" w:rsidTr="005B200F">
        <w:trPr>
          <w:cantSplit/>
          <w:trHeight w:val="356"/>
          <w:tblHeader/>
          <w:jc w:val="center"/>
        </w:trPr>
        <w:tc>
          <w:tcPr>
            <w:tcW w:w="5000" w:type="pct"/>
            <w:gridSpan w:val="5"/>
            <w:shd w:val="clear" w:color="auto" w:fill="D9D9D6"/>
          </w:tcPr>
          <w:p w:rsidR="00513FD2" w:rsidRPr="00661D7D" w:rsidRDefault="00513FD2" w:rsidP="00513FD2">
            <w:pPr>
              <w:spacing w:before="120" w:after="120" w:line="259" w:lineRule="auto"/>
              <w:rPr>
                <w:rFonts w:cs="Arial"/>
                <w:b/>
                <w:sz w:val="20"/>
              </w:rPr>
            </w:pPr>
            <w:r w:rsidRPr="00661D7D">
              <w:rPr>
                <w:rFonts w:cs="Arial"/>
                <w:b/>
                <w:sz w:val="20"/>
              </w:rPr>
              <w:t>Performance Measure</w:t>
            </w:r>
          </w:p>
        </w:tc>
      </w:tr>
      <w:tr w:rsidR="00513FD2" w:rsidRPr="00661D7D" w:rsidTr="00513FD2">
        <w:trPr>
          <w:cantSplit/>
          <w:trHeight w:val="356"/>
          <w:jc w:val="center"/>
        </w:trPr>
        <w:tc>
          <w:tcPr>
            <w:tcW w:w="5000" w:type="pct"/>
            <w:gridSpan w:val="5"/>
            <w:shd w:val="clear" w:color="auto" w:fill="auto"/>
          </w:tcPr>
          <w:p w:rsidR="00513FD2" w:rsidRPr="00661D7D" w:rsidRDefault="00513FD2" w:rsidP="00513FD2">
            <w:pPr>
              <w:spacing w:before="120" w:after="120" w:line="259" w:lineRule="auto"/>
              <w:rPr>
                <w:rFonts w:cs="Arial"/>
                <w:b/>
                <w:sz w:val="20"/>
              </w:rPr>
            </w:pPr>
            <w:r w:rsidRPr="00661D7D">
              <w:rPr>
                <w:rFonts w:cs="Arial"/>
                <w:sz w:val="20"/>
              </w:rPr>
              <w:t>2.1.1-1 Extent to which individuals have improved individual and family functioning.</w:t>
            </w:r>
          </w:p>
        </w:tc>
      </w:tr>
      <w:tr w:rsidR="00513FD2" w:rsidRPr="00661D7D" w:rsidTr="00513FD2">
        <w:trPr>
          <w:cantSplit/>
          <w:trHeight w:val="356"/>
          <w:jc w:val="center"/>
        </w:trPr>
        <w:tc>
          <w:tcPr>
            <w:tcW w:w="2364" w:type="pct"/>
            <w:shd w:val="clear" w:color="auto" w:fill="D9D9D6"/>
          </w:tcPr>
          <w:p w:rsidR="00513FD2" w:rsidRPr="00661D7D" w:rsidRDefault="00513FD2" w:rsidP="00513FD2">
            <w:pPr>
              <w:spacing w:before="120" w:after="120" w:line="259" w:lineRule="auto"/>
              <w:rPr>
                <w:rFonts w:cs="Arial"/>
                <w:sz w:val="20"/>
              </w:rPr>
            </w:pPr>
            <w:r w:rsidRPr="00661D7D">
              <w:rPr>
                <w:rFonts w:cs="Arial"/>
                <w:b/>
                <w:sz w:val="20"/>
              </w:rPr>
              <w:t>Target</w:t>
            </w:r>
          </w:p>
        </w:tc>
        <w:tc>
          <w:tcPr>
            <w:tcW w:w="666" w:type="pct"/>
            <w:shd w:val="clear" w:color="auto" w:fill="D9D9D6"/>
            <w:vAlign w:val="center"/>
          </w:tcPr>
          <w:p w:rsidR="00513FD2" w:rsidRPr="00661D7D" w:rsidRDefault="00513FD2" w:rsidP="00513FD2">
            <w:pPr>
              <w:spacing w:before="120" w:after="120" w:line="259" w:lineRule="auto"/>
              <w:rPr>
                <w:rFonts w:cs="Arial"/>
                <w:sz w:val="20"/>
              </w:rPr>
            </w:pPr>
            <w:r w:rsidRPr="00661D7D">
              <w:rPr>
                <w:rFonts w:cs="Arial"/>
                <w:b/>
                <w:sz w:val="20"/>
              </w:rPr>
              <w:t>2022–23</w:t>
            </w:r>
          </w:p>
        </w:tc>
        <w:tc>
          <w:tcPr>
            <w:tcW w:w="666" w:type="pct"/>
            <w:shd w:val="clear" w:color="auto" w:fill="D9D9D6"/>
            <w:vAlign w:val="center"/>
          </w:tcPr>
          <w:p w:rsidR="00513FD2" w:rsidRPr="00661D7D" w:rsidRDefault="00513FD2" w:rsidP="00513FD2">
            <w:pPr>
              <w:spacing w:before="120" w:after="120" w:line="259" w:lineRule="auto"/>
              <w:rPr>
                <w:rFonts w:cs="Arial"/>
                <w:b/>
                <w:sz w:val="20"/>
              </w:rPr>
            </w:pPr>
            <w:r w:rsidRPr="00661D7D">
              <w:rPr>
                <w:rFonts w:cs="Arial"/>
                <w:b/>
                <w:sz w:val="20"/>
              </w:rPr>
              <w:t>2023–24</w:t>
            </w:r>
          </w:p>
        </w:tc>
        <w:tc>
          <w:tcPr>
            <w:tcW w:w="665" w:type="pct"/>
            <w:shd w:val="clear" w:color="auto" w:fill="D9D9D6"/>
            <w:vAlign w:val="center"/>
          </w:tcPr>
          <w:p w:rsidR="00513FD2" w:rsidRPr="00661D7D" w:rsidRDefault="00513FD2" w:rsidP="00513FD2">
            <w:pPr>
              <w:spacing w:before="120" w:after="120" w:line="259" w:lineRule="auto"/>
              <w:rPr>
                <w:rFonts w:cs="Arial"/>
                <w:b/>
                <w:sz w:val="20"/>
              </w:rPr>
            </w:pPr>
            <w:r w:rsidRPr="00661D7D">
              <w:rPr>
                <w:rFonts w:cs="Arial"/>
                <w:b/>
                <w:sz w:val="20"/>
              </w:rPr>
              <w:t>2024–25</w:t>
            </w:r>
          </w:p>
        </w:tc>
        <w:tc>
          <w:tcPr>
            <w:tcW w:w="639" w:type="pct"/>
            <w:shd w:val="clear" w:color="auto" w:fill="D9D9D6"/>
            <w:vAlign w:val="center"/>
          </w:tcPr>
          <w:p w:rsidR="00513FD2" w:rsidRPr="00661D7D" w:rsidRDefault="00513FD2" w:rsidP="00513FD2">
            <w:pPr>
              <w:spacing w:before="120" w:after="120" w:line="259" w:lineRule="auto"/>
              <w:rPr>
                <w:rFonts w:cs="Arial"/>
                <w:b/>
                <w:sz w:val="20"/>
              </w:rPr>
            </w:pPr>
            <w:r w:rsidRPr="00661D7D">
              <w:rPr>
                <w:rFonts w:cs="Arial"/>
                <w:b/>
                <w:sz w:val="20"/>
              </w:rPr>
              <w:t>2025–26</w:t>
            </w:r>
          </w:p>
        </w:tc>
      </w:tr>
      <w:tr w:rsidR="00513FD2" w:rsidRPr="00661D7D" w:rsidTr="00513FD2">
        <w:trPr>
          <w:cantSplit/>
          <w:trHeight w:val="356"/>
          <w:jc w:val="center"/>
        </w:trPr>
        <w:tc>
          <w:tcPr>
            <w:tcW w:w="2364" w:type="pct"/>
            <w:shd w:val="clear" w:color="auto" w:fill="FFFFFF"/>
          </w:tcPr>
          <w:p w:rsidR="00513FD2" w:rsidRPr="00661D7D" w:rsidRDefault="00513FD2" w:rsidP="006A2344">
            <w:pPr>
              <w:spacing w:before="120" w:after="120" w:line="259" w:lineRule="auto"/>
              <w:rPr>
                <w:rFonts w:cs="Arial"/>
                <w:sz w:val="20"/>
              </w:rPr>
            </w:pPr>
            <w:r w:rsidRPr="00661D7D">
              <w:rPr>
                <w:rFonts w:cs="Arial"/>
                <w:sz w:val="20"/>
              </w:rPr>
              <w:sym w:font="Wingdings" w:char="F074"/>
            </w:r>
            <w:r w:rsidRPr="00661D7D">
              <w:rPr>
                <w:rFonts w:cs="Arial"/>
                <w:sz w:val="20"/>
              </w:rPr>
              <w:t xml:space="preserve"> 2.1.1-1A - At least 75</w:t>
            </w:r>
            <w:r w:rsidR="006A2344">
              <w:rPr>
                <w:rFonts w:cs="Arial"/>
                <w:sz w:val="20"/>
              </w:rPr>
              <w:t>%</w:t>
            </w:r>
            <w:r w:rsidRPr="00661D7D">
              <w:rPr>
                <w:rFonts w:cs="Arial"/>
                <w:sz w:val="20"/>
              </w:rPr>
              <w:t xml:space="preserve"> of clients in reporting services have improved family functioning.</w:t>
            </w:r>
          </w:p>
        </w:tc>
        <w:tc>
          <w:tcPr>
            <w:tcW w:w="666" w:type="pct"/>
          </w:tcPr>
          <w:p w:rsidR="00513FD2" w:rsidRPr="00661D7D" w:rsidRDefault="00513FD2" w:rsidP="00513FD2">
            <w:pPr>
              <w:spacing w:before="120" w:after="120" w:line="259" w:lineRule="auto"/>
              <w:rPr>
                <w:rFonts w:cs="Arial"/>
                <w:sz w:val="20"/>
              </w:rPr>
            </w:pPr>
            <w:r w:rsidRPr="00661D7D">
              <w:rPr>
                <w:rFonts w:cs="Arial"/>
                <w:sz w:val="20"/>
                <w:lang w:eastAsia="en-GB"/>
              </w:rPr>
              <w:t xml:space="preserve">≥75 </w:t>
            </w:r>
            <w:r>
              <w:rPr>
                <w:sz w:val="20"/>
                <w:lang w:eastAsia="en-GB"/>
              </w:rPr>
              <w:t>%</w:t>
            </w:r>
          </w:p>
        </w:tc>
        <w:tc>
          <w:tcPr>
            <w:tcW w:w="666" w:type="pct"/>
          </w:tcPr>
          <w:p w:rsidR="00513FD2" w:rsidRPr="00661D7D" w:rsidRDefault="00513FD2" w:rsidP="00513FD2">
            <w:pPr>
              <w:spacing w:before="120" w:after="120" w:line="259" w:lineRule="auto"/>
              <w:rPr>
                <w:rFonts w:cs="Arial"/>
                <w:sz w:val="20"/>
              </w:rPr>
            </w:pPr>
            <w:r w:rsidRPr="00661D7D">
              <w:rPr>
                <w:rFonts w:cs="Arial"/>
                <w:sz w:val="20"/>
                <w:lang w:eastAsia="en-GB"/>
              </w:rPr>
              <w:t xml:space="preserve">≥75 </w:t>
            </w:r>
            <w:r>
              <w:rPr>
                <w:sz w:val="20"/>
                <w:lang w:eastAsia="en-GB"/>
              </w:rPr>
              <w:t>%</w:t>
            </w:r>
          </w:p>
        </w:tc>
        <w:tc>
          <w:tcPr>
            <w:tcW w:w="665" w:type="pct"/>
          </w:tcPr>
          <w:p w:rsidR="00513FD2" w:rsidRPr="00661D7D" w:rsidRDefault="00513FD2" w:rsidP="00513FD2">
            <w:pPr>
              <w:spacing w:before="120" w:after="120" w:line="259" w:lineRule="auto"/>
              <w:rPr>
                <w:rFonts w:cs="Arial"/>
                <w:sz w:val="20"/>
              </w:rPr>
            </w:pPr>
            <w:r w:rsidRPr="00661D7D">
              <w:rPr>
                <w:rFonts w:cs="Arial"/>
                <w:sz w:val="20"/>
                <w:lang w:eastAsia="en-GB"/>
              </w:rPr>
              <w:t xml:space="preserve">≥75 </w:t>
            </w:r>
            <w:r>
              <w:rPr>
                <w:sz w:val="20"/>
                <w:lang w:eastAsia="en-GB"/>
              </w:rPr>
              <w:t>%</w:t>
            </w:r>
          </w:p>
        </w:tc>
        <w:tc>
          <w:tcPr>
            <w:tcW w:w="639" w:type="pct"/>
            <w:shd w:val="clear" w:color="auto" w:fill="FFFFFF"/>
          </w:tcPr>
          <w:p w:rsidR="00513FD2" w:rsidRPr="00661D7D" w:rsidRDefault="00513FD2" w:rsidP="00513FD2">
            <w:pPr>
              <w:spacing w:before="120" w:after="120" w:line="259" w:lineRule="auto"/>
              <w:rPr>
                <w:rFonts w:cs="Arial"/>
                <w:sz w:val="20"/>
                <w:lang w:eastAsia="en-GB"/>
              </w:rPr>
            </w:pPr>
            <w:r w:rsidRPr="00661D7D">
              <w:rPr>
                <w:rFonts w:cs="Arial"/>
                <w:sz w:val="20"/>
                <w:lang w:eastAsia="en-GB"/>
              </w:rPr>
              <w:t xml:space="preserve">≥75 </w:t>
            </w:r>
            <w:r>
              <w:rPr>
                <w:sz w:val="20"/>
                <w:lang w:eastAsia="en-GB"/>
              </w:rPr>
              <w:t>%</w:t>
            </w:r>
          </w:p>
        </w:tc>
      </w:tr>
    </w:tbl>
    <w:p w:rsidR="00513FD2" w:rsidRPr="00661D7D" w:rsidRDefault="00513FD2" w:rsidP="00513FD2">
      <w:pPr>
        <w:shd w:val="clear" w:color="auto" w:fill="C2E189"/>
        <w:spacing w:before="120" w:after="120"/>
        <w:rPr>
          <w:rFonts w:eastAsia="Times New Roman" w:cs="Arial"/>
          <w:b/>
          <w:sz w:val="20"/>
          <w:szCs w:val="20"/>
        </w:rPr>
      </w:pPr>
      <w:r w:rsidRPr="00661D7D">
        <w:rPr>
          <w:rFonts w:eastAsia="Times New Roman" w:cs="Arial"/>
          <w:b/>
          <w:sz w:val="20"/>
          <w:szCs w:val="20"/>
        </w:rPr>
        <w:t>Rationale</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Measuring the extent to which individuals have improved individual and family functioning aims to</w:t>
      </w:r>
      <w:r w:rsidR="005F7F52">
        <w:rPr>
          <w:rFonts w:eastAsia="Times New Roman" w:cs="Arial"/>
          <w:sz w:val="20"/>
          <w:szCs w:val="20"/>
        </w:rPr>
        <w:t> </w:t>
      </w:r>
      <w:r w:rsidRPr="00661D7D">
        <w:rPr>
          <w:rFonts w:eastAsia="Times New Roman" w:cs="Arial"/>
          <w:sz w:val="20"/>
          <w:szCs w:val="20"/>
        </w:rPr>
        <w:t>demonstrate that Families and Children Service Providers have strengthened family functioning. This</w:t>
      </w:r>
      <w:r w:rsidR="005F7F52">
        <w:rPr>
          <w:rFonts w:eastAsia="Times New Roman" w:cs="Arial"/>
          <w:sz w:val="20"/>
          <w:szCs w:val="20"/>
        </w:rPr>
        <w:t> </w:t>
      </w:r>
      <w:r w:rsidRPr="00661D7D">
        <w:rPr>
          <w:rFonts w:eastAsia="Times New Roman" w:cs="Arial"/>
          <w:sz w:val="20"/>
          <w:szCs w:val="20"/>
        </w:rPr>
        <w:t xml:space="preserve">measure demonstrates the </w:t>
      </w:r>
      <w:r w:rsidRPr="00661D7D">
        <w:rPr>
          <w:rFonts w:eastAsia="Times New Roman" w:cs="Arial"/>
          <w:b/>
          <w:sz w:val="20"/>
          <w:szCs w:val="20"/>
        </w:rPr>
        <w:t>effectiveness</w:t>
      </w:r>
      <w:r w:rsidRPr="00661D7D">
        <w:rPr>
          <w:rFonts w:eastAsia="Times New Roman" w:cs="Arial"/>
          <w:sz w:val="20"/>
          <w:szCs w:val="20"/>
        </w:rPr>
        <w:t xml:space="preserve"> of Families and Children in achieving the objective of the key activity: To provide services and initiatives to support families, strengthen relationships, improve the wellbeing of children and young people, enhance family and community functioning, and build capacity within the families and communities sector.</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The target of least 75</w:t>
      </w:r>
      <w:r w:rsidR="006A2344">
        <w:rPr>
          <w:rFonts w:eastAsia="Times New Roman" w:cs="Arial"/>
          <w:sz w:val="20"/>
          <w:szCs w:val="20"/>
        </w:rPr>
        <w:t>%</w:t>
      </w:r>
      <w:r w:rsidRPr="00661D7D">
        <w:rPr>
          <w:rFonts w:eastAsia="Times New Roman" w:cs="Arial"/>
          <w:sz w:val="20"/>
          <w:szCs w:val="20"/>
        </w:rPr>
        <w:t xml:space="preserve"> of clients in reporting services have improved family functioning demonstrates the </w:t>
      </w:r>
      <w:r w:rsidRPr="00661D7D">
        <w:rPr>
          <w:rFonts w:eastAsia="Times New Roman" w:cs="Arial"/>
          <w:b/>
          <w:sz w:val="20"/>
          <w:szCs w:val="20"/>
        </w:rPr>
        <w:t>effectiveness</w:t>
      </w:r>
      <w:r w:rsidRPr="00661D7D">
        <w:rPr>
          <w:rFonts w:eastAsia="Times New Roman" w:cs="Arial"/>
          <w:sz w:val="20"/>
          <w:szCs w:val="20"/>
        </w:rPr>
        <w:t xml:space="preserve"> of the key activity by showing that a significant majority of clients that received services from Families and Children service providers have improved individual and family functioning.</w:t>
      </w:r>
    </w:p>
    <w:p w:rsidR="00513FD2" w:rsidRPr="00661D7D" w:rsidRDefault="00513FD2" w:rsidP="00513FD2">
      <w:pPr>
        <w:shd w:val="clear" w:color="auto" w:fill="C2E189"/>
        <w:spacing w:before="120" w:after="120"/>
        <w:rPr>
          <w:rFonts w:eastAsia="Times New Roman" w:cs="Arial"/>
          <w:b/>
          <w:sz w:val="20"/>
          <w:szCs w:val="20"/>
        </w:rPr>
      </w:pPr>
      <w:r w:rsidRPr="00661D7D">
        <w:rPr>
          <w:rFonts w:eastAsia="Times New Roman" w:cs="Arial"/>
          <w:b/>
          <w:sz w:val="20"/>
          <w:szCs w:val="20"/>
        </w:rPr>
        <w:t>Methodology</w:t>
      </w:r>
    </w:p>
    <w:p w:rsidR="00A667BD" w:rsidRDefault="00513FD2">
      <w:pPr>
        <w:rPr>
          <w:rFonts w:eastAsia="Times New Roman" w:cs="Arial"/>
          <w:sz w:val="20"/>
          <w:szCs w:val="20"/>
        </w:rPr>
      </w:pPr>
      <w:r w:rsidRPr="00661D7D">
        <w:rPr>
          <w:rFonts w:eastAsia="Times New Roman" w:cs="Arial"/>
          <w:sz w:val="20"/>
          <w:szCs w:val="20"/>
        </w:rPr>
        <w:t>Funded service providers conduct a survey with a sample of clients to whom they provide a service. Client Circumstances data is based on a self-assessment of functioning, pre-service to establish a base-line and post service to record the self-assessed outcome.</w:t>
      </w:r>
    </w:p>
    <w:p w:rsidR="00A667BD" w:rsidRPr="00762037" w:rsidRDefault="00A667BD" w:rsidP="00762037">
      <w:pPr>
        <w:spacing w:before="120" w:after="120"/>
        <w:rPr>
          <w:sz w:val="20"/>
          <w:szCs w:val="20"/>
        </w:rPr>
      </w:pPr>
      <w:r w:rsidRPr="00762037">
        <w:rPr>
          <w:sz w:val="20"/>
          <w:szCs w:val="20"/>
        </w:rPr>
        <w:t>There is a risk that results reported by some service providers may not be accurate, reliable and/or free from bias. In order to mitigate this risk, the department is exploring five measures to quality assure service provider data:</w:t>
      </w:r>
    </w:p>
    <w:p w:rsidR="00A667BD" w:rsidRPr="00762037" w:rsidRDefault="00A667BD" w:rsidP="00762037">
      <w:pPr>
        <w:spacing w:before="120" w:after="120"/>
        <w:ind w:left="720" w:hanging="720"/>
        <w:rPr>
          <w:sz w:val="20"/>
          <w:szCs w:val="20"/>
        </w:rPr>
      </w:pPr>
      <w:r w:rsidRPr="00762037">
        <w:rPr>
          <w:sz w:val="20"/>
          <w:szCs w:val="20"/>
        </w:rPr>
        <w:t>1.</w:t>
      </w:r>
      <w:r w:rsidRPr="00762037">
        <w:rPr>
          <w:sz w:val="20"/>
          <w:szCs w:val="20"/>
        </w:rPr>
        <w:tab/>
        <w:t xml:space="preserve">Confirming client activity by using DEX Statistical Linkage Key (SLK) matching with DSS Social Security payment data – this measure will verify clients reported by service providers and increase confidence in the accuracy and validity of data. </w:t>
      </w:r>
    </w:p>
    <w:p w:rsidR="00A667BD" w:rsidRPr="00762037" w:rsidRDefault="00A667BD" w:rsidP="00762037">
      <w:pPr>
        <w:spacing w:before="120" w:after="120"/>
        <w:ind w:left="720" w:hanging="720"/>
        <w:rPr>
          <w:sz w:val="20"/>
          <w:szCs w:val="20"/>
        </w:rPr>
      </w:pPr>
      <w:r w:rsidRPr="00762037">
        <w:rPr>
          <w:sz w:val="20"/>
          <w:szCs w:val="20"/>
        </w:rPr>
        <w:t>2.</w:t>
      </w:r>
      <w:r w:rsidRPr="00762037">
        <w:rPr>
          <w:sz w:val="20"/>
          <w:szCs w:val="20"/>
        </w:rPr>
        <w:tab/>
        <w:t>Independently conducted client surveys – this measure will independently validate the reported DEX data.</w:t>
      </w:r>
    </w:p>
    <w:p w:rsidR="00A667BD" w:rsidRPr="00762037" w:rsidRDefault="00A667BD" w:rsidP="00762037">
      <w:pPr>
        <w:spacing w:before="120" w:after="120"/>
        <w:ind w:left="720" w:hanging="720"/>
        <w:rPr>
          <w:sz w:val="20"/>
          <w:szCs w:val="20"/>
        </w:rPr>
      </w:pPr>
      <w:r w:rsidRPr="00762037">
        <w:rPr>
          <w:sz w:val="20"/>
          <w:szCs w:val="20"/>
        </w:rPr>
        <w:t>3.</w:t>
      </w:r>
      <w:r w:rsidRPr="00762037">
        <w:rPr>
          <w:sz w:val="20"/>
          <w:szCs w:val="20"/>
        </w:rPr>
        <w:tab/>
        <w:t xml:space="preserve">Service provider cohort analysis – this measure will identify trends or patterns common across comparable cohorts and use these patterns to validate the reported data and identify outliers or anomalies. </w:t>
      </w:r>
    </w:p>
    <w:p w:rsidR="00A667BD" w:rsidRPr="00762037" w:rsidRDefault="00A667BD" w:rsidP="00762037">
      <w:pPr>
        <w:spacing w:before="120" w:after="120"/>
        <w:ind w:left="720" w:hanging="720"/>
        <w:rPr>
          <w:sz w:val="20"/>
          <w:szCs w:val="20"/>
        </w:rPr>
      </w:pPr>
      <w:r w:rsidRPr="00762037">
        <w:rPr>
          <w:sz w:val="20"/>
          <w:szCs w:val="20"/>
        </w:rPr>
        <w:lastRenderedPageBreak/>
        <w:t>4.</w:t>
      </w:r>
      <w:r w:rsidRPr="00762037">
        <w:rPr>
          <w:sz w:val="20"/>
          <w:szCs w:val="20"/>
        </w:rPr>
        <w:tab/>
        <w:t xml:space="preserve">Data Validation Strategy – this measure will require providers to have a Data Validation Strategy to prevent and detect poor data entry and correct any errors prior to the close of a reporting period. </w:t>
      </w:r>
    </w:p>
    <w:p w:rsidR="00A667BD" w:rsidRPr="00762037" w:rsidRDefault="00A667BD" w:rsidP="00762037">
      <w:pPr>
        <w:spacing w:before="120" w:after="120"/>
        <w:ind w:left="720" w:hanging="720"/>
        <w:rPr>
          <w:sz w:val="20"/>
          <w:szCs w:val="20"/>
        </w:rPr>
      </w:pPr>
      <w:r w:rsidRPr="00762037">
        <w:rPr>
          <w:sz w:val="20"/>
          <w:szCs w:val="20"/>
        </w:rPr>
        <w:t>5.</w:t>
      </w:r>
      <w:r w:rsidRPr="00762037">
        <w:rPr>
          <w:sz w:val="20"/>
          <w:szCs w:val="20"/>
        </w:rPr>
        <w:tab/>
        <w:t xml:space="preserve">Random SCORE Sampling – this measure validates the accuracy of reported outcomes data and identifies potential bias. </w:t>
      </w:r>
    </w:p>
    <w:p w:rsidR="00513FD2" w:rsidRPr="00A667BD" w:rsidRDefault="00A667BD" w:rsidP="00762037">
      <w:pPr>
        <w:spacing w:before="120" w:after="120"/>
        <w:rPr>
          <w:rFonts w:eastAsia="Times New Roman" w:cs="Arial"/>
          <w:sz w:val="20"/>
          <w:szCs w:val="20"/>
        </w:rPr>
      </w:pPr>
      <w:r w:rsidRPr="00762037">
        <w:rPr>
          <w:sz w:val="20"/>
          <w:szCs w:val="20"/>
        </w:rPr>
        <w:t>The department will implement ongoing data assurance practices of DEX data to assess its appropriateness for future performance reporting.</w:t>
      </w:r>
    </w:p>
    <w:p w:rsidR="00513FD2" w:rsidRPr="00661D7D" w:rsidRDefault="00513FD2" w:rsidP="00A667BD">
      <w:pPr>
        <w:rPr>
          <w:rFonts w:eastAsia="Times New Roman" w:cs="Arial"/>
          <w:sz w:val="20"/>
          <w:szCs w:val="20"/>
        </w:rPr>
      </w:pPr>
      <w:r w:rsidRPr="00661D7D">
        <w:rPr>
          <w:rFonts w:eastAsia="Times New Roman" w:cs="Arial"/>
          <w:sz w:val="20"/>
          <w:szCs w:val="20"/>
        </w:rPr>
        <w:t xml:space="preserve">The </w:t>
      </w:r>
      <w:r w:rsidRPr="00661D7D">
        <w:rPr>
          <w:rFonts w:eastAsia="Times New Roman" w:cs="Arial"/>
          <w:b/>
          <w:sz w:val="20"/>
          <w:szCs w:val="20"/>
        </w:rPr>
        <w:t>data source</w:t>
      </w:r>
      <w:r w:rsidRPr="00661D7D">
        <w:rPr>
          <w:rFonts w:eastAsia="Times New Roman" w:cs="Arial"/>
          <w:sz w:val="20"/>
          <w:szCs w:val="20"/>
        </w:rPr>
        <w:t xml:space="preserve"> used for this calculation is the Department of Social Services Data Exchange. Standard Client / Community Outcome Reporting (SCORE) – Family functioning – Client SCORE Circumstances and Client SCORE Goals.</w:t>
      </w:r>
    </w:p>
    <w:p w:rsidR="00513FD2" w:rsidRPr="00661D7D" w:rsidRDefault="00513FD2" w:rsidP="00A667BD">
      <w:pPr>
        <w:rPr>
          <w:rFonts w:eastAsia="Times New Roman" w:cs="Arial"/>
          <w:sz w:val="20"/>
          <w:szCs w:val="20"/>
        </w:rPr>
      </w:pPr>
      <w:r w:rsidRPr="00661D7D">
        <w:rPr>
          <w:rFonts w:eastAsia="Times New Roman" w:cs="Arial"/>
          <w:sz w:val="20"/>
          <w:szCs w:val="20"/>
        </w:rPr>
        <w:br w:type="page"/>
      </w:r>
    </w:p>
    <w:p w:rsidR="004734D5" w:rsidRPr="00661D7D" w:rsidRDefault="004734D5" w:rsidP="004734D5">
      <w:pPr>
        <w:shd w:val="clear" w:color="auto" w:fill="275D38"/>
        <w:spacing w:before="120" w:after="120"/>
        <w:rPr>
          <w:rFonts w:eastAsia="Calibri" w:cs="Arial"/>
          <w:b/>
          <w:color w:val="FFFFFF"/>
          <w:sz w:val="20"/>
          <w:szCs w:val="20"/>
        </w:rPr>
      </w:pPr>
      <w:r w:rsidRPr="00661D7D">
        <w:rPr>
          <w:rFonts w:eastAsia="Calibri" w:cs="Arial"/>
          <w:b/>
          <w:color w:val="FFFFFF"/>
          <w:sz w:val="20"/>
          <w:szCs w:val="20"/>
        </w:rPr>
        <w:lastRenderedPageBreak/>
        <w:t>PROGRAM 2.1 FAMILIES AND COMMUNITIES</w:t>
      </w:r>
    </w:p>
    <w:p w:rsidR="004734D5" w:rsidRPr="00661D7D" w:rsidRDefault="004734D5" w:rsidP="004734D5">
      <w:pPr>
        <w:shd w:val="clear" w:color="auto" w:fill="275D38"/>
        <w:spacing w:before="120" w:after="120"/>
        <w:rPr>
          <w:rFonts w:eastAsia="Calibri" w:cs="Arial"/>
          <w:color w:val="FFFFFF"/>
          <w:sz w:val="20"/>
          <w:szCs w:val="20"/>
        </w:rPr>
      </w:pPr>
      <w:r w:rsidRPr="00661D7D">
        <w:rPr>
          <w:rFonts w:eastAsia="Calibri" w:cs="Arial"/>
          <w:color w:val="FFFFFF"/>
          <w:sz w:val="20"/>
          <w:szCs w:val="20"/>
        </w:rPr>
        <w:t>To strengthen relationships, support families, improve wellbeing of children and young people, reduce the cost of family breakdown, and strengthen family and community functioning.</w:t>
      </w:r>
    </w:p>
    <w:p w:rsidR="004734D5" w:rsidRPr="00661D7D" w:rsidRDefault="004734D5" w:rsidP="004734D5">
      <w:pPr>
        <w:shd w:val="clear" w:color="auto" w:fill="C2E189"/>
        <w:spacing w:before="120" w:after="120"/>
        <w:rPr>
          <w:rFonts w:eastAsia="Calibri" w:cs="Arial"/>
          <w:b/>
          <w:sz w:val="20"/>
          <w:szCs w:val="20"/>
        </w:rPr>
      </w:pPr>
      <w:r w:rsidRPr="00661D7D">
        <w:rPr>
          <w:rFonts w:eastAsia="Calibri" w:cs="Arial"/>
          <w:b/>
          <w:sz w:val="20"/>
          <w:szCs w:val="20"/>
        </w:rPr>
        <w:t>Key Activity — 2.1.2 Women’s Safety</w:t>
      </w:r>
    </w:p>
    <w:p w:rsidR="00513FD2" w:rsidRPr="00661D7D" w:rsidRDefault="00513FD2" w:rsidP="00A667BD">
      <w:pPr>
        <w:rPr>
          <w:rFonts w:eastAsia="Calibri" w:cs="Arial"/>
          <w:sz w:val="20"/>
          <w:szCs w:val="20"/>
        </w:rPr>
      </w:pPr>
      <w:r w:rsidRPr="00661D7D">
        <w:rPr>
          <w:rFonts w:eastAsia="Calibri" w:cs="Arial"/>
          <w:sz w:val="20"/>
          <w:szCs w:val="20"/>
        </w:rPr>
        <w:t xml:space="preserve">The </w:t>
      </w:r>
      <w:r w:rsidR="005F7F52">
        <w:rPr>
          <w:rFonts w:eastAsia="Calibri" w:cs="Arial"/>
          <w:sz w:val="20"/>
          <w:szCs w:val="20"/>
        </w:rPr>
        <w:t>d</w:t>
      </w:r>
      <w:r w:rsidR="005F7F52" w:rsidRPr="00661D7D">
        <w:rPr>
          <w:rFonts w:eastAsia="Calibri" w:cs="Arial"/>
          <w:sz w:val="20"/>
          <w:szCs w:val="20"/>
        </w:rPr>
        <w:t xml:space="preserve">epartment’s </w:t>
      </w:r>
      <w:r w:rsidRPr="00661D7D">
        <w:rPr>
          <w:rFonts w:eastAsia="Calibri" w:cs="Arial"/>
          <w:sz w:val="20"/>
          <w:szCs w:val="20"/>
        </w:rPr>
        <w:t>work in women’s safety aims to end all forms of violence again</w:t>
      </w:r>
      <w:r w:rsidR="006A2344">
        <w:rPr>
          <w:rFonts w:eastAsia="Calibri" w:cs="Arial"/>
          <w:sz w:val="20"/>
          <w:szCs w:val="20"/>
        </w:rPr>
        <w:t>st</w:t>
      </w:r>
      <w:r w:rsidRPr="00661D7D">
        <w:rPr>
          <w:rFonts w:eastAsia="Calibri" w:cs="Arial"/>
          <w:sz w:val="20"/>
          <w:szCs w:val="20"/>
        </w:rPr>
        <w:t xml:space="preserve"> women.</w:t>
      </w:r>
      <w:r>
        <w:rPr>
          <w:rFonts w:eastAsia="Calibri" w:cs="Arial"/>
          <w:sz w:val="20"/>
          <w:szCs w:val="20"/>
        </w:rPr>
        <w:t xml:space="preserve"> </w:t>
      </w:r>
      <w:r w:rsidRPr="00661D7D">
        <w:rPr>
          <w:rFonts w:eastAsia="Calibri" w:cs="Arial"/>
          <w:sz w:val="20"/>
          <w:szCs w:val="20"/>
        </w:rPr>
        <w:t>The main vehicle to</w:t>
      </w:r>
      <w:r>
        <w:rPr>
          <w:rFonts w:eastAsia="Calibri" w:cs="Arial"/>
          <w:sz w:val="20"/>
          <w:szCs w:val="20"/>
        </w:rPr>
        <w:t xml:space="preserve"> achieve this goal is through</w:t>
      </w:r>
      <w:r w:rsidRPr="00661D7D">
        <w:rPr>
          <w:rFonts w:eastAsia="Calibri" w:cs="Arial"/>
          <w:sz w:val="20"/>
          <w:szCs w:val="20"/>
        </w:rPr>
        <w:t xml:space="preserve"> finalising and commencing</w:t>
      </w:r>
      <w:r>
        <w:rPr>
          <w:rFonts w:eastAsia="Calibri" w:cs="Arial"/>
          <w:sz w:val="20"/>
          <w:szCs w:val="20"/>
        </w:rPr>
        <w:t xml:space="preserve"> </w:t>
      </w:r>
      <w:r w:rsidRPr="00661D7D">
        <w:rPr>
          <w:rFonts w:eastAsia="Calibri" w:cs="Arial"/>
          <w:sz w:val="20"/>
          <w:szCs w:val="20"/>
        </w:rPr>
        <w:t>implementation of the National Plan to End Violence against Women and Children 2022-</w:t>
      </w:r>
      <w:r w:rsidR="006A2344">
        <w:rPr>
          <w:rFonts w:eastAsia="Calibri" w:cs="Arial"/>
          <w:sz w:val="20"/>
          <w:szCs w:val="20"/>
        </w:rPr>
        <w:t>20</w:t>
      </w:r>
      <w:r w:rsidRPr="00661D7D">
        <w:rPr>
          <w:rFonts w:eastAsia="Calibri" w:cs="Arial"/>
          <w:sz w:val="20"/>
          <w:szCs w:val="20"/>
        </w:rPr>
        <w:t>32 (National Plan). All Australian governments have committed to the National Plan with actions to be delivered by Commonwealth and state and territory governments. The</w:t>
      </w:r>
      <w:r w:rsidR="005F7F52">
        <w:rPr>
          <w:rFonts w:eastAsia="Calibri" w:cs="Arial"/>
          <w:sz w:val="20"/>
          <w:szCs w:val="20"/>
        </w:rPr>
        <w:t> </w:t>
      </w:r>
      <w:r w:rsidRPr="00661D7D">
        <w:rPr>
          <w:rFonts w:eastAsia="Calibri" w:cs="Arial"/>
          <w:sz w:val="20"/>
          <w:szCs w:val="20"/>
        </w:rPr>
        <w:t xml:space="preserve">draft National Plan utilises a public health approach, with actions across the continuum, spanning </w:t>
      </w:r>
      <w:r w:rsidR="00276CDD">
        <w:rPr>
          <w:rFonts w:eastAsia="Calibri" w:cs="Arial"/>
          <w:sz w:val="20"/>
          <w:szCs w:val="20"/>
        </w:rPr>
        <w:t>4</w:t>
      </w:r>
      <w:r w:rsidRPr="00661D7D">
        <w:rPr>
          <w:rFonts w:eastAsia="Calibri" w:cs="Arial"/>
          <w:sz w:val="20"/>
          <w:szCs w:val="20"/>
        </w:rPr>
        <w:t xml:space="preserve"> domains: prevention, early intervention, response</w:t>
      </w:r>
      <w:r w:rsidR="00276CDD">
        <w:rPr>
          <w:rFonts w:eastAsia="Calibri" w:cs="Arial"/>
          <w:sz w:val="20"/>
          <w:szCs w:val="20"/>
        </w:rPr>
        <w:t>,</w:t>
      </w:r>
      <w:r w:rsidRPr="00661D7D">
        <w:rPr>
          <w:rFonts w:eastAsia="Calibri" w:cs="Arial"/>
          <w:sz w:val="20"/>
          <w:szCs w:val="20"/>
        </w:rPr>
        <w:t xml:space="preserve"> and recovery and healing. </w:t>
      </w:r>
    </w:p>
    <w:p w:rsidR="00513FD2" w:rsidRPr="00661D7D" w:rsidRDefault="00513FD2" w:rsidP="00A667BD">
      <w:pPr>
        <w:spacing w:before="120" w:after="120"/>
        <w:rPr>
          <w:rFonts w:eastAsia="Calibri" w:cs="Arial"/>
          <w:sz w:val="20"/>
          <w:szCs w:val="20"/>
        </w:rPr>
      </w:pPr>
      <w:r w:rsidRPr="00661D7D">
        <w:rPr>
          <w:rFonts w:eastAsia="Calibri" w:cs="Arial"/>
          <w:sz w:val="20"/>
          <w:szCs w:val="20"/>
        </w:rPr>
        <w:t>A separate, standalone National Plan will be developed to address the unacceptably high rates of violence experienced by Aboriginal and Torres Strait Islander women and children, recognising the intersecting multiple and layered forms of discrimination and disadvantage that impact on the safety of Aboriginal and Torres Strait Isl</w:t>
      </w:r>
      <w:r>
        <w:rPr>
          <w:rFonts w:eastAsia="Calibri" w:cs="Arial"/>
          <w:sz w:val="20"/>
          <w:szCs w:val="20"/>
        </w:rPr>
        <w:t>ander families and communities.</w:t>
      </w:r>
    </w:p>
    <w:p w:rsidR="00513FD2" w:rsidRPr="00661D7D" w:rsidRDefault="00513FD2" w:rsidP="00513FD2">
      <w:pPr>
        <w:spacing w:before="120" w:after="120"/>
        <w:rPr>
          <w:rFonts w:eastAsia="Calibri" w:cs="Arial"/>
          <w:sz w:val="20"/>
          <w:szCs w:val="20"/>
          <w:lang w:eastAsia="en-GB"/>
        </w:rPr>
      </w:pPr>
      <w:r w:rsidRPr="00661D7D">
        <w:rPr>
          <w:rFonts w:eastAsia="Calibri" w:cs="Arial"/>
          <w:sz w:val="20"/>
          <w:szCs w:val="20"/>
        </w:rPr>
        <w:t xml:space="preserve">While the National Plan is being finalised, the department will continue to support and administer a number of </w:t>
      </w:r>
      <w:r w:rsidRPr="00661D7D">
        <w:rPr>
          <w:rFonts w:eastAsia="Calibri" w:cs="Arial"/>
          <w:sz w:val="20"/>
          <w:szCs w:val="20"/>
          <w:lang w:eastAsia="en-GB"/>
        </w:rPr>
        <w:t>significant national initiatives including: 1800RESPECT, Our Watch, DV-alert, Australia’s National Research Organisation for Women’s Safety (ANROWS), The Stop it at the Start campaign, the Safe Places Emergency Accommodation program, and the Keeping Women Safe in their Homes program. The</w:t>
      </w:r>
      <w:r w:rsidR="005F7F52">
        <w:rPr>
          <w:rFonts w:eastAsia="Calibri" w:cs="Arial"/>
          <w:sz w:val="20"/>
          <w:szCs w:val="20"/>
          <w:lang w:eastAsia="en-GB"/>
        </w:rPr>
        <w:t> </w:t>
      </w:r>
      <w:r w:rsidRPr="00661D7D">
        <w:rPr>
          <w:rFonts w:eastAsia="Calibri" w:cs="Arial"/>
          <w:sz w:val="20"/>
          <w:szCs w:val="20"/>
          <w:lang w:eastAsia="en-GB"/>
        </w:rPr>
        <w:t xml:space="preserve">department will continue to report outputs for these </w:t>
      </w:r>
      <w:r w:rsidR="00276CDD">
        <w:rPr>
          <w:rFonts w:eastAsia="Calibri" w:cs="Arial"/>
          <w:sz w:val="20"/>
          <w:szCs w:val="20"/>
          <w:lang w:eastAsia="en-GB"/>
        </w:rPr>
        <w:t>7</w:t>
      </w:r>
      <w:r w:rsidRPr="00661D7D">
        <w:rPr>
          <w:rFonts w:eastAsia="Calibri" w:cs="Arial"/>
          <w:sz w:val="20"/>
          <w:szCs w:val="20"/>
          <w:lang w:eastAsia="en-GB"/>
        </w:rPr>
        <w:t xml:space="preserve"> initiatives, pending finalisation of the National Plan. Once finalised, the department will develop new targets </w:t>
      </w:r>
      <w:r w:rsidR="00E920DC">
        <w:rPr>
          <w:rFonts w:eastAsia="Calibri" w:cs="Arial"/>
          <w:sz w:val="20"/>
          <w:szCs w:val="20"/>
          <w:lang w:eastAsia="en-GB"/>
        </w:rPr>
        <w:t>for</w:t>
      </w:r>
      <w:r w:rsidRPr="00661D7D">
        <w:rPr>
          <w:rFonts w:eastAsia="Calibri" w:cs="Arial"/>
          <w:sz w:val="20"/>
          <w:szCs w:val="20"/>
          <w:lang w:eastAsia="en-GB"/>
        </w:rPr>
        <w:t xml:space="preserve"> the initiativ</w:t>
      </w:r>
      <w:r>
        <w:rPr>
          <w:rFonts w:eastAsia="Calibri" w:cs="Arial"/>
          <w:sz w:val="20"/>
          <w:szCs w:val="20"/>
          <w:lang w:eastAsia="en-GB"/>
        </w:rPr>
        <w:t>es for which it is responsible.</w:t>
      </w:r>
    </w:p>
    <w:tbl>
      <w:tblPr>
        <w:tblStyle w:val="TableGrid39"/>
        <w:tblW w:w="4992" w:type="pct"/>
        <w:jc w:val="center"/>
        <w:tblLook w:val="04A0" w:firstRow="1" w:lastRow="0" w:firstColumn="1" w:lastColumn="0" w:noHBand="0" w:noVBand="1"/>
        <w:tblCaption w:val="2.1.2 performance measure and target"/>
        <w:tblDescription w:val="Table outlines the targeted changes across 2022-23, 2023-24, 2024-25 and 2025-26"/>
      </w:tblPr>
      <w:tblGrid>
        <w:gridCol w:w="3106"/>
        <w:gridCol w:w="1626"/>
        <w:gridCol w:w="1627"/>
        <w:gridCol w:w="1627"/>
        <w:gridCol w:w="1627"/>
      </w:tblGrid>
      <w:tr w:rsidR="00513FD2" w:rsidRPr="00661D7D" w:rsidTr="005B200F">
        <w:trPr>
          <w:cantSplit/>
          <w:trHeight w:val="356"/>
          <w:tblHeader/>
          <w:jc w:val="center"/>
        </w:trPr>
        <w:tc>
          <w:tcPr>
            <w:tcW w:w="5000" w:type="pct"/>
            <w:gridSpan w:val="5"/>
            <w:shd w:val="clear" w:color="auto" w:fill="D9D9D9"/>
          </w:tcPr>
          <w:p w:rsidR="00513FD2" w:rsidRPr="00661D7D" w:rsidRDefault="00513FD2" w:rsidP="00513FD2">
            <w:pPr>
              <w:spacing w:before="120" w:after="120" w:line="259" w:lineRule="auto"/>
              <w:rPr>
                <w:rFonts w:cs="Arial"/>
                <w:b/>
                <w:sz w:val="20"/>
              </w:rPr>
            </w:pPr>
            <w:r w:rsidRPr="00661D7D">
              <w:rPr>
                <w:rFonts w:cs="Arial"/>
                <w:b/>
                <w:sz w:val="20"/>
              </w:rPr>
              <w:t>Performance Measure</w:t>
            </w:r>
          </w:p>
        </w:tc>
      </w:tr>
      <w:tr w:rsidR="00513FD2" w:rsidRPr="00661D7D" w:rsidTr="00513FD2">
        <w:trPr>
          <w:cantSplit/>
          <w:trHeight w:val="356"/>
          <w:jc w:val="center"/>
        </w:trPr>
        <w:tc>
          <w:tcPr>
            <w:tcW w:w="5000" w:type="pct"/>
            <w:gridSpan w:val="5"/>
            <w:tcBorders>
              <w:bottom w:val="single" w:sz="4" w:space="0" w:color="auto"/>
            </w:tcBorders>
            <w:shd w:val="clear" w:color="auto" w:fill="auto"/>
          </w:tcPr>
          <w:p w:rsidR="00513FD2" w:rsidRPr="00661D7D" w:rsidRDefault="00513FD2" w:rsidP="00513FD2">
            <w:pPr>
              <w:spacing w:before="120" w:after="120" w:line="259" w:lineRule="auto"/>
              <w:rPr>
                <w:rFonts w:cs="Arial"/>
                <w:b/>
                <w:sz w:val="20"/>
              </w:rPr>
            </w:pPr>
            <w:r w:rsidRPr="00661D7D">
              <w:rPr>
                <w:rFonts w:cs="Arial"/>
                <w:sz w:val="20"/>
              </w:rPr>
              <w:t>2.1.2-1 Successful implementation of initiatives under the National Plan to End Violence against Women and Children 2022-2032.</w:t>
            </w:r>
          </w:p>
        </w:tc>
      </w:tr>
      <w:tr w:rsidR="00513FD2" w:rsidRPr="00661D7D" w:rsidTr="00513FD2">
        <w:trPr>
          <w:cantSplit/>
          <w:trHeight w:val="356"/>
          <w:jc w:val="center"/>
        </w:trPr>
        <w:tc>
          <w:tcPr>
            <w:tcW w:w="1616" w:type="pct"/>
            <w:shd w:val="clear" w:color="auto" w:fill="D9D9D9"/>
          </w:tcPr>
          <w:p w:rsidR="00513FD2" w:rsidRPr="00661D7D" w:rsidRDefault="00513FD2" w:rsidP="00513FD2">
            <w:pPr>
              <w:spacing w:before="120" w:after="120" w:line="259" w:lineRule="auto"/>
              <w:rPr>
                <w:rFonts w:cs="Arial"/>
                <w:sz w:val="20"/>
              </w:rPr>
            </w:pPr>
            <w:r w:rsidRPr="00661D7D">
              <w:rPr>
                <w:rFonts w:cs="Arial"/>
                <w:b/>
                <w:sz w:val="20"/>
              </w:rPr>
              <w:t>Target</w:t>
            </w:r>
          </w:p>
        </w:tc>
        <w:tc>
          <w:tcPr>
            <w:tcW w:w="846" w:type="pct"/>
            <w:shd w:val="clear" w:color="auto" w:fill="D9D9D9"/>
            <w:vAlign w:val="center"/>
          </w:tcPr>
          <w:p w:rsidR="00513FD2" w:rsidRPr="00661D7D" w:rsidRDefault="00513FD2" w:rsidP="00513FD2">
            <w:pPr>
              <w:spacing w:before="120" w:after="120" w:line="259" w:lineRule="auto"/>
              <w:jc w:val="center"/>
              <w:rPr>
                <w:rFonts w:cs="Arial"/>
                <w:sz w:val="20"/>
              </w:rPr>
            </w:pPr>
            <w:r w:rsidRPr="00661D7D">
              <w:rPr>
                <w:rFonts w:cs="Arial"/>
                <w:b/>
                <w:sz w:val="20"/>
              </w:rPr>
              <w:t>2022–23</w:t>
            </w:r>
          </w:p>
        </w:tc>
        <w:tc>
          <w:tcPr>
            <w:tcW w:w="846" w:type="pct"/>
            <w:shd w:val="clear" w:color="auto" w:fill="D9D9D9"/>
            <w:vAlign w:val="center"/>
          </w:tcPr>
          <w:p w:rsidR="00513FD2" w:rsidRPr="00661D7D" w:rsidRDefault="00513FD2" w:rsidP="00513FD2">
            <w:pPr>
              <w:spacing w:before="120" w:after="120" w:line="259" w:lineRule="auto"/>
              <w:jc w:val="center"/>
              <w:rPr>
                <w:rFonts w:cs="Arial"/>
                <w:b/>
                <w:sz w:val="20"/>
              </w:rPr>
            </w:pPr>
            <w:r w:rsidRPr="00661D7D">
              <w:rPr>
                <w:rFonts w:cs="Arial"/>
                <w:b/>
                <w:sz w:val="20"/>
              </w:rPr>
              <w:t>2023–24</w:t>
            </w:r>
          </w:p>
        </w:tc>
        <w:tc>
          <w:tcPr>
            <w:tcW w:w="846" w:type="pct"/>
            <w:shd w:val="clear" w:color="auto" w:fill="D9D9D9"/>
            <w:vAlign w:val="center"/>
          </w:tcPr>
          <w:p w:rsidR="00513FD2" w:rsidRPr="00661D7D" w:rsidRDefault="00513FD2" w:rsidP="00513FD2">
            <w:pPr>
              <w:spacing w:before="120" w:after="120" w:line="259" w:lineRule="auto"/>
              <w:jc w:val="center"/>
              <w:rPr>
                <w:rFonts w:cs="Arial"/>
                <w:b/>
                <w:sz w:val="20"/>
              </w:rPr>
            </w:pPr>
            <w:r w:rsidRPr="00661D7D">
              <w:rPr>
                <w:rFonts w:cs="Arial"/>
                <w:b/>
                <w:sz w:val="20"/>
              </w:rPr>
              <w:t>2024–25</w:t>
            </w:r>
          </w:p>
        </w:tc>
        <w:tc>
          <w:tcPr>
            <w:tcW w:w="846" w:type="pct"/>
            <w:shd w:val="clear" w:color="auto" w:fill="D9D9D9"/>
            <w:vAlign w:val="center"/>
          </w:tcPr>
          <w:p w:rsidR="00513FD2" w:rsidRPr="00661D7D" w:rsidRDefault="00513FD2" w:rsidP="00513FD2">
            <w:pPr>
              <w:spacing w:before="120" w:after="120" w:line="259" w:lineRule="auto"/>
              <w:jc w:val="center"/>
              <w:rPr>
                <w:rFonts w:cs="Arial"/>
                <w:b/>
                <w:sz w:val="20"/>
              </w:rPr>
            </w:pPr>
            <w:r w:rsidRPr="00661D7D">
              <w:rPr>
                <w:rFonts w:cs="Arial"/>
                <w:b/>
                <w:sz w:val="20"/>
              </w:rPr>
              <w:t>2025–26</w:t>
            </w:r>
          </w:p>
        </w:tc>
      </w:tr>
      <w:tr w:rsidR="00513FD2" w:rsidRPr="00661D7D" w:rsidTr="00513FD2">
        <w:trPr>
          <w:cantSplit/>
          <w:trHeight w:val="356"/>
          <w:jc w:val="center"/>
        </w:trPr>
        <w:tc>
          <w:tcPr>
            <w:tcW w:w="1616" w:type="pct"/>
            <w:shd w:val="clear" w:color="auto" w:fill="FFFFFF"/>
          </w:tcPr>
          <w:p w:rsidR="00513FD2" w:rsidRPr="00661D7D" w:rsidRDefault="00513FD2" w:rsidP="00513FD2">
            <w:pPr>
              <w:spacing w:before="120" w:after="120" w:line="259" w:lineRule="auto"/>
              <w:rPr>
                <w:rFonts w:cs="Arial"/>
                <w:sz w:val="20"/>
              </w:rPr>
            </w:pPr>
            <w:r w:rsidRPr="00661D7D">
              <w:rPr>
                <w:rFonts w:cs="Arial"/>
                <w:noProof/>
                <w:sz w:val="20"/>
                <w:lang w:eastAsia="en-AU"/>
              </w:rPr>
              <w:sym w:font="Wingdings" w:char="F074"/>
            </w:r>
            <w:r w:rsidRPr="00661D7D">
              <w:rPr>
                <w:rFonts w:cs="Arial"/>
                <w:sz w:val="20"/>
              </w:rPr>
              <w:t xml:space="preserve"> 2.1.2-1A - Demonstrated achievement towards successful implementation of initiatives under the National Plan to End Violence against Women and Children 2022-2032.</w:t>
            </w:r>
          </w:p>
        </w:tc>
        <w:tc>
          <w:tcPr>
            <w:tcW w:w="846" w:type="pct"/>
            <w:shd w:val="clear" w:color="auto" w:fill="FFFFFF"/>
          </w:tcPr>
          <w:p w:rsidR="00513FD2" w:rsidRPr="00661D7D" w:rsidRDefault="00513FD2" w:rsidP="00513FD2">
            <w:pPr>
              <w:spacing w:before="120" w:after="120" w:line="259" w:lineRule="auto"/>
              <w:rPr>
                <w:rFonts w:cs="Arial"/>
                <w:sz w:val="20"/>
              </w:rPr>
            </w:pPr>
            <w:r w:rsidRPr="00661D7D">
              <w:rPr>
                <w:rFonts w:cs="Arial"/>
                <w:sz w:val="20"/>
              </w:rPr>
              <w:t>The department will report outputs for 7 significant initiatives.</w:t>
            </w:r>
          </w:p>
        </w:tc>
        <w:tc>
          <w:tcPr>
            <w:tcW w:w="846" w:type="pct"/>
            <w:shd w:val="clear" w:color="auto" w:fill="FFFFFF"/>
            <w:vAlign w:val="center"/>
          </w:tcPr>
          <w:p w:rsidR="00513FD2" w:rsidRPr="00661D7D" w:rsidRDefault="00513FD2" w:rsidP="00513FD2">
            <w:pPr>
              <w:spacing w:before="120" w:after="120" w:line="259" w:lineRule="auto"/>
              <w:rPr>
                <w:rFonts w:cs="Arial"/>
                <w:sz w:val="20"/>
              </w:rPr>
            </w:pPr>
            <w:r w:rsidRPr="00661D7D">
              <w:rPr>
                <w:rFonts w:cs="Arial"/>
                <w:sz w:val="20"/>
              </w:rPr>
              <w:t>To be developed pending finalisation of the National Plan to End Violence against Women and Children 2022-2023.</w:t>
            </w:r>
          </w:p>
        </w:tc>
        <w:tc>
          <w:tcPr>
            <w:tcW w:w="846" w:type="pct"/>
            <w:shd w:val="clear" w:color="auto" w:fill="FFFFFF"/>
            <w:vAlign w:val="center"/>
          </w:tcPr>
          <w:p w:rsidR="00513FD2" w:rsidRPr="00661D7D" w:rsidRDefault="00513FD2" w:rsidP="00513FD2">
            <w:pPr>
              <w:spacing w:before="120" w:after="120" w:line="259" w:lineRule="auto"/>
              <w:rPr>
                <w:rFonts w:cs="Arial"/>
                <w:sz w:val="20"/>
              </w:rPr>
            </w:pPr>
            <w:r w:rsidRPr="00661D7D">
              <w:rPr>
                <w:rFonts w:cs="Arial"/>
                <w:sz w:val="20"/>
              </w:rPr>
              <w:t>To be developed pending finalisation of the National Plan to End Violence against Women and Children 2022-2023.</w:t>
            </w:r>
          </w:p>
        </w:tc>
        <w:tc>
          <w:tcPr>
            <w:tcW w:w="846" w:type="pct"/>
            <w:shd w:val="clear" w:color="auto" w:fill="FFFFFF"/>
            <w:vAlign w:val="center"/>
          </w:tcPr>
          <w:p w:rsidR="00513FD2" w:rsidRPr="00661D7D" w:rsidRDefault="00513FD2" w:rsidP="00513FD2">
            <w:pPr>
              <w:spacing w:before="120" w:after="120" w:line="259" w:lineRule="auto"/>
              <w:rPr>
                <w:rFonts w:cs="Arial"/>
                <w:sz w:val="20"/>
              </w:rPr>
            </w:pPr>
            <w:r w:rsidRPr="00661D7D">
              <w:rPr>
                <w:rFonts w:cs="Arial"/>
                <w:sz w:val="20"/>
              </w:rPr>
              <w:t>To be developed pending finalisation of the National Plan to End Violence against Women and Children 2022-2023.</w:t>
            </w:r>
          </w:p>
        </w:tc>
      </w:tr>
    </w:tbl>
    <w:p w:rsidR="00513FD2" w:rsidRPr="00661D7D" w:rsidRDefault="00513FD2" w:rsidP="00513FD2">
      <w:pPr>
        <w:shd w:val="clear" w:color="auto" w:fill="C2E189"/>
        <w:spacing w:before="120" w:after="120"/>
        <w:rPr>
          <w:rFonts w:eastAsia="Calibri" w:cs="Arial"/>
          <w:b/>
          <w:sz w:val="20"/>
          <w:szCs w:val="20"/>
        </w:rPr>
      </w:pPr>
      <w:r w:rsidRPr="00661D7D">
        <w:rPr>
          <w:rFonts w:eastAsia="Calibri" w:cs="Arial"/>
          <w:b/>
          <w:sz w:val="20"/>
          <w:szCs w:val="20"/>
        </w:rPr>
        <w:t>Rationale</w:t>
      </w:r>
    </w:p>
    <w:p w:rsidR="00513FD2" w:rsidRPr="00661D7D" w:rsidRDefault="00513FD2" w:rsidP="00513FD2">
      <w:pPr>
        <w:spacing w:before="120" w:after="120"/>
        <w:rPr>
          <w:rFonts w:eastAsia="Calibri" w:cs="Arial"/>
          <w:sz w:val="20"/>
          <w:szCs w:val="20"/>
        </w:rPr>
      </w:pPr>
      <w:r w:rsidRPr="00661D7D">
        <w:rPr>
          <w:rFonts w:eastAsia="Calibri" w:cs="Arial"/>
          <w:sz w:val="20"/>
          <w:szCs w:val="20"/>
        </w:rPr>
        <w:t>This measure primarily demonstrates the achievement of outputs of the Women’s Safety key activity, supporting the achievement of its objective: to implement the next National Plan, which includes strategies and initiatives led by the Commonwealth, state and territory governments.</w:t>
      </w:r>
      <w:r>
        <w:rPr>
          <w:rFonts w:eastAsia="Calibri" w:cs="Arial"/>
          <w:sz w:val="20"/>
          <w:szCs w:val="20"/>
        </w:rPr>
        <w:t xml:space="preserve"> </w:t>
      </w:r>
      <w:r w:rsidRPr="00661D7D">
        <w:rPr>
          <w:rFonts w:eastAsia="Calibri" w:cs="Arial"/>
          <w:sz w:val="20"/>
          <w:szCs w:val="20"/>
        </w:rPr>
        <w:t xml:space="preserve">Reporting outputs for significant initiatives that the </w:t>
      </w:r>
      <w:r w:rsidR="006A2344">
        <w:rPr>
          <w:rFonts w:eastAsia="Calibri" w:cs="Arial"/>
          <w:sz w:val="20"/>
          <w:szCs w:val="20"/>
        </w:rPr>
        <w:t>d</w:t>
      </w:r>
      <w:r w:rsidRPr="00661D7D">
        <w:rPr>
          <w:rFonts w:eastAsia="Calibri" w:cs="Arial"/>
          <w:sz w:val="20"/>
          <w:szCs w:val="20"/>
        </w:rPr>
        <w:t>epartment continues to administer, pending the National Plan, will demonstrate achievement under this key activity.</w:t>
      </w:r>
      <w:r>
        <w:rPr>
          <w:rFonts w:eastAsia="Calibri" w:cs="Arial"/>
          <w:sz w:val="20"/>
          <w:szCs w:val="20"/>
        </w:rPr>
        <w:t xml:space="preserve"> </w:t>
      </w:r>
    </w:p>
    <w:p w:rsidR="00513FD2" w:rsidRPr="00661D7D" w:rsidRDefault="00513FD2" w:rsidP="00513FD2">
      <w:pPr>
        <w:shd w:val="clear" w:color="auto" w:fill="C2E189"/>
        <w:spacing w:before="120" w:after="120"/>
        <w:rPr>
          <w:rFonts w:eastAsia="Calibri" w:cs="Arial"/>
          <w:b/>
          <w:sz w:val="20"/>
          <w:szCs w:val="20"/>
        </w:rPr>
      </w:pPr>
      <w:r w:rsidRPr="00661D7D">
        <w:rPr>
          <w:rFonts w:eastAsia="Calibri" w:cs="Arial"/>
          <w:b/>
          <w:sz w:val="20"/>
          <w:szCs w:val="20"/>
        </w:rPr>
        <w:t>Methodology</w:t>
      </w:r>
    </w:p>
    <w:p w:rsidR="00513FD2" w:rsidRPr="00661D7D" w:rsidRDefault="00C16A72" w:rsidP="00762037">
      <w:pPr>
        <w:spacing w:before="120" w:after="0"/>
        <w:rPr>
          <w:rFonts w:eastAsia="Calibri" w:cs="Arial"/>
          <w:sz w:val="20"/>
          <w:szCs w:val="20"/>
        </w:rPr>
      </w:pPr>
      <w:r w:rsidRPr="00C16A72">
        <w:rPr>
          <w:rFonts w:eastAsia="Calibri" w:cs="Arial"/>
          <w:sz w:val="20"/>
          <w:szCs w:val="20"/>
        </w:rPr>
        <w:t>Outputs will be reported for each of the 7 significant initiatives. This approach builds on the 2021-22 performance measurement and reflects pe</w:t>
      </w:r>
      <w:r>
        <w:rPr>
          <w:rFonts w:eastAsia="Calibri" w:cs="Arial"/>
          <w:sz w:val="20"/>
          <w:szCs w:val="20"/>
        </w:rPr>
        <w:t>rformance over time. </w:t>
      </w:r>
      <w:r w:rsidR="00513FD2" w:rsidRPr="00661D7D">
        <w:rPr>
          <w:rFonts w:eastAsia="Calibri" w:cs="Arial"/>
          <w:sz w:val="20"/>
          <w:szCs w:val="20"/>
        </w:rPr>
        <w:t xml:space="preserve">These </w:t>
      </w:r>
      <w:r w:rsidR="006A2344">
        <w:rPr>
          <w:rFonts w:eastAsia="Calibri" w:cs="Arial"/>
          <w:sz w:val="20"/>
          <w:szCs w:val="20"/>
        </w:rPr>
        <w:t>7</w:t>
      </w:r>
      <w:r w:rsidR="00513FD2" w:rsidRPr="00661D7D">
        <w:rPr>
          <w:rFonts w:eastAsia="Calibri" w:cs="Arial"/>
          <w:sz w:val="20"/>
          <w:szCs w:val="20"/>
        </w:rPr>
        <w:t xml:space="preserve"> output measures reflect the key priorities that the </w:t>
      </w:r>
      <w:r w:rsidR="006A2344">
        <w:rPr>
          <w:rFonts w:eastAsia="Calibri" w:cs="Arial"/>
          <w:sz w:val="20"/>
          <w:szCs w:val="20"/>
        </w:rPr>
        <w:t>d</w:t>
      </w:r>
      <w:r w:rsidR="00513FD2" w:rsidRPr="00661D7D">
        <w:rPr>
          <w:rFonts w:eastAsia="Calibri" w:cs="Arial"/>
          <w:sz w:val="20"/>
          <w:szCs w:val="20"/>
        </w:rPr>
        <w:t>epartment is directly responsible for implementing:</w:t>
      </w:r>
    </w:p>
    <w:p w:rsidR="00513FD2" w:rsidRPr="00795C89" w:rsidRDefault="00513FD2" w:rsidP="00762037">
      <w:pPr>
        <w:numPr>
          <w:ilvl w:val="0"/>
          <w:numId w:val="18"/>
        </w:numPr>
        <w:spacing w:before="0" w:after="0" w:line="240" w:lineRule="auto"/>
        <w:ind w:left="641" w:hanging="357"/>
        <w:rPr>
          <w:sz w:val="20"/>
        </w:rPr>
      </w:pPr>
      <w:r w:rsidRPr="00795C89">
        <w:rPr>
          <w:sz w:val="20"/>
        </w:rPr>
        <w:t>1800RESPECT</w:t>
      </w:r>
    </w:p>
    <w:p w:rsidR="00513FD2" w:rsidRPr="00795C89" w:rsidRDefault="00513FD2" w:rsidP="00762037">
      <w:pPr>
        <w:numPr>
          <w:ilvl w:val="0"/>
          <w:numId w:val="18"/>
        </w:numPr>
        <w:spacing w:before="0" w:after="0" w:line="240" w:lineRule="auto"/>
        <w:ind w:left="641" w:hanging="357"/>
        <w:rPr>
          <w:sz w:val="20"/>
        </w:rPr>
      </w:pPr>
      <w:r w:rsidRPr="00795C89">
        <w:rPr>
          <w:sz w:val="20"/>
        </w:rPr>
        <w:t>Our Watch</w:t>
      </w:r>
    </w:p>
    <w:p w:rsidR="00513FD2" w:rsidRPr="00795C89" w:rsidRDefault="00513FD2" w:rsidP="00762037">
      <w:pPr>
        <w:numPr>
          <w:ilvl w:val="0"/>
          <w:numId w:val="18"/>
        </w:numPr>
        <w:spacing w:before="0" w:after="0" w:line="240" w:lineRule="auto"/>
        <w:ind w:left="641" w:hanging="357"/>
        <w:rPr>
          <w:sz w:val="20"/>
        </w:rPr>
      </w:pPr>
      <w:r w:rsidRPr="00795C89">
        <w:rPr>
          <w:sz w:val="20"/>
        </w:rPr>
        <w:t>DV-alert</w:t>
      </w:r>
    </w:p>
    <w:p w:rsidR="00513FD2" w:rsidRPr="00795C89" w:rsidRDefault="00513FD2" w:rsidP="00762037">
      <w:pPr>
        <w:numPr>
          <w:ilvl w:val="0"/>
          <w:numId w:val="18"/>
        </w:numPr>
        <w:spacing w:before="0" w:after="0" w:line="240" w:lineRule="auto"/>
        <w:ind w:left="641" w:hanging="357"/>
        <w:rPr>
          <w:sz w:val="20"/>
        </w:rPr>
      </w:pPr>
      <w:r w:rsidRPr="00795C89">
        <w:rPr>
          <w:sz w:val="20"/>
        </w:rPr>
        <w:t>Australia’s National Research Organisation for Women’s Safety (ANROWS)</w:t>
      </w:r>
    </w:p>
    <w:p w:rsidR="00513FD2" w:rsidRPr="00795C89" w:rsidRDefault="00513FD2" w:rsidP="00762037">
      <w:pPr>
        <w:numPr>
          <w:ilvl w:val="0"/>
          <w:numId w:val="18"/>
        </w:numPr>
        <w:spacing w:before="0" w:after="0" w:line="240" w:lineRule="auto"/>
        <w:ind w:left="641" w:hanging="357"/>
        <w:rPr>
          <w:sz w:val="20"/>
        </w:rPr>
      </w:pPr>
      <w:r w:rsidRPr="00795C89">
        <w:rPr>
          <w:sz w:val="20"/>
        </w:rPr>
        <w:t>The Stop it at the Start campaign</w:t>
      </w:r>
    </w:p>
    <w:p w:rsidR="00F17C62" w:rsidRDefault="00513FD2" w:rsidP="00762037">
      <w:pPr>
        <w:numPr>
          <w:ilvl w:val="0"/>
          <w:numId w:val="18"/>
        </w:numPr>
        <w:spacing w:before="0" w:after="0" w:line="240" w:lineRule="auto"/>
        <w:ind w:left="641" w:hanging="357"/>
        <w:rPr>
          <w:sz w:val="20"/>
        </w:rPr>
      </w:pPr>
      <w:r w:rsidRPr="00795C89">
        <w:rPr>
          <w:sz w:val="20"/>
        </w:rPr>
        <w:t>The Safe Places Emergency Accommodation program</w:t>
      </w:r>
    </w:p>
    <w:p w:rsidR="003935A4" w:rsidRDefault="00F17C62" w:rsidP="00762037">
      <w:pPr>
        <w:numPr>
          <w:ilvl w:val="0"/>
          <w:numId w:val="18"/>
        </w:numPr>
        <w:spacing w:before="0" w:after="0" w:line="240" w:lineRule="auto"/>
        <w:ind w:left="641" w:hanging="357"/>
        <w:rPr>
          <w:sz w:val="20"/>
        </w:rPr>
      </w:pPr>
      <w:r w:rsidRPr="00E32440">
        <w:rPr>
          <w:sz w:val="20"/>
        </w:rPr>
        <w:t>The Keeping Women Safe in their Homes program</w:t>
      </w:r>
      <w:r w:rsidR="00996A7A">
        <w:rPr>
          <w:sz w:val="20"/>
        </w:rPr>
        <w:t xml:space="preserve"> </w:t>
      </w:r>
    </w:p>
    <w:p w:rsidR="00513FD2" w:rsidRPr="00E04D63" w:rsidRDefault="00513FD2" w:rsidP="00762037">
      <w:pPr>
        <w:spacing w:before="0" w:after="0" w:line="240" w:lineRule="auto"/>
        <w:rPr>
          <w:rFonts w:eastAsia="Times New Roman" w:cs="Arial"/>
          <w:b/>
          <w:color w:val="FFFFFF"/>
          <w:sz w:val="22"/>
        </w:rPr>
      </w:pPr>
    </w:p>
    <w:p w:rsidR="00513FD2" w:rsidRPr="00661D7D" w:rsidRDefault="00513FD2" w:rsidP="00513FD2">
      <w:pPr>
        <w:shd w:val="clear" w:color="auto" w:fill="275D38"/>
        <w:spacing w:before="120" w:after="120"/>
        <w:rPr>
          <w:rFonts w:eastAsia="Times New Roman" w:cs="Arial"/>
          <w:b/>
          <w:color w:val="FFFFFF"/>
          <w:sz w:val="20"/>
          <w:szCs w:val="20"/>
        </w:rPr>
      </w:pPr>
      <w:r w:rsidRPr="00661D7D">
        <w:rPr>
          <w:rFonts w:eastAsia="Times New Roman" w:cs="Arial"/>
          <w:b/>
          <w:color w:val="FFFFFF"/>
          <w:sz w:val="20"/>
          <w:szCs w:val="20"/>
        </w:rPr>
        <w:t>PROGRAM 2.1 FAMILIES AND COMMUNITIES</w:t>
      </w:r>
    </w:p>
    <w:p w:rsidR="00513FD2" w:rsidRPr="00661D7D" w:rsidRDefault="00513FD2" w:rsidP="00513FD2">
      <w:pPr>
        <w:shd w:val="clear" w:color="auto" w:fill="275D38"/>
        <w:spacing w:before="120" w:after="120"/>
        <w:rPr>
          <w:rFonts w:eastAsia="Times New Roman" w:cs="Arial"/>
          <w:color w:val="FFFFFF"/>
          <w:sz w:val="20"/>
          <w:szCs w:val="20"/>
        </w:rPr>
      </w:pPr>
      <w:r w:rsidRPr="00661D7D">
        <w:rPr>
          <w:rFonts w:eastAsia="Times New Roman" w:cs="Arial"/>
          <w:color w:val="FFFFFF"/>
          <w:sz w:val="20"/>
          <w:szCs w:val="20"/>
        </w:rPr>
        <w:t>To strengthen relationships, support families, improve wellbeing of children and young people, reduce the cost of family breakdown, and strengthen family and community functioning.</w:t>
      </w:r>
    </w:p>
    <w:p w:rsidR="00513FD2" w:rsidRPr="00661D7D" w:rsidRDefault="00513FD2" w:rsidP="00513FD2">
      <w:pPr>
        <w:shd w:val="clear" w:color="auto" w:fill="C2E189"/>
        <w:spacing w:before="120" w:after="120"/>
        <w:rPr>
          <w:rFonts w:eastAsia="Times New Roman" w:cs="Arial"/>
          <w:b/>
          <w:sz w:val="20"/>
          <w:szCs w:val="20"/>
        </w:rPr>
      </w:pPr>
      <w:r w:rsidRPr="00661D7D">
        <w:rPr>
          <w:rFonts w:eastAsia="Times New Roman" w:cs="Arial"/>
          <w:b/>
          <w:sz w:val="20"/>
          <w:szCs w:val="20"/>
        </w:rPr>
        <w:t>Key Activity — 2.1.3 Financial Wellbeing and Capability</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The Financial Wellbeing and Capability activity provides services and initiatives to support vulnerable individuals and families to navigate financial crises and manage financial stress and hardship, and to</w:t>
      </w:r>
      <w:r w:rsidR="005F7F52">
        <w:rPr>
          <w:rFonts w:eastAsia="Times New Roman" w:cs="Arial"/>
          <w:sz w:val="20"/>
          <w:szCs w:val="20"/>
        </w:rPr>
        <w:t> </w:t>
      </w:r>
      <w:r w:rsidRPr="00661D7D">
        <w:rPr>
          <w:rFonts w:eastAsia="Times New Roman" w:cs="Arial"/>
          <w:sz w:val="20"/>
          <w:szCs w:val="20"/>
        </w:rPr>
        <w:t>increase financial wellbeing for individuals and families.</w:t>
      </w:r>
    </w:p>
    <w:p w:rsidR="00513FD2" w:rsidRPr="00661D7D" w:rsidRDefault="00513FD2" w:rsidP="00762037">
      <w:pPr>
        <w:numPr>
          <w:ilvl w:val="0"/>
          <w:numId w:val="24"/>
        </w:numPr>
        <w:spacing w:before="0" w:after="0" w:line="240" w:lineRule="auto"/>
        <w:ind w:left="714" w:hanging="357"/>
        <w:rPr>
          <w:rFonts w:eastAsia="Times New Roman" w:cs="Arial"/>
          <w:sz w:val="20"/>
          <w:szCs w:val="20"/>
        </w:rPr>
      </w:pPr>
      <w:r w:rsidRPr="00661D7D">
        <w:rPr>
          <w:rFonts w:eastAsia="Times New Roman" w:cs="Arial"/>
          <w:sz w:val="20"/>
          <w:szCs w:val="20"/>
        </w:rPr>
        <w:t>The department provides grants to Financial Wellbeing and Capability service providers to deliver Emergency Relief, which provides immediate financial and/or material support to people in financial crisis.</w:t>
      </w:r>
    </w:p>
    <w:p w:rsidR="00513FD2" w:rsidRPr="00661D7D" w:rsidRDefault="00513FD2" w:rsidP="00762037">
      <w:pPr>
        <w:numPr>
          <w:ilvl w:val="0"/>
          <w:numId w:val="24"/>
        </w:numPr>
        <w:spacing w:before="0" w:after="0" w:line="240" w:lineRule="auto"/>
        <w:ind w:left="714" w:hanging="357"/>
        <w:rPr>
          <w:rFonts w:eastAsia="Times New Roman" w:cs="Arial"/>
          <w:sz w:val="20"/>
          <w:szCs w:val="20"/>
        </w:rPr>
      </w:pPr>
      <w:r w:rsidRPr="00661D7D">
        <w:rPr>
          <w:rFonts w:eastAsia="Times New Roman" w:cs="Arial"/>
          <w:sz w:val="20"/>
          <w:szCs w:val="20"/>
        </w:rPr>
        <w:t>Food Relief, which increases emergency relief organisations’ access to a cost-effective supply of</w:t>
      </w:r>
      <w:r w:rsidR="005F7F52">
        <w:rPr>
          <w:rFonts w:eastAsia="Times New Roman" w:cs="Arial"/>
          <w:sz w:val="20"/>
          <w:szCs w:val="20"/>
        </w:rPr>
        <w:t> </w:t>
      </w:r>
      <w:r w:rsidRPr="00661D7D">
        <w:rPr>
          <w:rFonts w:eastAsia="Times New Roman" w:cs="Arial"/>
          <w:sz w:val="20"/>
          <w:szCs w:val="20"/>
        </w:rPr>
        <w:t>food items</w:t>
      </w:r>
      <w:r w:rsidR="00276CDD">
        <w:rPr>
          <w:rFonts w:eastAsia="Times New Roman" w:cs="Arial"/>
          <w:sz w:val="20"/>
          <w:szCs w:val="20"/>
        </w:rPr>
        <w:t>.</w:t>
      </w:r>
      <w:r w:rsidRPr="00661D7D">
        <w:rPr>
          <w:rFonts w:eastAsia="Times New Roman" w:cs="Arial"/>
          <w:sz w:val="20"/>
          <w:szCs w:val="20"/>
        </w:rPr>
        <w:t xml:space="preserve"> </w:t>
      </w:r>
    </w:p>
    <w:p w:rsidR="00513FD2" w:rsidRPr="00661D7D" w:rsidRDefault="00513FD2" w:rsidP="00762037">
      <w:pPr>
        <w:numPr>
          <w:ilvl w:val="0"/>
          <w:numId w:val="24"/>
        </w:numPr>
        <w:spacing w:before="0" w:after="0" w:line="240" w:lineRule="auto"/>
        <w:ind w:left="714" w:hanging="357"/>
        <w:rPr>
          <w:rFonts w:eastAsia="Times New Roman" w:cs="Arial"/>
          <w:sz w:val="20"/>
          <w:szCs w:val="20"/>
        </w:rPr>
      </w:pPr>
      <w:r w:rsidRPr="00661D7D">
        <w:rPr>
          <w:rFonts w:eastAsia="Times New Roman" w:cs="Arial"/>
          <w:sz w:val="20"/>
          <w:szCs w:val="20"/>
        </w:rPr>
        <w:t>Commonwealth Financial Counselling which helps people in financial difficulty to address their financial problems and make informed choices.</w:t>
      </w:r>
    </w:p>
    <w:p w:rsidR="00513FD2" w:rsidRPr="00661D7D" w:rsidRDefault="00513FD2" w:rsidP="00762037">
      <w:pPr>
        <w:numPr>
          <w:ilvl w:val="0"/>
          <w:numId w:val="24"/>
        </w:numPr>
        <w:spacing w:before="0" w:after="0" w:line="240" w:lineRule="auto"/>
        <w:ind w:left="714" w:hanging="357"/>
        <w:rPr>
          <w:rFonts w:eastAsia="Times New Roman" w:cs="Arial"/>
          <w:sz w:val="20"/>
          <w:szCs w:val="20"/>
        </w:rPr>
      </w:pPr>
      <w:r w:rsidRPr="00661D7D">
        <w:rPr>
          <w:rFonts w:eastAsia="Times New Roman" w:cs="Arial"/>
          <w:sz w:val="20"/>
          <w:szCs w:val="20"/>
        </w:rPr>
        <w:t>Financial Capability services, which aim to help people build longer-term capability to budget and manage their money better.</w:t>
      </w:r>
    </w:p>
    <w:p w:rsidR="00513FD2" w:rsidRPr="00661D7D" w:rsidRDefault="00513FD2" w:rsidP="00762037">
      <w:pPr>
        <w:numPr>
          <w:ilvl w:val="0"/>
          <w:numId w:val="24"/>
        </w:numPr>
        <w:spacing w:before="0" w:after="0" w:line="240" w:lineRule="auto"/>
        <w:ind w:left="714" w:hanging="357"/>
        <w:rPr>
          <w:rFonts w:eastAsia="Times New Roman" w:cs="Arial"/>
          <w:sz w:val="20"/>
          <w:szCs w:val="20"/>
        </w:rPr>
      </w:pPr>
      <w:r w:rsidRPr="00661D7D">
        <w:rPr>
          <w:rFonts w:eastAsia="Times New Roman" w:cs="Arial"/>
          <w:sz w:val="20"/>
          <w:szCs w:val="20"/>
        </w:rPr>
        <w:t>Financial Resilience, which offers a variety of financial services and products such as microfinance and savings programs.</w:t>
      </w:r>
    </w:p>
    <w:p w:rsidR="00513FD2" w:rsidRPr="00661D7D" w:rsidRDefault="00513FD2" w:rsidP="00513FD2">
      <w:pPr>
        <w:spacing w:before="120" w:after="120"/>
        <w:rPr>
          <w:rFonts w:eastAsia="Times New Roman" w:cs="Arial"/>
          <w:sz w:val="20"/>
          <w:szCs w:val="20"/>
        </w:rPr>
      </w:pPr>
      <w:r w:rsidRPr="00661D7D">
        <w:rPr>
          <w:rFonts w:eastAsia="Times New Roman" w:cs="Arial"/>
          <w:b/>
          <w:sz w:val="20"/>
          <w:szCs w:val="20"/>
        </w:rPr>
        <w:t>The department</w:t>
      </w:r>
      <w:r w:rsidRPr="00661D7D">
        <w:rPr>
          <w:rFonts w:eastAsia="Times New Roman" w:cs="Arial"/>
          <w:sz w:val="20"/>
          <w:szCs w:val="20"/>
        </w:rPr>
        <w:t xml:space="preserve"> is responsible for designing and implementing services and initiatives for Financial Wellbeing and Capability. </w:t>
      </w:r>
      <w:r w:rsidRPr="008554C7">
        <w:rPr>
          <w:rFonts w:eastAsia="Times New Roman" w:cs="Arial"/>
          <w:b/>
          <w:sz w:val="20"/>
          <w:szCs w:val="20"/>
        </w:rPr>
        <w:t>The department’s</w:t>
      </w:r>
      <w:r w:rsidRPr="00661D7D">
        <w:rPr>
          <w:rFonts w:eastAsia="Times New Roman" w:cs="Arial"/>
          <w:sz w:val="20"/>
          <w:szCs w:val="20"/>
        </w:rPr>
        <w:t xml:space="preserve"> role is to:</w:t>
      </w:r>
    </w:p>
    <w:p w:rsidR="00513FD2" w:rsidRPr="00661D7D" w:rsidRDefault="00513FD2" w:rsidP="00762037">
      <w:pPr>
        <w:numPr>
          <w:ilvl w:val="0"/>
          <w:numId w:val="24"/>
        </w:numPr>
        <w:spacing w:before="0" w:after="0" w:line="240" w:lineRule="auto"/>
        <w:ind w:left="714" w:hanging="357"/>
        <w:rPr>
          <w:rFonts w:eastAsia="Times New Roman" w:cs="Arial"/>
          <w:sz w:val="20"/>
          <w:szCs w:val="20"/>
        </w:rPr>
      </w:pPr>
      <w:r w:rsidRPr="00661D7D">
        <w:rPr>
          <w:rFonts w:eastAsia="Times New Roman" w:cs="Arial"/>
          <w:sz w:val="20"/>
          <w:szCs w:val="20"/>
        </w:rPr>
        <w:t>design and implement policy</w:t>
      </w:r>
    </w:p>
    <w:p w:rsidR="00513FD2" w:rsidRPr="00661D7D" w:rsidRDefault="00513FD2" w:rsidP="00762037">
      <w:pPr>
        <w:numPr>
          <w:ilvl w:val="0"/>
          <w:numId w:val="24"/>
        </w:numPr>
        <w:spacing w:before="0" w:after="0" w:line="240" w:lineRule="auto"/>
        <w:ind w:left="714" w:hanging="357"/>
        <w:rPr>
          <w:rFonts w:eastAsia="Times New Roman" w:cs="Arial"/>
          <w:sz w:val="20"/>
          <w:szCs w:val="20"/>
        </w:rPr>
      </w:pPr>
      <w:r w:rsidRPr="00661D7D">
        <w:rPr>
          <w:rFonts w:eastAsia="Times New Roman" w:cs="Arial"/>
          <w:sz w:val="20"/>
          <w:szCs w:val="20"/>
        </w:rPr>
        <w:t>undertake research and evaluation</w:t>
      </w:r>
    </w:p>
    <w:p w:rsidR="00513FD2" w:rsidRDefault="00513FD2" w:rsidP="00762037">
      <w:pPr>
        <w:numPr>
          <w:ilvl w:val="0"/>
          <w:numId w:val="24"/>
        </w:numPr>
        <w:spacing w:before="0" w:after="0" w:line="240" w:lineRule="auto"/>
        <w:ind w:left="714" w:hanging="357"/>
        <w:rPr>
          <w:rFonts w:eastAsia="Times New Roman" w:cs="Arial"/>
          <w:sz w:val="20"/>
          <w:szCs w:val="20"/>
        </w:rPr>
      </w:pPr>
      <w:r w:rsidRPr="00661D7D">
        <w:rPr>
          <w:rFonts w:eastAsia="Times New Roman" w:cs="Arial"/>
          <w:sz w:val="20"/>
          <w:szCs w:val="20"/>
        </w:rPr>
        <w:t>design and management of grants.</w:t>
      </w:r>
    </w:p>
    <w:p w:rsidR="00001B01" w:rsidRPr="00661D7D" w:rsidRDefault="00001B01" w:rsidP="005B6BFD">
      <w:pPr>
        <w:spacing w:before="0" w:after="0" w:line="240" w:lineRule="auto"/>
        <w:ind w:left="714"/>
        <w:rPr>
          <w:rFonts w:eastAsia="Times New Roman" w:cs="Arial"/>
          <w:sz w:val="20"/>
          <w:szCs w:val="20"/>
        </w:rPr>
      </w:pPr>
    </w:p>
    <w:tbl>
      <w:tblPr>
        <w:tblStyle w:val="TableGrid395"/>
        <w:tblW w:w="4976" w:type="pct"/>
        <w:jc w:val="center"/>
        <w:tblLook w:val="04A0" w:firstRow="1" w:lastRow="0" w:firstColumn="1" w:lastColumn="0" w:noHBand="0" w:noVBand="1"/>
        <w:tblCaption w:val="2.1.3 performance measure and target"/>
        <w:tblDescription w:val="Table outlines the targeted payment percentages across 2022-23, 2023-24, 2024-25 and 2025-26"/>
      </w:tblPr>
      <w:tblGrid>
        <w:gridCol w:w="4531"/>
        <w:gridCol w:w="1276"/>
        <w:gridCol w:w="1276"/>
        <w:gridCol w:w="1274"/>
        <w:gridCol w:w="1225"/>
      </w:tblGrid>
      <w:tr w:rsidR="00513FD2" w:rsidRPr="00661D7D" w:rsidTr="005B200F">
        <w:trPr>
          <w:cantSplit/>
          <w:trHeight w:val="356"/>
          <w:tblHeader/>
          <w:jc w:val="center"/>
        </w:trPr>
        <w:tc>
          <w:tcPr>
            <w:tcW w:w="5000" w:type="pct"/>
            <w:gridSpan w:val="5"/>
            <w:shd w:val="clear" w:color="auto" w:fill="D9D9D6"/>
          </w:tcPr>
          <w:p w:rsidR="00513FD2" w:rsidRPr="00661D7D" w:rsidRDefault="00513FD2" w:rsidP="00513FD2">
            <w:pPr>
              <w:keepNext/>
              <w:spacing w:before="120" w:after="120" w:line="259" w:lineRule="auto"/>
              <w:rPr>
                <w:rFonts w:eastAsia="Times New Roman" w:cs="Arial"/>
                <w:b/>
                <w:sz w:val="20"/>
              </w:rPr>
            </w:pPr>
            <w:r w:rsidRPr="00661D7D">
              <w:rPr>
                <w:rFonts w:eastAsia="Times New Roman" w:cs="Arial"/>
                <w:b/>
                <w:sz w:val="20"/>
              </w:rPr>
              <w:t>Performance Measure</w:t>
            </w:r>
          </w:p>
        </w:tc>
      </w:tr>
      <w:tr w:rsidR="00513FD2" w:rsidRPr="00661D7D" w:rsidTr="00513FD2">
        <w:trPr>
          <w:cantSplit/>
          <w:trHeight w:val="356"/>
          <w:jc w:val="center"/>
        </w:trPr>
        <w:tc>
          <w:tcPr>
            <w:tcW w:w="5000" w:type="pct"/>
            <w:gridSpan w:val="5"/>
            <w:shd w:val="clear" w:color="auto" w:fill="auto"/>
          </w:tcPr>
          <w:p w:rsidR="00513FD2" w:rsidRPr="00661D7D" w:rsidRDefault="00513FD2" w:rsidP="00513FD2">
            <w:pPr>
              <w:keepNext/>
              <w:spacing w:before="120" w:after="120" w:line="259" w:lineRule="auto"/>
              <w:rPr>
                <w:rFonts w:eastAsia="Times New Roman" w:cs="Arial"/>
                <w:b/>
                <w:sz w:val="20"/>
              </w:rPr>
            </w:pPr>
            <w:r w:rsidRPr="00661D7D">
              <w:rPr>
                <w:rFonts w:eastAsia="Times New Roman" w:cs="Arial"/>
                <w:sz w:val="20"/>
              </w:rPr>
              <w:t>2.1.3 -1 Extent to which individuals and families can navigate through financial crisis, build financial resilience and reduce vulnerability to financial shock.</w:t>
            </w:r>
          </w:p>
        </w:tc>
      </w:tr>
      <w:tr w:rsidR="00513FD2" w:rsidRPr="00661D7D" w:rsidTr="00513FD2">
        <w:trPr>
          <w:cantSplit/>
          <w:trHeight w:val="356"/>
          <w:jc w:val="center"/>
        </w:trPr>
        <w:tc>
          <w:tcPr>
            <w:tcW w:w="2364" w:type="pct"/>
            <w:shd w:val="clear" w:color="auto" w:fill="D9D9D6"/>
          </w:tcPr>
          <w:p w:rsidR="00513FD2" w:rsidRPr="00661D7D" w:rsidRDefault="00513FD2" w:rsidP="00513FD2">
            <w:pPr>
              <w:keepNext/>
              <w:spacing w:before="120" w:after="120" w:line="259" w:lineRule="auto"/>
              <w:rPr>
                <w:rFonts w:eastAsia="Times New Roman" w:cs="Arial"/>
                <w:sz w:val="20"/>
              </w:rPr>
            </w:pPr>
            <w:r w:rsidRPr="00661D7D">
              <w:rPr>
                <w:rFonts w:eastAsia="Times New Roman" w:cs="Arial"/>
                <w:b/>
                <w:sz w:val="20"/>
              </w:rPr>
              <w:t>Target</w:t>
            </w:r>
          </w:p>
        </w:tc>
        <w:tc>
          <w:tcPr>
            <w:tcW w:w="666" w:type="pct"/>
            <w:shd w:val="clear" w:color="auto" w:fill="D9D9D6"/>
          </w:tcPr>
          <w:p w:rsidR="00513FD2" w:rsidRPr="00661D7D" w:rsidRDefault="00513FD2" w:rsidP="00513FD2">
            <w:pPr>
              <w:keepNext/>
              <w:spacing w:before="120" w:after="120" w:line="259" w:lineRule="auto"/>
              <w:rPr>
                <w:rFonts w:eastAsia="Times New Roman" w:cs="Arial"/>
                <w:sz w:val="20"/>
              </w:rPr>
            </w:pPr>
            <w:r w:rsidRPr="00661D7D">
              <w:rPr>
                <w:rFonts w:eastAsia="Times New Roman" w:cs="Arial"/>
                <w:b/>
                <w:sz w:val="20"/>
              </w:rPr>
              <w:t>2022–23</w:t>
            </w:r>
          </w:p>
        </w:tc>
        <w:tc>
          <w:tcPr>
            <w:tcW w:w="666" w:type="pct"/>
            <w:shd w:val="clear" w:color="auto" w:fill="D9D9D6"/>
          </w:tcPr>
          <w:p w:rsidR="00513FD2" w:rsidRPr="00661D7D" w:rsidRDefault="00513FD2" w:rsidP="00513FD2">
            <w:pPr>
              <w:keepNext/>
              <w:spacing w:before="120" w:after="120" w:line="259" w:lineRule="auto"/>
              <w:rPr>
                <w:rFonts w:eastAsia="Times New Roman" w:cs="Arial"/>
                <w:b/>
                <w:sz w:val="20"/>
              </w:rPr>
            </w:pPr>
            <w:r w:rsidRPr="00661D7D">
              <w:rPr>
                <w:rFonts w:eastAsia="Times New Roman" w:cs="Arial"/>
                <w:b/>
                <w:sz w:val="20"/>
              </w:rPr>
              <w:t>2023–24</w:t>
            </w:r>
          </w:p>
        </w:tc>
        <w:tc>
          <w:tcPr>
            <w:tcW w:w="665" w:type="pct"/>
            <w:shd w:val="clear" w:color="auto" w:fill="D9D9D6"/>
          </w:tcPr>
          <w:p w:rsidR="00513FD2" w:rsidRPr="00661D7D" w:rsidRDefault="00513FD2" w:rsidP="00513FD2">
            <w:pPr>
              <w:keepNext/>
              <w:spacing w:before="120" w:after="120" w:line="259" w:lineRule="auto"/>
              <w:rPr>
                <w:rFonts w:eastAsia="Times New Roman" w:cs="Arial"/>
                <w:b/>
                <w:sz w:val="20"/>
              </w:rPr>
            </w:pPr>
            <w:r w:rsidRPr="00661D7D">
              <w:rPr>
                <w:rFonts w:eastAsia="Times New Roman" w:cs="Arial"/>
                <w:b/>
                <w:sz w:val="20"/>
              </w:rPr>
              <w:t>2024–25</w:t>
            </w:r>
          </w:p>
        </w:tc>
        <w:tc>
          <w:tcPr>
            <w:tcW w:w="639" w:type="pct"/>
            <w:shd w:val="clear" w:color="auto" w:fill="D9D9D6"/>
          </w:tcPr>
          <w:p w:rsidR="00513FD2" w:rsidRPr="00661D7D" w:rsidRDefault="00513FD2" w:rsidP="00513FD2">
            <w:pPr>
              <w:keepNext/>
              <w:spacing w:before="120" w:after="120" w:line="259" w:lineRule="auto"/>
              <w:rPr>
                <w:rFonts w:eastAsia="Times New Roman" w:cs="Arial"/>
                <w:b/>
                <w:sz w:val="20"/>
              </w:rPr>
            </w:pPr>
            <w:r w:rsidRPr="00661D7D">
              <w:rPr>
                <w:rFonts w:eastAsia="Times New Roman" w:cs="Arial"/>
                <w:b/>
                <w:sz w:val="20"/>
              </w:rPr>
              <w:t>2025–26</w:t>
            </w:r>
          </w:p>
        </w:tc>
      </w:tr>
      <w:tr w:rsidR="00513FD2" w:rsidRPr="00661D7D" w:rsidTr="00513FD2">
        <w:trPr>
          <w:cantSplit/>
          <w:trHeight w:val="356"/>
          <w:jc w:val="center"/>
        </w:trPr>
        <w:tc>
          <w:tcPr>
            <w:tcW w:w="2364" w:type="pct"/>
            <w:shd w:val="clear" w:color="auto" w:fill="FFFFFF"/>
          </w:tcPr>
          <w:p w:rsidR="00513FD2" w:rsidRPr="00661D7D" w:rsidRDefault="00513FD2" w:rsidP="006A2344">
            <w:pPr>
              <w:keepNext/>
              <w:keepLines/>
              <w:pBdr>
                <w:top w:val="nil"/>
                <w:left w:val="nil"/>
                <w:bottom w:val="nil"/>
                <w:right w:val="nil"/>
                <w:between w:val="nil"/>
                <w:bar w:val="nil"/>
              </w:pBdr>
              <w:spacing w:before="120" w:after="120" w:line="259" w:lineRule="auto"/>
              <w:rPr>
                <w:rFonts w:eastAsia="Calibri" w:cs="Arial"/>
                <w:iCs/>
                <w:sz w:val="20"/>
                <w:bdr w:val="nil"/>
              </w:rPr>
            </w:pPr>
            <w:r w:rsidRPr="00661D7D">
              <w:rPr>
                <w:rFonts w:eastAsia="Times New Roman" w:cs="Arial"/>
                <w:iCs/>
                <w:noProof/>
                <w:sz w:val="20"/>
                <w:lang w:eastAsia="en-AU"/>
              </w:rPr>
              <w:sym w:font="Wingdings" w:char="F074"/>
            </w:r>
            <w:r w:rsidRPr="00661D7D">
              <w:rPr>
                <w:rFonts w:eastAsia="Times New Roman" w:cs="Arial"/>
                <w:iCs/>
                <w:noProof/>
                <w:sz w:val="20"/>
                <w:lang w:eastAsia="en-AU"/>
              </w:rPr>
              <w:t xml:space="preserve"> 2.1.3-1A </w:t>
            </w:r>
            <w:r w:rsidR="006A2344">
              <w:rPr>
                <w:rFonts w:eastAsia="Times New Roman" w:cs="Arial"/>
                <w:iCs/>
                <w:noProof/>
                <w:sz w:val="20"/>
                <w:lang w:eastAsia="en-AU"/>
              </w:rPr>
              <w:t>–</w:t>
            </w:r>
            <w:r w:rsidRPr="00661D7D">
              <w:rPr>
                <w:rFonts w:eastAsia="Times New Roman" w:cs="Arial"/>
                <w:iCs/>
                <w:noProof/>
                <w:sz w:val="20"/>
                <w:lang w:eastAsia="en-AU"/>
              </w:rPr>
              <w:t xml:space="preserve"> </w:t>
            </w:r>
            <w:r w:rsidRPr="00661D7D">
              <w:rPr>
                <w:rFonts w:eastAsia="Calibri" w:cs="Arial"/>
                <w:iCs/>
                <w:sz w:val="20"/>
                <w:bdr w:val="nil"/>
              </w:rPr>
              <w:t>20</w:t>
            </w:r>
            <w:r w:rsidR="006A2344">
              <w:rPr>
                <w:rFonts w:eastAsia="Calibri" w:cs="Arial"/>
                <w:iCs/>
                <w:sz w:val="20"/>
                <w:bdr w:val="nil"/>
              </w:rPr>
              <w:t>%</w:t>
            </w:r>
            <w:r w:rsidRPr="00661D7D">
              <w:rPr>
                <w:rFonts w:eastAsia="Calibri" w:cs="Arial"/>
                <w:iCs/>
                <w:sz w:val="20"/>
                <w:bdr w:val="nil"/>
              </w:rPr>
              <w:t xml:space="preserve"> or less of people with multiple requests for emergency relief.</w:t>
            </w:r>
          </w:p>
        </w:tc>
        <w:tc>
          <w:tcPr>
            <w:tcW w:w="666" w:type="pct"/>
          </w:tcPr>
          <w:p w:rsidR="00513FD2" w:rsidRPr="00661D7D" w:rsidRDefault="00513FD2" w:rsidP="00513FD2">
            <w:pPr>
              <w:keepNext/>
              <w:spacing w:before="120" w:after="120" w:line="259" w:lineRule="auto"/>
              <w:rPr>
                <w:rFonts w:eastAsia="Times New Roman" w:cs="Arial"/>
                <w:sz w:val="20"/>
              </w:rPr>
            </w:pPr>
            <w:r w:rsidRPr="00661D7D">
              <w:rPr>
                <w:rFonts w:eastAsia="Times New Roman" w:cs="Arial"/>
                <w:sz w:val="20"/>
              </w:rPr>
              <w:t xml:space="preserve">≤20 </w:t>
            </w:r>
            <w:r>
              <w:rPr>
                <w:sz w:val="20"/>
                <w:lang w:eastAsia="en-GB"/>
              </w:rPr>
              <w:t>%</w:t>
            </w:r>
          </w:p>
        </w:tc>
        <w:tc>
          <w:tcPr>
            <w:tcW w:w="666" w:type="pct"/>
          </w:tcPr>
          <w:p w:rsidR="00513FD2" w:rsidRPr="00661D7D" w:rsidRDefault="00513FD2" w:rsidP="00513FD2">
            <w:pPr>
              <w:keepNext/>
              <w:spacing w:before="120" w:after="120" w:line="259" w:lineRule="auto"/>
              <w:rPr>
                <w:rFonts w:eastAsia="Times New Roman" w:cs="Arial"/>
                <w:sz w:val="20"/>
              </w:rPr>
            </w:pPr>
            <w:r w:rsidRPr="00661D7D">
              <w:rPr>
                <w:rFonts w:eastAsia="Times New Roman" w:cs="Arial"/>
                <w:sz w:val="20"/>
              </w:rPr>
              <w:t xml:space="preserve">≤20 </w:t>
            </w:r>
            <w:r>
              <w:rPr>
                <w:sz w:val="20"/>
                <w:lang w:eastAsia="en-GB"/>
              </w:rPr>
              <w:t>%</w:t>
            </w:r>
          </w:p>
        </w:tc>
        <w:tc>
          <w:tcPr>
            <w:tcW w:w="665" w:type="pct"/>
          </w:tcPr>
          <w:p w:rsidR="00513FD2" w:rsidRPr="00661D7D" w:rsidRDefault="00513FD2" w:rsidP="00513FD2">
            <w:pPr>
              <w:keepNext/>
              <w:spacing w:before="120" w:after="120" w:line="259" w:lineRule="auto"/>
              <w:rPr>
                <w:rFonts w:eastAsia="Times New Roman" w:cs="Arial"/>
                <w:sz w:val="20"/>
              </w:rPr>
            </w:pPr>
            <w:r w:rsidRPr="00661D7D">
              <w:rPr>
                <w:rFonts w:eastAsia="Times New Roman" w:cs="Arial"/>
                <w:sz w:val="20"/>
              </w:rPr>
              <w:t xml:space="preserve">≤20 </w:t>
            </w:r>
            <w:r>
              <w:rPr>
                <w:sz w:val="20"/>
                <w:lang w:eastAsia="en-GB"/>
              </w:rPr>
              <w:t>%</w:t>
            </w:r>
          </w:p>
        </w:tc>
        <w:tc>
          <w:tcPr>
            <w:tcW w:w="639" w:type="pct"/>
          </w:tcPr>
          <w:p w:rsidR="00513FD2" w:rsidRPr="00661D7D" w:rsidRDefault="00513FD2" w:rsidP="00513FD2">
            <w:pPr>
              <w:keepNext/>
              <w:spacing w:before="120" w:after="120" w:line="259" w:lineRule="auto"/>
              <w:rPr>
                <w:rFonts w:eastAsia="Times New Roman" w:cs="Arial"/>
                <w:sz w:val="20"/>
              </w:rPr>
            </w:pPr>
            <w:r>
              <w:rPr>
                <w:rFonts w:eastAsia="Times New Roman" w:cs="Arial"/>
                <w:sz w:val="20"/>
              </w:rPr>
              <w:t xml:space="preserve">≤20 </w:t>
            </w:r>
            <w:r>
              <w:rPr>
                <w:sz w:val="20"/>
                <w:lang w:eastAsia="en-GB"/>
              </w:rPr>
              <w:t>%</w:t>
            </w:r>
          </w:p>
        </w:tc>
      </w:tr>
      <w:tr w:rsidR="00513FD2" w:rsidRPr="00661D7D" w:rsidTr="00513FD2">
        <w:trPr>
          <w:cantSplit/>
          <w:trHeight w:val="356"/>
          <w:jc w:val="center"/>
        </w:trPr>
        <w:tc>
          <w:tcPr>
            <w:tcW w:w="2364" w:type="pct"/>
            <w:shd w:val="clear" w:color="auto" w:fill="FFFFFF"/>
          </w:tcPr>
          <w:p w:rsidR="00513FD2" w:rsidRPr="00661D7D" w:rsidRDefault="00513FD2" w:rsidP="006A2344">
            <w:pPr>
              <w:keepNext/>
              <w:keepLines/>
              <w:pBdr>
                <w:top w:val="nil"/>
                <w:left w:val="nil"/>
                <w:bottom w:val="nil"/>
                <w:right w:val="nil"/>
                <w:between w:val="nil"/>
                <w:bar w:val="nil"/>
              </w:pBdr>
              <w:spacing w:before="120" w:after="120" w:line="259" w:lineRule="auto"/>
              <w:rPr>
                <w:rFonts w:eastAsia="Calibri" w:cs="Arial"/>
                <w:iCs/>
                <w:sz w:val="20"/>
                <w:bdr w:val="nil"/>
              </w:rPr>
            </w:pPr>
            <w:r w:rsidRPr="00661D7D">
              <w:rPr>
                <w:rFonts w:eastAsia="Times New Roman" w:cs="Arial"/>
                <w:iCs/>
                <w:noProof/>
                <w:sz w:val="20"/>
                <w:lang w:eastAsia="en-AU"/>
              </w:rPr>
              <w:sym w:font="Wingdings" w:char="F074"/>
            </w:r>
            <w:r w:rsidRPr="00661D7D">
              <w:rPr>
                <w:rFonts w:eastAsia="Times New Roman" w:cs="Arial"/>
                <w:iCs/>
                <w:noProof/>
                <w:sz w:val="20"/>
                <w:lang w:eastAsia="en-AU"/>
              </w:rPr>
              <w:t xml:space="preserve"> 2.1.3-1B - </w:t>
            </w:r>
            <w:r w:rsidRPr="00661D7D">
              <w:rPr>
                <w:rFonts w:eastAsia="Calibri" w:cs="Arial"/>
                <w:iCs/>
                <w:sz w:val="20"/>
                <w:bdr w:val="nil"/>
              </w:rPr>
              <w:t>At least 70</w:t>
            </w:r>
            <w:r w:rsidR="006A2344">
              <w:rPr>
                <w:rFonts w:eastAsia="Calibri" w:cs="Arial"/>
                <w:iCs/>
                <w:sz w:val="20"/>
                <w:bdr w:val="nil"/>
              </w:rPr>
              <w:t>%</w:t>
            </w:r>
            <w:r w:rsidRPr="00661D7D">
              <w:rPr>
                <w:rFonts w:eastAsia="Calibri" w:cs="Arial"/>
                <w:iCs/>
                <w:sz w:val="20"/>
                <w:bdr w:val="nil"/>
              </w:rPr>
              <w:t xml:space="preserve"> of people report an improvement in their financial wellbeing following engagement with a funded service.</w:t>
            </w:r>
          </w:p>
        </w:tc>
        <w:tc>
          <w:tcPr>
            <w:tcW w:w="666" w:type="pct"/>
          </w:tcPr>
          <w:p w:rsidR="00513FD2" w:rsidRPr="00661D7D" w:rsidRDefault="00513FD2" w:rsidP="00513FD2">
            <w:pPr>
              <w:keepNext/>
              <w:spacing w:before="120" w:after="120" w:line="259" w:lineRule="auto"/>
              <w:rPr>
                <w:rFonts w:eastAsia="Times New Roman" w:cs="Arial"/>
                <w:sz w:val="20"/>
              </w:rPr>
            </w:pPr>
            <w:r w:rsidRPr="00661D7D">
              <w:rPr>
                <w:rFonts w:eastAsia="Times New Roman" w:cs="Arial"/>
                <w:sz w:val="20"/>
              </w:rPr>
              <w:t xml:space="preserve">≥70 </w:t>
            </w:r>
            <w:r>
              <w:rPr>
                <w:sz w:val="20"/>
                <w:lang w:eastAsia="en-GB"/>
              </w:rPr>
              <w:t>%</w:t>
            </w:r>
          </w:p>
        </w:tc>
        <w:tc>
          <w:tcPr>
            <w:tcW w:w="666" w:type="pct"/>
          </w:tcPr>
          <w:p w:rsidR="00513FD2" w:rsidRPr="00661D7D" w:rsidRDefault="00513FD2" w:rsidP="00513FD2">
            <w:pPr>
              <w:keepNext/>
              <w:spacing w:before="120" w:after="120" w:line="259" w:lineRule="auto"/>
              <w:rPr>
                <w:rFonts w:eastAsia="Times New Roman" w:cs="Arial"/>
                <w:sz w:val="20"/>
              </w:rPr>
            </w:pPr>
            <w:r w:rsidRPr="00661D7D">
              <w:rPr>
                <w:rFonts w:eastAsia="Times New Roman" w:cs="Arial"/>
                <w:sz w:val="20"/>
              </w:rPr>
              <w:t xml:space="preserve">≥70 </w:t>
            </w:r>
            <w:r>
              <w:rPr>
                <w:sz w:val="20"/>
                <w:lang w:eastAsia="en-GB"/>
              </w:rPr>
              <w:t>%</w:t>
            </w:r>
          </w:p>
        </w:tc>
        <w:tc>
          <w:tcPr>
            <w:tcW w:w="665" w:type="pct"/>
          </w:tcPr>
          <w:p w:rsidR="00513FD2" w:rsidRPr="00661D7D" w:rsidRDefault="00513FD2" w:rsidP="00513FD2">
            <w:pPr>
              <w:keepNext/>
              <w:spacing w:before="120" w:after="120" w:line="259" w:lineRule="auto"/>
              <w:rPr>
                <w:rFonts w:eastAsia="Times New Roman" w:cs="Arial"/>
                <w:sz w:val="20"/>
              </w:rPr>
            </w:pPr>
            <w:r w:rsidRPr="00661D7D">
              <w:rPr>
                <w:rFonts w:eastAsia="Times New Roman" w:cs="Arial"/>
                <w:sz w:val="20"/>
              </w:rPr>
              <w:t xml:space="preserve">≥70 </w:t>
            </w:r>
            <w:r>
              <w:rPr>
                <w:sz w:val="20"/>
                <w:lang w:eastAsia="en-GB"/>
              </w:rPr>
              <w:t>%</w:t>
            </w:r>
          </w:p>
        </w:tc>
        <w:tc>
          <w:tcPr>
            <w:tcW w:w="639" w:type="pct"/>
          </w:tcPr>
          <w:p w:rsidR="00513FD2" w:rsidRPr="00661D7D" w:rsidRDefault="00513FD2" w:rsidP="00513FD2">
            <w:pPr>
              <w:keepNext/>
              <w:spacing w:before="120" w:after="120" w:line="259" w:lineRule="auto"/>
              <w:rPr>
                <w:rFonts w:eastAsia="Times New Roman" w:cs="Arial"/>
                <w:sz w:val="20"/>
              </w:rPr>
            </w:pPr>
            <w:r w:rsidRPr="00661D7D">
              <w:rPr>
                <w:rFonts w:eastAsia="Times New Roman" w:cs="Arial"/>
                <w:sz w:val="20"/>
              </w:rPr>
              <w:t xml:space="preserve">≥70 </w:t>
            </w:r>
            <w:r>
              <w:rPr>
                <w:sz w:val="20"/>
                <w:lang w:eastAsia="en-GB"/>
              </w:rPr>
              <w:t>%</w:t>
            </w:r>
          </w:p>
        </w:tc>
      </w:tr>
    </w:tbl>
    <w:p w:rsidR="00001B01" w:rsidRDefault="00001B01" w:rsidP="005B6BFD">
      <w:pPr>
        <w:spacing w:before="0" w:after="0" w:line="240" w:lineRule="auto"/>
        <w:rPr>
          <w:rFonts w:eastAsia="Times New Roman" w:cs="Arial"/>
          <w:b/>
          <w:sz w:val="20"/>
          <w:szCs w:val="20"/>
        </w:rPr>
      </w:pPr>
    </w:p>
    <w:p w:rsidR="00513FD2" w:rsidRPr="00661D7D" w:rsidRDefault="00513FD2" w:rsidP="00513FD2">
      <w:pPr>
        <w:shd w:val="clear" w:color="auto" w:fill="C2E189"/>
        <w:spacing w:before="120" w:after="120"/>
        <w:rPr>
          <w:rFonts w:eastAsia="Times New Roman" w:cs="Arial"/>
          <w:b/>
          <w:sz w:val="20"/>
          <w:szCs w:val="20"/>
        </w:rPr>
      </w:pPr>
      <w:r w:rsidRPr="00661D7D">
        <w:rPr>
          <w:rFonts w:eastAsia="Times New Roman" w:cs="Arial"/>
          <w:b/>
          <w:sz w:val="20"/>
          <w:szCs w:val="20"/>
        </w:rPr>
        <w:t>Rationale</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 xml:space="preserve">This measure demonstrates the </w:t>
      </w:r>
      <w:r w:rsidRPr="00661D7D">
        <w:rPr>
          <w:rFonts w:eastAsia="Times New Roman" w:cs="Arial"/>
          <w:b/>
          <w:sz w:val="20"/>
          <w:szCs w:val="20"/>
        </w:rPr>
        <w:t xml:space="preserve">effectiveness </w:t>
      </w:r>
      <w:r w:rsidRPr="00661D7D">
        <w:rPr>
          <w:rFonts w:eastAsia="Times New Roman" w:cs="Arial"/>
          <w:sz w:val="20"/>
          <w:szCs w:val="20"/>
        </w:rPr>
        <w:t>of Financial Wellbeing and Capability in achieving the objective of the key activity: To support vulnerable individuals and families to navigate financial crises, address financial stress and hardship, and increase financial literacy for individuals and families.</w:t>
      </w:r>
    </w:p>
    <w:p w:rsidR="00513FD2" w:rsidRPr="00661D7D" w:rsidRDefault="00513FD2" w:rsidP="00513FD2">
      <w:pPr>
        <w:numPr>
          <w:ilvl w:val="0"/>
          <w:numId w:val="25"/>
        </w:numPr>
        <w:spacing w:before="120" w:after="120"/>
        <w:ind w:left="714" w:hanging="357"/>
        <w:rPr>
          <w:rFonts w:eastAsia="Times New Roman" w:cs="Arial"/>
          <w:sz w:val="20"/>
          <w:szCs w:val="20"/>
        </w:rPr>
      </w:pPr>
      <w:r w:rsidRPr="00661D7D">
        <w:rPr>
          <w:rFonts w:eastAsia="Times New Roman" w:cs="Arial"/>
          <w:sz w:val="20"/>
          <w:szCs w:val="20"/>
        </w:rPr>
        <w:t>Targeting 20</w:t>
      </w:r>
      <w:r w:rsidR="006A2344">
        <w:rPr>
          <w:rFonts w:eastAsia="Times New Roman" w:cs="Arial"/>
          <w:sz w:val="20"/>
          <w:szCs w:val="20"/>
        </w:rPr>
        <w:t>%</w:t>
      </w:r>
      <w:r w:rsidRPr="00661D7D">
        <w:rPr>
          <w:rFonts w:eastAsia="Times New Roman" w:cs="Arial"/>
          <w:sz w:val="20"/>
          <w:szCs w:val="20"/>
        </w:rPr>
        <w:t xml:space="preserve"> or less of people with multiple requests for emergency relief demonstrates the </w:t>
      </w:r>
      <w:r w:rsidRPr="00661D7D">
        <w:rPr>
          <w:rFonts w:eastAsia="Times New Roman" w:cs="Arial"/>
          <w:b/>
          <w:sz w:val="20"/>
          <w:szCs w:val="20"/>
        </w:rPr>
        <w:t>effectiveness</w:t>
      </w:r>
      <w:r w:rsidRPr="00661D7D">
        <w:rPr>
          <w:rFonts w:eastAsia="Times New Roman" w:cs="Arial"/>
          <w:sz w:val="20"/>
          <w:szCs w:val="20"/>
        </w:rPr>
        <w:t xml:space="preserve"> of the key activity by showing people who have experienced financial crisis (i.e. require emergency relief) have not become reliant on emergency relief indicating they are more financially resilient and have navigated financial crisis.</w:t>
      </w:r>
    </w:p>
    <w:p w:rsidR="00513FD2" w:rsidRPr="00661D7D" w:rsidRDefault="00513FD2" w:rsidP="00513FD2">
      <w:pPr>
        <w:numPr>
          <w:ilvl w:val="0"/>
          <w:numId w:val="25"/>
        </w:numPr>
        <w:spacing w:before="120" w:after="120"/>
        <w:ind w:left="714" w:hanging="357"/>
        <w:rPr>
          <w:rFonts w:eastAsia="Times New Roman" w:cs="Arial"/>
          <w:sz w:val="20"/>
          <w:szCs w:val="20"/>
        </w:rPr>
      </w:pPr>
      <w:r w:rsidRPr="00661D7D">
        <w:rPr>
          <w:rFonts w:eastAsia="Times New Roman" w:cs="Arial"/>
          <w:sz w:val="20"/>
          <w:szCs w:val="20"/>
        </w:rPr>
        <w:t>Targeting At least 70</w:t>
      </w:r>
      <w:r w:rsidR="006A2344">
        <w:rPr>
          <w:rFonts w:eastAsia="Times New Roman" w:cs="Arial"/>
          <w:sz w:val="20"/>
          <w:szCs w:val="20"/>
        </w:rPr>
        <w:t>%</w:t>
      </w:r>
      <w:r w:rsidRPr="00661D7D">
        <w:rPr>
          <w:rFonts w:eastAsia="Times New Roman" w:cs="Arial"/>
          <w:sz w:val="20"/>
          <w:szCs w:val="20"/>
        </w:rPr>
        <w:t xml:space="preserve"> of people report an improvement in their financial well-being following engagement with a funded service demonstrates the </w:t>
      </w:r>
      <w:r w:rsidRPr="00661D7D">
        <w:rPr>
          <w:rFonts w:eastAsia="Times New Roman" w:cs="Arial"/>
          <w:b/>
          <w:sz w:val="20"/>
          <w:szCs w:val="20"/>
        </w:rPr>
        <w:t>effectiveness</w:t>
      </w:r>
      <w:r w:rsidRPr="00661D7D">
        <w:rPr>
          <w:rFonts w:eastAsia="Times New Roman" w:cs="Arial"/>
          <w:sz w:val="20"/>
          <w:szCs w:val="20"/>
        </w:rPr>
        <w:t xml:space="preserve"> of the key activity by showing improvements in ‘financial wellbeing’ of services clients as they navigate life transitions and/or financial stress or crisis.</w:t>
      </w:r>
      <w:r w:rsidR="000A5E4D">
        <w:rPr>
          <w:rFonts w:eastAsia="Times New Roman" w:cs="Arial"/>
          <w:sz w:val="20"/>
          <w:szCs w:val="20"/>
        </w:rPr>
        <w:br/>
      </w:r>
    </w:p>
    <w:p w:rsidR="00001B01" w:rsidRDefault="00001B01">
      <w:pPr>
        <w:spacing w:before="0" w:after="160"/>
        <w:rPr>
          <w:rFonts w:eastAsia="Times New Roman" w:cs="Arial"/>
          <w:b/>
          <w:sz w:val="20"/>
          <w:szCs w:val="20"/>
        </w:rPr>
      </w:pPr>
      <w:r>
        <w:rPr>
          <w:rFonts w:eastAsia="Times New Roman" w:cs="Arial"/>
          <w:b/>
          <w:sz w:val="20"/>
          <w:szCs w:val="20"/>
        </w:rPr>
        <w:br w:type="page"/>
      </w:r>
    </w:p>
    <w:p w:rsidR="00513FD2" w:rsidRPr="00661D7D" w:rsidRDefault="00513FD2" w:rsidP="00513FD2">
      <w:pPr>
        <w:shd w:val="clear" w:color="auto" w:fill="C2E189"/>
        <w:spacing w:before="120" w:after="120"/>
        <w:rPr>
          <w:rFonts w:eastAsia="Times New Roman" w:cs="Arial"/>
          <w:b/>
          <w:sz w:val="20"/>
          <w:szCs w:val="20"/>
        </w:rPr>
      </w:pPr>
      <w:r w:rsidRPr="00661D7D">
        <w:rPr>
          <w:rFonts w:eastAsia="Times New Roman" w:cs="Arial"/>
          <w:b/>
          <w:sz w:val="20"/>
          <w:szCs w:val="20"/>
        </w:rPr>
        <w:lastRenderedPageBreak/>
        <w:t>Methodology</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The percentage for Emergency Relief is based on the cohort of clients that had at least 5 sessions of</w:t>
      </w:r>
      <w:r w:rsidR="001C3606">
        <w:rPr>
          <w:rFonts w:eastAsia="Times New Roman" w:cs="Arial"/>
          <w:sz w:val="20"/>
          <w:szCs w:val="20"/>
        </w:rPr>
        <w:t> </w:t>
      </w:r>
      <w:r w:rsidRPr="00661D7D">
        <w:rPr>
          <w:rFonts w:eastAsia="Times New Roman" w:cs="Arial"/>
          <w:sz w:val="20"/>
          <w:szCs w:val="20"/>
        </w:rPr>
        <w:t>Emergency Relief within a 90 day period in the current reporting year.</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 xml:space="preserve">The </w:t>
      </w:r>
      <w:r w:rsidRPr="00661D7D">
        <w:rPr>
          <w:rFonts w:eastAsia="Times New Roman" w:cs="Arial"/>
          <w:b/>
          <w:sz w:val="20"/>
          <w:szCs w:val="20"/>
        </w:rPr>
        <w:t>data source</w:t>
      </w:r>
      <w:r w:rsidRPr="00661D7D">
        <w:rPr>
          <w:rFonts w:eastAsia="Times New Roman" w:cs="Arial"/>
          <w:sz w:val="20"/>
          <w:szCs w:val="20"/>
        </w:rPr>
        <w:t xml:space="preserve"> used for this calculation is the Department of Social Services Data Exchange using Statistical Linkage Key match of de-identified clients.</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 xml:space="preserve">The percentage for financial wellbeing is based on improved financial wellbeing measured as a positive change in financial wellbeing circumstances during the assistance period as compared to initial circumstances, recorded on the five-point Data Exchange Client Circumstances Standard Client/Community Outcome Reporting. The circumstance domain Standard Client/Community Outcome Reporting used in this measure are Financial Resilience and Material Wellbeing and Basic Necessities. </w:t>
      </w:r>
    </w:p>
    <w:p w:rsidR="00513FD2" w:rsidRPr="00661D7D" w:rsidRDefault="00513FD2" w:rsidP="00513FD2">
      <w:pPr>
        <w:spacing w:before="120" w:after="120"/>
        <w:rPr>
          <w:rFonts w:eastAsia="Times New Roman" w:cs="Arial"/>
          <w:b/>
          <w:sz w:val="20"/>
          <w:szCs w:val="20"/>
        </w:rPr>
      </w:pPr>
      <w:r w:rsidRPr="00661D7D">
        <w:rPr>
          <w:rFonts w:eastAsia="Times New Roman" w:cs="Arial"/>
          <w:sz w:val="20"/>
          <w:szCs w:val="20"/>
        </w:rPr>
        <w:t xml:space="preserve">The </w:t>
      </w:r>
      <w:r w:rsidRPr="00661D7D">
        <w:rPr>
          <w:rFonts w:eastAsia="Times New Roman" w:cs="Arial"/>
          <w:b/>
          <w:sz w:val="20"/>
          <w:szCs w:val="20"/>
        </w:rPr>
        <w:t>data source</w:t>
      </w:r>
      <w:r w:rsidRPr="00661D7D">
        <w:rPr>
          <w:rFonts w:eastAsia="Times New Roman" w:cs="Arial"/>
          <w:sz w:val="20"/>
          <w:szCs w:val="20"/>
        </w:rPr>
        <w:t xml:space="preserve"> used for this calculation is the Department of Social Services Data Exchange Standard Client/Community Outcome Reporting.</w:t>
      </w:r>
    </w:p>
    <w:p w:rsidR="00513FD2" w:rsidRPr="00661D7D" w:rsidRDefault="00513FD2" w:rsidP="00513FD2">
      <w:pPr>
        <w:shd w:val="clear" w:color="auto" w:fill="C2E189"/>
        <w:spacing w:before="120" w:after="120"/>
        <w:rPr>
          <w:rFonts w:eastAsia="Times New Roman" w:cs="Arial"/>
          <w:b/>
          <w:sz w:val="20"/>
          <w:szCs w:val="20"/>
        </w:rPr>
      </w:pPr>
      <w:r w:rsidRPr="00661D7D">
        <w:rPr>
          <w:rFonts w:eastAsia="Times New Roman" w:cs="Arial"/>
          <w:b/>
          <w:sz w:val="20"/>
          <w:szCs w:val="20"/>
        </w:rPr>
        <w:t>Program Outputs</w:t>
      </w:r>
    </w:p>
    <w:p w:rsidR="00513FD2" w:rsidRPr="00661D7D" w:rsidRDefault="00513FD2" w:rsidP="00762037">
      <w:pPr>
        <w:numPr>
          <w:ilvl w:val="0"/>
          <w:numId w:val="20"/>
        </w:numPr>
        <w:spacing w:before="0" w:after="0" w:line="240" w:lineRule="auto"/>
        <w:ind w:left="714" w:hanging="357"/>
        <w:rPr>
          <w:rFonts w:eastAsia="Times New Roman" w:cs="Arial"/>
          <w:sz w:val="20"/>
          <w:szCs w:val="20"/>
        </w:rPr>
      </w:pPr>
      <w:r w:rsidRPr="00661D7D">
        <w:rPr>
          <w:rFonts w:eastAsia="Times New Roman" w:cs="Arial"/>
          <w:sz w:val="20"/>
          <w:szCs w:val="20"/>
        </w:rPr>
        <w:t>Administered outlays</w:t>
      </w:r>
    </w:p>
    <w:p w:rsidR="00513FD2" w:rsidRPr="00661D7D" w:rsidRDefault="00513FD2" w:rsidP="00762037">
      <w:pPr>
        <w:numPr>
          <w:ilvl w:val="0"/>
          <w:numId w:val="20"/>
        </w:numPr>
        <w:spacing w:before="0" w:after="0" w:line="240" w:lineRule="auto"/>
        <w:ind w:left="714" w:hanging="357"/>
        <w:rPr>
          <w:rFonts w:eastAsia="Times New Roman" w:cs="Arial"/>
          <w:sz w:val="20"/>
          <w:szCs w:val="20"/>
        </w:rPr>
      </w:pPr>
      <w:r w:rsidRPr="00661D7D">
        <w:rPr>
          <w:rFonts w:eastAsia="Times New Roman" w:cs="Arial"/>
          <w:sz w:val="20"/>
          <w:szCs w:val="20"/>
        </w:rPr>
        <w:t>Number of individuals assisted</w:t>
      </w:r>
    </w:p>
    <w:p w:rsidR="00513FD2" w:rsidRPr="00661D7D" w:rsidRDefault="00513FD2" w:rsidP="00762037">
      <w:pPr>
        <w:numPr>
          <w:ilvl w:val="0"/>
          <w:numId w:val="20"/>
        </w:numPr>
        <w:spacing w:before="0" w:after="0" w:line="240" w:lineRule="auto"/>
        <w:ind w:left="714" w:hanging="357"/>
        <w:rPr>
          <w:rFonts w:eastAsia="Times New Roman" w:cs="Arial"/>
          <w:sz w:val="20"/>
          <w:szCs w:val="20"/>
        </w:rPr>
      </w:pPr>
      <w:r w:rsidRPr="00661D7D">
        <w:rPr>
          <w:rFonts w:eastAsia="Times New Roman" w:cs="Arial"/>
          <w:sz w:val="20"/>
          <w:szCs w:val="20"/>
        </w:rPr>
        <w:t>Number of organisations contracted or receiving gra</w:t>
      </w:r>
      <w:r>
        <w:rPr>
          <w:rFonts w:eastAsia="Times New Roman" w:cs="Arial"/>
          <w:sz w:val="20"/>
          <w:szCs w:val="20"/>
        </w:rPr>
        <w:t>nt funding to deliver services.</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br w:type="page"/>
      </w:r>
    </w:p>
    <w:p w:rsidR="00513FD2" w:rsidRPr="00661D7D" w:rsidRDefault="00513FD2" w:rsidP="00513FD2">
      <w:pPr>
        <w:shd w:val="clear" w:color="auto" w:fill="275D38"/>
        <w:spacing w:before="120" w:after="120"/>
        <w:rPr>
          <w:rFonts w:eastAsia="Times New Roman" w:cs="Arial"/>
          <w:b/>
          <w:color w:val="FFFFFF"/>
          <w:sz w:val="20"/>
          <w:szCs w:val="20"/>
        </w:rPr>
      </w:pPr>
      <w:r w:rsidRPr="00661D7D">
        <w:rPr>
          <w:rFonts w:eastAsia="Times New Roman" w:cs="Arial"/>
          <w:b/>
          <w:color w:val="FFFFFF"/>
          <w:sz w:val="20"/>
          <w:szCs w:val="20"/>
        </w:rPr>
        <w:lastRenderedPageBreak/>
        <w:t>PROGRAM 2.1 FAMILIES AND COMMUNITIES</w:t>
      </w:r>
    </w:p>
    <w:p w:rsidR="00513FD2" w:rsidRPr="00661D7D" w:rsidRDefault="00513FD2" w:rsidP="00513FD2">
      <w:pPr>
        <w:shd w:val="clear" w:color="auto" w:fill="275D38"/>
        <w:spacing w:before="120" w:after="120"/>
        <w:rPr>
          <w:rFonts w:eastAsia="Times New Roman" w:cs="Arial"/>
          <w:color w:val="FFFFFF"/>
          <w:sz w:val="20"/>
          <w:szCs w:val="20"/>
        </w:rPr>
      </w:pPr>
      <w:r w:rsidRPr="00661D7D">
        <w:rPr>
          <w:rFonts w:eastAsia="Times New Roman" w:cs="Arial"/>
          <w:color w:val="FFFFFF"/>
          <w:sz w:val="20"/>
          <w:szCs w:val="20"/>
        </w:rPr>
        <w:t>To strengthen relationships, support families, improve wellbeing of children and young people, reduce the cost of family breakdown, and strengthen family and community functioning.</w:t>
      </w:r>
    </w:p>
    <w:p w:rsidR="00513FD2" w:rsidRPr="00661D7D" w:rsidRDefault="00513FD2" w:rsidP="00513FD2">
      <w:pPr>
        <w:shd w:val="clear" w:color="auto" w:fill="C2E189"/>
        <w:spacing w:before="120" w:after="120"/>
        <w:rPr>
          <w:rFonts w:eastAsia="Times New Roman" w:cs="Arial"/>
          <w:b/>
          <w:sz w:val="20"/>
          <w:szCs w:val="20"/>
        </w:rPr>
      </w:pPr>
      <w:r w:rsidRPr="00661D7D">
        <w:rPr>
          <w:rFonts w:eastAsia="Times New Roman" w:cs="Arial"/>
          <w:b/>
          <w:sz w:val="20"/>
          <w:szCs w:val="20"/>
          <w:shd w:val="clear" w:color="auto" w:fill="C2E189"/>
        </w:rPr>
        <w:t>Key Activity — 2.1.4 Income Management</w:t>
      </w:r>
    </w:p>
    <w:p w:rsidR="00513FD2" w:rsidRPr="00661D7D" w:rsidRDefault="00513FD2" w:rsidP="00513FD2">
      <w:pPr>
        <w:spacing w:before="120" w:after="120"/>
        <w:rPr>
          <w:rFonts w:eastAsia="Calibri" w:cs="Arial"/>
          <w:sz w:val="20"/>
          <w:szCs w:val="20"/>
        </w:rPr>
      </w:pPr>
      <w:r w:rsidRPr="00661D7D">
        <w:rPr>
          <w:rFonts w:eastAsia="Calibri" w:cs="Arial"/>
          <w:sz w:val="20"/>
          <w:szCs w:val="20"/>
        </w:rPr>
        <w:t>On 3 June 2022, the Australian Government announced the abolition of the Cashless Debit Card.</w:t>
      </w:r>
      <w:r>
        <w:rPr>
          <w:rFonts w:eastAsia="Calibri" w:cs="Arial"/>
          <w:sz w:val="20"/>
          <w:szCs w:val="20"/>
        </w:rPr>
        <w:t xml:space="preserve"> </w:t>
      </w:r>
    </w:p>
    <w:p w:rsidR="00513FD2" w:rsidRPr="00661D7D" w:rsidRDefault="00513FD2" w:rsidP="00513FD2">
      <w:pPr>
        <w:spacing w:before="120" w:after="120"/>
        <w:rPr>
          <w:rFonts w:eastAsia="Calibri" w:cs="Arial"/>
          <w:sz w:val="20"/>
          <w:szCs w:val="20"/>
        </w:rPr>
      </w:pPr>
      <w:r w:rsidRPr="00661D7D">
        <w:rPr>
          <w:rFonts w:eastAsia="Calibri" w:cs="Arial"/>
          <w:sz w:val="20"/>
          <w:szCs w:val="20"/>
        </w:rPr>
        <w:t>An immediate priority for Government has been to introduce legislation into Parliament to repeal the Cashless Debit Card. This was introduced on 27 July 2022 and separately, from 1 August 2022 the Secretary cease</w:t>
      </w:r>
      <w:r w:rsidR="00694DD2">
        <w:rPr>
          <w:rFonts w:eastAsia="Calibri" w:cs="Arial"/>
          <w:sz w:val="20"/>
          <w:szCs w:val="20"/>
        </w:rPr>
        <w:t>d</w:t>
      </w:r>
      <w:r w:rsidRPr="00661D7D">
        <w:rPr>
          <w:rFonts w:eastAsia="Calibri" w:cs="Arial"/>
          <w:sz w:val="20"/>
          <w:szCs w:val="20"/>
        </w:rPr>
        <w:t xml:space="preserve"> placing any new entrants on the card.</w:t>
      </w:r>
    </w:p>
    <w:p w:rsidR="00513FD2" w:rsidRPr="00661D7D" w:rsidRDefault="00513FD2" w:rsidP="00513FD2">
      <w:pPr>
        <w:spacing w:before="120" w:after="120"/>
        <w:rPr>
          <w:rFonts w:eastAsia="Calibri" w:cs="Arial"/>
          <w:sz w:val="20"/>
          <w:szCs w:val="20"/>
        </w:rPr>
      </w:pPr>
      <w:r w:rsidRPr="00661D7D">
        <w:rPr>
          <w:rFonts w:eastAsia="Calibri" w:cs="Arial"/>
          <w:sz w:val="20"/>
          <w:szCs w:val="20"/>
        </w:rPr>
        <w:t>Subject to the passage of the legislation, a progressive transition of existing participants off the card will begin from 19 September 2022 or one day after Royal Assent.</w:t>
      </w:r>
      <w:r>
        <w:rPr>
          <w:rFonts w:eastAsia="Calibri" w:cs="Arial"/>
          <w:sz w:val="20"/>
          <w:szCs w:val="20"/>
        </w:rPr>
        <w:t xml:space="preserve"> </w:t>
      </w:r>
      <w:r w:rsidRPr="00661D7D">
        <w:rPr>
          <w:rFonts w:eastAsia="Calibri" w:cs="Arial"/>
          <w:sz w:val="20"/>
          <w:szCs w:val="20"/>
        </w:rPr>
        <w:t>A further Bill, to be introduced after consultations with affected areas and communities, will address the question of income management, to</w:t>
      </w:r>
      <w:r w:rsidR="001C3606">
        <w:rPr>
          <w:rFonts w:eastAsia="Calibri" w:cs="Arial"/>
          <w:sz w:val="20"/>
          <w:szCs w:val="20"/>
        </w:rPr>
        <w:t> </w:t>
      </w:r>
      <w:r w:rsidRPr="00661D7D">
        <w:rPr>
          <w:rFonts w:eastAsia="Calibri" w:cs="Arial"/>
          <w:sz w:val="20"/>
          <w:szCs w:val="20"/>
        </w:rPr>
        <w:t>explore the future of this and other supports that are needed in communities.</w:t>
      </w:r>
    </w:p>
    <w:p w:rsidR="00513FD2" w:rsidRPr="00661D7D" w:rsidRDefault="00513FD2" w:rsidP="00513FD2">
      <w:pPr>
        <w:spacing w:before="120" w:after="120"/>
        <w:rPr>
          <w:rFonts w:eastAsia="Calibri" w:cs="Arial"/>
          <w:sz w:val="20"/>
          <w:szCs w:val="20"/>
        </w:rPr>
      </w:pPr>
      <w:r w:rsidRPr="00661D7D">
        <w:rPr>
          <w:rFonts w:eastAsia="Calibri" w:cs="Arial"/>
          <w:sz w:val="20"/>
          <w:szCs w:val="20"/>
        </w:rPr>
        <w:t xml:space="preserve">Development of future measures for this Activity are subject to the outcomes of Government decisions and legislated objectives. </w:t>
      </w:r>
    </w:p>
    <w:p w:rsidR="00513FD2" w:rsidRPr="00661D7D" w:rsidRDefault="00513FD2" w:rsidP="00513FD2">
      <w:pPr>
        <w:spacing w:before="120" w:after="120"/>
        <w:rPr>
          <w:rFonts w:eastAsia="Calibri" w:cs="Arial"/>
          <w:sz w:val="20"/>
          <w:szCs w:val="20"/>
        </w:rPr>
      </w:pPr>
      <w:r w:rsidRPr="00661D7D">
        <w:rPr>
          <w:rFonts w:eastAsia="Calibri" w:cs="Arial"/>
          <w:sz w:val="20"/>
          <w:szCs w:val="20"/>
        </w:rPr>
        <w:t xml:space="preserve">Opportunities to update performance measures in relation to the </w:t>
      </w:r>
      <w:r w:rsidR="006A2344">
        <w:rPr>
          <w:rFonts w:eastAsia="Calibri" w:cs="Arial"/>
          <w:sz w:val="20"/>
          <w:szCs w:val="20"/>
        </w:rPr>
        <w:t>d</w:t>
      </w:r>
      <w:r w:rsidRPr="00661D7D">
        <w:rPr>
          <w:rFonts w:eastAsia="Calibri" w:cs="Arial"/>
          <w:sz w:val="20"/>
          <w:szCs w:val="20"/>
        </w:rPr>
        <w:t>epartment’s revised role for income management and the transition of participants off the Cashless Debit Card will be considered in the context of the October 2022 Budget and Portfolio Budget Statement</w:t>
      </w:r>
      <w:r w:rsidR="006A2344">
        <w:rPr>
          <w:rFonts w:eastAsia="Calibri" w:cs="Arial"/>
          <w:sz w:val="20"/>
          <w:szCs w:val="20"/>
        </w:rPr>
        <w:t>s</w:t>
      </w:r>
      <w:r w:rsidRPr="00661D7D">
        <w:rPr>
          <w:rFonts w:eastAsia="Calibri" w:cs="Arial"/>
          <w:sz w:val="20"/>
          <w:szCs w:val="20"/>
        </w:rPr>
        <w:t>.</w:t>
      </w:r>
    </w:p>
    <w:tbl>
      <w:tblPr>
        <w:tblStyle w:val="TableGrid39"/>
        <w:tblW w:w="4980" w:type="pct"/>
        <w:jc w:val="center"/>
        <w:tblLayout w:type="fixed"/>
        <w:tblLook w:val="04A0" w:firstRow="1" w:lastRow="0" w:firstColumn="1" w:lastColumn="0" w:noHBand="0" w:noVBand="1"/>
        <w:tblCaption w:val="Cashless Debit Card (CDC) measures and target"/>
        <w:tblDescription w:val="To be developed"/>
      </w:tblPr>
      <w:tblGrid>
        <w:gridCol w:w="3261"/>
        <w:gridCol w:w="1582"/>
        <w:gridCol w:w="1582"/>
        <w:gridCol w:w="1582"/>
        <w:gridCol w:w="1582"/>
      </w:tblGrid>
      <w:tr w:rsidR="00513FD2" w:rsidRPr="00661D7D" w:rsidTr="005B200F">
        <w:trPr>
          <w:cantSplit/>
          <w:trHeight w:val="356"/>
          <w:tblHeader/>
          <w:jc w:val="center"/>
        </w:trPr>
        <w:tc>
          <w:tcPr>
            <w:tcW w:w="5000" w:type="pct"/>
            <w:gridSpan w:val="5"/>
            <w:shd w:val="clear" w:color="auto" w:fill="D9D9D6"/>
          </w:tcPr>
          <w:p w:rsidR="00513FD2" w:rsidRPr="00661D7D" w:rsidRDefault="00513FD2" w:rsidP="00513FD2">
            <w:pPr>
              <w:spacing w:before="120" w:after="120" w:line="259" w:lineRule="auto"/>
              <w:rPr>
                <w:rFonts w:cs="Arial"/>
                <w:b/>
                <w:sz w:val="20"/>
              </w:rPr>
            </w:pPr>
            <w:r w:rsidRPr="00661D7D">
              <w:rPr>
                <w:rFonts w:cs="Arial"/>
                <w:b/>
                <w:sz w:val="20"/>
              </w:rPr>
              <w:t>Performance Measure</w:t>
            </w:r>
          </w:p>
        </w:tc>
      </w:tr>
      <w:tr w:rsidR="00513FD2" w:rsidRPr="00661D7D" w:rsidTr="00513FD2">
        <w:trPr>
          <w:cantSplit/>
          <w:trHeight w:val="356"/>
          <w:jc w:val="center"/>
        </w:trPr>
        <w:tc>
          <w:tcPr>
            <w:tcW w:w="5000" w:type="pct"/>
            <w:gridSpan w:val="5"/>
            <w:shd w:val="clear" w:color="auto" w:fill="auto"/>
          </w:tcPr>
          <w:p w:rsidR="00513FD2" w:rsidRPr="00661D7D" w:rsidRDefault="00513FD2" w:rsidP="00513FD2">
            <w:pPr>
              <w:spacing w:before="120" w:after="120" w:line="259" w:lineRule="auto"/>
              <w:rPr>
                <w:rFonts w:cs="Arial"/>
                <w:sz w:val="20"/>
              </w:rPr>
            </w:pPr>
            <w:r w:rsidRPr="00661D7D">
              <w:rPr>
                <w:rFonts w:cs="Arial"/>
                <w:sz w:val="20"/>
              </w:rPr>
              <w:t>Under review</w:t>
            </w:r>
          </w:p>
        </w:tc>
      </w:tr>
      <w:tr w:rsidR="00513FD2" w:rsidRPr="00661D7D" w:rsidTr="00513FD2">
        <w:trPr>
          <w:cantSplit/>
          <w:trHeight w:val="356"/>
          <w:jc w:val="center"/>
        </w:trPr>
        <w:tc>
          <w:tcPr>
            <w:tcW w:w="1700" w:type="pct"/>
            <w:shd w:val="clear" w:color="auto" w:fill="D9D9D6"/>
            <w:hideMark/>
          </w:tcPr>
          <w:p w:rsidR="00513FD2" w:rsidRPr="00661D7D" w:rsidRDefault="00513FD2" w:rsidP="00513FD2">
            <w:pPr>
              <w:spacing w:before="120" w:after="120" w:line="259" w:lineRule="auto"/>
              <w:rPr>
                <w:rFonts w:cs="Arial"/>
                <w:sz w:val="20"/>
              </w:rPr>
            </w:pPr>
            <w:r w:rsidRPr="00661D7D">
              <w:rPr>
                <w:rFonts w:cs="Arial"/>
                <w:b/>
                <w:sz w:val="20"/>
              </w:rPr>
              <w:t>Target</w:t>
            </w:r>
          </w:p>
        </w:tc>
        <w:tc>
          <w:tcPr>
            <w:tcW w:w="825" w:type="pct"/>
            <w:shd w:val="clear" w:color="auto" w:fill="D9D9D6"/>
            <w:vAlign w:val="center"/>
            <w:hideMark/>
          </w:tcPr>
          <w:p w:rsidR="00513FD2" w:rsidRPr="00661D7D" w:rsidRDefault="00513FD2" w:rsidP="00513FD2">
            <w:pPr>
              <w:spacing w:before="120" w:after="120" w:line="259" w:lineRule="auto"/>
              <w:jc w:val="center"/>
              <w:rPr>
                <w:rFonts w:cs="Arial"/>
                <w:sz w:val="20"/>
              </w:rPr>
            </w:pPr>
            <w:r w:rsidRPr="00661D7D">
              <w:rPr>
                <w:rFonts w:cs="Arial"/>
                <w:b/>
                <w:sz w:val="20"/>
              </w:rPr>
              <w:t>2022–23</w:t>
            </w:r>
          </w:p>
        </w:tc>
        <w:tc>
          <w:tcPr>
            <w:tcW w:w="825" w:type="pct"/>
            <w:shd w:val="clear" w:color="auto" w:fill="D9D9D6"/>
            <w:vAlign w:val="center"/>
            <w:hideMark/>
          </w:tcPr>
          <w:p w:rsidR="00513FD2" w:rsidRPr="00661D7D" w:rsidRDefault="00513FD2" w:rsidP="00513FD2">
            <w:pPr>
              <w:spacing w:before="120" w:after="120" w:line="259" w:lineRule="auto"/>
              <w:jc w:val="center"/>
              <w:rPr>
                <w:rFonts w:cs="Arial"/>
                <w:b/>
                <w:sz w:val="20"/>
              </w:rPr>
            </w:pPr>
            <w:r w:rsidRPr="00661D7D">
              <w:rPr>
                <w:rFonts w:cs="Arial"/>
                <w:b/>
                <w:sz w:val="20"/>
              </w:rPr>
              <w:t>2023–24</w:t>
            </w:r>
          </w:p>
        </w:tc>
        <w:tc>
          <w:tcPr>
            <w:tcW w:w="825" w:type="pct"/>
            <w:shd w:val="clear" w:color="auto" w:fill="D9D9D6"/>
            <w:vAlign w:val="center"/>
            <w:hideMark/>
          </w:tcPr>
          <w:p w:rsidR="00513FD2" w:rsidRPr="00661D7D" w:rsidRDefault="00513FD2" w:rsidP="00513FD2">
            <w:pPr>
              <w:spacing w:before="120" w:after="120" w:line="259" w:lineRule="auto"/>
              <w:jc w:val="center"/>
              <w:rPr>
                <w:rFonts w:cs="Arial"/>
                <w:b/>
                <w:sz w:val="20"/>
              </w:rPr>
            </w:pPr>
            <w:r w:rsidRPr="00661D7D">
              <w:rPr>
                <w:rFonts w:cs="Arial"/>
                <w:b/>
                <w:sz w:val="20"/>
              </w:rPr>
              <w:t>2024–25</w:t>
            </w:r>
          </w:p>
        </w:tc>
        <w:tc>
          <w:tcPr>
            <w:tcW w:w="826" w:type="pct"/>
            <w:shd w:val="clear" w:color="auto" w:fill="D9D9D6"/>
            <w:vAlign w:val="center"/>
            <w:hideMark/>
          </w:tcPr>
          <w:p w:rsidR="00513FD2" w:rsidRPr="00661D7D" w:rsidRDefault="00513FD2" w:rsidP="00513FD2">
            <w:pPr>
              <w:spacing w:before="120" w:after="120" w:line="259" w:lineRule="auto"/>
              <w:jc w:val="center"/>
              <w:rPr>
                <w:rFonts w:cs="Arial"/>
                <w:b/>
                <w:sz w:val="20"/>
              </w:rPr>
            </w:pPr>
            <w:r w:rsidRPr="00661D7D">
              <w:rPr>
                <w:rFonts w:cs="Arial"/>
                <w:b/>
                <w:sz w:val="20"/>
              </w:rPr>
              <w:t>2025–26</w:t>
            </w:r>
          </w:p>
        </w:tc>
      </w:tr>
      <w:tr w:rsidR="00513FD2" w:rsidRPr="00661D7D" w:rsidTr="00513FD2">
        <w:trPr>
          <w:cantSplit/>
          <w:trHeight w:val="356"/>
          <w:jc w:val="center"/>
        </w:trPr>
        <w:tc>
          <w:tcPr>
            <w:tcW w:w="1700" w:type="pct"/>
            <w:shd w:val="clear" w:color="auto" w:fill="FFFFFF"/>
          </w:tcPr>
          <w:p w:rsidR="00513FD2" w:rsidRPr="00661D7D" w:rsidRDefault="00513FD2" w:rsidP="00513FD2">
            <w:pPr>
              <w:keepLines/>
              <w:spacing w:before="120" w:after="120" w:line="259" w:lineRule="auto"/>
              <w:rPr>
                <w:rFonts w:cs="Arial"/>
                <w:iCs/>
                <w:sz w:val="20"/>
              </w:rPr>
            </w:pPr>
            <w:r w:rsidRPr="00661D7D">
              <w:rPr>
                <w:rFonts w:cs="Arial"/>
                <w:iCs/>
                <w:sz w:val="20"/>
              </w:rPr>
              <w:t>To be developed</w:t>
            </w:r>
          </w:p>
        </w:tc>
        <w:tc>
          <w:tcPr>
            <w:tcW w:w="825" w:type="pct"/>
            <w:shd w:val="clear" w:color="auto" w:fill="FFFFFF"/>
            <w:vAlign w:val="center"/>
          </w:tcPr>
          <w:p w:rsidR="00513FD2" w:rsidRPr="00661D7D" w:rsidRDefault="00513FD2" w:rsidP="00513FD2">
            <w:pPr>
              <w:spacing w:before="120" w:after="120" w:line="259" w:lineRule="auto"/>
              <w:jc w:val="center"/>
              <w:rPr>
                <w:rFonts w:cs="Arial"/>
                <w:sz w:val="20"/>
              </w:rPr>
            </w:pPr>
          </w:p>
        </w:tc>
        <w:tc>
          <w:tcPr>
            <w:tcW w:w="825" w:type="pct"/>
            <w:shd w:val="clear" w:color="auto" w:fill="FFFFFF"/>
            <w:vAlign w:val="center"/>
          </w:tcPr>
          <w:p w:rsidR="00513FD2" w:rsidRPr="00661D7D" w:rsidRDefault="00513FD2" w:rsidP="00513FD2">
            <w:pPr>
              <w:spacing w:before="120" w:after="120" w:line="259" w:lineRule="auto"/>
              <w:jc w:val="center"/>
              <w:rPr>
                <w:rFonts w:cs="Arial"/>
                <w:sz w:val="20"/>
              </w:rPr>
            </w:pPr>
          </w:p>
        </w:tc>
        <w:tc>
          <w:tcPr>
            <w:tcW w:w="825" w:type="pct"/>
            <w:shd w:val="clear" w:color="auto" w:fill="FFFFFF"/>
            <w:vAlign w:val="center"/>
          </w:tcPr>
          <w:p w:rsidR="00513FD2" w:rsidRPr="00661D7D" w:rsidRDefault="00513FD2" w:rsidP="00513FD2">
            <w:pPr>
              <w:spacing w:before="120" w:after="120" w:line="259" w:lineRule="auto"/>
              <w:jc w:val="center"/>
              <w:rPr>
                <w:rFonts w:cs="Arial"/>
                <w:sz w:val="20"/>
              </w:rPr>
            </w:pPr>
          </w:p>
        </w:tc>
        <w:tc>
          <w:tcPr>
            <w:tcW w:w="826" w:type="pct"/>
            <w:shd w:val="clear" w:color="auto" w:fill="FFFFFF"/>
            <w:vAlign w:val="center"/>
            <w:hideMark/>
          </w:tcPr>
          <w:p w:rsidR="00513FD2" w:rsidRPr="00661D7D" w:rsidRDefault="00513FD2" w:rsidP="00513FD2">
            <w:pPr>
              <w:spacing w:before="120" w:after="120" w:line="259" w:lineRule="auto"/>
              <w:jc w:val="center"/>
              <w:rPr>
                <w:rFonts w:cs="Arial"/>
                <w:sz w:val="20"/>
              </w:rPr>
            </w:pPr>
          </w:p>
        </w:tc>
      </w:tr>
    </w:tbl>
    <w:p w:rsidR="00513FD2" w:rsidRPr="00661D7D" w:rsidRDefault="00513FD2" w:rsidP="00513FD2">
      <w:pPr>
        <w:spacing w:before="120" w:after="120"/>
        <w:rPr>
          <w:rFonts w:eastAsia="Calibri" w:cs="Arial"/>
          <w:b/>
          <w:sz w:val="20"/>
          <w:szCs w:val="20"/>
        </w:rPr>
      </w:pPr>
      <w:r w:rsidRPr="00661D7D">
        <w:rPr>
          <w:rFonts w:eastAsia="Calibri" w:cs="Arial"/>
          <w:b/>
          <w:sz w:val="20"/>
          <w:szCs w:val="20"/>
        </w:rPr>
        <w:t>Program Outputs</w:t>
      </w:r>
    </w:p>
    <w:p w:rsidR="00513FD2" w:rsidRDefault="00513FD2" w:rsidP="008554C7">
      <w:pPr>
        <w:numPr>
          <w:ilvl w:val="0"/>
          <w:numId w:val="20"/>
        </w:numPr>
        <w:spacing w:before="120" w:after="120"/>
        <w:rPr>
          <w:rFonts w:eastAsia="Calibri" w:cs="Arial"/>
          <w:sz w:val="20"/>
          <w:szCs w:val="20"/>
        </w:rPr>
      </w:pPr>
      <w:r w:rsidRPr="00661D7D">
        <w:rPr>
          <w:rFonts w:eastAsia="Calibri" w:cs="Arial"/>
          <w:sz w:val="20"/>
          <w:szCs w:val="20"/>
        </w:rPr>
        <w:t>Administered outlays</w:t>
      </w:r>
    </w:p>
    <w:p w:rsidR="00513FD2" w:rsidRDefault="00513FD2" w:rsidP="00513FD2">
      <w:pPr>
        <w:spacing w:before="0" w:after="160"/>
        <w:rPr>
          <w:rFonts w:eastAsia="Calibri" w:cs="Arial"/>
          <w:sz w:val="20"/>
          <w:szCs w:val="20"/>
        </w:rPr>
      </w:pPr>
      <w:r>
        <w:rPr>
          <w:rFonts w:eastAsia="Calibri" w:cs="Arial"/>
          <w:sz w:val="20"/>
          <w:szCs w:val="20"/>
        </w:rPr>
        <w:br w:type="page"/>
      </w:r>
    </w:p>
    <w:p w:rsidR="00513FD2" w:rsidRPr="00661D7D" w:rsidRDefault="00513FD2" w:rsidP="00513FD2">
      <w:pPr>
        <w:shd w:val="clear" w:color="auto" w:fill="275D38"/>
        <w:spacing w:before="120" w:after="120"/>
        <w:rPr>
          <w:rFonts w:eastAsia="Times New Roman" w:cs="Arial"/>
          <w:b/>
          <w:color w:val="FFFFFF"/>
          <w:sz w:val="20"/>
          <w:szCs w:val="20"/>
        </w:rPr>
      </w:pPr>
      <w:r w:rsidRPr="00661D7D">
        <w:rPr>
          <w:rFonts w:eastAsia="Times New Roman" w:cs="Arial"/>
          <w:b/>
          <w:color w:val="FFFFFF"/>
          <w:sz w:val="20"/>
          <w:szCs w:val="20"/>
        </w:rPr>
        <w:lastRenderedPageBreak/>
        <w:t>PROGRAM 2.1 FAMILIES AND COMMUNITIES</w:t>
      </w:r>
    </w:p>
    <w:p w:rsidR="00513FD2" w:rsidRPr="00661D7D" w:rsidRDefault="00513FD2" w:rsidP="00513FD2">
      <w:pPr>
        <w:shd w:val="clear" w:color="auto" w:fill="275D38"/>
        <w:spacing w:before="120" w:after="120"/>
        <w:rPr>
          <w:rFonts w:eastAsia="Times New Roman" w:cs="Arial"/>
          <w:color w:val="FFFFFF"/>
          <w:sz w:val="20"/>
          <w:szCs w:val="20"/>
        </w:rPr>
      </w:pPr>
      <w:r w:rsidRPr="00661D7D">
        <w:rPr>
          <w:rFonts w:eastAsia="Times New Roman" w:cs="Arial"/>
          <w:color w:val="FFFFFF"/>
          <w:sz w:val="20"/>
          <w:szCs w:val="20"/>
        </w:rPr>
        <w:t>To strengthen relationships, support families, improve wellbeing of children and young people, reduce the cost of family breakdown, and strengthen family and community functioning.</w:t>
      </w:r>
    </w:p>
    <w:p w:rsidR="00513FD2" w:rsidRPr="00661D7D" w:rsidRDefault="00513FD2" w:rsidP="00513FD2">
      <w:pPr>
        <w:shd w:val="clear" w:color="auto" w:fill="C2E189"/>
        <w:spacing w:before="120" w:after="120"/>
        <w:rPr>
          <w:rFonts w:eastAsia="Times New Roman" w:cs="Arial"/>
          <w:b/>
          <w:sz w:val="20"/>
          <w:szCs w:val="20"/>
        </w:rPr>
      </w:pPr>
      <w:r w:rsidRPr="00661D7D">
        <w:rPr>
          <w:rFonts w:eastAsia="Times New Roman" w:cs="Arial"/>
          <w:b/>
          <w:sz w:val="20"/>
          <w:szCs w:val="20"/>
        </w:rPr>
        <w:t>Key Activity — 2.1.5 National Redress Scheme for Institutional Child Sexual Abuse</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The National Redress Scheme for Institutional Child Sexual Abuse (the Scheme) is a key activity of the Families and Communities Program. The Scheme aims to provide support to people who have experienced institutional child sexual abuse. The Scheme:</w:t>
      </w:r>
    </w:p>
    <w:p w:rsidR="00513FD2" w:rsidRPr="00661D7D" w:rsidRDefault="00513FD2" w:rsidP="00762037">
      <w:pPr>
        <w:numPr>
          <w:ilvl w:val="0"/>
          <w:numId w:val="20"/>
        </w:numPr>
        <w:spacing w:before="0" w:after="0" w:line="240" w:lineRule="auto"/>
        <w:ind w:left="714" w:hanging="357"/>
        <w:rPr>
          <w:rFonts w:eastAsia="Times New Roman" w:cs="Arial"/>
          <w:sz w:val="20"/>
          <w:szCs w:val="20"/>
        </w:rPr>
      </w:pPr>
      <w:r w:rsidRPr="00661D7D">
        <w:rPr>
          <w:rFonts w:eastAsia="Times New Roman" w:cs="Arial"/>
          <w:sz w:val="20"/>
          <w:szCs w:val="20"/>
        </w:rPr>
        <w:t>acknowledges that many children were sexually abused in Australian institutions</w:t>
      </w:r>
    </w:p>
    <w:p w:rsidR="00513FD2" w:rsidRPr="00661D7D" w:rsidRDefault="00513FD2" w:rsidP="00762037">
      <w:pPr>
        <w:numPr>
          <w:ilvl w:val="0"/>
          <w:numId w:val="20"/>
        </w:numPr>
        <w:spacing w:before="0" w:after="0" w:line="240" w:lineRule="auto"/>
        <w:ind w:left="714" w:hanging="357"/>
        <w:rPr>
          <w:rFonts w:eastAsia="Times New Roman" w:cs="Arial"/>
          <w:sz w:val="20"/>
          <w:szCs w:val="20"/>
        </w:rPr>
      </w:pPr>
      <w:r w:rsidRPr="00661D7D">
        <w:rPr>
          <w:rFonts w:eastAsia="Times New Roman" w:cs="Arial"/>
          <w:sz w:val="20"/>
          <w:szCs w:val="20"/>
        </w:rPr>
        <w:t>recognises the harm caused by this abuse</w:t>
      </w:r>
    </w:p>
    <w:p w:rsidR="00513FD2" w:rsidRPr="00661D7D" w:rsidRDefault="00513FD2" w:rsidP="00762037">
      <w:pPr>
        <w:numPr>
          <w:ilvl w:val="0"/>
          <w:numId w:val="20"/>
        </w:numPr>
        <w:spacing w:before="0" w:after="0" w:line="240" w:lineRule="auto"/>
        <w:ind w:left="714" w:hanging="357"/>
        <w:rPr>
          <w:rFonts w:eastAsia="Times New Roman" w:cs="Arial"/>
          <w:sz w:val="20"/>
          <w:szCs w:val="20"/>
        </w:rPr>
      </w:pPr>
      <w:r w:rsidRPr="00661D7D">
        <w:rPr>
          <w:rFonts w:eastAsia="Times New Roman" w:cs="Arial"/>
          <w:sz w:val="20"/>
          <w:szCs w:val="20"/>
        </w:rPr>
        <w:t>holds institutions accountable for this abuse</w:t>
      </w:r>
    </w:p>
    <w:p w:rsidR="00513FD2" w:rsidRPr="00661D7D" w:rsidRDefault="00513FD2" w:rsidP="00762037">
      <w:pPr>
        <w:numPr>
          <w:ilvl w:val="0"/>
          <w:numId w:val="20"/>
        </w:numPr>
        <w:spacing w:before="0" w:after="0" w:line="240" w:lineRule="auto"/>
        <w:ind w:left="714" w:hanging="357"/>
        <w:rPr>
          <w:rFonts w:eastAsia="Times New Roman" w:cs="Arial"/>
          <w:sz w:val="20"/>
          <w:szCs w:val="20"/>
        </w:rPr>
      </w:pPr>
      <w:r w:rsidRPr="00661D7D">
        <w:rPr>
          <w:rFonts w:eastAsia="Times New Roman" w:cs="Arial"/>
          <w:sz w:val="20"/>
          <w:szCs w:val="20"/>
        </w:rPr>
        <w:t>helps people who have experienced institutional child sexual abuse gain access to counselling and psychological services, a direct personal response, and a monetary payment.</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The Scheme has been developed with the needs of survivors at the core. The Scheme provides support to</w:t>
      </w:r>
      <w:r w:rsidR="001C3606">
        <w:rPr>
          <w:rFonts w:eastAsia="Times New Roman" w:cs="Arial"/>
          <w:sz w:val="20"/>
          <w:szCs w:val="20"/>
        </w:rPr>
        <w:t> </w:t>
      </w:r>
      <w:r w:rsidRPr="00661D7D">
        <w:rPr>
          <w:rFonts w:eastAsia="Times New Roman" w:cs="Arial"/>
          <w:sz w:val="20"/>
          <w:szCs w:val="20"/>
        </w:rPr>
        <w:t xml:space="preserve">people through free access to Redress Support Services and independent legal support. Eligible people will be able to access the </w:t>
      </w:r>
      <w:r w:rsidR="00181BA8">
        <w:rPr>
          <w:rFonts w:eastAsia="Times New Roman" w:cs="Arial"/>
          <w:sz w:val="20"/>
          <w:szCs w:val="20"/>
        </w:rPr>
        <w:t xml:space="preserve">3 </w:t>
      </w:r>
      <w:r w:rsidRPr="00661D7D">
        <w:rPr>
          <w:rFonts w:eastAsia="Times New Roman" w:cs="Arial"/>
          <w:sz w:val="20"/>
          <w:szCs w:val="20"/>
        </w:rPr>
        <w:t>components of redress: counselling; a redress payment; and a direct personal response from an institution (e.g. an apology).</w:t>
      </w:r>
    </w:p>
    <w:p w:rsidR="00513FD2" w:rsidRPr="00661D7D" w:rsidRDefault="00513FD2" w:rsidP="00513FD2">
      <w:pPr>
        <w:spacing w:before="120" w:after="120"/>
        <w:rPr>
          <w:rFonts w:eastAsia="Times New Roman" w:cs="Arial"/>
          <w:sz w:val="20"/>
          <w:szCs w:val="20"/>
        </w:rPr>
      </w:pPr>
      <w:r w:rsidRPr="00661D7D">
        <w:rPr>
          <w:rFonts w:eastAsia="Times New Roman" w:cs="Arial"/>
          <w:b/>
          <w:sz w:val="20"/>
          <w:szCs w:val="20"/>
        </w:rPr>
        <w:t>The department</w:t>
      </w:r>
      <w:r w:rsidRPr="00661D7D">
        <w:rPr>
          <w:rFonts w:eastAsia="Times New Roman" w:cs="Arial"/>
          <w:sz w:val="20"/>
          <w:szCs w:val="20"/>
        </w:rPr>
        <w:t xml:space="preserve"> is responsible for:</w:t>
      </w:r>
    </w:p>
    <w:p w:rsidR="00513FD2" w:rsidRPr="00661D7D" w:rsidRDefault="00513FD2" w:rsidP="00762037">
      <w:pPr>
        <w:numPr>
          <w:ilvl w:val="0"/>
          <w:numId w:val="23"/>
        </w:numPr>
        <w:spacing w:before="0" w:after="0" w:line="240" w:lineRule="auto"/>
        <w:ind w:hanging="357"/>
        <w:rPr>
          <w:rFonts w:eastAsia="Times New Roman" w:cs="Arial"/>
          <w:sz w:val="20"/>
          <w:szCs w:val="20"/>
        </w:rPr>
      </w:pPr>
      <w:r w:rsidRPr="00661D7D">
        <w:rPr>
          <w:rFonts w:eastAsia="Times New Roman" w:cs="Arial"/>
          <w:sz w:val="20"/>
          <w:szCs w:val="20"/>
        </w:rPr>
        <w:t>Policy, guidelines, eligibility criteria and legislation for the activity.</w:t>
      </w:r>
    </w:p>
    <w:p w:rsidR="00513FD2" w:rsidRPr="00661D7D" w:rsidRDefault="00513FD2" w:rsidP="00762037">
      <w:pPr>
        <w:numPr>
          <w:ilvl w:val="0"/>
          <w:numId w:val="23"/>
        </w:numPr>
        <w:spacing w:before="0" w:after="0" w:line="240" w:lineRule="auto"/>
        <w:ind w:hanging="357"/>
        <w:rPr>
          <w:rFonts w:eastAsia="Times New Roman" w:cs="Arial"/>
          <w:sz w:val="20"/>
          <w:szCs w:val="20"/>
        </w:rPr>
      </w:pPr>
      <w:r w:rsidRPr="00661D7D">
        <w:rPr>
          <w:rFonts w:eastAsia="Times New Roman" w:cs="Arial"/>
          <w:sz w:val="20"/>
          <w:szCs w:val="20"/>
        </w:rPr>
        <w:t>Processing and managing applications.</w:t>
      </w:r>
    </w:p>
    <w:p w:rsidR="00513FD2" w:rsidRPr="00661D7D" w:rsidRDefault="00513FD2" w:rsidP="00762037">
      <w:pPr>
        <w:numPr>
          <w:ilvl w:val="1"/>
          <w:numId w:val="23"/>
        </w:numPr>
        <w:spacing w:before="0" w:after="0" w:line="240" w:lineRule="auto"/>
        <w:ind w:hanging="357"/>
        <w:rPr>
          <w:rFonts w:eastAsia="Times New Roman" w:cs="Arial"/>
          <w:sz w:val="20"/>
          <w:szCs w:val="20"/>
        </w:rPr>
      </w:pPr>
      <w:r w:rsidRPr="00661D7D">
        <w:rPr>
          <w:rFonts w:eastAsia="Times New Roman" w:cs="Arial"/>
          <w:sz w:val="20"/>
          <w:szCs w:val="20"/>
        </w:rPr>
        <w:t>Considering applications; deciding if an applicant can access redress, and which redress the institution(s) needs to make to the applicant.</w:t>
      </w:r>
    </w:p>
    <w:p w:rsidR="00513FD2" w:rsidRPr="00661D7D" w:rsidRDefault="00513FD2" w:rsidP="00762037">
      <w:pPr>
        <w:numPr>
          <w:ilvl w:val="1"/>
          <w:numId w:val="23"/>
        </w:numPr>
        <w:spacing w:before="0" w:after="0" w:line="240" w:lineRule="auto"/>
        <w:ind w:hanging="357"/>
        <w:rPr>
          <w:rFonts w:eastAsia="Times New Roman" w:cs="Arial"/>
          <w:sz w:val="20"/>
          <w:szCs w:val="20"/>
        </w:rPr>
      </w:pPr>
      <w:r w:rsidRPr="00661D7D">
        <w:rPr>
          <w:rFonts w:eastAsia="Times New Roman" w:cs="Arial"/>
          <w:sz w:val="20"/>
          <w:szCs w:val="20"/>
        </w:rPr>
        <w:t>Asking the relevant institution(s) for more information.</w:t>
      </w:r>
    </w:p>
    <w:p w:rsidR="00513FD2" w:rsidRPr="00661D7D" w:rsidRDefault="00513FD2" w:rsidP="00762037">
      <w:pPr>
        <w:numPr>
          <w:ilvl w:val="1"/>
          <w:numId w:val="23"/>
        </w:numPr>
        <w:spacing w:before="0" w:after="0" w:line="240" w:lineRule="auto"/>
        <w:ind w:hanging="357"/>
        <w:rPr>
          <w:rFonts w:eastAsia="Times New Roman" w:cs="Arial"/>
          <w:sz w:val="20"/>
          <w:szCs w:val="20"/>
        </w:rPr>
      </w:pPr>
      <w:r w:rsidRPr="00661D7D">
        <w:rPr>
          <w:rFonts w:eastAsia="Times New Roman" w:cs="Arial"/>
          <w:sz w:val="20"/>
          <w:szCs w:val="20"/>
        </w:rPr>
        <w:t>Communicating with the applicant, including requesting more information and about the outcome of the application (an offer of redress).</w:t>
      </w:r>
    </w:p>
    <w:p w:rsidR="00513FD2" w:rsidRPr="00661D7D" w:rsidRDefault="00513FD2" w:rsidP="00762037">
      <w:pPr>
        <w:numPr>
          <w:ilvl w:val="0"/>
          <w:numId w:val="23"/>
        </w:numPr>
        <w:spacing w:before="0" w:after="0" w:line="240" w:lineRule="auto"/>
        <w:ind w:hanging="357"/>
        <w:rPr>
          <w:rFonts w:eastAsia="Times New Roman" w:cs="Arial"/>
          <w:sz w:val="20"/>
          <w:szCs w:val="20"/>
        </w:rPr>
      </w:pPr>
      <w:r w:rsidRPr="00661D7D">
        <w:rPr>
          <w:rFonts w:eastAsia="Times New Roman" w:cs="Arial"/>
          <w:sz w:val="20"/>
          <w:szCs w:val="20"/>
        </w:rPr>
        <w:t>Providing free access to Redress Support Services and redress-specific financial counselling support.</w:t>
      </w:r>
    </w:p>
    <w:p w:rsidR="009473E9" w:rsidRDefault="00513FD2" w:rsidP="00762037">
      <w:pPr>
        <w:numPr>
          <w:ilvl w:val="0"/>
          <w:numId w:val="23"/>
        </w:numPr>
        <w:spacing w:before="0" w:after="0" w:line="240" w:lineRule="auto"/>
        <w:ind w:hanging="357"/>
        <w:rPr>
          <w:rFonts w:eastAsia="Times New Roman" w:cs="Arial"/>
          <w:sz w:val="20"/>
          <w:szCs w:val="20"/>
        </w:rPr>
      </w:pPr>
      <w:r w:rsidRPr="00661D7D">
        <w:rPr>
          <w:rFonts w:eastAsia="Times New Roman" w:cs="Arial"/>
          <w:sz w:val="20"/>
          <w:szCs w:val="20"/>
        </w:rPr>
        <w:t>Working with institutions to join the Scheme.</w:t>
      </w:r>
    </w:p>
    <w:p w:rsidR="00513FD2" w:rsidRPr="00661D7D" w:rsidRDefault="009473E9" w:rsidP="00762037">
      <w:pPr>
        <w:numPr>
          <w:ilvl w:val="0"/>
          <w:numId w:val="23"/>
        </w:numPr>
        <w:spacing w:before="0" w:after="0" w:line="240" w:lineRule="auto"/>
        <w:ind w:hanging="357"/>
        <w:rPr>
          <w:rFonts w:eastAsia="Times New Roman" w:cs="Arial"/>
          <w:sz w:val="20"/>
          <w:szCs w:val="20"/>
        </w:rPr>
      </w:pPr>
      <w:r>
        <w:rPr>
          <w:rFonts w:eastAsia="Times New Roman" w:cs="Arial"/>
          <w:sz w:val="20"/>
          <w:szCs w:val="20"/>
        </w:rPr>
        <w:t>Publicly identifying institutions that decline to join the Scheme.</w:t>
      </w:r>
    </w:p>
    <w:p w:rsidR="00513FD2" w:rsidRPr="00661D7D" w:rsidRDefault="00513FD2" w:rsidP="00513FD2">
      <w:pPr>
        <w:spacing w:before="120" w:after="120"/>
        <w:rPr>
          <w:rFonts w:eastAsia="Times New Roman" w:cs="Arial"/>
          <w:sz w:val="20"/>
          <w:szCs w:val="20"/>
        </w:rPr>
      </w:pPr>
      <w:r w:rsidRPr="00661D7D">
        <w:rPr>
          <w:rFonts w:eastAsia="Times New Roman" w:cs="Arial"/>
          <w:b/>
          <w:sz w:val="20"/>
          <w:szCs w:val="20"/>
        </w:rPr>
        <w:t>The institutions</w:t>
      </w:r>
      <w:r w:rsidRPr="00661D7D">
        <w:rPr>
          <w:rFonts w:eastAsia="Times New Roman" w:cs="Arial"/>
          <w:sz w:val="20"/>
          <w:szCs w:val="20"/>
        </w:rPr>
        <w:t xml:space="preserve"> are responsible for:</w:t>
      </w:r>
    </w:p>
    <w:p w:rsidR="00513FD2" w:rsidRPr="00661D7D" w:rsidRDefault="00513FD2" w:rsidP="00762037">
      <w:pPr>
        <w:numPr>
          <w:ilvl w:val="0"/>
          <w:numId w:val="22"/>
        </w:numPr>
        <w:spacing w:before="0" w:after="0" w:line="240" w:lineRule="auto"/>
        <w:ind w:left="714" w:hanging="357"/>
        <w:rPr>
          <w:rFonts w:eastAsia="Times New Roman" w:cs="Arial"/>
          <w:sz w:val="20"/>
          <w:szCs w:val="20"/>
        </w:rPr>
      </w:pPr>
      <w:r w:rsidRPr="00661D7D">
        <w:rPr>
          <w:rFonts w:eastAsia="Times New Roman" w:cs="Arial"/>
          <w:sz w:val="20"/>
          <w:szCs w:val="20"/>
        </w:rPr>
        <w:t>Joining the Scheme.</w:t>
      </w:r>
    </w:p>
    <w:p w:rsidR="00513FD2" w:rsidRPr="00661D7D" w:rsidRDefault="00513FD2" w:rsidP="00762037">
      <w:pPr>
        <w:numPr>
          <w:ilvl w:val="0"/>
          <w:numId w:val="22"/>
        </w:numPr>
        <w:spacing w:before="0" w:after="0" w:line="240" w:lineRule="auto"/>
        <w:ind w:left="714" w:hanging="357"/>
        <w:rPr>
          <w:rFonts w:eastAsia="Times New Roman" w:cs="Arial"/>
          <w:sz w:val="20"/>
          <w:szCs w:val="20"/>
        </w:rPr>
      </w:pPr>
      <w:r w:rsidRPr="00661D7D">
        <w:rPr>
          <w:rFonts w:eastAsia="Times New Roman" w:cs="Arial"/>
          <w:sz w:val="20"/>
          <w:szCs w:val="20"/>
        </w:rPr>
        <w:t>Providing information to the department about relevant applicants.</w:t>
      </w:r>
    </w:p>
    <w:p w:rsidR="00513FD2" w:rsidRPr="00661D7D" w:rsidRDefault="00513FD2" w:rsidP="00762037">
      <w:pPr>
        <w:numPr>
          <w:ilvl w:val="0"/>
          <w:numId w:val="22"/>
        </w:numPr>
        <w:spacing w:before="0" w:after="0" w:line="240" w:lineRule="auto"/>
        <w:ind w:left="714" w:hanging="357"/>
        <w:rPr>
          <w:rFonts w:eastAsia="Times New Roman" w:cs="Arial"/>
          <w:sz w:val="20"/>
          <w:szCs w:val="20"/>
        </w:rPr>
      </w:pPr>
      <w:r w:rsidRPr="00661D7D">
        <w:rPr>
          <w:rFonts w:eastAsia="Times New Roman" w:cs="Arial"/>
          <w:sz w:val="20"/>
          <w:szCs w:val="20"/>
        </w:rPr>
        <w:t>When required, providing redress to people who experienced child sexual abuse while in the care of their institution (counselling, a redress payment and a direct personal response from an institution).</w:t>
      </w:r>
    </w:p>
    <w:p w:rsidR="00513FD2" w:rsidRPr="00661D7D" w:rsidRDefault="00513FD2" w:rsidP="00513FD2">
      <w:pPr>
        <w:spacing w:before="120" w:after="120"/>
        <w:ind w:left="720" w:hanging="720"/>
        <w:rPr>
          <w:rFonts w:eastAsia="Times New Roman" w:cs="Arial"/>
          <w:sz w:val="20"/>
          <w:szCs w:val="20"/>
        </w:rPr>
      </w:pPr>
      <w:r w:rsidRPr="00661D7D">
        <w:rPr>
          <w:rFonts w:eastAsia="Times New Roman" w:cs="Arial"/>
          <w:sz w:val="20"/>
          <w:szCs w:val="20"/>
        </w:rPr>
        <w:t xml:space="preserve">The role of </w:t>
      </w:r>
      <w:r w:rsidRPr="00661D7D">
        <w:rPr>
          <w:rFonts w:eastAsia="Times New Roman" w:cs="Arial"/>
          <w:b/>
          <w:sz w:val="20"/>
          <w:szCs w:val="20"/>
        </w:rPr>
        <w:t>the applicant is to</w:t>
      </w:r>
      <w:r w:rsidRPr="00661D7D">
        <w:rPr>
          <w:rFonts w:eastAsia="Times New Roman" w:cs="Arial"/>
          <w:sz w:val="20"/>
          <w:szCs w:val="20"/>
        </w:rPr>
        <w:t>:</w:t>
      </w:r>
    </w:p>
    <w:p w:rsidR="00513FD2" w:rsidRPr="00661D7D" w:rsidRDefault="00513FD2" w:rsidP="00762037">
      <w:pPr>
        <w:numPr>
          <w:ilvl w:val="0"/>
          <w:numId w:val="21"/>
        </w:numPr>
        <w:spacing w:before="0" w:after="0" w:line="240" w:lineRule="auto"/>
        <w:ind w:left="714" w:hanging="357"/>
        <w:rPr>
          <w:rFonts w:eastAsia="Times New Roman" w:cs="Arial"/>
          <w:sz w:val="20"/>
          <w:szCs w:val="20"/>
        </w:rPr>
      </w:pPr>
      <w:r w:rsidRPr="00661D7D">
        <w:rPr>
          <w:rFonts w:eastAsia="Times New Roman" w:cs="Arial"/>
          <w:sz w:val="20"/>
          <w:szCs w:val="20"/>
        </w:rPr>
        <w:t>Complete and submit an application form.</w:t>
      </w:r>
    </w:p>
    <w:p w:rsidR="00513FD2" w:rsidRPr="00661D7D" w:rsidRDefault="00513FD2" w:rsidP="00762037">
      <w:pPr>
        <w:numPr>
          <w:ilvl w:val="0"/>
          <w:numId w:val="21"/>
        </w:numPr>
        <w:spacing w:before="0" w:after="0" w:line="240" w:lineRule="auto"/>
        <w:ind w:left="714" w:hanging="357"/>
        <w:rPr>
          <w:rFonts w:eastAsia="Times New Roman" w:cs="Arial"/>
          <w:sz w:val="20"/>
          <w:szCs w:val="20"/>
        </w:rPr>
      </w:pPr>
      <w:r w:rsidRPr="00661D7D">
        <w:rPr>
          <w:rFonts w:eastAsia="Times New Roman" w:cs="Arial"/>
          <w:sz w:val="20"/>
          <w:szCs w:val="20"/>
        </w:rPr>
        <w:t>Provide true and correct information.</w:t>
      </w:r>
    </w:p>
    <w:p w:rsidR="00513FD2" w:rsidRPr="00661D7D" w:rsidRDefault="00513FD2" w:rsidP="00762037">
      <w:pPr>
        <w:numPr>
          <w:ilvl w:val="0"/>
          <w:numId w:val="21"/>
        </w:numPr>
        <w:spacing w:before="0" w:after="0" w:line="240" w:lineRule="auto"/>
        <w:ind w:left="714" w:hanging="357"/>
        <w:rPr>
          <w:rFonts w:eastAsia="Times New Roman" w:cs="Arial"/>
          <w:sz w:val="20"/>
          <w:szCs w:val="20"/>
        </w:rPr>
      </w:pPr>
      <w:r w:rsidRPr="00661D7D">
        <w:rPr>
          <w:rFonts w:eastAsia="Times New Roman" w:cs="Arial"/>
          <w:sz w:val="20"/>
          <w:szCs w:val="20"/>
        </w:rPr>
        <w:t>Provide extra information when requested from the department.</w:t>
      </w:r>
    </w:p>
    <w:p w:rsidR="00513FD2" w:rsidRPr="00661D7D" w:rsidRDefault="00513FD2" w:rsidP="00762037">
      <w:pPr>
        <w:numPr>
          <w:ilvl w:val="0"/>
          <w:numId w:val="21"/>
        </w:numPr>
        <w:spacing w:before="0" w:after="0" w:line="240" w:lineRule="auto"/>
        <w:ind w:left="714" w:hanging="357"/>
        <w:rPr>
          <w:rFonts w:eastAsia="Times New Roman" w:cs="Arial"/>
          <w:sz w:val="20"/>
          <w:szCs w:val="20"/>
        </w:rPr>
      </w:pPr>
      <w:r w:rsidRPr="00661D7D">
        <w:rPr>
          <w:rFonts w:eastAsia="Times New Roman" w:cs="Arial"/>
          <w:sz w:val="20"/>
          <w:szCs w:val="20"/>
        </w:rPr>
        <w:t>Accept, decline or ask for a review of an offer of redress.</w:t>
      </w:r>
      <w:r w:rsidR="005B200F">
        <w:rPr>
          <w:rFonts w:eastAsia="Times New Roman" w:cs="Arial"/>
          <w:sz w:val="20"/>
          <w:szCs w:val="20"/>
        </w:rPr>
        <w:br/>
      </w:r>
    </w:p>
    <w:tbl>
      <w:tblPr>
        <w:tblStyle w:val="TableGrid39"/>
        <w:tblW w:w="0" w:type="auto"/>
        <w:jc w:val="center"/>
        <w:tblLook w:val="04A0" w:firstRow="1" w:lastRow="0" w:firstColumn="1" w:lastColumn="0" w:noHBand="0" w:noVBand="1"/>
        <w:tblCaption w:val="2.1.5 performance measure and target"/>
        <w:tblDescription w:val="Table outlines the targeted decisions across 2022-23, 2023-24, 2024-25 and 2025-26"/>
      </w:tblPr>
      <w:tblGrid>
        <w:gridCol w:w="4814"/>
        <w:gridCol w:w="1134"/>
        <w:gridCol w:w="1276"/>
        <w:gridCol w:w="1275"/>
        <w:gridCol w:w="1129"/>
      </w:tblGrid>
      <w:tr w:rsidR="00513FD2" w:rsidRPr="00661D7D" w:rsidTr="005B200F">
        <w:trPr>
          <w:cantSplit/>
          <w:trHeight w:val="356"/>
          <w:tblHeader/>
          <w:jc w:val="center"/>
        </w:trPr>
        <w:tc>
          <w:tcPr>
            <w:tcW w:w="0" w:type="auto"/>
            <w:gridSpan w:val="5"/>
            <w:shd w:val="clear" w:color="auto" w:fill="D9D9D6"/>
          </w:tcPr>
          <w:p w:rsidR="00513FD2" w:rsidRPr="00661D7D" w:rsidRDefault="00513FD2" w:rsidP="00513FD2">
            <w:pPr>
              <w:spacing w:before="120" w:after="120" w:line="259" w:lineRule="auto"/>
              <w:rPr>
                <w:rFonts w:cs="Arial"/>
                <w:b/>
                <w:sz w:val="20"/>
              </w:rPr>
            </w:pPr>
            <w:r w:rsidRPr="00661D7D">
              <w:rPr>
                <w:rFonts w:cs="Arial"/>
                <w:b/>
                <w:sz w:val="20"/>
              </w:rPr>
              <w:t>Performance Measure</w:t>
            </w:r>
          </w:p>
        </w:tc>
      </w:tr>
      <w:tr w:rsidR="00513FD2" w:rsidRPr="00661D7D" w:rsidTr="00513FD2">
        <w:trPr>
          <w:cantSplit/>
          <w:trHeight w:val="356"/>
          <w:jc w:val="center"/>
        </w:trPr>
        <w:tc>
          <w:tcPr>
            <w:tcW w:w="0" w:type="auto"/>
            <w:gridSpan w:val="5"/>
            <w:shd w:val="clear" w:color="auto" w:fill="auto"/>
          </w:tcPr>
          <w:p w:rsidR="00513FD2" w:rsidRPr="00661D7D" w:rsidRDefault="00513FD2" w:rsidP="00513FD2">
            <w:pPr>
              <w:spacing w:before="120" w:after="120" w:line="259" w:lineRule="auto"/>
              <w:rPr>
                <w:rFonts w:cs="Arial"/>
                <w:b/>
                <w:sz w:val="20"/>
              </w:rPr>
            </w:pPr>
            <w:r w:rsidRPr="00661D7D">
              <w:rPr>
                <w:rFonts w:cs="Arial"/>
                <w:sz w:val="20"/>
              </w:rPr>
              <w:t>2.1.5-1 Ensure quality and timely decisions are made on applications to the Scheme.</w:t>
            </w:r>
          </w:p>
        </w:tc>
      </w:tr>
      <w:tr w:rsidR="00513FD2" w:rsidRPr="00661D7D" w:rsidTr="00513FD2">
        <w:trPr>
          <w:cantSplit/>
          <w:trHeight w:val="356"/>
          <w:jc w:val="center"/>
        </w:trPr>
        <w:tc>
          <w:tcPr>
            <w:tcW w:w="4815" w:type="dxa"/>
            <w:shd w:val="clear" w:color="auto" w:fill="D9D9D6"/>
          </w:tcPr>
          <w:p w:rsidR="00513FD2" w:rsidRPr="00661D7D" w:rsidRDefault="00513FD2" w:rsidP="00513FD2">
            <w:pPr>
              <w:spacing w:before="120" w:after="120" w:line="259" w:lineRule="auto"/>
              <w:rPr>
                <w:rFonts w:cs="Arial"/>
                <w:b/>
                <w:sz w:val="20"/>
              </w:rPr>
            </w:pPr>
            <w:r w:rsidRPr="00661D7D">
              <w:rPr>
                <w:rFonts w:cs="Arial"/>
                <w:b/>
                <w:sz w:val="20"/>
              </w:rPr>
              <w:t>Target</w:t>
            </w:r>
          </w:p>
        </w:tc>
        <w:tc>
          <w:tcPr>
            <w:tcW w:w="1134" w:type="dxa"/>
            <w:shd w:val="clear" w:color="auto" w:fill="D9D9D6"/>
            <w:vAlign w:val="center"/>
          </w:tcPr>
          <w:p w:rsidR="00513FD2" w:rsidRPr="00661D7D" w:rsidRDefault="00513FD2" w:rsidP="00513FD2">
            <w:pPr>
              <w:spacing w:before="120" w:after="120" w:line="259" w:lineRule="auto"/>
              <w:rPr>
                <w:rFonts w:cs="Arial"/>
                <w:b/>
                <w:sz w:val="20"/>
              </w:rPr>
            </w:pPr>
            <w:r w:rsidRPr="00661D7D">
              <w:rPr>
                <w:rFonts w:cs="Arial"/>
                <w:b/>
                <w:sz w:val="20"/>
              </w:rPr>
              <w:t>2022–23</w:t>
            </w:r>
          </w:p>
        </w:tc>
        <w:tc>
          <w:tcPr>
            <w:tcW w:w="1276" w:type="dxa"/>
            <w:shd w:val="clear" w:color="auto" w:fill="D9D9D6"/>
            <w:vAlign w:val="center"/>
          </w:tcPr>
          <w:p w:rsidR="00513FD2" w:rsidRPr="00661D7D" w:rsidRDefault="00513FD2" w:rsidP="00513FD2">
            <w:pPr>
              <w:spacing w:before="120" w:after="120" w:line="259" w:lineRule="auto"/>
              <w:rPr>
                <w:rFonts w:cs="Arial"/>
                <w:b/>
                <w:sz w:val="20"/>
              </w:rPr>
            </w:pPr>
            <w:r w:rsidRPr="00661D7D">
              <w:rPr>
                <w:rFonts w:cs="Arial"/>
                <w:b/>
                <w:sz w:val="20"/>
              </w:rPr>
              <w:t>2023–24</w:t>
            </w:r>
          </w:p>
        </w:tc>
        <w:tc>
          <w:tcPr>
            <w:tcW w:w="1275" w:type="dxa"/>
            <w:shd w:val="clear" w:color="auto" w:fill="D9D9D6"/>
            <w:vAlign w:val="center"/>
          </w:tcPr>
          <w:p w:rsidR="00513FD2" w:rsidRPr="00661D7D" w:rsidRDefault="00513FD2" w:rsidP="00513FD2">
            <w:pPr>
              <w:spacing w:before="120" w:after="120" w:line="259" w:lineRule="auto"/>
              <w:rPr>
                <w:rFonts w:cs="Arial"/>
                <w:b/>
                <w:sz w:val="20"/>
              </w:rPr>
            </w:pPr>
            <w:r w:rsidRPr="00661D7D">
              <w:rPr>
                <w:rFonts w:cs="Arial"/>
                <w:b/>
                <w:sz w:val="20"/>
              </w:rPr>
              <w:t>2024–25</w:t>
            </w:r>
          </w:p>
        </w:tc>
        <w:tc>
          <w:tcPr>
            <w:tcW w:w="1129" w:type="dxa"/>
            <w:shd w:val="clear" w:color="auto" w:fill="D9D9D6"/>
            <w:vAlign w:val="center"/>
          </w:tcPr>
          <w:p w:rsidR="00513FD2" w:rsidRPr="00661D7D" w:rsidRDefault="00513FD2" w:rsidP="00513FD2">
            <w:pPr>
              <w:spacing w:before="120" w:after="120" w:line="259" w:lineRule="auto"/>
              <w:rPr>
                <w:rFonts w:cs="Arial"/>
                <w:b/>
                <w:sz w:val="20"/>
              </w:rPr>
            </w:pPr>
            <w:r w:rsidRPr="00661D7D">
              <w:rPr>
                <w:rFonts w:cs="Arial"/>
                <w:b/>
                <w:sz w:val="20"/>
              </w:rPr>
              <w:t>2025–26</w:t>
            </w:r>
          </w:p>
        </w:tc>
      </w:tr>
      <w:tr w:rsidR="00513FD2" w:rsidRPr="00661D7D" w:rsidTr="00513FD2">
        <w:trPr>
          <w:cantSplit/>
          <w:trHeight w:val="356"/>
          <w:jc w:val="center"/>
        </w:trPr>
        <w:tc>
          <w:tcPr>
            <w:tcW w:w="4815" w:type="dxa"/>
            <w:shd w:val="clear" w:color="auto" w:fill="FFFFFF"/>
          </w:tcPr>
          <w:p w:rsidR="00513FD2" w:rsidRPr="00661D7D" w:rsidRDefault="00513FD2" w:rsidP="00513FD2">
            <w:pPr>
              <w:pBdr>
                <w:top w:val="nil"/>
                <w:left w:val="nil"/>
                <w:bottom w:val="nil"/>
                <w:right w:val="nil"/>
                <w:between w:val="nil"/>
                <w:bar w:val="nil"/>
              </w:pBdr>
              <w:spacing w:before="120" w:after="120" w:line="259" w:lineRule="auto"/>
              <w:rPr>
                <w:rFonts w:cs="Arial"/>
                <w:sz w:val="20"/>
              </w:rPr>
            </w:pPr>
            <w:r w:rsidRPr="00661D7D">
              <w:rPr>
                <w:rFonts w:cs="Arial"/>
                <w:sz w:val="20"/>
              </w:rPr>
              <w:t>2.1.5-1A - The Scheme will notify &gt;75% of survivors about an outcome within 6 months of the date that all required information is received.</w:t>
            </w:r>
          </w:p>
        </w:tc>
        <w:tc>
          <w:tcPr>
            <w:tcW w:w="1134" w:type="dxa"/>
          </w:tcPr>
          <w:p w:rsidR="00513FD2" w:rsidRPr="00661D7D" w:rsidRDefault="00513FD2" w:rsidP="00513FD2">
            <w:pPr>
              <w:spacing w:before="120" w:after="120" w:line="259" w:lineRule="auto"/>
              <w:rPr>
                <w:rFonts w:cs="Arial"/>
                <w:sz w:val="20"/>
              </w:rPr>
            </w:pPr>
            <w:r w:rsidRPr="00661D7D">
              <w:rPr>
                <w:rFonts w:cs="Arial"/>
                <w:sz w:val="20"/>
              </w:rPr>
              <w:t xml:space="preserve">&gt;75 </w:t>
            </w:r>
            <w:r>
              <w:rPr>
                <w:sz w:val="20"/>
                <w:lang w:eastAsia="en-GB"/>
              </w:rPr>
              <w:t>%</w:t>
            </w:r>
          </w:p>
        </w:tc>
        <w:tc>
          <w:tcPr>
            <w:tcW w:w="1276" w:type="dxa"/>
          </w:tcPr>
          <w:p w:rsidR="00513FD2" w:rsidRPr="00661D7D" w:rsidRDefault="00513FD2" w:rsidP="00513FD2">
            <w:pPr>
              <w:spacing w:before="120" w:after="120" w:line="259" w:lineRule="auto"/>
              <w:rPr>
                <w:rFonts w:cs="Arial"/>
                <w:sz w:val="20"/>
              </w:rPr>
            </w:pPr>
            <w:r w:rsidRPr="00661D7D">
              <w:rPr>
                <w:rFonts w:cs="Arial"/>
                <w:sz w:val="20"/>
              </w:rPr>
              <w:t xml:space="preserve">&gt;80 </w:t>
            </w:r>
            <w:r>
              <w:rPr>
                <w:sz w:val="20"/>
                <w:lang w:eastAsia="en-GB"/>
              </w:rPr>
              <w:t>%</w:t>
            </w:r>
          </w:p>
        </w:tc>
        <w:tc>
          <w:tcPr>
            <w:tcW w:w="1275" w:type="dxa"/>
          </w:tcPr>
          <w:p w:rsidR="00513FD2" w:rsidRPr="00661D7D" w:rsidRDefault="00513FD2" w:rsidP="00513FD2">
            <w:pPr>
              <w:spacing w:before="120" w:after="120" w:line="259" w:lineRule="auto"/>
              <w:rPr>
                <w:rFonts w:cs="Arial"/>
                <w:sz w:val="20"/>
              </w:rPr>
            </w:pPr>
            <w:r w:rsidRPr="00661D7D">
              <w:rPr>
                <w:rFonts w:cs="Arial"/>
                <w:sz w:val="20"/>
              </w:rPr>
              <w:t xml:space="preserve">&gt;80 </w:t>
            </w:r>
            <w:r>
              <w:rPr>
                <w:sz w:val="20"/>
                <w:lang w:eastAsia="en-GB"/>
              </w:rPr>
              <w:t>%</w:t>
            </w:r>
          </w:p>
        </w:tc>
        <w:tc>
          <w:tcPr>
            <w:tcW w:w="1129" w:type="dxa"/>
            <w:shd w:val="clear" w:color="auto" w:fill="FFFFFF"/>
          </w:tcPr>
          <w:p w:rsidR="00513FD2" w:rsidRPr="00661D7D" w:rsidRDefault="00513FD2" w:rsidP="00513FD2">
            <w:pPr>
              <w:spacing w:before="120" w:after="120" w:line="259" w:lineRule="auto"/>
              <w:rPr>
                <w:rFonts w:cs="Arial"/>
                <w:sz w:val="20"/>
              </w:rPr>
            </w:pPr>
            <w:r w:rsidRPr="00661D7D">
              <w:rPr>
                <w:rFonts w:cs="Arial"/>
                <w:sz w:val="20"/>
              </w:rPr>
              <w:t xml:space="preserve">&gt;80 </w:t>
            </w:r>
            <w:r>
              <w:rPr>
                <w:sz w:val="20"/>
                <w:lang w:eastAsia="en-GB"/>
              </w:rPr>
              <w:t>%</w:t>
            </w:r>
          </w:p>
        </w:tc>
      </w:tr>
      <w:tr w:rsidR="00513FD2" w:rsidRPr="00661D7D" w:rsidTr="00513FD2">
        <w:trPr>
          <w:cantSplit/>
          <w:trHeight w:val="356"/>
          <w:jc w:val="center"/>
        </w:trPr>
        <w:tc>
          <w:tcPr>
            <w:tcW w:w="4815" w:type="dxa"/>
            <w:shd w:val="clear" w:color="auto" w:fill="FFFFFF"/>
          </w:tcPr>
          <w:p w:rsidR="00513FD2" w:rsidRPr="00661D7D" w:rsidRDefault="00513FD2" w:rsidP="00513FD2">
            <w:pPr>
              <w:pBdr>
                <w:top w:val="nil"/>
                <w:left w:val="nil"/>
                <w:bottom w:val="nil"/>
                <w:right w:val="nil"/>
                <w:between w:val="nil"/>
                <w:bar w:val="nil"/>
              </w:pBdr>
              <w:spacing w:before="120" w:after="120" w:line="259" w:lineRule="auto"/>
              <w:rPr>
                <w:rFonts w:cs="Arial"/>
                <w:sz w:val="20"/>
              </w:rPr>
            </w:pPr>
            <w:r w:rsidRPr="00661D7D">
              <w:rPr>
                <w:rFonts w:cs="Arial"/>
                <w:sz w:val="20"/>
              </w:rPr>
              <w:t>2.1.5-1B - The Scheme will maintain survivor confidence in decision-making, with &gt;95 % of initial determinations reflecting the final outcome.</w:t>
            </w:r>
          </w:p>
        </w:tc>
        <w:tc>
          <w:tcPr>
            <w:tcW w:w="1134" w:type="dxa"/>
          </w:tcPr>
          <w:p w:rsidR="00513FD2" w:rsidRPr="00661D7D" w:rsidRDefault="00513FD2" w:rsidP="00513FD2">
            <w:pPr>
              <w:spacing w:before="120" w:after="120" w:line="259" w:lineRule="auto"/>
              <w:rPr>
                <w:rFonts w:cs="Arial"/>
                <w:sz w:val="20"/>
              </w:rPr>
            </w:pPr>
            <w:r w:rsidRPr="00661D7D">
              <w:rPr>
                <w:rFonts w:cs="Arial"/>
                <w:sz w:val="20"/>
              </w:rPr>
              <w:t xml:space="preserve">&gt;95 </w:t>
            </w:r>
            <w:r>
              <w:rPr>
                <w:sz w:val="20"/>
                <w:lang w:eastAsia="en-GB"/>
              </w:rPr>
              <w:t>%</w:t>
            </w:r>
          </w:p>
        </w:tc>
        <w:tc>
          <w:tcPr>
            <w:tcW w:w="1276" w:type="dxa"/>
          </w:tcPr>
          <w:p w:rsidR="00513FD2" w:rsidRPr="00661D7D" w:rsidRDefault="00513FD2" w:rsidP="00513FD2">
            <w:pPr>
              <w:spacing w:before="120" w:after="120" w:line="259" w:lineRule="auto"/>
              <w:rPr>
                <w:rFonts w:cs="Arial"/>
                <w:sz w:val="20"/>
              </w:rPr>
            </w:pPr>
            <w:r w:rsidRPr="00661D7D">
              <w:rPr>
                <w:rFonts w:cs="Arial"/>
                <w:sz w:val="20"/>
              </w:rPr>
              <w:t xml:space="preserve">&gt;95 </w:t>
            </w:r>
            <w:r>
              <w:rPr>
                <w:sz w:val="20"/>
                <w:lang w:eastAsia="en-GB"/>
              </w:rPr>
              <w:t>%</w:t>
            </w:r>
          </w:p>
        </w:tc>
        <w:tc>
          <w:tcPr>
            <w:tcW w:w="1275" w:type="dxa"/>
          </w:tcPr>
          <w:p w:rsidR="00513FD2" w:rsidRPr="00661D7D" w:rsidRDefault="00513FD2" w:rsidP="00513FD2">
            <w:pPr>
              <w:spacing w:before="120" w:after="120" w:line="259" w:lineRule="auto"/>
              <w:rPr>
                <w:rFonts w:cs="Arial"/>
                <w:sz w:val="20"/>
              </w:rPr>
            </w:pPr>
            <w:r w:rsidRPr="00661D7D">
              <w:rPr>
                <w:rFonts w:cs="Arial"/>
                <w:sz w:val="20"/>
              </w:rPr>
              <w:t xml:space="preserve">&gt;95 </w:t>
            </w:r>
            <w:r>
              <w:rPr>
                <w:sz w:val="20"/>
                <w:lang w:eastAsia="en-GB"/>
              </w:rPr>
              <w:t>%</w:t>
            </w:r>
          </w:p>
        </w:tc>
        <w:tc>
          <w:tcPr>
            <w:tcW w:w="1129" w:type="dxa"/>
            <w:shd w:val="clear" w:color="auto" w:fill="FFFFFF"/>
          </w:tcPr>
          <w:p w:rsidR="00513FD2" w:rsidRPr="00661D7D" w:rsidRDefault="00513FD2" w:rsidP="00513FD2">
            <w:pPr>
              <w:spacing w:before="120" w:after="120" w:line="259" w:lineRule="auto"/>
              <w:rPr>
                <w:rFonts w:cs="Arial"/>
                <w:sz w:val="20"/>
              </w:rPr>
            </w:pPr>
            <w:r w:rsidRPr="00661D7D">
              <w:rPr>
                <w:rFonts w:cs="Arial"/>
                <w:sz w:val="20"/>
              </w:rPr>
              <w:t xml:space="preserve">&gt;95 </w:t>
            </w:r>
            <w:r>
              <w:rPr>
                <w:sz w:val="20"/>
                <w:lang w:eastAsia="en-GB"/>
              </w:rPr>
              <w:t>%</w:t>
            </w:r>
          </w:p>
        </w:tc>
      </w:tr>
    </w:tbl>
    <w:p w:rsidR="00513FD2" w:rsidRPr="00661D7D" w:rsidRDefault="00513FD2" w:rsidP="00513FD2">
      <w:pPr>
        <w:keepNext/>
        <w:shd w:val="clear" w:color="auto" w:fill="C2E189"/>
        <w:spacing w:before="120" w:after="120"/>
        <w:rPr>
          <w:rFonts w:eastAsia="Times New Roman" w:cs="Arial"/>
          <w:b/>
          <w:sz w:val="20"/>
          <w:szCs w:val="20"/>
        </w:rPr>
      </w:pPr>
      <w:r w:rsidRPr="00661D7D">
        <w:rPr>
          <w:rFonts w:eastAsia="Times New Roman" w:cs="Arial"/>
          <w:b/>
          <w:sz w:val="20"/>
          <w:szCs w:val="20"/>
        </w:rPr>
        <w:lastRenderedPageBreak/>
        <w:t>Rationale</w:t>
      </w:r>
    </w:p>
    <w:p w:rsidR="00001B01" w:rsidRDefault="00513FD2" w:rsidP="00513FD2">
      <w:pPr>
        <w:spacing w:before="120" w:after="120"/>
        <w:rPr>
          <w:rFonts w:eastAsia="Times New Roman" w:cs="Arial"/>
          <w:sz w:val="20"/>
          <w:szCs w:val="20"/>
        </w:rPr>
      </w:pPr>
      <w:r w:rsidRPr="00661D7D">
        <w:rPr>
          <w:rFonts w:eastAsia="Times New Roman" w:cs="Arial"/>
          <w:sz w:val="20"/>
          <w:szCs w:val="20"/>
        </w:rPr>
        <w:t xml:space="preserve">Measuring </w:t>
      </w:r>
      <w:r w:rsidRPr="00661D7D">
        <w:rPr>
          <w:rFonts w:eastAsia="Times New Roman" w:cs="Arial"/>
          <w:i/>
          <w:sz w:val="20"/>
          <w:szCs w:val="20"/>
        </w:rPr>
        <w:t>the timely and quality finalisation of National Redress Scheme applications and offers made to</w:t>
      </w:r>
      <w:r w:rsidR="001C3606">
        <w:rPr>
          <w:rFonts w:eastAsia="Times New Roman" w:cs="Arial"/>
          <w:i/>
          <w:sz w:val="20"/>
          <w:szCs w:val="20"/>
        </w:rPr>
        <w:t> </w:t>
      </w:r>
      <w:r w:rsidRPr="00661D7D">
        <w:rPr>
          <w:rFonts w:eastAsia="Times New Roman" w:cs="Arial"/>
          <w:i/>
          <w:sz w:val="20"/>
          <w:szCs w:val="20"/>
        </w:rPr>
        <w:t>survivors</w:t>
      </w:r>
      <w:r w:rsidRPr="00661D7D">
        <w:rPr>
          <w:rFonts w:eastAsia="Times New Roman" w:cs="Arial"/>
          <w:sz w:val="20"/>
          <w:szCs w:val="20"/>
        </w:rPr>
        <w:t xml:space="preserve"> aims to demonstrate the department has efficiently processed and managed applications. This</w:t>
      </w:r>
      <w:r w:rsidR="001C3606">
        <w:rPr>
          <w:rFonts w:eastAsia="Times New Roman" w:cs="Arial"/>
          <w:sz w:val="20"/>
          <w:szCs w:val="20"/>
        </w:rPr>
        <w:t> </w:t>
      </w:r>
      <w:r w:rsidRPr="00661D7D">
        <w:rPr>
          <w:rFonts w:eastAsia="Times New Roman" w:cs="Arial"/>
          <w:sz w:val="20"/>
          <w:szCs w:val="20"/>
        </w:rPr>
        <w:t>is</w:t>
      </w:r>
      <w:r w:rsidR="001C3606">
        <w:rPr>
          <w:rFonts w:eastAsia="Times New Roman" w:cs="Arial"/>
          <w:sz w:val="20"/>
          <w:szCs w:val="20"/>
        </w:rPr>
        <w:t> </w:t>
      </w:r>
      <w:r w:rsidRPr="00661D7D">
        <w:rPr>
          <w:rFonts w:eastAsia="Times New Roman" w:cs="Arial"/>
          <w:sz w:val="20"/>
          <w:szCs w:val="20"/>
        </w:rPr>
        <w:t xml:space="preserve">a </w:t>
      </w:r>
      <w:r w:rsidRPr="00661D7D">
        <w:rPr>
          <w:rFonts w:eastAsia="Times New Roman" w:cs="Arial"/>
          <w:b/>
          <w:bCs/>
          <w:sz w:val="20"/>
          <w:szCs w:val="20"/>
        </w:rPr>
        <w:t xml:space="preserve">proxy efficiency </w:t>
      </w:r>
      <w:r w:rsidRPr="00661D7D">
        <w:rPr>
          <w:rFonts w:eastAsia="Times New Roman" w:cs="Arial"/>
          <w:sz w:val="20"/>
          <w:szCs w:val="20"/>
        </w:rPr>
        <w:t xml:space="preserve">measure that demonstrates achievement of a key </w:t>
      </w:r>
      <w:r w:rsidRPr="00661D7D">
        <w:rPr>
          <w:rFonts w:eastAsia="Times New Roman" w:cs="Arial"/>
          <w:b/>
          <w:sz w:val="20"/>
          <w:szCs w:val="20"/>
        </w:rPr>
        <w:t>output</w:t>
      </w:r>
      <w:r w:rsidRPr="00661D7D">
        <w:rPr>
          <w:rFonts w:eastAsia="Times New Roman" w:cs="Arial"/>
          <w:sz w:val="20"/>
          <w:szCs w:val="20"/>
        </w:rPr>
        <w:t xml:space="preserve"> of the National Redress Scheme key activity: The department has called or sent the applicant a letter about the outcome of their application. Further, the proportion of initial determinations that reflect the final outcome indicates the quality of decision-making – that the details in the application have been fully considered in the determination made, and, where a further review of a decision is requested, the review does not lead to the original decision being overturned in more than a small number of instances. Targeting </w:t>
      </w:r>
      <w:r w:rsidRPr="00661D7D">
        <w:rPr>
          <w:rFonts w:eastAsia="Times New Roman" w:cs="Arial"/>
          <w:i/>
          <w:iCs/>
          <w:sz w:val="20"/>
          <w:szCs w:val="20"/>
        </w:rPr>
        <w:t>at least 75 per cent of survivors will be</w:t>
      </w:r>
      <w:r w:rsidR="001C3606">
        <w:rPr>
          <w:rFonts w:eastAsia="Times New Roman" w:cs="Arial"/>
          <w:i/>
          <w:iCs/>
          <w:sz w:val="20"/>
          <w:szCs w:val="20"/>
        </w:rPr>
        <w:t> </w:t>
      </w:r>
      <w:r w:rsidRPr="00661D7D">
        <w:rPr>
          <w:rFonts w:eastAsia="Times New Roman" w:cs="Arial"/>
          <w:i/>
          <w:iCs/>
          <w:sz w:val="20"/>
          <w:szCs w:val="20"/>
        </w:rPr>
        <w:t xml:space="preserve">notified of an outcome within </w:t>
      </w:r>
      <w:r w:rsidR="00181BA8">
        <w:rPr>
          <w:rFonts w:eastAsia="Times New Roman" w:cs="Arial"/>
          <w:i/>
          <w:iCs/>
          <w:sz w:val="20"/>
          <w:szCs w:val="20"/>
        </w:rPr>
        <w:t>6</w:t>
      </w:r>
      <w:r w:rsidRPr="00661D7D">
        <w:rPr>
          <w:rFonts w:eastAsia="Times New Roman" w:cs="Arial"/>
          <w:i/>
          <w:iCs/>
          <w:sz w:val="20"/>
          <w:szCs w:val="20"/>
        </w:rPr>
        <w:t xml:space="preserve"> months of all required information being received</w:t>
      </w:r>
      <w:r>
        <w:rPr>
          <w:rFonts w:eastAsia="Times New Roman" w:cs="Arial"/>
          <w:sz w:val="20"/>
          <w:szCs w:val="20"/>
        </w:rPr>
        <w:t xml:space="preserve"> </w:t>
      </w:r>
      <w:r w:rsidRPr="00661D7D">
        <w:rPr>
          <w:rFonts w:eastAsia="Times New Roman" w:cs="Arial"/>
          <w:sz w:val="20"/>
          <w:szCs w:val="20"/>
        </w:rPr>
        <w:t>shows applications are processed within a timely and reasonable timeframe, and is reflective of the complexity of the assessment process, available resources to process applications, and institutions that have joined the Scheme.</w:t>
      </w:r>
      <w:r w:rsidR="009473E9">
        <w:rPr>
          <w:rFonts w:eastAsia="Times New Roman" w:cs="Arial"/>
          <w:sz w:val="20"/>
          <w:szCs w:val="20"/>
        </w:rPr>
        <w:t xml:space="preserve"> </w:t>
      </w:r>
      <w:r w:rsidR="009473E9" w:rsidRPr="009473E9">
        <w:rPr>
          <w:rFonts w:eastAsia="Times New Roman" w:cs="Arial"/>
          <w:sz w:val="20"/>
          <w:szCs w:val="20"/>
        </w:rPr>
        <w:t xml:space="preserve"> </w:t>
      </w:r>
    </w:p>
    <w:p w:rsidR="009473E9" w:rsidRDefault="00BA033D" w:rsidP="00513FD2">
      <w:pPr>
        <w:spacing w:before="120" w:after="120"/>
        <w:rPr>
          <w:rFonts w:eastAsia="Times New Roman" w:cs="Arial"/>
          <w:sz w:val="20"/>
          <w:szCs w:val="20"/>
        </w:rPr>
      </w:pPr>
      <w:r>
        <w:rPr>
          <w:rFonts w:eastAsia="Times New Roman" w:cs="Arial"/>
          <w:sz w:val="20"/>
          <w:szCs w:val="20"/>
        </w:rPr>
        <w:t>T</w:t>
      </w:r>
      <w:r w:rsidR="009473E9" w:rsidRPr="009473E9">
        <w:rPr>
          <w:rFonts w:eastAsia="Times New Roman" w:cs="Arial"/>
          <w:sz w:val="20"/>
          <w:szCs w:val="20"/>
        </w:rPr>
        <w:t>his target is susceptible to changes experienced by the Scheme, such as system changes that may impact the ability to consider applications in the usual timeframes, or increases in the number of applications received</w:t>
      </w:r>
      <w:r>
        <w:rPr>
          <w:rFonts w:eastAsia="Times New Roman" w:cs="Arial"/>
          <w:sz w:val="20"/>
          <w:szCs w:val="20"/>
        </w:rPr>
        <w:t>.</w:t>
      </w:r>
    </w:p>
    <w:p w:rsidR="00001B01" w:rsidRPr="00661D7D" w:rsidRDefault="00001B01" w:rsidP="00513FD2">
      <w:pPr>
        <w:spacing w:before="120" w:after="120"/>
        <w:rPr>
          <w:rFonts w:eastAsia="Times New Roman" w:cs="Arial"/>
          <w:sz w:val="20"/>
          <w:szCs w:val="20"/>
        </w:rPr>
      </w:pPr>
    </w:p>
    <w:p w:rsidR="00513FD2" w:rsidRPr="00661D7D" w:rsidRDefault="00513FD2" w:rsidP="00513FD2">
      <w:pPr>
        <w:shd w:val="clear" w:color="auto" w:fill="C2E189"/>
        <w:spacing w:before="120" w:after="120"/>
        <w:rPr>
          <w:rFonts w:eastAsia="Times New Roman" w:cs="Arial"/>
          <w:b/>
          <w:sz w:val="20"/>
          <w:szCs w:val="20"/>
        </w:rPr>
      </w:pPr>
      <w:r w:rsidRPr="00661D7D">
        <w:rPr>
          <w:rFonts w:eastAsia="Times New Roman" w:cs="Arial"/>
          <w:b/>
          <w:sz w:val="20"/>
          <w:szCs w:val="20"/>
        </w:rPr>
        <w:t>Methodology</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2.1.5-1A - The percentage of applications that progress with at least one named institution participating in</w:t>
      </w:r>
      <w:r w:rsidR="001C3606">
        <w:rPr>
          <w:rFonts w:eastAsia="Times New Roman" w:cs="Arial"/>
          <w:sz w:val="20"/>
          <w:szCs w:val="20"/>
        </w:rPr>
        <w:t> </w:t>
      </w:r>
      <w:r w:rsidRPr="00661D7D">
        <w:rPr>
          <w:rFonts w:eastAsia="Times New Roman" w:cs="Arial"/>
          <w:sz w:val="20"/>
          <w:szCs w:val="20"/>
        </w:rPr>
        <w:t>the Scheme and are advised of their redress outcome within</w:t>
      </w:r>
      <w:r w:rsidR="00181BA8">
        <w:rPr>
          <w:rFonts w:eastAsia="Times New Roman" w:cs="Arial"/>
          <w:sz w:val="20"/>
          <w:szCs w:val="20"/>
        </w:rPr>
        <w:t xml:space="preserve"> 6</w:t>
      </w:r>
      <w:r w:rsidRPr="00661D7D">
        <w:rPr>
          <w:rFonts w:eastAsia="Times New Roman" w:cs="Arial"/>
          <w:sz w:val="20"/>
          <w:szCs w:val="20"/>
        </w:rPr>
        <w:t xml:space="preserve"> months of all required information being received, as a proportion of all applicants who are advised of their redress outcome.</w:t>
      </w:r>
    </w:p>
    <w:p w:rsidR="00513FD2" w:rsidRDefault="00513FD2" w:rsidP="00513FD2">
      <w:pPr>
        <w:spacing w:before="120" w:after="120"/>
        <w:rPr>
          <w:rFonts w:eastAsia="Times New Roman" w:cs="Arial"/>
          <w:sz w:val="20"/>
          <w:szCs w:val="20"/>
        </w:rPr>
      </w:pPr>
      <w:r w:rsidRPr="00661D7D">
        <w:rPr>
          <w:rFonts w:eastAsia="Times New Roman" w:cs="Arial"/>
          <w:sz w:val="20"/>
          <w:szCs w:val="20"/>
        </w:rPr>
        <w:t>2.1.5-1B - The percentage of completed applications that had a review of the initial outcome requested, as</w:t>
      </w:r>
      <w:r w:rsidR="001C3606">
        <w:rPr>
          <w:rFonts w:eastAsia="Times New Roman" w:cs="Arial"/>
          <w:sz w:val="20"/>
          <w:szCs w:val="20"/>
        </w:rPr>
        <w:t> </w:t>
      </w:r>
      <w:r w:rsidRPr="00661D7D">
        <w:rPr>
          <w:rFonts w:eastAsia="Times New Roman" w:cs="Arial"/>
          <w:sz w:val="20"/>
          <w:szCs w:val="20"/>
        </w:rPr>
        <w:t>a</w:t>
      </w:r>
      <w:r w:rsidR="001C3606">
        <w:rPr>
          <w:rFonts w:eastAsia="Times New Roman" w:cs="Arial"/>
          <w:sz w:val="20"/>
          <w:szCs w:val="20"/>
        </w:rPr>
        <w:t> </w:t>
      </w:r>
      <w:r w:rsidRPr="00661D7D">
        <w:rPr>
          <w:rFonts w:eastAsia="Times New Roman" w:cs="Arial"/>
          <w:sz w:val="20"/>
          <w:szCs w:val="20"/>
        </w:rPr>
        <w:t>proportion of all applications completed after the initial outcome was advised.</w:t>
      </w:r>
    </w:p>
    <w:p w:rsidR="00001B01" w:rsidRPr="00661D7D" w:rsidRDefault="00001B01" w:rsidP="00513FD2">
      <w:pPr>
        <w:spacing w:before="120" w:after="120"/>
        <w:rPr>
          <w:rFonts w:eastAsia="Times New Roman" w:cs="Arial"/>
          <w:sz w:val="20"/>
          <w:szCs w:val="20"/>
        </w:rPr>
      </w:pPr>
    </w:p>
    <w:tbl>
      <w:tblPr>
        <w:tblStyle w:val="TableGrid39"/>
        <w:tblW w:w="4975" w:type="pct"/>
        <w:jc w:val="center"/>
        <w:tblLook w:val="04A0" w:firstRow="1" w:lastRow="0" w:firstColumn="1" w:lastColumn="0" w:noHBand="0" w:noVBand="1"/>
        <w:tblCaption w:val="2.1.5 performance measure and target"/>
        <w:tblDescription w:val="Table outlines the targeted Scheme engagement across 2022-23, 2023-24, 2024-25 and 2025-26"/>
      </w:tblPr>
      <w:tblGrid>
        <w:gridCol w:w="4536"/>
        <w:gridCol w:w="1211"/>
        <w:gridCol w:w="1334"/>
        <w:gridCol w:w="1240"/>
        <w:gridCol w:w="1259"/>
      </w:tblGrid>
      <w:tr w:rsidR="00513FD2" w:rsidRPr="00661D7D" w:rsidTr="005B200F">
        <w:trPr>
          <w:cantSplit/>
          <w:trHeight w:val="356"/>
          <w:tblHeader/>
          <w:jc w:val="center"/>
        </w:trPr>
        <w:tc>
          <w:tcPr>
            <w:tcW w:w="5000" w:type="pct"/>
            <w:gridSpan w:val="5"/>
            <w:shd w:val="clear" w:color="auto" w:fill="D9D9D6"/>
          </w:tcPr>
          <w:p w:rsidR="00513FD2" w:rsidRPr="00661D7D" w:rsidRDefault="00513FD2" w:rsidP="00513FD2">
            <w:pPr>
              <w:spacing w:before="120" w:after="120" w:line="259" w:lineRule="auto"/>
              <w:rPr>
                <w:rFonts w:cs="Arial"/>
                <w:b/>
                <w:sz w:val="20"/>
              </w:rPr>
            </w:pPr>
            <w:r w:rsidRPr="00661D7D">
              <w:rPr>
                <w:rFonts w:cs="Arial"/>
                <w:b/>
                <w:sz w:val="20"/>
              </w:rPr>
              <w:t>Performance Measure</w:t>
            </w:r>
          </w:p>
        </w:tc>
      </w:tr>
      <w:tr w:rsidR="00513FD2" w:rsidRPr="00661D7D" w:rsidTr="00513FD2">
        <w:trPr>
          <w:cantSplit/>
          <w:trHeight w:val="356"/>
          <w:jc w:val="center"/>
        </w:trPr>
        <w:tc>
          <w:tcPr>
            <w:tcW w:w="5000" w:type="pct"/>
            <w:gridSpan w:val="5"/>
            <w:shd w:val="clear" w:color="auto" w:fill="auto"/>
          </w:tcPr>
          <w:p w:rsidR="00513FD2" w:rsidRPr="00661D7D" w:rsidRDefault="00513FD2" w:rsidP="00513FD2">
            <w:pPr>
              <w:spacing w:before="120" w:after="120" w:line="259" w:lineRule="auto"/>
              <w:rPr>
                <w:rFonts w:cs="Arial"/>
                <w:b/>
                <w:sz w:val="20"/>
              </w:rPr>
            </w:pPr>
            <w:r w:rsidRPr="00661D7D">
              <w:rPr>
                <w:rFonts w:cs="Arial"/>
                <w:sz w:val="20"/>
              </w:rPr>
              <w:t>2.1.5-2 Maximise institution participation with the Scheme.</w:t>
            </w:r>
          </w:p>
        </w:tc>
      </w:tr>
      <w:tr w:rsidR="00513FD2" w:rsidRPr="00661D7D" w:rsidTr="00513FD2">
        <w:trPr>
          <w:cantSplit/>
          <w:trHeight w:val="356"/>
          <w:jc w:val="center"/>
        </w:trPr>
        <w:tc>
          <w:tcPr>
            <w:tcW w:w="2368" w:type="pct"/>
            <w:shd w:val="clear" w:color="auto" w:fill="D9D9D6"/>
          </w:tcPr>
          <w:p w:rsidR="00513FD2" w:rsidRPr="00661D7D" w:rsidRDefault="00513FD2" w:rsidP="00513FD2">
            <w:pPr>
              <w:spacing w:before="120" w:after="120" w:line="259" w:lineRule="auto"/>
              <w:rPr>
                <w:rFonts w:cs="Arial"/>
                <w:b/>
                <w:sz w:val="20"/>
              </w:rPr>
            </w:pPr>
            <w:r w:rsidRPr="00661D7D">
              <w:rPr>
                <w:rFonts w:cs="Arial"/>
                <w:b/>
                <w:sz w:val="20"/>
              </w:rPr>
              <w:t>Target</w:t>
            </w:r>
          </w:p>
        </w:tc>
        <w:tc>
          <w:tcPr>
            <w:tcW w:w="632" w:type="pct"/>
            <w:shd w:val="clear" w:color="auto" w:fill="D9D9D6"/>
            <w:vAlign w:val="center"/>
          </w:tcPr>
          <w:p w:rsidR="00513FD2" w:rsidRPr="00661D7D" w:rsidRDefault="00513FD2" w:rsidP="00513FD2">
            <w:pPr>
              <w:spacing w:before="120" w:after="120" w:line="259" w:lineRule="auto"/>
              <w:rPr>
                <w:rFonts w:cs="Arial"/>
                <w:b/>
                <w:sz w:val="20"/>
              </w:rPr>
            </w:pPr>
            <w:r w:rsidRPr="00661D7D">
              <w:rPr>
                <w:rFonts w:cs="Arial"/>
                <w:b/>
                <w:sz w:val="20"/>
              </w:rPr>
              <w:t>2022–23</w:t>
            </w:r>
          </w:p>
        </w:tc>
        <w:tc>
          <w:tcPr>
            <w:tcW w:w="696" w:type="pct"/>
            <w:shd w:val="clear" w:color="auto" w:fill="D9D9D6"/>
            <w:vAlign w:val="center"/>
          </w:tcPr>
          <w:p w:rsidR="00513FD2" w:rsidRPr="00661D7D" w:rsidRDefault="00513FD2" w:rsidP="00513FD2">
            <w:pPr>
              <w:spacing w:before="120" w:after="120" w:line="259" w:lineRule="auto"/>
              <w:rPr>
                <w:rFonts w:cs="Arial"/>
                <w:b/>
                <w:sz w:val="20"/>
              </w:rPr>
            </w:pPr>
            <w:r w:rsidRPr="00661D7D">
              <w:rPr>
                <w:rFonts w:cs="Arial"/>
                <w:b/>
                <w:sz w:val="20"/>
              </w:rPr>
              <w:t>2023–24</w:t>
            </w:r>
          </w:p>
        </w:tc>
        <w:tc>
          <w:tcPr>
            <w:tcW w:w="647" w:type="pct"/>
            <w:shd w:val="clear" w:color="auto" w:fill="D9D9D6"/>
            <w:vAlign w:val="center"/>
          </w:tcPr>
          <w:p w:rsidR="00513FD2" w:rsidRPr="00661D7D" w:rsidRDefault="00513FD2" w:rsidP="00513FD2">
            <w:pPr>
              <w:spacing w:before="120" w:after="120" w:line="259" w:lineRule="auto"/>
              <w:rPr>
                <w:rFonts w:cs="Arial"/>
                <w:b/>
                <w:sz w:val="20"/>
              </w:rPr>
            </w:pPr>
            <w:r w:rsidRPr="00661D7D">
              <w:rPr>
                <w:rFonts w:cs="Arial"/>
                <w:b/>
                <w:sz w:val="20"/>
              </w:rPr>
              <w:t>2024–25</w:t>
            </w:r>
          </w:p>
        </w:tc>
        <w:tc>
          <w:tcPr>
            <w:tcW w:w="657" w:type="pct"/>
            <w:shd w:val="clear" w:color="auto" w:fill="D9D9D6"/>
            <w:vAlign w:val="center"/>
          </w:tcPr>
          <w:p w:rsidR="00513FD2" w:rsidRPr="00661D7D" w:rsidRDefault="00513FD2" w:rsidP="00513FD2">
            <w:pPr>
              <w:spacing w:before="120" w:after="120" w:line="259" w:lineRule="auto"/>
              <w:rPr>
                <w:rFonts w:cs="Arial"/>
                <w:b/>
                <w:sz w:val="20"/>
              </w:rPr>
            </w:pPr>
            <w:r w:rsidRPr="00661D7D">
              <w:rPr>
                <w:rFonts w:cs="Arial"/>
                <w:b/>
                <w:sz w:val="20"/>
              </w:rPr>
              <w:t>2025–26</w:t>
            </w:r>
          </w:p>
        </w:tc>
      </w:tr>
      <w:tr w:rsidR="00513FD2" w:rsidRPr="00661D7D" w:rsidTr="00513FD2">
        <w:trPr>
          <w:cantSplit/>
          <w:trHeight w:val="356"/>
          <w:jc w:val="center"/>
        </w:trPr>
        <w:tc>
          <w:tcPr>
            <w:tcW w:w="2368" w:type="pct"/>
            <w:shd w:val="clear" w:color="auto" w:fill="FFFFFF"/>
          </w:tcPr>
          <w:p w:rsidR="00513FD2" w:rsidRPr="00661D7D" w:rsidRDefault="00513FD2" w:rsidP="00513FD2">
            <w:pPr>
              <w:pBdr>
                <w:top w:val="nil"/>
                <w:left w:val="nil"/>
                <w:bottom w:val="nil"/>
                <w:right w:val="nil"/>
                <w:between w:val="nil"/>
                <w:bar w:val="nil"/>
              </w:pBdr>
              <w:spacing w:before="120" w:after="120" w:line="259" w:lineRule="auto"/>
              <w:rPr>
                <w:rFonts w:cs="Arial"/>
                <w:sz w:val="20"/>
              </w:rPr>
            </w:pPr>
            <w:r w:rsidRPr="00661D7D">
              <w:rPr>
                <w:rFonts w:cs="Arial"/>
                <w:sz w:val="20"/>
              </w:rPr>
              <w:t>2.1.5-2A - The Scheme will engage and maintain participation, with institutions on-board to cover ≥ 95% of applications in progress.</w:t>
            </w:r>
          </w:p>
        </w:tc>
        <w:tc>
          <w:tcPr>
            <w:tcW w:w="632" w:type="pct"/>
          </w:tcPr>
          <w:p w:rsidR="00513FD2" w:rsidRPr="00661D7D" w:rsidRDefault="00513FD2" w:rsidP="00513FD2">
            <w:pPr>
              <w:spacing w:before="120" w:after="120" w:line="259" w:lineRule="auto"/>
              <w:rPr>
                <w:rFonts w:cs="Arial"/>
                <w:sz w:val="20"/>
              </w:rPr>
            </w:pPr>
            <w:r w:rsidRPr="00661D7D">
              <w:rPr>
                <w:rFonts w:cs="Arial"/>
                <w:sz w:val="20"/>
              </w:rPr>
              <w:t xml:space="preserve">≥95 </w:t>
            </w:r>
            <w:r>
              <w:rPr>
                <w:sz w:val="20"/>
                <w:lang w:eastAsia="en-GB"/>
              </w:rPr>
              <w:t>%</w:t>
            </w:r>
          </w:p>
        </w:tc>
        <w:tc>
          <w:tcPr>
            <w:tcW w:w="696" w:type="pct"/>
          </w:tcPr>
          <w:p w:rsidR="00513FD2" w:rsidRPr="00661D7D" w:rsidRDefault="00513FD2" w:rsidP="00513FD2">
            <w:pPr>
              <w:spacing w:before="120" w:after="120" w:line="259" w:lineRule="auto"/>
              <w:rPr>
                <w:rFonts w:cs="Arial"/>
                <w:sz w:val="20"/>
              </w:rPr>
            </w:pPr>
            <w:r w:rsidRPr="00661D7D">
              <w:rPr>
                <w:rFonts w:cs="Arial"/>
                <w:sz w:val="20"/>
              </w:rPr>
              <w:t xml:space="preserve">≥95 </w:t>
            </w:r>
            <w:r>
              <w:rPr>
                <w:sz w:val="20"/>
                <w:lang w:eastAsia="en-GB"/>
              </w:rPr>
              <w:t>%</w:t>
            </w:r>
          </w:p>
        </w:tc>
        <w:tc>
          <w:tcPr>
            <w:tcW w:w="647" w:type="pct"/>
          </w:tcPr>
          <w:p w:rsidR="00513FD2" w:rsidRPr="00661D7D" w:rsidRDefault="00513FD2" w:rsidP="00513FD2">
            <w:pPr>
              <w:spacing w:before="120" w:after="120" w:line="259" w:lineRule="auto"/>
              <w:rPr>
                <w:rFonts w:cs="Arial"/>
                <w:sz w:val="20"/>
              </w:rPr>
            </w:pPr>
            <w:r w:rsidRPr="00661D7D">
              <w:rPr>
                <w:rFonts w:cs="Arial"/>
                <w:sz w:val="20"/>
              </w:rPr>
              <w:t xml:space="preserve">≥95 </w:t>
            </w:r>
            <w:r>
              <w:rPr>
                <w:sz w:val="20"/>
                <w:lang w:eastAsia="en-GB"/>
              </w:rPr>
              <w:t>%</w:t>
            </w:r>
          </w:p>
        </w:tc>
        <w:tc>
          <w:tcPr>
            <w:tcW w:w="657" w:type="pct"/>
            <w:shd w:val="clear" w:color="auto" w:fill="FFFFFF"/>
          </w:tcPr>
          <w:p w:rsidR="00513FD2" w:rsidRPr="00661D7D" w:rsidRDefault="00513FD2" w:rsidP="00513FD2">
            <w:pPr>
              <w:spacing w:before="120" w:after="120" w:line="259" w:lineRule="auto"/>
              <w:rPr>
                <w:rFonts w:cs="Arial"/>
                <w:sz w:val="20"/>
              </w:rPr>
            </w:pPr>
            <w:r w:rsidRPr="00661D7D">
              <w:rPr>
                <w:rFonts w:cs="Arial"/>
                <w:sz w:val="20"/>
              </w:rPr>
              <w:t xml:space="preserve">≥95 </w:t>
            </w:r>
            <w:r>
              <w:rPr>
                <w:sz w:val="20"/>
                <w:lang w:eastAsia="en-GB"/>
              </w:rPr>
              <w:t>%</w:t>
            </w:r>
          </w:p>
        </w:tc>
      </w:tr>
    </w:tbl>
    <w:p w:rsidR="00513FD2" w:rsidRPr="00661D7D" w:rsidRDefault="00513FD2" w:rsidP="00513FD2">
      <w:pPr>
        <w:shd w:val="clear" w:color="auto" w:fill="C2E189"/>
        <w:spacing w:before="120" w:after="120"/>
        <w:rPr>
          <w:rFonts w:eastAsia="Times New Roman" w:cs="Arial"/>
          <w:b/>
          <w:sz w:val="20"/>
          <w:szCs w:val="20"/>
        </w:rPr>
      </w:pPr>
      <w:r w:rsidRPr="00661D7D">
        <w:rPr>
          <w:rFonts w:eastAsia="Times New Roman" w:cs="Arial"/>
          <w:b/>
          <w:sz w:val="20"/>
          <w:szCs w:val="20"/>
        </w:rPr>
        <w:t>Rationale</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 xml:space="preserve">Measuring </w:t>
      </w:r>
      <w:r w:rsidRPr="00661D7D">
        <w:rPr>
          <w:rFonts w:eastAsia="Times New Roman" w:cs="Arial"/>
          <w:i/>
          <w:sz w:val="20"/>
          <w:szCs w:val="20"/>
        </w:rPr>
        <w:t>maximise engagement of institutions with the National Redress Scheme</w:t>
      </w:r>
      <w:r w:rsidRPr="00661D7D">
        <w:rPr>
          <w:rFonts w:eastAsia="Times New Roman" w:cs="Arial"/>
          <w:sz w:val="20"/>
          <w:szCs w:val="20"/>
        </w:rPr>
        <w:t xml:space="preserve"> aims to demonstrate the department effectively worked with institutions to join the Scheme. This measure demonstrates achievement of a key </w:t>
      </w:r>
      <w:r w:rsidRPr="00661D7D">
        <w:rPr>
          <w:rFonts w:eastAsia="Times New Roman" w:cs="Arial"/>
          <w:b/>
          <w:sz w:val="20"/>
          <w:szCs w:val="20"/>
        </w:rPr>
        <w:t xml:space="preserve">output </w:t>
      </w:r>
      <w:r w:rsidRPr="00661D7D">
        <w:rPr>
          <w:rFonts w:eastAsia="Times New Roman" w:cs="Arial"/>
          <w:sz w:val="20"/>
          <w:szCs w:val="20"/>
        </w:rPr>
        <w:t xml:space="preserve">of the National Redress Scheme key activity: </w:t>
      </w:r>
      <w:r w:rsidRPr="00661D7D">
        <w:rPr>
          <w:rFonts w:eastAsia="Times New Roman" w:cs="Arial"/>
          <w:i/>
          <w:sz w:val="20"/>
          <w:szCs w:val="20"/>
        </w:rPr>
        <w:t>Institutions have joined the Scheme and provide redress</w:t>
      </w:r>
      <w:r w:rsidRPr="00661D7D">
        <w:rPr>
          <w:rFonts w:eastAsia="Times New Roman" w:cs="Arial"/>
          <w:sz w:val="20"/>
          <w:szCs w:val="20"/>
        </w:rPr>
        <w:t>.</w:t>
      </w:r>
    </w:p>
    <w:p w:rsidR="00513FD2" w:rsidRDefault="00513FD2" w:rsidP="00513FD2">
      <w:pPr>
        <w:spacing w:before="120" w:after="120"/>
        <w:rPr>
          <w:rFonts w:eastAsia="Times New Roman" w:cs="Arial"/>
          <w:sz w:val="20"/>
          <w:szCs w:val="20"/>
        </w:rPr>
      </w:pPr>
      <w:r w:rsidRPr="00661D7D">
        <w:rPr>
          <w:rFonts w:eastAsia="Times New Roman" w:cs="Arial"/>
          <w:sz w:val="20"/>
          <w:szCs w:val="20"/>
        </w:rPr>
        <w:t xml:space="preserve">Targeting </w:t>
      </w:r>
      <w:r w:rsidRPr="00661D7D">
        <w:rPr>
          <w:rFonts w:eastAsia="Times New Roman" w:cs="Arial"/>
          <w:i/>
          <w:sz w:val="20"/>
          <w:szCs w:val="20"/>
        </w:rPr>
        <w:t>engagement of newly named institutions continues and current participation is maintained, with institutions on board to cover 9</w:t>
      </w:r>
      <w:r w:rsidR="00C16A72">
        <w:rPr>
          <w:rFonts w:eastAsia="Times New Roman" w:cs="Arial"/>
          <w:i/>
          <w:sz w:val="20"/>
          <w:szCs w:val="20"/>
        </w:rPr>
        <w:t>5</w:t>
      </w:r>
      <w:r w:rsidR="00181BA8">
        <w:rPr>
          <w:rFonts w:eastAsia="Times New Roman" w:cs="Arial"/>
          <w:i/>
          <w:sz w:val="20"/>
          <w:szCs w:val="20"/>
        </w:rPr>
        <w:t>%</w:t>
      </w:r>
      <w:r w:rsidRPr="00661D7D">
        <w:rPr>
          <w:rFonts w:eastAsia="Times New Roman" w:cs="Arial"/>
          <w:i/>
          <w:sz w:val="20"/>
          <w:szCs w:val="20"/>
        </w:rPr>
        <w:t xml:space="preserve"> of applications received</w:t>
      </w:r>
      <w:r w:rsidRPr="00661D7D">
        <w:rPr>
          <w:rFonts w:eastAsia="Times New Roman" w:cs="Arial"/>
          <w:sz w:val="20"/>
          <w:szCs w:val="20"/>
        </w:rPr>
        <w:t xml:space="preserve"> demonstrates achievement of a key </w:t>
      </w:r>
      <w:r w:rsidRPr="00661D7D">
        <w:rPr>
          <w:rFonts w:eastAsia="Times New Roman" w:cs="Arial"/>
          <w:b/>
          <w:sz w:val="20"/>
          <w:szCs w:val="20"/>
        </w:rPr>
        <w:t>output</w:t>
      </w:r>
      <w:r w:rsidRPr="00661D7D">
        <w:rPr>
          <w:rFonts w:eastAsia="Times New Roman" w:cs="Arial"/>
          <w:sz w:val="20"/>
          <w:szCs w:val="20"/>
        </w:rPr>
        <w:t xml:space="preserve"> of the key activity, by showing that a significant percentage of people who have experienced institutional child sexual abuse are supported by the institutions who have joined the Scheme and are providing redress.</w:t>
      </w:r>
    </w:p>
    <w:p w:rsidR="00001B01" w:rsidRPr="00661D7D" w:rsidRDefault="00001B01" w:rsidP="00513FD2">
      <w:pPr>
        <w:spacing w:before="120" w:after="120"/>
        <w:rPr>
          <w:rFonts w:eastAsia="Times New Roman" w:cs="Arial"/>
          <w:sz w:val="20"/>
          <w:szCs w:val="20"/>
        </w:rPr>
      </w:pPr>
    </w:p>
    <w:p w:rsidR="00513FD2" w:rsidRPr="00661D7D" w:rsidRDefault="00513FD2" w:rsidP="00513FD2">
      <w:pPr>
        <w:shd w:val="clear" w:color="auto" w:fill="C2E189"/>
        <w:spacing w:before="120" w:after="120"/>
        <w:rPr>
          <w:rFonts w:eastAsia="Times New Roman" w:cs="Arial"/>
          <w:b/>
          <w:sz w:val="20"/>
          <w:szCs w:val="20"/>
        </w:rPr>
      </w:pPr>
      <w:r w:rsidRPr="00661D7D">
        <w:rPr>
          <w:rFonts w:eastAsia="Times New Roman" w:cs="Arial"/>
          <w:b/>
          <w:sz w:val="20"/>
          <w:szCs w:val="20"/>
        </w:rPr>
        <w:t>Methodology</w:t>
      </w:r>
    </w:p>
    <w:p w:rsidR="00513FD2" w:rsidRDefault="00513FD2" w:rsidP="00513FD2">
      <w:pPr>
        <w:spacing w:before="120" w:after="120"/>
        <w:rPr>
          <w:rFonts w:eastAsia="Times New Roman" w:cs="Arial"/>
          <w:sz w:val="20"/>
          <w:szCs w:val="20"/>
        </w:rPr>
      </w:pPr>
      <w:r w:rsidRPr="00661D7D">
        <w:rPr>
          <w:rFonts w:eastAsia="Times New Roman" w:cs="Arial"/>
          <w:sz w:val="20"/>
          <w:szCs w:val="20"/>
        </w:rPr>
        <w:t>Percentage of applications on hand where all of the named institution(s) are participating in the Scheme, or</w:t>
      </w:r>
      <w:r w:rsidR="001C3606">
        <w:rPr>
          <w:rFonts w:eastAsia="Times New Roman" w:cs="Arial"/>
          <w:sz w:val="20"/>
          <w:szCs w:val="20"/>
        </w:rPr>
        <w:t> </w:t>
      </w:r>
      <w:r w:rsidRPr="00661D7D">
        <w:rPr>
          <w:rFonts w:eastAsia="Times New Roman" w:cs="Arial"/>
          <w:sz w:val="20"/>
          <w:szCs w:val="20"/>
        </w:rPr>
        <w:t>an applicant has chosen to progress with only some of the named institution(s)</w:t>
      </w:r>
      <w:r w:rsidR="00181BA8">
        <w:rPr>
          <w:rFonts w:eastAsia="Times New Roman" w:cs="Arial"/>
          <w:sz w:val="20"/>
          <w:szCs w:val="20"/>
        </w:rPr>
        <w:t>,</w:t>
      </w:r>
      <w:r w:rsidRPr="00661D7D">
        <w:rPr>
          <w:rFonts w:eastAsia="Times New Roman" w:cs="Arial"/>
          <w:sz w:val="20"/>
          <w:szCs w:val="20"/>
        </w:rPr>
        <w:t xml:space="preserve"> are participating in the Scheme.</w:t>
      </w:r>
    </w:p>
    <w:p w:rsidR="00001B01" w:rsidRDefault="00001B01">
      <w:pPr>
        <w:spacing w:before="0" w:after="160"/>
        <w:rPr>
          <w:rFonts w:eastAsia="Times New Roman" w:cs="Arial"/>
          <w:sz w:val="20"/>
          <w:szCs w:val="20"/>
        </w:rPr>
      </w:pPr>
      <w:r>
        <w:rPr>
          <w:rFonts w:eastAsia="Times New Roman" w:cs="Arial"/>
          <w:sz w:val="20"/>
          <w:szCs w:val="20"/>
        </w:rPr>
        <w:br w:type="page"/>
      </w:r>
    </w:p>
    <w:p w:rsidR="00E32440" w:rsidRPr="00661D7D" w:rsidRDefault="00E32440" w:rsidP="00513FD2">
      <w:pPr>
        <w:spacing w:before="120" w:after="120"/>
        <w:rPr>
          <w:rFonts w:eastAsia="Times New Roman" w:cs="Arial"/>
          <w:sz w:val="20"/>
          <w:szCs w:val="20"/>
        </w:rPr>
      </w:pPr>
    </w:p>
    <w:tbl>
      <w:tblPr>
        <w:tblStyle w:val="TableGrid39"/>
        <w:tblW w:w="4975" w:type="pct"/>
        <w:jc w:val="center"/>
        <w:tblLook w:val="04A0" w:firstRow="1" w:lastRow="0" w:firstColumn="1" w:lastColumn="0" w:noHBand="0" w:noVBand="1"/>
        <w:tblCaption w:val="2.1.5 performance measure and target"/>
        <w:tblDescription w:val="Table outlines the targeted Redress payment percentages across 2022-23, 2023-24, 2024-25 and 2025-26"/>
      </w:tblPr>
      <w:tblGrid>
        <w:gridCol w:w="4534"/>
        <w:gridCol w:w="1211"/>
        <w:gridCol w:w="1334"/>
        <w:gridCol w:w="1240"/>
        <w:gridCol w:w="1261"/>
      </w:tblGrid>
      <w:tr w:rsidR="00513FD2" w:rsidRPr="00661D7D" w:rsidTr="005B200F">
        <w:trPr>
          <w:cantSplit/>
          <w:trHeight w:val="356"/>
          <w:tblHeader/>
          <w:jc w:val="center"/>
        </w:trPr>
        <w:tc>
          <w:tcPr>
            <w:tcW w:w="5000" w:type="pct"/>
            <w:gridSpan w:val="5"/>
            <w:shd w:val="clear" w:color="auto" w:fill="D9D9D6"/>
          </w:tcPr>
          <w:p w:rsidR="00513FD2" w:rsidRPr="00661D7D" w:rsidRDefault="00513FD2" w:rsidP="00513FD2">
            <w:pPr>
              <w:spacing w:before="120" w:after="120" w:line="259" w:lineRule="auto"/>
              <w:rPr>
                <w:rFonts w:cs="Arial"/>
                <w:b/>
                <w:sz w:val="20"/>
              </w:rPr>
            </w:pPr>
            <w:r w:rsidRPr="00661D7D">
              <w:rPr>
                <w:rFonts w:cs="Arial"/>
                <w:b/>
                <w:sz w:val="20"/>
              </w:rPr>
              <w:t>Performance Measure</w:t>
            </w:r>
          </w:p>
        </w:tc>
      </w:tr>
      <w:tr w:rsidR="00513FD2" w:rsidRPr="00661D7D" w:rsidTr="00513FD2">
        <w:trPr>
          <w:cantSplit/>
          <w:trHeight w:val="356"/>
          <w:jc w:val="center"/>
        </w:trPr>
        <w:tc>
          <w:tcPr>
            <w:tcW w:w="5000" w:type="pct"/>
            <w:gridSpan w:val="5"/>
            <w:shd w:val="clear" w:color="auto" w:fill="auto"/>
          </w:tcPr>
          <w:p w:rsidR="00513FD2" w:rsidRPr="00661D7D" w:rsidRDefault="00513FD2" w:rsidP="00513FD2">
            <w:pPr>
              <w:spacing w:before="120" w:after="120" w:line="259" w:lineRule="auto"/>
              <w:rPr>
                <w:rFonts w:cs="Arial"/>
                <w:b/>
                <w:sz w:val="20"/>
              </w:rPr>
            </w:pPr>
            <w:r w:rsidRPr="00661D7D">
              <w:rPr>
                <w:rFonts w:cs="Arial"/>
                <w:sz w:val="20"/>
              </w:rPr>
              <w:t>2.1.5-3 Provide applicants a redress payment.</w:t>
            </w:r>
          </w:p>
        </w:tc>
      </w:tr>
      <w:tr w:rsidR="00513FD2" w:rsidRPr="00661D7D" w:rsidTr="005B6BFD">
        <w:trPr>
          <w:cantSplit/>
          <w:trHeight w:val="356"/>
          <w:jc w:val="center"/>
        </w:trPr>
        <w:tc>
          <w:tcPr>
            <w:tcW w:w="2367" w:type="pct"/>
            <w:shd w:val="clear" w:color="auto" w:fill="D9D9D6"/>
          </w:tcPr>
          <w:p w:rsidR="00513FD2" w:rsidRPr="00661D7D" w:rsidRDefault="00513FD2" w:rsidP="00513FD2">
            <w:pPr>
              <w:spacing w:before="120" w:after="120" w:line="259" w:lineRule="auto"/>
              <w:rPr>
                <w:rFonts w:cs="Arial"/>
                <w:sz w:val="20"/>
              </w:rPr>
            </w:pPr>
            <w:r w:rsidRPr="00661D7D">
              <w:rPr>
                <w:rFonts w:cs="Arial"/>
                <w:b/>
                <w:sz w:val="20"/>
              </w:rPr>
              <w:t>Target</w:t>
            </w:r>
          </w:p>
        </w:tc>
        <w:tc>
          <w:tcPr>
            <w:tcW w:w="632" w:type="pct"/>
            <w:shd w:val="clear" w:color="auto" w:fill="D9D9D6"/>
            <w:vAlign w:val="center"/>
          </w:tcPr>
          <w:p w:rsidR="00513FD2" w:rsidRPr="00661D7D" w:rsidRDefault="00513FD2" w:rsidP="00513FD2">
            <w:pPr>
              <w:spacing w:before="120" w:after="120" w:line="259" w:lineRule="auto"/>
              <w:rPr>
                <w:rFonts w:cs="Arial"/>
                <w:sz w:val="20"/>
              </w:rPr>
            </w:pPr>
            <w:r w:rsidRPr="00661D7D">
              <w:rPr>
                <w:rFonts w:cs="Arial"/>
                <w:b/>
                <w:sz w:val="20"/>
              </w:rPr>
              <w:t>2022–23</w:t>
            </w:r>
          </w:p>
        </w:tc>
        <w:tc>
          <w:tcPr>
            <w:tcW w:w="696" w:type="pct"/>
            <w:shd w:val="clear" w:color="auto" w:fill="D9D9D6"/>
            <w:vAlign w:val="center"/>
          </w:tcPr>
          <w:p w:rsidR="00513FD2" w:rsidRPr="00661D7D" w:rsidRDefault="00513FD2" w:rsidP="00513FD2">
            <w:pPr>
              <w:spacing w:before="120" w:after="120" w:line="259" w:lineRule="auto"/>
              <w:rPr>
                <w:rFonts w:cs="Arial"/>
                <w:b/>
                <w:sz w:val="20"/>
              </w:rPr>
            </w:pPr>
            <w:r w:rsidRPr="00661D7D">
              <w:rPr>
                <w:rFonts w:cs="Arial"/>
                <w:b/>
                <w:sz w:val="20"/>
              </w:rPr>
              <w:t>2023–24</w:t>
            </w:r>
          </w:p>
        </w:tc>
        <w:tc>
          <w:tcPr>
            <w:tcW w:w="647" w:type="pct"/>
            <w:shd w:val="clear" w:color="auto" w:fill="D9D9D6"/>
            <w:vAlign w:val="center"/>
          </w:tcPr>
          <w:p w:rsidR="00513FD2" w:rsidRPr="00661D7D" w:rsidRDefault="00513FD2" w:rsidP="00513FD2">
            <w:pPr>
              <w:spacing w:before="120" w:after="120" w:line="259" w:lineRule="auto"/>
              <w:rPr>
                <w:rFonts w:cs="Arial"/>
                <w:b/>
                <w:sz w:val="20"/>
              </w:rPr>
            </w:pPr>
            <w:r w:rsidRPr="00661D7D">
              <w:rPr>
                <w:rFonts w:cs="Arial"/>
                <w:b/>
                <w:sz w:val="20"/>
              </w:rPr>
              <w:t>2024–25</w:t>
            </w:r>
          </w:p>
        </w:tc>
        <w:tc>
          <w:tcPr>
            <w:tcW w:w="657" w:type="pct"/>
            <w:shd w:val="clear" w:color="auto" w:fill="D9D9D6"/>
            <w:vAlign w:val="center"/>
          </w:tcPr>
          <w:p w:rsidR="00513FD2" w:rsidRPr="00661D7D" w:rsidRDefault="00513FD2" w:rsidP="00513FD2">
            <w:pPr>
              <w:spacing w:before="120" w:after="120" w:line="259" w:lineRule="auto"/>
              <w:rPr>
                <w:rFonts w:cs="Arial"/>
                <w:b/>
                <w:sz w:val="20"/>
              </w:rPr>
            </w:pPr>
            <w:r w:rsidRPr="00661D7D">
              <w:rPr>
                <w:rFonts w:cs="Arial"/>
                <w:b/>
                <w:sz w:val="20"/>
              </w:rPr>
              <w:t>2025–26</w:t>
            </w:r>
          </w:p>
        </w:tc>
      </w:tr>
      <w:tr w:rsidR="00513FD2" w:rsidRPr="00661D7D" w:rsidTr="005B6BFD">
        <w:trPr>
          <w:cantSplit/>
          <w:trHeight w:val="356"/>
          <w:jc w:val="center"/>
        </w:trPr>
        <w:tc>
          <w:tcPr>
            <w:tcW w:w="2367" w:type="pct"/>
            <w:shd w:val="clear" w:color="auto" w:fill="FFFFFF"/>
          </w:tcPr>
          <w:p w:rsidR="00513FD2" w:rsidRPr="00661D7D" w:rsidRDefault="00513FD2" w:rsidP="001C3606">
            <w:pPr>
              <w:keepLines/>
              <w:pBdr>
                <w:top w:val="nil"/>
                <w:left w:val="nil"/>
                <w:bottom w:val="nil"/>
                <w:right w:val="nil"/>
                <w:between w:val="nil"/>
                <w:bar w:val="nil"/>
              </w:pBdr>
              <w:spacing w:before="120" w:after="120" w:line="259" w:lineRule="auto"/>
              <w:rPr>
                <w:rFonts w:cs="Arial"/>
                <w:sz w:val="20"/>
                <w:bdr w:val="nil"/>
              </w:rPr>
            </w:pPr>
            <w:r w:rsidRPr="00661D7D">
              <w:rPr>
                <w:rFonts w:cs="Arial"/>
                <w:iCs/>
                <w:sz w:val="20"/>
              </w:rPr>
              <w:t xml:space="preserve">2.1.5-3A - </w:t>
            </w:r>
            <w:r w:rsidRPr="00661D7D">
              <w:rPr>
                <w:rFonts w:cs="Arial"/>
                <w:iCs/>
                <w:sz w:val="20"/>
                <w:lang w:eastAsia="en-GB"/>
              </w:rPr>
              <w:t>The Scheme will issue ≥ 80% of eligible survivors an advance payment within 7</w:t>
            </w:r>
            <w:r w:rsidR="001C3606">
              <w:rPr>
                <w:rFonts w:cs="Arial"/>
                <w:iCs/>
                <w:sz w:val="20"/>
                <w:lang w:eastAsia="en-GB"/>
              </w:rPr>
              <w:t> </w:t>
            </w:r>
            <w:r w:rsidRPr="00661D7D">
              <w:rPr>
                <w:rFonts w:cs="Arial"/>
                <w:iCs/>
                <w:sz w:val="20"/>
                <w:lang w:eastAsia="en-GB"/>
              </w:rPr>
              <w:t>days of receiving acceptance documentation.</w:t>
            </w:r>
          </w:p>
        </w:tc>
        <w:tc>
          <w:tcPr>
            <w:tcW w:w="632" w:type="pct"/>
          </w:tcPr>
          <w:p w:rsidR="00513FD2" w:rsidRPr="00661D7D" w:rsidRDefault="00513FD2" w:rsidP="00513FD2">
            <w:pPr>
              <w:spacing w:before="120" w:after="120" w:line="259" w:lineRule="auto"/>
              <w:rPr>
                <w:rFonts w:cs="Arial"/>
                <w:sz w:val="20"/>
              </w:rPr>
            </w:pPr>
            <w:r w:rsidRPr="00661D7D">
              <w:rPr>
                <w:rFonts w:cs="Arial"/>
                <w:sz w:val="20"/>
                <w:lang w:eastAsia="en-GB"/>
              </w:rPr>
              <w:t xml:space="preserve">≥80 </w:t>
            </w:r>
            <w:r>
              <w:rPr>
                <w:sz w:val="20"/>
                <w:lang w:eastAsia="en-GB"/>
              </w:rPr>
              <w:t>%</w:t>
            </w:r>
          </w:p>
        </w:tc>
        <w:tc>
          <w:tcPr>
            <w:tcW w:w="696" w:type="pct"/>
          </w:tcPr>
          <w:p w:rsidR="00513FD2" w:rsidRPr="00661D7D" w:rsidRDefault="00513FD2" w:rsidP="00513FD2">
            <w:pPr>
              <w:spacing w:before="120" w:after="120" w:line="259" w:lineRule="auto"/>
              <w:rPr>
                <w:rFonts w:cs="Arial"/>
                <w:sz w:val="20"/>
              </w:rPr>
            </w:pPr>
            <w:r w:rsidRPr="00661D7D">
              <w:rPr>
                <w:rFonts w:cs="Arial"/>
                <w:sz w:val="20"/>
                <w:lang w:eastAsia="en-GB"/>
              </w:rPr>
              <w:t xml:space="preserve">≥80 </w:t>
            </w:r>
            <w:r>
              <w:rPr>
                <w:sz w:val="20"/>
                <w:lang w:eastAsia="en-GB"/>
              </w:rPr>
              <w:t>%</w:t>
            </w:r>
          </w:p>
        </w:tc>
        <w:tc>
          <w:tcPr>
            <w:tcW w:w="647" w:type="pct"/>
          </w:tcPr>
          <w:p w:rsidR="00513FD2" w:rsidRPr="00661D7D" w:rsidRDefault="00513FD2" w:rsidP="00513FD2">
            <w:pPr>
              <w:spacing w:before="120" w:after="120" w:line="259" w:lineRule="auto"/>
              <w:rPr>
                <w:rFonts w:cs="Arial"/>
                <w:sz w:val="20"/>
              </w:rPr>
            </w:pPr>
            <w:r w:rsidRPr="00661D7D">
              <w:rPr>
                <w:rFonts w:cs="Arial"/>
                <w:sz w:val="20"/>
                <w:lang w:eastAsia="en-GB"/>
              </w:rPr>
              <w:t xml:space="preserve">≥80 </w:t>
            </w:r>
            <w:r>
              <w:rPr>
                <w:sz w:val="20"/>
                <w:lang w:eastAsia="en-GB"/>
              </w:rPr>
              <w:t>%</w:t>
            </w:r>
          </w:p>
        </w:tc>
        <w:tc>
          <w:tcPr>
            <w:tcW w:w="657" w:type="pct"/>
            <w:shd w:val="clear" w:color="auto" w:fill="FFFFFF"/>
          </w:tcPr>
          <w:p w:rsidR="00513FD2" w:rsidRPr="00661D7D" w:rsidRDefault="00513FD2" w:rsidP="00513FD2">
            <w:pPr>
              <w:spacing w:before="120" w:after="120" w:line="259" w:lineRule="auto"/>
              <w:rPr>
                <w:rFonts w:cs="Arial"/>
                <w:sz w:val="20"/>
              </w:rPr>
            </w:pPr>
            <w:r w:rsidRPr="00661D7D">
              <w:rPr>
                <w:rFonts w:cs="Arial"/>
                <w:sz w:val="20"/>
                <w:lang w:eastAsia="en-GB"/>
              </w:rPr>
              <w:t xml:space="preserve">≥80 </w:t>
            </w:r>
            <w:r>
              <w:rPr>
                <w:sz w:val="20"/>
                <w:lang w:eastAsia="en-GB"/>
              </w:rPr>
              <w:t>%</w:t>
            </w:r>
          </w:p>
        </w:tc>
      </w:tr>
      <w:tr w:rsidR="00513FD2" w:rsidRPr="00661D7D" w:rsidTr="005B6BFD">
        <w:trPr>
          <w:cantSplit/>
          <w:trHeight w:val="356"/>
          <w:jc w:val="center"/>
        </w:trPr>
        <w:tc>
          <w:tcPr>
            <w:tcW w:w="2367" w:type="pct"/>
            <w:shd w:val="clear" w:color="auto" w:fill="FFFFFF"/>
          </w:tcPr>
          <w:p w:rsidR="00513FD2" w:rsidRPr="00661D7D" w:rsidRDefault="00513FD2" w:rsidP="00513FD2">
            <w:pPr>
              <w:keepLines/>
              <w:pBdr>
                <w:top w:val="nil"/>
                <w:left w:val="nil"/>
                <w:bottom w:val="nil"/>
                <w:right w:val="nil"/>
                <w:between w:val="nil"/>
                <w:bar w:val="nil"/>
              </w:pBdr>
              <w:spacing w:before="120" w:after="120" w:line="259" w:lineRule="auto"/>
              <w:rPr>
                <w:rFonts w:cs="Arial"/>
                <w:iCs/>
                <w:sz w:val="20"/>
              </w:rPr>
            </w:pPr>
            <w:r w:rsidRPr="00661D7D">
              <w:rPr>
                <w:rFonts w:cs="Arial"/>
                <w:iCs/>
                <w:sz w:val="20"/>
              </w:rPr>
              <w:t>2.1.5-3B - The Scheme will issue ≥ 80% of survivors a redress payment within 14 days of receiving acceptance documentation.</w:t>
            </w:r>
          </w:p>
        </w:tc>
        <w:tc>
          <w:tcPr>
            <w:tcW w:w="632" w:type="pct"/>
          </w:tcPr>
          <w:p w:rsidR="00513FD2" w:rsidRPr="00661D7D" w:rsidRDefault="00513FD2" w:rsidP="00513FD2">
            <w:pPr>
              <w:spacing w:before="120" w:after="120" w:line="259" w:lineRule="auto"/>
              <w:rPr>
                <w:rFonts w:cs="Arial"/>
                <w:sz w:val="20"/>
                <w:lang w:eastAsia="en-GB"/>
              </w:rPr>
            </w:pPr>
            <w:r w:rsidRPr="00661D7D">
              <w:rPr>
                <w:rFonts w:cs="Arial"/>
                <w:sz w:val="20"/>
                <w:lang w:eastAsia="en-GB"/>
              </w:rPr>
              <w:t xml:space="preserve">≥80 </w:t>
            </w:r>
            <w:r>
              <w:rPr>
                <w:sz w:val="20"/>
                <w:lang w:eastAsia="en-GB"/>
              </w:rPr>
              <w:t>%</w:t>
            </w:r>
          </w:p>
        </w:tc>
        <w:tc>
          <w:tcPr>
            <w:tcW w:w="696" w:type="pct"/>
          </w:tcPr>
          <w:p w:rsidR="00513FD2" w:rsidRPr="00661D7D" w:rsidRDefault="00513FD2" w:rsidP="00513FD2">
            <w:pPr>
              <w:spacing w:before="120" w:after="120" w:line="259" w:lineRule="auto"/>
              <w:rPr>
                <w:rFonts w:cs="Arial"/>
                <w:sz w:val="20"/>
                <w:lang w:eastAsia="en-GB"/>
              </w:rPr>
            </w:pPr>
            <w:r w:rsidRPr="00661D7D">
              <w:rPr>
                <w:rFonts w:cs="Arial"/>
                <w:sz w:val="20"/>
                <w:lang w:eastAsia="en-GB"/>
              </w:rPr>
              <w:t xml:space="preserve">≥80 </w:t>
            </w:r>
            <w:r>
              <w:rPr>
                <w:sz w:val="20"/>
                <w:lang w:eastAsia="en-GB"/>
              </w:rPr>
              <w:t>%</w:t>
            </w:r>
          </w:p>
        </w:tc>
        <w:tc>
          <w:tcPr>
            <w:tcW w:w="647" w:type="pct"/>
          </w:tcPr>
          <w:p w:rsidR="00513FD2" w:rsidRPr="00661D7D" w:rsidRDefault="00513FD2" w:rsidP="00513FD2">
            <w:pPr>
              <w:spacing w:before="120" w:after="120" w:line="259" w:lineRule="auto"/>
              <w:rPr>
                <w:rFonts w:cs="Arial"/>
                <w:sz w:val="20"/>
                <w:lang w:eastAsia="en-GB"/>
              </w:rPr>
            </w:pPr>
            <w:r w:rsidRPr="00661D7D">
              <w:rPr>
                <w:rFonts w:cs="Arial"/>
                <w:sz w:val="20"/>
                <w:lang w:eastAsia="en-GB"/>
              </w:rPr>
              <w:t xml:space="preserve">≥80 </w:t>
            </w:r>
            <w:r>
              <w:rPr>
                <w:sz w:val="20"/>
                <w:lang w:eastAsia="en-GB"/>
              </w:rPr>
              <w:t>%</w:t>
            </w:r>
          </w:p>
        </w:tc>
        <w:tc>
          <w:tcPr>
            <w:tcW w:w="657" w:type="pct"/>
            <w:shd w:val="clear" w:color="auto" w:fill="FFFFFF"/>
          </w:tcPr>
          <w:p w:rsidR="00513FD2" w:rsidRPr="00661D7D" w:rsidRDefault="00513FD2" w:rsidP="00513FD2">
            <w:pPr>
              <w:spacing w:before="120" w:after="120" w:line="259" w:lineRule="auto"/>
              <w:rPr>
                <w:rFonts w:cs="Arial"/>
                <w:sz w:val="20"/>
              </w:rPr>
            </w:pPr>
            <w:r w:rsidRPr="00661D7D">
              <w:rPr>
                <w:rFonts w:cs="Arial"/>
                <w:sz w:val="20"/>
                <w:lang w:eastAsia="en-GB"/>
              </w:rPr>
              <w:t xml:space="preserve">≥80 </w:t>
            </w:r>
            <w:r>
              <w:rPr>
                <w:sz w:val="20"/>
                <w:lang w:eastAsia="en-GB"/>
              </w:rPr>
              <w:t>%</w:t>
            </w:r>
          </w:p>
        </w:tc>
      </w:tr>
    </w:tbl>
    <w:p w:rsidR="00001B01" w:rsidRDefault="00001B01" w:rsidP="005B6BFD">
      <w:pPr>
        <w:spacing w:before="120" w:after="120"/>
        <w:rPr>
          <w:rFonts w:eastAsia="Times New Roman" w:cs="Arial"/>
          <w:b/>
          <w:sz w:val="20"/>
          <w:szCs w:val="20"/>
        </w:rPr>
      </w:pPr>
    </w:p>
    <w:p w:rsidR="00513FD2" w:rsidRPr="00661D7D" w:rsidRDefault="00513FD2" w:rsidP="00513FD2">
      <w:pPr>
        <w:shd w:val="clear" w:color="auto" w:fill="C2E189"/>
        <w:spacing w:before="120" w:after="120"/>
        <w:rPr>
          <w:rFonts w:eastAsia="Times New Roman" w:cs="Arial"/>
          <w:b/>
          <w:sz w:val="20"/>
          <w:szCs w:val="20"/>
        </w:rPr>
      </w:pPr>
      <w:r w:rsidRPr="00661D7D">
        <w:rPr>
          <w:rFonts w:eastAsia="Times New Roman" w:cs="Arial"/>
          <w:b/>
          <w:sz w:val="20"/>
          <w:szCs w:val="20"/>
        </w:rPr>
        <w:t>Rationale</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 xml:space="preserve">Measuring </w:t>
      </w:r>
      <w:r w:rsidRPr="00661D7D">
        <w:rPr>
          <w:rFonts w:eastAsia="Times New Roman" w:cs="Arial"/>
          <w:i/>
          <w:iCs/>
          <w:sz w:val="20"/>
          <w:szCs w:val="20"/>
        </w:rPr>
        <w:t xml:space="preserve">Issue survivors a redress payment within 7 days (advance payments) </w:t>
      </w:r>
      <w:r w:rsidRPr="00661D7D">
        <w:rPr>
          <w:rFonts w:eastAsia="Times New Roman" w:cs="Arial"/>
          <w:iCs/>
          <w:sz w:val="20"/>
          <w:szCs w:val="20"/>
        </w:rPr>
        <w:t>or</w:t>
      </w:r>
      <w:r w:rsidRPr="00661D7D">
        <w:rPr>
          <w:rFonts w:eastAsia="Times New Roman" w:cs="Arial"/>
          <w:i/>
          <w:iCs/>
          <w:sz w:val="20"/>
          <w:szCs w:val="20"/>
        </w:rPr>
        <w:t xml:space="preserve"> 14 days (redress payments) of receiving acceptance documentation</w:t>
      </w:r>
      <w:r w:rsidRPr="00661D7D">
        <w:rPr>
          <w:rFonts w:eastAsia="Times New Roman" w:cs="Arial"/>
          <w:sz w:val="20"/>
          <w:szCs w:val="20"/>
        </w:rPr>
        <w:t xml:space="preserve"> aims to demonstrate the department </w:t>
      </w:r>
      <w:r w:rsidR="00181BA8">
        <w:rPr>
          <w:rFonts w:eastAsia="Times New Roman" w:cs="Arial"/>
          <w:sz w:val="20"/>
          <w:szCs w:val="20"/>
        </w:rPr>
        <w:t xml:space="preserve">is </w:t>
      </w:r>
      <w:r w:rsidRPr="00661D7D">
        <w:rPr>
          <w:rFonts w:eastAsia="Times New Roman" w:cs="Arial"/>
          <w:sz w:val="20"/>
          <w:szCs w:val="20"/>
        </w:rPr>
        <w:t xml:space="preserve">effectively administering the Scheme. This measure demonstrates achievement of a key </w:t>
      </w:r>
      <w:r w:rsidRPr="00661D7D">
        <w:rPr>
          <w:rFonts w:eastAsia="Times New Roman" w:cs="Arial"/>
          <w:b/>
          <w:sz w:val="20"/>
          <w:szCs w:val="20"/>
        </w:rPr>
        <w:t>output</w:t>
      </w:r>
      <w:r w:rsidRPr="00661D7D">
        <w:rPr>
          <w:rFonts w:eastAsia="Times New Roman" w:cs="Arial"/>
          <w:sz w:val="20"/>
          <w:szCs w:val="20"/>
        </w:rPr>
        <w:t xml:space="preserve"> of the National Redress Scheme key activity: People who have experienced institutional child sexual abuse gain access to</w:t>
      </w:r>
      <w:r w:rsidR="001C3606">
        <w:rPr>
          <w:rFonts w:eastAsia="Times New Roman" w:cs="Arial"/>
          <w:sz w:val="20"/>
          <w:szCs w:val="20"/>
        </w:rPr>
        <w:t> </w:t>
      </w:r>
      <w:r w:rsidRPr="00661D7D">
        <w:rPr>
          <w:rFonts w:eastAsia="Times New Roman" w:cs="Arial"/>
          <w:sz w:val="20"/>
          <w:szCs w:val="20"/>
        </w:rPr>
        <w:t>counselling and psychological services, a direct personal response and a monetary payment.</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 xml:space="preserve">Of the 3 redress outputs (payment, counselling and apology), the payment is the only output delivered by the department. The other 2 are delivered by (mostly) state and territory governments and institutions. </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 xml:space="preserve">Targeting </w:t>
      </w:r>
      <w:r w:rsidRPr="00661D7D">
        <w:rPr>
          <w:rFonts w:eastAsia="Times New Roman" w:cs="Arial"/>
          <w:i/>
          <w:sz w:val="20"/>
          <w:szCs w:val="20"/>
        </w:rPr>
        <w:t>providing survivors an advance payment or a redress payment</w:t>
      </w:r>
      <w:r w:rsidRPr="00661D7D">
        <w:rPr>
          <w:rFonts w:eastAsia="Times New Roman" w:cs="Arial"/>
          <w:sz w:val="20"/>
          <w:szCs w:val="20"/>
        </w:rPr>
        <w:t xml:space="preserve"> demonstrates achievement of</w:t>
      </w:r>
      <w:r w:rsidR="001C3606">
        <w:rPr>
          <w:rFonts w:eastAsia="Times New Roman" w:cs="Arial"/>
          <w:sz w:val="20"/>
          <w:szCs w:val="20"/>
        </w:rPr>
        <w:t> </w:t>
      </w:r>
      <w:r w:rsidRPr="00661D7D">
        <w:rPr>
          <w:rFonts w:eastAsia="Times New Roman" w:cs="Arial"/>
          <w:sz w:val="20"/>
          <w:szCs w:val="20"/>
        </w:rPr>
        <w:t>a</w:t>
      </w:r>
      <w:r w:rsidR="001C3606">
        <w:rPr>
          <w:rFonts w:eastAsia="Times New Roman" w:cs="Arial"/>
          <w:sz w:val="20"/>
          <w:szCs w:val="20"/>
        </w:rPr>
        <w:t> </w:t>
      </w:r>
      <w:r w:rsidRPr="00661D7D">
        <w:rPr>
          <w:rFonts w:eastAsia="Times New Roman" w:cs="Arial"/>
          <w:sz w:val="20"/>
          <w:szCs w:val="20"/>
        </w:rPr>
        <w:t xml:space="preserve">key </w:t>
      </w:r>
      <w:r w:rsidRPr="00661D7D">
        <w:rPr>
          <w:rFonts w:eastAsia="Times New Roman" w:cs="Arial"/>
          <w:b/>
          <w:sz w:val="20"/>
          <w:szCs w:val="20"/>
        </w:rPr>
        <w:t>output</w:t>
      </w:r>
      <w:r w:rsidRPr="00661D7D">
        <w:rPr>
          <w:rFonts w:eastAsia="Times New Roman" w:cs="Arial"/>
          <w:sz w:val="20"/>
          <w:szCs w:val="20"/>
        </w:rPr>
        <w:t xml:space="preserve"> of the Scheme. </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Advance payments are made to survivors with exceptional circumstances, and are a recent policy initiative</w:t>
      </w:r>
      <w:r w:rsidR="00181BA8">
        <w:rPr>
          <w:rFonts w:eastAsia="Times New Roman" w:cs="Arial"/>
          <w:sz w:val="20"/>
          <w:szCs w:val="20"/>
        </w:rPr>
        <w:t>.</w:t>
      </w:r>
      <w:r w:rsidRPr="00661D7D">
        <w:rPr>
          <w:rFonts w:eastAsia="Times New Roman" w:cs="Arial"/>
          <w:sz w:val="20"/>
          <w:szCs w:val="20"/>
        </w:rPr>
        <w:t xml:space="preserve"> </w:t>
      </w:r>
      <w:r w:rsidR="00181BA8">
        <w:rPr>
          <w:rFonts w:eastAsia="Times New Roman" w:cs="Arial"/>
          <w:sz w:val="20"/>
          <w:szCs w:val="20"/>
        </w:rPr>
        <w:t>T</w:t>
      </w:r>
      <w:r w:rsidRPr="00661D7D">
        <w:rPr>
          <w:rFonts w:eastAsia="Times New Roman" w:cs="Arial"/>
          <w:sz w:val="20"/>
          <w:szCs w:val="20"/>
        </w:rPr>
        <w:t>he processes are under development. The shorter timeframe for advance payments reflects the importance placed by the Scheme on making these payments available to survivors.</w:t>
      </w:r>
    </w:p>
    <w:p w:rsidR="00513FD2" w:rsidRPr="00661D7D" w:rsidRDefault="00513FD2" w:rsidP="00513FD2">
      <w:pPr>
        <w:shd w:val="clear" w:color="auto" w:fill="C2E189"/>
        <w:spacing w:before="120" w:after="120"/>
        <w:rPr>
          <w:rFonts w:eastAsia="Times New Roman" w:cs="Arial"/>
          <w:b/>
          <w:sz w:val="20"/>
          <w:szCs w:val="20"/>
        </w:rPr>
      </w:pPr>
      <w:r w:rsidRPr="00661D7D">
        <w:rPr>
          <w:rFonts w:eastAsia="Times New Roman" w:cs="Arial"/>
          <w:b/>
          <w:sz w:val="20"/>
          <w:szCs w:val="20"/>
        </w:rPr>
        <w:t>Methodology</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2.1.5-3A - Percentage of survivors who accept an offer of an advance payment and receive the payment within 7 days, as a proportion of all eligible survivors who have received the advance payment.</w:t>
      </w:r>
    </w:p>
    <w:p w:rsidR="00513FD2" w:rsidRPr="00661D7D" w:rsidRDefault="00513FD2" w:rsidP="00513FD2">
      <w:pPr>
        <w:spacing w:before="120" w:after="120"/>
        <w:rPr>
          <w:rFonts w:eastAsia="Times New Roman" w:cs="Arial"/>
          <w:sz w:val="20"/>
          <w:szCs w:val="20"/>
        </w:rPr>
      </w:pPr>
      <w:r w:rsidRPr="00661D7D">
        <w:rPr>
          <w:rFonts w:eastAsia="Times New Roman" w:cs="Arial"/>
          <w:sz w:val="20"/>
          <w:szCs w:val="20"/>
        </w:rPr>
        <w:t>2.1.5-3B - Percentage of survivors who receive the monetary component of Redress within 14 days of the Scheme receiving acceptance of the offer, as a proportion of all applicants with completed Redress payments.</w:t>
      </w:r>
    </w:p>
    <w:p w:rsidR="00513FD2" w:rsidRPr="00661D7D" w:rsidRDefault="00513FD2" w:rsidP="00513FD2">
      <w:pPr>
        <w:shd w:val="clear" w:color="auto" w:fill="C2E189"/>
        <w:spacing w:before="120" w:after="120"/>
        <w:rPr>
          <w:rFonts w:eastAsia="Times New Roman" w:cs="Arial"/>
          <w:b/>
          <w:sz w:val="20"/>
          <w:szCs w:val="20"/>
        </w:rPr>
      </w:pPr>
      <w:r w:rsidRPr="00661D7D">
        <w:rPr>
          <w:rFonts w:eastAsia="Times New Roman" w:cs="Arial"/>
          <w:b/>
          <w:sz w:val="20"/>
          <w:szCs w:val="20"/>
        </w:rPr>
        <w:t>Program Outputs</w:t>
      </w:r>
    </w:p>
    <w:p w:rsidR="00513FD2" w:rsidRPr="00661D7D" w:rsidRDefault="00513FD2" w:rsidP="00762037">
      <w:pPr>
        <w:numPr>
          <w:ilvl w:val="0"/>
          <w:numId w:val="22"/>
        </w:numPr>
        <w:spacing w:before="0" w:after="0" w:line="240" w:lineRule="auto"/>
        <w:rPr>
          <w:rFonts w:eastAsia="Times New Roman" w:cs="Arial"/>
          <w:sz w:val="20"/>
          <w:szCs w:val="20"/>
        </w:rPr>
      </w:pPr>
      <w:r w:rsidRPr="00661D7D">
        <w:rPr>
          <w:rFonts w:eastAsia="Times New Roman" w:cs="Arial"/>
          <w:sz w:val="20"/>
          <w:szCs w:val="20"/>
        </w:rPr>
        <w:t>Administered outlays</w:t>
      </w:r>
    </w:p>
    <w:p w:rsidR="00513FD2" w:rsidRPr="00661D7D" w:rsidRDefault="00513FD2" w:rsidP="00762037">
      <w:pPr>
        <w:numPr>
          <w:ilvl w:val="0"/>
          <w:numId w:val="22"/>
        </w:numPr>
        <w:spacing w:before="0" w:after="0" w:line="240" w:lineRule="auto"/>
        <w:rPr>
          <w:rFonts w:eastAsia="Times New Roman" w:cs="Arial"/>
          <w:sz w:val="20"/>
          <w:szCs w:val="20"/>
        </w:rPr>
      </w:pPr>
      <w:r w:rsidRPr="00661D7D">
        <w:rPr>
          <w:rFonts w:eastAsia="Times New Roman" w:cs="Arial"/>
          <w:sz w:val="20"/>
          <w:szCs w:val="20"/>
        </w:rPr>
        <w:t>Number of National Redress Scheme recipients</w:t>
      </w:r>
    </w:p>
    <w:p w:rsidR="00513FD2" w:rsidRPr="00661D7D" w:rsidRDefault="00513FD2" w:rsidP="00762037">
      <w:pPr>
        <w:numPr>
          <w:ilvl w:val="0"/>
          <w:numId w:val="22"/>
        </w:numPr>
        <w:spacing w:before="0" w:after="0" w:line="240" w:lineRule="auto"/>
        <w:rPr>
          <w:rFonts w:eastAsia="Times New Roman" w:cs="Arial"/>
          <w:sz w:val="20"/>
          <w:szCs w:val="20"/>
        </w:rPr>
      </w:pPr>
      <w:r w:rsidRPr="00661D7D">
        <w:rPr>
          <w:rFonts w:eastAsia="Times New Roman" w:cs="Arial"/>
          <w:sz w:val="20"/>
          <w:szCs w:val="20"/>
        </w:rPr>
        <w:t>Number of National Redress Scheme applications received</w:t>
      </w:r>
    </w:p>
    <w:p w:rsidR="00513FD2" w:rsidRDefault="00513FD2" w:rsidP="00762037">
      <w:pPr>
        <w:numPr>
          <w:ilvl w:val="0"/>
          <w:numId w:val="22"/>
        </w:numPr>
        <w:spacing w:before="0" w:after="0" w:line="240" w:lineRule="auto"/>
        <w:rPr>
          <w:rFonts w:eastAsia="Times New Roman" w:cs="Arial"/>
          <w:sz w:val="20"/>
          <w:szCs w:val="20"/>
        </w:rPr>
      </w:pPr>
      <w:r w:rsidRPr="00661D7D">
        <w:rPr>
          <w:rFonts w:eastAsia="Times New Roman" w:cs="Arial"/>
          <w:sz w:val="20"/>
          <w:szCs w:val="20"/>
        </w:rPr>
        <w:t>Number of institutions that have joined the National Redress Scheme</w:t>
      </w:r>
    </w:p>
    <w:p w:rsidR="00001B01" w:rsidRPr="00661D7D" w:rsidRDefault="00001B01" w:rsidP="005B6BFD">
      <w:pPr>
        <w:spacing w:before="0" w:after="0" w:line="240" w:lineRule="auto"/>
        <w:ind w:left="720"/>
        <w:rPr>
          <w:rFonts w:eastAsia="Times New Roman" w:cs="Arial"/>
          <w:sz w:val="20"/>
          <w:szCs w:val="20"/>
        </w:rPr>
      </w:pPr>
    </w:p>
    <w:p w:rsidR="00513FD2" w:rsidRPr="00661D7D" w:rsidRDefault="00513FD2" w:rsidP="00762037">
      <w:pPr>
        <w:spacing w:before="0" w:after="0" w:line="240" w:lineRule="auto"/>
        <w:rPr>
          <w:rFonts w:eastAsia="Times New Roman" w:cs="Arial"/>
          <w:sz w:val="20"/>
          <w:szCs w:val="20"/>
        </w:rPr>
      </w:pPr>
      <w:r w:rsidRPr="00661D7D">
        <w:rPr>
          <w:rFonts w:eastAsia="Times New Roman" w:cs="Arial"/>
          <w:sz w:val="20"/>
          <w:szCs w:val="20"/>
        </w:rPr>
        <w:t xml:space="preserve">The </w:t>
      </w:r>
      <w:r w:rsidRPr="00661D7D">
        <w:rPr>
          <w:rFonts w:eastAsia="Times New Roman" w:cs="Arial"/>
          <w:b/>
          <w:sz w:val="20"/>
          <w:szCs w:val="20"/>
        </w:rPr>
        <w:t>data sources</w:t>
      </w:r>
      <w:r w:rsidRPr="00661D7D">
        <w:rPr>
          <w:rFonts w:eastAsia="Times New Roman" w:cs="Arial"/>
          <w:sz w:val="20"/>
          <w:szCs w:val="20"/>
        </w:rPr>
        <w:t xml:space="preserve"> used for measure and target calculations are:</w:t>
      </w:r>
    </w:p>
    <w:p w:rsidR="00513FD2" w:rsidRPr="00661D7D" w:rsidRDefault="00513FD2" w:rsidP="00762037">
      <w:pPr>
        <w:numPr>
          <w:ilvl w:val="0"/>
          <w:numId w:val="22"/>
        </w:numPr>
        <w:spacing w:before="0" w:after="0" w:line="240" w:lineRule="auto"/>
        <w:rPr>
          <w:rFonts w:eastAsia="Times New Roman" w:cs="Arial"/>
          <w:sz w:val="20"/>
          <w:szCs w:val="20"/>
        </w:rPr>
      </w:pPr>
      <w:r w:rsidRPr="00661D7D">
        <w:rPr>
          <w:rFonts w:eastAsia="Times New Roman" w:cs="Arial"/>
          <w:sz w:val="20"/>
          <w:szCs w:val="20"/>
        </w:rPr>
        <w:t>Services Australia Enterprise Data Warehouse</w:t>
      </w:r>
    </w:p>
    <w:p w:rsidR="00513FD2" w:rsidRPr="00661D7D" w:rsidRDefault="00513FD2" w:rsidP="00762037">
      <w:pPr>
        <w:numPr>
          <w:ilvl w:val="0"/>
          <w:numId w:val="22"/>
        </w:numPr>
        <w:spacing w:before="0" w:after="0" w:line="240" w:lineRule="auto"/>
        <w:rPr>
          <w:rFonts w:eastAsia="Times New Roman" w:cs="Arial"/>
          <w:sz w:val="20"/>
          <w:szCs w:val="20"/>
        </w:rPr>
      </w:pPr>
      <w:r w:rsidRPr="00661D7D">
        <w:rPr>
          <w:rFonts w:eastAsia="Times New Roman" w:cs="Arial"/>
          <w:sz w:val="20"/>
          <w:szCs w:val="20"/>
        </w:rPr>
        <w:t>Department of Social Services Administrative Data</w:t>
      </w:r>
    </w:p>
    <w:p w:rsidR="00513FD2" w:rsidRPr="00661D7D" w:rsidRDefault="00513FD2" w:rsidP="00762037">
      <w:pPr>
        <w:numPr>
          <w:ilvl w:val="0"/>
          <w:numId w:val="22"/>
        </w:numPr>
        <w:spacing w:before="0" w:after="0" w:line="240" w:lineRule="auto"/>
        <w:rPr>
          <w:rFonts w:eastAsia="Times New Roman" w:cs="Arial"/>
          <w:sz w:val="20"/>
          <w:szCs w:val="20"/>
        </w:rPr>
      </w:pPr>
      <w:r w:rsidRPr="00661D7D">
        <w:rPr>
          <w:rFonts w:eastAsia="Times New Roman" w:cs="Arial"/>
          <w:sz w:val="20"/>
          <w:szCs w:val="20"/>
        </w:rPr>
        <w:t>Institutions Customer Relationship Management Siebel system</w:t>
      </w:r>
    </w:p>
    <w:p w:rsidR="00513FD2" w:rsidRPr="00661D7D" w:rsidRDefault="00513FD2" w:rsidP="00513FD2">
      <w:pPr>
        <w:spacing w:before="120" w:after="120"/>
        <w:rPr>
          <w:rFonts w:eastAsia="Calibri" w:cs="Arial"/>
          <w:sz w:val="20"/>
          <w:szCs w:val="20"/>
        </w:rPr>
      </w:pPr>
    </w:p>
    <w:p w:rsidR="00513FD2" w:rsidRPr="003F3D71" w:rsidRDefault="00513FD2" w:rsidP="00513FD2">
      <w:pPr>
        <w:pStyle w:val="Heading1-NP"/>
        <w:rPr>
          <w:rFonts w:eastAsia="Times New Roman"/>
          <w:color w:val="500778"/>
        </w:rPr>
      </w:pPr>
      <w:bookmarkStart w:id="74" w:name="_Toc77593307"/>
      <w:bookmarkStart w:id="75" w:name="_Toc111026129"/>
      <w:bookmarkStart w:id="76" w:name="_Toc46235527"/>
      <w:bookmarkStart w:id="77" w:name="_Toc47604310"/>
      <w:bookmarkStart w:id="78" w:name="_Toc77081690"/>
      <w:r w:rsidRPr="003F3D71">
        <w:rPr>
          <w:rFonts w:eastAsia="Times New Roman"/>
          <w:color w:val="500778"/>
        </w:rPr>
        <w:lastRenderedPageBreak/>
        <w:t>Outcome 3: Disability and Carers</w:t>
      </w:r>
      <w:bookmarkEnd w:id="74"/>
      <w:bookmarkEnd w:id="75"/>
    </w:p>
    <w:p w:rsidR="00513FD2" w:rsidRPr="003D49C4" w:rsidRDefault="00513FD2" w:rsidP="003D49C4">
      <w:pPr>
        <w:pStyle w:val="Heading2"/>
        <w:rPr>
          <w:rFonts w:eastAsia="Times New Roman"/>
          <w:color w:val="auto"/>
        </w:rPr>
      </w:pPr>
      <w:bookmarkStart w:id="79" w:name="_Toc77593309"/>
      <w:bookmarkStart w:id="80" w:name="_Toc111026130"/>
      <w:r w:rsidRPr="003D49C4">
        <w:rPr>
          <w:rFonts w:eastAsia="Times New Roman"/>
          <w:color w:val="auto"/>
        </w:rPr>
        <w:t>Programs and activities</w:t>
      </w:r>
      <w:bookmarkEnd w:id="79"/>
      <w:bookmarkEnd w:id="80"/>
      <w:r w:rsidRPr="003D49C4">
        <w:rPr>
          <w:rFonts w:eastAsia="Times New Roman"/>
          <w:color w:val="auto"/>
        </w:rPr>
        <w:t xml:space="preserve"> </w:t>
      </w:r>
    </w:p>
    <w:p w:rsidR="00513FD2" w:rsidRPr="003F3D71" w:rsidRDefault="00513FD2" w:rsidP="00513FD2">
      <w:pPr>
        <w:autoSpaceDE w:val="0"/>
        <w:autoSpaceDN w:val="0"/>
        <w:adjustRightInd w:val="0"/>
        <w:spacing w:before="120" w:after="120"/>
        <w:ind w:right="-164"/>
        <w:rPr>
          <w:rFonts w:eastAsia="Times New Roman" w:cs="Calibri"/>
          <w:color w:val="000000"/>
          <w:sz w:val="20"/>
          <w:szCs w:val="20"/>
        </w:rPr>
      </w:pPr>
      <w:r w:rsidRPr="003F3D71">
        <w:rPr>
          <w:rFonts w:eastAsia="Times New Roman" w:cs="Calibri"/>
          <w:color w:val="000000"/>
          <w:sz w:val="20"/>
          <w:szCs w:val="20"/>
        </w:rPr>
        <w:t>Outcome 3 comprises of 2 programs and a number of activities that contribute to the achievement of the disability and carers outcome. The table below depicts how this purpose is translated into measurable activities.</w:t>
      </w:r>
    </w:p>
    <w:p w:rsidR="00513FD2" w:rsidRPr="003F3D71" w:rsidRDefault="00513FD2" w:rsidP="00513FD2">
      <w:pPr>
        <w:autoSpaceDE w:val="0"/>
        <w:autoSpaceDN w:val="0"/>
        <w:adjustRightInd w:val="0"/>
        <w:spacing w:before="120" w:after="120"/>
        <w:ind w:right="-164"/>
        <w:rPr>
          <w:rFonts w:eastAsia="Times New Roman" w:cs="Calibri"/>
          <w:color w:val="000000"/>
          <w:sz w:val="20"/>
          <w:szCs w:val="20"/>
        </w:rPr>
      </w:pPr>
      <w:r w:rsidRPr="003F3D71">
        <w:rPr>
          <w:rFonts w:eastAsia="Times New Roman" w:cs="Calibri"/>
          <w:color w:val="000000"/>
          <w:sz w:val="20"/>
          <w:szCs w:val="20"/>
        </w:rPr>
        <w:t>An in-depth description of each of the activities, performance measures, targets, rationale, methodology and outputs are in the Performance Tables Section on the page</w:t>
      </w:r>
      <w:r w:rsidR="00B001B0">
        <w:rPr>
          <w:rFonts w:eastAsia="Times New Roman" w:cs="Calibri"/>
          <w:color w:val="000000"/>
          <w:sz w:val="20"/>
          <w:szCs w:val="20"/>
        </w:rPr>
        <w:t>s to follow</w:t>
      </w:r>
      <w:r w:rsidRPr="003F3D71">
        <w:rPr>
          <w:rFonts w:eastAsia="Times New Roman" w:cs="Calibri"/>
          <w:color w:val="000000"/>
          <w:sz w:val="20"/>
          <w:szCs w:val="20"/>
        </w:rPr>
        <w:t>.</w:t>
      </w:r>
    </w:p>
    <w:p w:rsidR="00513FD2" w:rsidRPr="003F3D71" w:rsidRDefault="00513FD2" w:rsidP="00513FD2">
      <w:pPr>
        <w:shd w:val="clear" w:color="auto" w:fill="500778"/>
        <w:spacing w:before="120" w:after="120"/>
        <w:rPr>
          <w:rFonts w:eastAsia="Times New Roman" w:cs="Calibri"/>
          <w:b/>
          <w:bCs/>
          <w:color w:val="FFFFFF"/>
          <w:sz w:val="20"/>
          <w:szCs w:val="20"/>
        </w:rPr>
      </w:pPr>
      <w:r w:rsidRPr="003F3D71">
        <w:rPr>
          <w:rFonts w:eastAsia="Times New Roman" w:cs="Calibri"/>
          <w:b/>
          <w:bCs/>
          <w:color w:val="FFFFFF"/>
          <w:sz w:val="20"/>
          <w:szCs w:val="20"/>
        </w:rPr>
        <w:t>Outcome 3 – DISABILITY AND CARERS</w:t>
      </w:r>
    </w:p>
    <w:p w:rsidR="00513FD2" w:rsidRPr="003F3D71" w:rsidRDefault="00513FD2" w:rsidP="00513FD2">
      <w:pPr>
        <w:shd w:val="clear" w:color="auto" w:fill="500778"/>
        <w:spacing w:before="120" w:after="120"/>
        <w:rPr>
          <w:rFonts w:eastAsia="Times New Roman" w:cs="Calibri"/>
          <w:color w:val="FFFFFF"/>
          <w:sz w:val="20"/>
          <w:szCs w:val="20"/>
          <w:bdr w:val="nil"/>
        </w:rPr>
      </w:pPr>
      <w:r w:rsidRPr="003F3D71">
        <w:rPr>
          <w:rFonts w:eastAsia="Times New Roman" w:cs="Calibri"/>
          <w:color w:val="FFFFFF"/>
          <w:sz w:val="20"/>
          <w:szCs w:val="20"/>
          <w:bdr w:val="nil"/>
        </w:rPr>
        <w:t>Supporting the independence of, and economic participation by, people with disability and carers by providing targeted supports.</w:t>
      </w:r>
    </w:p>
    <w:tbl>
      <w:tblPr>
        <w:tblStyle w:val="Numericaltable1"/>
        <w:tblW w:w="5098" w:type="pct"/>
        <w:jc w:val="center"/>
        <w:tblBorders>
          <w:top w:val="none" w:sz="0" w:space="0" w:color="auto"/>
          <w:left w:val="single" w:sz="36" w:space="0" w:color="FFFFFF"/>
          <w:bottom w:val="single" w:sz="36" w:space="0" w:color="FFFFFF"/>
          <w:right w:val="single" w:sz="36" w:space="0" w:color="FFFFFF"/>
          <w:insideH w:val="none" w:sz="0" w:space="0" w:color="auto"/>
          <w:insideV w:val="single" w:sz="36" w:space="0" w:color="FFFFFF"/>
        </w:tblBorders>
        <w:tblLook w:val="04A0" w:firstRow="1" w:lastRow="0" w:firstColumn="1" w:lastColumn="0" w:noHBand="0" w:noVBand="1"/>
        <w:tblCaption w:val="Programs and activities"/>
        <w:tblDescription w:val="Outcome 1 Social Security"/>
      </w:tblPr>
      <w:tblGrid>
        <w:gridCol w:w="4774"/>
        <w:gridCol w:w="4961"/>
      </w:tblGrid>
      <w:tr w:rsidR="00513FD2" w:rsidRPr="003F3D71" w:rsidTr="005B200F">
        <w:trPr>
          <w:tblHeader/>
          <w:jc w:val="center"/>
        </w:trPr>
        <w:tc>
          <w:tcPr>
            <w:tcW w:w="2452" w:type="pct"/>
            <w:tcBorders>
              <w:top w:val="single" w:sz="36" w:space="0" w:color="FFFFFF"/>
              <w:left w:val="single" w:sz="36" w:space="0" w:color="FFFFFF"/>
              <w:bottom w:val="single" w:sz="36" w:space="0" w:color="FFFFFF"/>
              <w:right w:val="single" w:sz="36" w:space="0" w:color="FFFFFF"/>
            </w:tcBorders>
            <w:shd w:val="clear" w:color="auto" w:fill="500778"/>
          </w:tcPr>
          <w:p w:rsidR="00513FD2" w:rsidRPr="00575CC9" w:rsidRDefault="00513FD2" w:rsidP="00513FD2">
            <w:pPr>
              <w:spacing w:before="120" w:after="120" w:line="259" w:lineRule="auto"/>
              <w:jc w:val="center"/>
              <w:rPr>
                <w:rFonts w:cs="Calibri"/>
                <w:b/>
                <w:color w:val="FFFFFF"/>
                <w:sz w:val="20"/>
              </w:rPr>
            </w:pPr>
            <w:r w:rsidRPr="00575CC9">
              <w:rPr>
                <w:rFonts w:cs="Calibri"/>
                <w:b/>
                <w:bCs/>
                <w:color w:val="FFFFFF"/>
                <w:sz w:val="20"/>
              </w:rPr>
              <w:t>Program 3.1</w:t>
            </w:r>
          </w:p>
          <w:p w:rsidR="00513FD2" w:rsidRPr="003F3D71" w:rsidRDefault="00513FD2" w:rsidP="00513FD2">
            <w:pPr>
              <w:spacing w:before="120" w:after="120" w:line="259" w:lineRule="auto"/>
              <w:ind w:left="134"/>
              <w:jc w:val="center"/>
              <w:rPr>
                <w:rFonts w:cs="Calibri"/>
                <w:color w:val="FFFFFF"/>
                <w:sz w:val="20"/>
              </w:rPr>
            </w:pPr>
            <w:r w:rsidRPr="00575CC9">
              <w:rPr>
                <w:rFonts w:cs="Calibri"/>
                <w:b/>
                <w:color w:val="FFFFFF"/>
                <w:sz w:val="20"/>
              </w:rPr>
              <w:t>Disability and Carers</w:t>
            </w:r>
            <w:r w:rsidRPr="003F3D71">
              <w:rPr>
                <w:rFonts w:cs="Calibri"/>
                <w:color w:val="FFFFFF"/>
                <w:sz w:val="20"/>
              </w:rPr>
              <w:t xml:space="preserve"> </w:t>
            </w:r>
          </w:p>
        </w:tc>
        <w:tc>
          <w:tcPr>
            <w:tcW w:w="2548" w:type="pct"/>
            <w:tcBorders>
              <w:top w:val="single" w:sz="36" w:space="0" w:color="FFFFFF"/>
              <w:left w:val="single" w:sz="36" w:space="0" w:color="FFFFFF"/>
              <w:bottom w:val="single" w:sz="36" w:space="0" w:color="FFFFFF"/>
              <w:right w:val="single" w:sz="36" w:space="0" w:color="FFFFFF"/>
            </w:tcBorders>
            <w:shd w:val="clear" w:color="auto" w:fill="500778"/>
          </w:tcPr>
          <w:p w:rsidR="00513FD2" w:rsidRPr="00575CC9" w:rsidRDefault="00513FD2" w:rsidP="00513FD2">
            <w:pPr>
              <w:spacing w:before="120" w:after="120" w:line="259" w:lineRule="auto"/>
              <w:jc w:val="center"/>
              <w:rPr>
                <w:rFonts w:cs="Calibri"/>
                <w:b/>
                <w:color w:val="FFFFFF"/>
                <w:sz w:val="20"/>
              </w:rPr>
            </w:pPr>
            <w:r w:rsidRPr="00575CC9">
              <w:rPr>
                <w:rFonts w:cs="Calibri"/>
                <w:b/>
                <w:bCs/>
                <w:color w:val="FFFFFF"/>
                <w:sz w:val="20"/>
              </w:rPr>
              <w:t>Program 3.2</w:t>
            </w:r>
          </w:p>
          <w:p w:rsidR="00513FD2" w:rsidRPr="003F3D71" w:rsidRDefault="00513FD2" w:rsidP="00513FD2">
            <w:pPr>
              <w:spacing w:before="120" w:after="120" w:line="259" w:lineRule="auto"/>
              <w:jc w:val="center"/>
              <w:rPr>
                <w:rFonts w:cs="Calibri"/>
                <w:bCs/>
                <w:color w:val="FFFFFF"/>
                <w:sz w:val="20"/>
              </w:rPr>
            </w:pPr>
            <w:r w:rsidRPr="00575CC9">
              <w:rPr>
                <w:rFonts w:cs="Calibri"/>
                <w:b/>
                <w:color w:val="FFFFFF"/>
                <w:sz w:val="20"/>
              </w:rPr>
              <w:t>National Disability Insurance Scheme</w:t>
            </w:r>
          </w:p>
        </w:tc>
      </w:tr>
      <w:tr w:rsidR="00513FD2" w:rsidRPr="003F3D71" w:rsidTr="00513FD2">
        <w:trPr>
          <w:jc w:val="center"/>
        </w:trPr>
        <w:tc>
          <w:tcPr>
            <w:tcW w:w="2452" w:type="pct"/>
            <w:tcBorders>
              <w:top w:val="single" w:sz="36" w:space="0" w:color="FFFFFF"/>
              <w:left w:val="single" w:sz="36" w:space="0" w:color="FFFFFF"/>
              <w:bottom w:val="single" w:sz="36" w:space="0" w:color="FFFFFF"/>
              <w:right w:val="single" w:sz="36" w:space="0" w:color="FFFFFF"/>
            </w:tcBorders>
            <w:shd w:val="clear" w:color="auto" w:fill="CCC0D9" w:themeFill="accent4" w:themeFillTint="66"/>
          </w:tcPr>
          <w:p w:rsidR="00513FD2" w:rsidRPr="00575CC9" w:rsidRDefault="00513FD2" w:rsidP="00513FD2">
            <w:pPr>
              <w:spacing w:before="120" w:after="120" w:line="259" w:lineRule="auto"/>
              <w:ind w:left="85"/>
              <w:jc w:val="center"/>
              <w:rPr>
                <w:rFonts w:cs="Calibri"/>
                <w:b/>
                <w:sz w:val="20"/>
              </w:rPr>
            </w:pPr>
            <w:r w:rsidRPr="00575CC9">
              <w:rPr>
                <w:rFonts w:cs="Calibri"/>
                <w:b/>
                <w:bCs/>
                <w:sz w:val="20"/>
              </w:rPr>
              <w:t>Key activities</w:t>
            </w:r>
          </w:p>
          <w:p w:rsidR="00513FD2" w:rsidRPr="003F3D71" w:rsidRDefault="00513FD2" w:rsidP="00513FD2">
            <w:pPr>
              <w:spacing w:before="120" w:after="120" w:line="259" w:lineRule="auto"/>
              <w:ind w:left="170"/>
              <w:rPr>
                <w:rFonts w:cs="Calibri"/>
                <w:sz w:val="20"/>
              </w:rPr>
            </w:pPr>
            <w:r w:rsidRPr="003F3D71">
              <w:rPr>
                <w:rFonts w:cs="Calibri"/>
                <w:sz w:val="20"/>
              </w:rPr>
              <w:t>3.1.1 – Disability employment services</w:t>
            </w:r>
          </w:p>
          <w:p w:rsidR="00513FD2" w:rsidRPr="003F3D71" w:rsidRDefault="00513FD2" w:rsidP="00513FD2">
            <w:pPr>
              <w:spacing w:before="120" w:after="120" w:line="259" w:lineRule="auto"/>
              <w:ind w:left="170"/>
              <w:rPr>
                <w:rFonts w:cs="Calibri"/>
                <w:sz w:val="20"/>
              </w:rPr>
            </w:pPr>
            <w:r w:rsidRPr="003F3D71">
              <w:rPr>
                <w:rFonts w:cs="Calibri"/>
                <w:sz w:val="20"/>
              </w:rPr>
              <w:t>3.1.2 – Support for carers</w:t>
            </w:r>
          </w:p>
          <w:p w:rsidR="00513FD2" w:rsidRPr="003F3D71" w:rsidRDefault="00513FD2" w:rsidP="00513FD2">
            <w:pPr>
              <w:spacing w:before="120" w:after="120" w:line="259" w:lineRule="auto"/>
              <w:ind w:left="170"/>
              <w:rPr>
                <w:rFonts w:cs="Calibri"/>
                <w:sz w:val="20"/>
              </w:rPr>
            </w:pPr>
          </w:p>
        </w:tc>
        <w:tc>
          <w:tcPr>
            <w:tcW w:w="2548" w:type="pct"/>
            <w:tcBorders>
              <w:top w:val="single" w:sz="36" w:space="0" w:color="FFFFFF"/>
              <w:left w:val="single" w:sz="36" w:space="0" w:color="FFFFFF"/>
              <w:bottom w:val="single" w:sz="36" w:space="0" w:color="FFFFFF"/>
              <w:right w:val="single" w:sz="36" w:space="0" w:color="FFFFFF"/>
            </w:tcBorders>
            <w:shd w:val="clear" w:color="auto" w:fill="CCC0D9" w:themeFill="accent4" w:themeFillTint="66"/>
          </w:tcPr>
          <w:p w:rsidR="00513FD2" w:rsidRPr="00575CC9" w:rsidRDefault="00513FD2" w:rsidP="00513FD2">
            <w:pPr>
              <w:spacing w:before="120" w:after="120" w:line="259" w:lineRule="auto"/>
              <w:ind w:left="85"/>
              <w:jc w:val="center"/>
              <w:rPr>
                <w:rFonts w:cs="Calibri"/>
                <w:b/>
                <w:sz w:val="20"/>
              </w:rPr>
            </w:pPr>
            <w:r w:rsidRPr="00575CC9">
              <w:rPr>
                <w:rFonts w:cs="Calibri"/>
                <w:b/>
                <w:bCs/>
                <w:sz w:val="20"/>
              </w:rPr>
              <w:t>Key activities</w:t>
            </w:r>
          </w:p>
          <w:p w:rsidR="00513FD2" w:rsidRDefault="00513FD2" w:rsidP="00513FD2">
            <w:pPr>
              <w:spacing w:before="120" w:after="120" w:line="259" w:lineRule="auto"/>
              <w:ind w:left="85"/>
              <w:rPr>
                <w:rFonts w:cs="Calibri"/>
                <w:sz w:val="20"/>
              </w:rPr>
            </w:pPr>
            <w:r w:rsidRPr="003F3D71">
              <w:rPr>
                <w:rFonts w:cs="Calibri"/>
                <w:sz w:val="20"/>
              </w:rPr>
              <w:t xml:space="preserve">3.2.1 – NDIS Transition </w:t>
            </w:r>
          </w:p>
          <w:p w:rsidR="00513FD2" w:rsidRPr="003F3D71" w:rsidRDefault="00513FD2" w:rsidP="00513FD2">
            <w:pPr>
              <w:spacing w:before="120" w:after="120" w:line="259" w:lineRule="auto"/>
              <w:ind w:left="85"/>
              <w:rPr>
                <w:rFonts w:cs="Calibri"/>
                <w:sz w:val="20"/>
              </w:rPr>
            </w:pPr>
            <w:r w:rsidRPr="003F3D71">
              <w:rPr>
                <w:rFonts w:cs="Calibri"/>
                <w:sz w:val="20"/>
              </w:rPr>
              <w:t>3.2.2 – Development of the NDIS Market</w:t>
            </w:r>
          </w:p>
          <w:p w:rsidR="00513FD2" w:rsidRPr="003F3D71" w:rsidRDefault="00513FD2" w:rsidP="00276CDD">
            <w:pPr>
              <w:spacing w:before="120" w:after="120" w:line="259" w:lineRule="auto"/>
              <w:ind w:left="85"/>
              <w:rPr>
                <w:rFonts w:cs="Calibri"/>
                <w:bCs/>
                <w:sz w:val="20"/>
              </w:rPr>
            </w:pPr>
            <w:r w:rsidRPr="003F3D71">
              <w:rPr>
                <w:rFonts w:cs="Calibri"/>
                <w:sz w:val="20"/>
              </w:rPr>
              <w:t xml:space="preserve">3.2.3 </w:t>
            </w:r>
            <w:r w:rsidR="00276CDD">
              <w:rPr>
                <w:rFonts w:cs="Calibri"/>
                <w:sz w:val="20"/>
              </w:rPr>
              <w:t xml:space="preserve">– </w:t>
            </w:r>
            <w:r w:rsidRPr="003F3D71">
              <w:rPr>
                <w:rFonts w:cs="Calibri"/>
                <w:sz w:val="20"/>
              </w:rPr>
              <w:t xml:space="preserve"> NDIS Participant Plans</w:t>
            </w:r>
          </w:p>
        </w:tc>
      </w:tr>
    </w:tbl>
    <w:p w:rsidR="00513FD2" w:rsidRPr="003F3D71" w:rsidRDefault="00513FD2" w:rsidP="00513FD2">
      <w:pPr>
        <w:spacing w:before="0" w:after="160"/>
        <w:rPr>
          <w:rFonts w:ascii="Cambria" w:eastAsia="Times New Roman" w:hAnsi="Cambria" w:cs="Times New Roman"/>
          <w:color w:val="00B0B9"/>
          <w:sz w:val="32"/>
          <w:szCs w:val="32"/>
        </w:rPr>
      </w:pPr>
      <w:r w:rsidRPr="003F3D71">
        <w:rPr>
          <w:rFonts w:eastAsia="Times New Roman" w:cs="Times New Roman"/>
          <w:sz w:val="22"/>
        </w:rPr>
        <w:br w:type="page"/>
      </w:r>
    </w:p>
    <w:p w:rsidR="00513FD2" w:rsidRPr="003D49C4" w:rsidRDefault="00513FD2" w:rsidP="003D49C4">
      <w:pPr>
        <w:pStyle w:val="Heading2"/>
        <w:rPr>
          <w:rFonts w:eastAsia="Times New Roman" w:cs="Calibri"/>
          <w:color w:val="500778"/>
          <w:szCs w:val="18"/>
        </w:rPr>
      </w:pPr>
      <w:bookmarkStart w:id="81" w:name="_Toc77593310"/>
      <w:bookmarkStart w:id="82" w:name="_Toc111026131"/>
      <w:r w:rsidRPr="003D49C4">
        <w:rPr>
          <w:rFonts w:eastAsia="Times New Roman"/>
          <w:color w:val="500778"/>
        </w:rPr>
        <w:lastRenderedPageBreak/>
        <w:t>Performance Tables Outcome 3: Disability and Carers</w:t>
      </w:r>
      <w:bookmarkEnd w:id="76"/>
      <w:bookmarkEnd w:id="77"/>
      <w:bookmarkEnd w:id="78"/>
      <w:bookmarkEnd w:id="81"/>
      <w:bookmarkEnd w:id="82"/>
    </w:p>
    <w:p w:rsidR="00513FD2" w:rsidRDefault="00513FD2" w:rsidP="00513FD2">
      <w:pPr>
        <w:shd w:val="clear" w:color="auto" w:fill="500778"/>
        <w:spacing w:before="120" w:after="120"/>
        <w:rPr>
          <w:rFonts w:eastAsia="Times New Roman" w:cs="Arial"/>
          <w:b/>
          <w:color w:val="FFFFFF"/>
          <w:sz w:val="20"/>
          <w:szCs w:val="20"/>
        </w:rPr>
      </w:pPr>
      <w:r w:rsidRPr="003F3D71">
        <w:rPr>
          <w:rFonts w:eastAsia="Times New Roman" w:cs="Arial"/>
          <w:b/>
          <w:color w:val="FFFFFF"/>
          <w:sz w:val="20"/>
          <w:szCs w:val="20"/>
        </w:rPr>
        <w:t>PROGRAM 3.1 DISABILITY AND CARERS</w:t>
      </w:r>
    </w:p>
    <w:p w:rsidR="00513FD2" w:rsidRPr="002E56E0" w:rsidRDefault="00513FD2" w:rsidP="00513FD2">
      <w:pPr>
        <w:shd w:val="clear" w:color="auto" w:fill="500778"/>
        <w:spacing w:before="120" w:after="120"/>
        <w:rPr>
          <w:rFonts w:eastAsia="Times New Roman" w:cs="Arial"/>
          <w:color w:val="FFFFFF"/>
          <w:sz w:val="20"/>
          <w:szCs w:val="20"/>
        </w:rPr>
      </w:pPr>
      <w:r w:rsidRPr="002E56E0">
        <w:rPr>
          <w:rFonts w:eastAsia="Times New Roman" w:cs="Arial"/>
          <w:color w:val="FFFFFF"/>
          <w:sz w:val="20"/>
          <w:szCs w:val="20"/>
        </w:rPr>
        <w:t>To support people with disabilities and carers</w:t>
      </w:r>
      <w:r>
        <w:rPr>
          <w:rFonts w:eastAsia="Times New Roman" w:cs="Arial"/>
          <w:color w:val="FFFFFF"/>
          <w:sz w:val="20"/>
          <w:szCs w:val="20"/>
        </w:rPr>
        <w:t xml:space="preserve"> to actively participate in community and economic life.</w:t>
      </w:r>
    </w:p>
    <w:p w:rsidR="00513FD2" w:rsidRPr="003F3D71" w:rsidRDefault="00513FD2" w:rsidP="00513FD2">
      <w:pPr>
        <w:shd w:val="clear" w:color="auto" w:fill="CCC0D9" w:themeFill="accent4" w:themeFillTint="66"/>
        <w:spacing w:before="120" w:after="120"/>
        <w:rPr>
          <w:rFonts w:eastAsia="Times New Roman" w:cs="Arial"/>
          <w:b/>
          <w:sz w:val="20"/>
          <w:szCs w:val="20"/>
        </w:rPr>
      </w:pPr>
      <w:r w:rsidRPr="003F3D71">
        <w:rPr>
          <w:rFonts w:eastAsia="Times New Roman" w:cs="Arial"/>
          <w:b/>
          <w:sz w:val="20"/>
          <w:szCs w:val="20"/>
        </w:rPr>
        <w:t>Key Activity — 3.1.1 Disability Employment Services</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Disability Employment Services (DES) is a key activity of the Disability and Carers Program. DES aims to</w:t>
      </w:r>
      <w:r w:rsidR="001C3606">
        <w:rPr>
          <w:rFonts w:eastAsia="Times New Roman" w:cs="Arial"/>
          <w:sz w:val="20"/>
          <w:szCs w:val="20"/>
        </w:rPr>
        <w:t> </w:t>
      </w:r>
      <w:r w:rsidRPr="003F3D71">
        <w:rPr>
          <w:rFonts w:eastAsia="Times New Roman" w:cs="Arial"/>
          <w:sz w:val="20"/>
          <w:szCs w:val="20"/>
        </w:rPr>
        <w:t>help individuals with injury, disability, or a health condition to secure and maintain sustainable open employment. Through DES, people with disability, injury or health condition may be able to receive assistance to prepare for, find and keep employment.</w:t>
      </w:r>
    </w:p>
    <w:p w:rsidR="00513FD2" w:rsidRPr="003F3D71" w:rsidRDefault="00513FD2" w:rsidP="00513FD2">
      <w:pPr>
        <w:spacing w:before="120" w:after="120"/>
        <w:rPr>
          <w:rFonts w:eastAsia="Times New Roman" w:cs="Arial"/>
          <w:sz w:val="20"/>
          <w:szCs w:val="20"/>
        </w:rPr>
      </w:pPr>
      <w:bookmarkStart w:id="83" w:name="_Toc89872377"/>
      <w:r w:rsidRPr="003F3D71">
        <w:rPr>
          <w:rFonts w:eastAsia="Times New Roman" w:cs="Arial"/>
          <w:sz w:val="20"/>
          <w:szCs w:val="20"/>
        </w:rPr>
        <w:t>DES providers are a mix of large, medium, and small for-profit and not-for-profit organisations that are experienced in supporting people with disability as well as providing assistance to employers to put in place practices that support the employee in the workplace.</w:t>
      </w:r>
      <w:bookmarkEnd w:id="83"/>
    </w:p>
    <w:p w:rsidR="00513FD2" w:rsidRPr="003F3D71" w:rsidRDefault="00513FD2" w:rsidP="00513FD2">
      <w:pPr>
        <w:spacing w:before="120" w:after="120"/>
        <w:rPr>
          <w:rFonts w:eastAsia="Times New Roman" w:cs="Arial"/>
          <w:sz w:val="20"/>
          <w:szCs w:val="20"/>
        </w:rPr>
      </w:pPr>
      <w:bookmarkStart w:id="84" w:name="_Toc89872378"/>
      <w:r w:rsidRPr="003F3D71">
        <w:rPr>
          <w:rFonts w:eastAsia="Times New Roman" w:cs="Arial"/>
          <w:sz w:val="20"/>
          <w:szCs w:val="20"/>
        </w:rPr>
        <w:t>When a person with disability has been placed in a job, a DES provider will give them employment support for at least 52 weeks. Support may also be available to help both the employee and employer beyond this time, where it is needed.</w:t>
      </w:r>
      <w:bookmarkEnd w:id="84"/>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For employers, DES can provide a range of free services, including help to employ and retain workers with disability and access to a range of financial incentives and support.</w:t>
      </w:r>
    </w:p>
    <w:p w:rsidR="00513FD2" w:rsidRPr="003F3D71" w:rsidRDefault="00513FD2" w:rsidP="00513FD2">
      <w:pPr>
        <w:spacing w:before="120" w:after="120"/>
        <w:rPr>
          <w:rFonts w:eastAsia="Times New Roman" w:cs="Arial"/>
          <w:sz w:val="20"/>
          <w:szCs w:val="20"/>
        </w:rPr>
      </w:pPr>
      <w:r w:rsidRPr="008554C7">
        <w:rPr>
          <w:rFonts w:eastAsia="Times New Roman" w:cs="Arial"/>
          <w:b/>
          <w:sz w:val="20"/>
          <w:szCs w:val="20"/>
        </w:rPr>
        <w:t xml:space="preserve">The </w:t>
      </w:r>
      <w:r w:rsidRPr="000071B1">
        <w:rPr>
          <w:rFonts w:eastAsia="Times New Roman" w:cs="Arial"/>
          <w:b/>
          <w:sz w:val="20"/>
          <w:szCs w:val="20"/>
        </w:rPr>
        <w:t>d</w:t>
      </w:r>
      <w:r w:rsidRPr="001C37B7">
        <w:rPr>
          <w:rFonts w:eastAsia="Times New Roman" w:cs="Arial"/>
          <w:b/>
          <w:sz w:val="20"/>
          <w:szCs w:val="20"/>
        </w:rPr>
        <w:t>epartment’s</w:t>
      </w:r>
      <w:r w:rsidRPr="003F3D71">
        <w:rPr>
          <w:rFonts w:eastAsia="Times New Roman" w:cs="Arial"/>
          <w:sz w:val="20"/>
          <w:szCs w:val="20"/>
        </w:rPr>
        <w:t xml:space="preserve"> role is to:</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rPr>
        <w:t>manage the grants process for DES</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rPr>
        <w:t>conduct the assurance and compliance program</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rPr>
        <w:t>manage service providers against the DES performance service framework</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rPr>
        <w:t>design and implement the DES Funding Model, including setting the pricing structure base and set milestones for providers</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rPr>
        <w:t xml:space="preserve">manage the Job Access website and telephone service. </w:t>
      </w:r>
    </w:p>
    <w:p w:rsidR="00513FD2" w:rsidRPr="003F3D71" w:rsidRDefault="00513FD2" w:rsidP="00513FD2">
      <w:pPr>
        <w:spacing w:before="120" w:after="120"/>
        <w:rPr>
          <w:rFonts w:eastAsia="Times New Roman" w:cs="Arial"/>
          <w:b/>
          <w:sz w:val="20"/>
          <w:szCs w:val="20"/>
        </w:rPr>
      </w:pPr>
      <w:r w:rsidRPr="003F3D71">
        <w:rPr>
          <w:rFonts w:eastAsia="Times New Roman" w:cs="Arial"/>
          <w:sz w:val="20"/>
          <w:szCs w:val="20"/>
        </w:rPr>
        <w:t>The</w:t>
      </w:r>
      <w:r w:rsidRPr="003F3D71">
        <w:rPr>
          <w:rFonts w:eastAsia="Times New Roman" w:cs="Arial"/>
          <w:b/>
          <w:sz w:val="20"/>
          <w:szCs w:val="20"/>
        </w:rPr>
        <w:t xml:space="preserve"> Disability Employment Service Providers </w:t>
      </w:r>
      <w:r w:rsidRPr="003F3D71">
        <w:rPr>
          <w:rFonts w:eastAsia="Times New Roman" w:cs="Arial"/>
          <w:sz w:val="20"/>
          <w:szCs w:val="20"/>
        </w:rPr>
        <w:t>role is:</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Grants are provided to disability employment services providers to deliver 2 services:</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b/>
          <w:sz w:val="20"/>
          <w:szCs w:val="20"/>
        </w:rPr>
        <w:t>Disability Management Service</w:t>
      </w:r>
      <w:r w:rsidRPr="003F3D71">
        <w:rPr>
          <w:rFonts w:eastAsia="Times New Roman" w:cs="Arial"/>
          <w:sz w:val="20"/>
          <w:szCs w:val="20"/>
        </w:rPr>
        <w:t xml:space="preserve"> is for job seekers with disability, injury or health condition who need assistance to find employment and occasional support in the workplace to keep a job.</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b/>
          <w:sz w:val="20"/>
          <w:szCs w:val="20"/>
        </w:rPr>
        <w:t xml:space="preserve">Employment Support Service </w:t>
      </w:r>
      <w:r w:rsidRPr="003F3D71">
        <w:rPr>
          <w:rFonts w:eastAsia="Times New Roman" w:cs="Arial"/>
          <w:sz w:val="20"/>
          <w:szCs w:val="20"/>
        </w:rPr>
        <w:t>provides assistance to job seekers with permanent disability to find employment and who need regular, ongoing support in the workplace to keep a job.</w:t>
      </w:r>
    </w:p>
    <w:tbl>
      <w:tblPr>
        <w:tblStyle w:val="TableGrid396"/>
        <w:tblW w:w="4983" w:type="pct"/>
        <w:jc w:val="center"/>
        <w:tblLook w:val="04A0" w:firstRow="1" w:lastRow="0" w:firstColumn="1" w:lastColumn="0" w:noHBand="0" w:noVBand="1"/>
        <w:tblCaption w:val="3.1.1 performance measure and target"/>
        <w:tblDescription w:val="Table outlines the targeted disability employment percentages across 2022-23, 2023-24, 2024-25 and 2025-26"/>
      </w:tblPr>
      <w:tblGrid>
        <w:gridCol w:w="3962"/>
        <w:gridCol w:w="1406"/>
        <w:gridCol w:w="1409"/>
        <w:gridCol w:w="1409"/>
        <w:gridCol w:w="1409"/>
      </w:tblGrid>
      <w:tr w:rsidR="00513FD2" w:rsidRPr="003F3D71" w:rsidTr="005B200F">
        <w:trPr>
          <w:cantSplit/>
          <w:trHeight w:val="356"/>
          <w:tblHeader/>
          <w:jc w:val="center"/>
        </w:trPr>
        <w:tc>
          <w:tcPr>
            <w:tcW w:w="5000" w:type="pct"/>
            <w:gridSpan w:val="5"/>
            <w:shd w:val="clear" w:color="auto" w:fill="D9D9D6"/>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Performance Measure</w:t>
            </w:r>
          </w:p>
        </w:tc>
      </w:tr>
      <w:tr w:rsidR="00513FD2" w:rsidRPr="003F3D71" w:rsidTr="00513FD2">
        <w:trPr>
          <w:cantSplit/>
          <w:trHeight w:val="356"/>
          <w:jc w:val="center"/>
        </w:trPr>
        <w:tc>
          <w:tcPr>
            <w:tcW w:w="5000" w:type="pct"/>
            <w:gridSpan w:val="5"/>
            <w:shd w:val="clear" w:color="auto" w:fill="auto"/>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3.1.1-1 - Extent to which people with disability are supported to find and maintain employment through Disability Employment Services</w:t>
            </w:r>
          </w:p>
        </w:tc>
      </w:tr>
      <w:tr w:rsidR="00513FD2" w:rsidRPr="003F3D71" w:rsidTr="00513FD2">
        <w:trPr>
          <w:cantSplit/>
          <w:trHeight w:val="356"/>
          <w:jc w:val="center"/>
        </w:trPr>
        <w:tc>
          <w:tcPr>
            <w:tcW w:w="2065" w:type="pct"/>
            <w:shd w:val="clear" w:color="auto" w:fill="D9D9D6"/>
          </w:tcPr>
          <w:p w:rsidR="00513FD2" w:rsidRPr="003F3D71" w:rsidRDefault="00513FD2" w:rsidP="00513FD2">
            <w:pPr>
              <w:spacing w:before="120" w:after="120" w:line="259" w:lineRule="auto"/>
              <w:rPr>
                <w:rFonts w:eastAsia="Times New Roman" w:cs="Arial"/>
                <w:sz w:val="20"/>
              </w:rPr>
            </w:pPr>
            <w:r w:rsidRPr="003F3D71">
              <w:rPr>
                <w:rFonts w:eastAsia="Times New Roman" w:cs="Arial"/>
                <w:b/>
                <w:sz w:val="20"/>
              </w:rPr>
              <w:t>Target</w:t>
            </w:r>
          </w:p>
        </w:tc>
        <w:tc>
          <w:tcPr>
            <w:tcW w:w="733" w:type="pct"/>
            <w:shd w:val="clear" w:color="auto" w:fill="D9D9D6"/>
            <w:vAlign w:val="center"/>
          </w:tcPr>
          <w:p w:rsidR="00513FD2" w:rsidRPr="003F3D71" w:rsidRDefault="00513FD2" w:rsidP="00513FD2">
            <w:pPr>
              <w:spacing w:before="120" w:after="120" w:line="259" w:lineRule="auto"/>
              <w:rPr>
                <w:rFonts w:eastAsia="Times New Roman" w:cs="Arial"/>
                <w:sz w:val="20"/>
              </w:rPr>
            </w:pPr>
            <w:r w:rsidRPr="003F3D71">
              <w:rPr>
                <w:rFonts w:eastAsia="Times New Roman" w:cs="Arial"/>
                <w:b/>
                <w:sz w:val="20"/>
              </w:rPr>
              <w:t>2022–23</w:t>
            </w:r>
          </w:p>
        </w:tc>
        <w:tc>
          <w:tcPr>
            <w:tcW w:w="734" w:type="pct"/>
            <w:shd w:val="clear" w:color="auto" w:fill="D9D9D6"/>
            <w:vAlign w:val="center"/>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2023–24</w:t>
            </w:r>
          </w:p>
        </w:tc>
        <w:tc>
          <w:tcPr>
            <w:tcW w:w="734" w:type="pct"/>
            <w:shd w:val="clear" w:color="auto" w:fill="D9D9D6"/>
            <w:vAlign w:val="center"/>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2024–25</w:t>
            </w:r>
          </w:p>
        </w:tc>
        <w:tc>
          <w:tcPr>
            <w:tcW w:w="733" w:type="pct"/>
            <w:shd w:val="clear" w:color="auto" w:fill="D9D9D6"/>
            <w:vAlign w:val="center"/>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2025–26</w:t>
            </w:r>
          </w:p>
        </w:tc>
      </w:tr>
      <w:tr w:rsidR="00513FD2" w:rsidRPr="003F3D71" w:rsidTr="00513FD2">
        <w:trPr>
          <w:cantSplit/>
          <w:trHeight w:val="356"/>
          <w:jc w:val="center"/>
        </w:trPr>
        <w:tc>
          <w:tcPr>
            <w:tcW w:w="2065" w:type="pct"/>
            <w:shd w:val="clear" w:color="auto" w:fill="FFFFFF"/>
          </w:tcPr>
          <w:p w:rsidR="00513FD2" w:rsidRPr="003F3D71" w:rsidRDefault="00513FD2" w:rsidP="00181BA8">
            <w:pPr>
              <w:keepLines/>
              <w:pBdr>
                <w:top w:val="nil"/>
                <w:left w:val="nil"/>
                <w:bottom w:val="nil"/>
                <w:right w:val="nil"/>
                <w:between w:val="nil"/>
                <w:bar w:val="nil"/>
              </w:pBdr>
              <w:spacing w:before="120" w:after="120" w:line="259" w:lineRule="auto"/>
              <w:rPr>
                <w:rFonts w:eastAsia="Calibri" w:cs="Arial"/>
                <w:iCs/>
                <w:sz w:val="20"/>
                <w:bdr w:val="nil"/>
              </w:rPr>
            </w:pPr>
            <w:r w:rsidRPr="003F3D71">
              <w:rPr>
                <w:rFonts w:eastAsia="Times New Roman" w:cs="Arial"/>
                <w:iCs/>
                <w:noProof/>
                <w:sz w:val="20"/>
                <w:lang w:eastAsia="en-AU"/>
              </w:rPr>
              <w:sym w:font="Wingdings" w:char="F074"/>
            </w:r>
            <w:r w:rsidRPr="003F3D71">
              <w:rPr>
                <w:rFonts w:eastAsia="Times New Roman" w:cs="Arial"/>
                <w:iCs/>
                <w:sz w:val="20"/>
              </w:rPr>
              <w:t xml:space="preserve"> </w:t>
            </w:r>
            <w:r w:rsidRPr="003F3D71">
              <w:rPr>
                <w:rFonts w:eastAsia="Times New Roman" w:cs="Arial"/>
                <w:iCs/>
                <w:noProof/>
                <w:sz w:val="20"/>
                <w:lang w:eastAsia="en-AU"/>
              </w:rPr>
              <w:t xml:space="preserve">3.1.1-1A - </w:t>
            </w:r>
            <w:r w:rsidRPr="003F3D71">
              <w:rPr>
                <w:rFonts w:eastAsia="Calibri" w:cs="Arial"/>
                <w:iCs/>
                <w:sz w:val="20"/>
                <w:bdr w:val="nil"/>
              </w:rPr>
              <w:t>At least 40</w:t>
            </w:r>
            <w:r w:rsidR="00181BA8">
              <w:rPr>
                <w:rFonts w:eastAsia="Calibri" w:cs="Arial"/>
                <w:iCs/>
                <w:sz w:val="20"/>
                <w:bdr w:val="nil"/>
              </w:rPr>
              <w:t>%</w:t>
            </w:r>
            <w:r w:rsidRPr="003F3D71">
              <w:rPr>
                <w:rFonts w:eastAsia="Calibri" w:cs="Arial"/>
                <w:iCs/>
                <w:sz w:val="20"/>
                <w:bdr w:val="nil"/>
              </w:rPr>
              <w:t xml:space="preserve"> of job placements sustained to 13 weeks.</w:t>
            </w:r>
          </w:p>
        </w:tc>
        <w:tc>
          <w:tcPr>
            <w:tcW w:w="733" w:type="pct"/>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xml:space="preserve">≥ 40 % to 13 weeks </w:t>
            </w:r>
          </w:p>
        </w:tc>
        <w:tc>
          <w:tcPr>
            <w:tcW w:w="734" w:type="pct"/>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xml:space="preserve">≥ 40 % to 13 weeks </w:t>
            </w:r>
          </w:p>
        </w:tc>
        <w:tc>
          <w:tcPr>
            <w:tcW w:w="734" w:type="pct"/>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xml:space="preserve">≥ 40 % to 13 weeks </w:t>
            </w:r>
          </w:p>
        </w:tc>
        <w:tc>
          <w:tcPr>
            <w:tcW w:w="733" w:type="pct"/>
            <w:shd w:val="clear" w:color="auto" w:fill="FFFFFF"/>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xml:space="preserve">≥ 40 % to 13 weeks </w:t>
            </w:r>
          </w:p>
        </w:tc>
      </w:tr>
      <w:tr w:rsidR="00513FD2" w:rsidRPr="003F3D71" w:rsidTr="00513FD2">
        <w:trPr>
          <w:cantSplit/>
          <w:trHeight w:val="356"/>
          <w:jc w:val="center"/>
        </w:trPr>
        <w:tc>
          <w:tcPr>
            <w:tcW w:w="2065" w:type="pct"/>
            <w:shd w:val="clear" w:color="auto" w:fill="FFFFFF"/>
          </w:tcPr>
          <w:p w:rsidR="00513FD2" w:rsidRPr="003F3D71" w:rsidRDefault="00513FD2" w:rsidP="00181BA8">
            <w:pPr>
              <w:keepLines/>
              <w:pBdr>
                <w:top w:val="nil"/>
                <w:left w:val="nil"/>
                <w:bottom w:val="nil"/>
                <w:right w:val="nil"/>
                <w:between w:val="nil"/>
                <w:bar w:val="nil"/>
              </w:pBdr>
              <w:spacing w:before="120" w:after="120" w:line="259" w:lineRule="auto"/>
              <w:rPr>
                <w:rFonts w:eastAsia="Calibri" w:cs="Arial"/>
                <w:iCs/>
                <w:sz w:val="20"/>
                <w:bdr w:val="nil"/>
              </w:rPr>
            </w:pPr>
            <w:r w:rsidRPr="003F3D71">
              <w:rPr>
                <w:rFonts w:eastAsia="Times New Roman" w:cs="Arial"/>
                <w:iCs/>
                <w:noProof/>
                <w:sz w:val="20"/>
                <w:lang w:eastAsia="en-AU"/>
              </w:rPr>
              <w:sym w:font="Wingdings" w:char="F074"/>
            </w:r>
            <w:r w:rsidRPr="003F3D71">
              <w:rPr>
                <w:rFonts w:eastAsia="Times New Roman" w:cs="Arial"/>
                <w:iCs/>
                <w:sz w:val="20"/>
              </w:rPr>
              <w:t xml:space="preserve"> 3.1.1-1B - </w:t>
            </w:r>
            <w:r w:rsidRPr="003F3D71">
              <w:rPr>
                <w:rFonts w:eastAsia="Calibri" w:cs="Arial"/>
                <w:iCs/>
                <w:sz w:val="20"/>
                <w:bdr w:val="nil"/>
              </w:rPr>
              <w:t>At least 30</w:t>
            </w:r>
            <w:r w:rsidR="00181BA8">
              <w:rPr>
                <w:rFonts w:eastAsia="Calibri" w:cs="Arial"/>
                <w:iCs/>
                <w:sz w:val="20"/>
                <w:bdr w:val="nil"/>
              </w:rPr>
              <w:t>%</w:t>
            </w:r>
            <w:r w:rsidR="00F75DDA">
              <w:rPr>
                <w:rFonts w:eastAsia="Calibri" w:cs="Arial"/>
                <w:iCs/>
                <w:sz w:val="20"/>
                <w:bdr w:val="nil"/>
              </w:rPr>
              <w:t xml:space="preserve"> </w:t>
            </w:r>
            <w:r w:rsidRPr="003F3D71">
              <w:rPr>
                <w:rFonts w:eastAsia="Calibri" w:cs="Arial"/>
                <w:iCs/>
                <w:sz w:val="20"/>
                <w:bdr w:val="nil"/>
              </w:rPr>
              <w:t>of job placements sustained to 26 weeks.</w:t>
            </w:r>
          </w:p>
        </w:tc>
        <w:tc>
          <w:tcPr>
            <w:tcW w:w="733" w:type="pct"/>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xml:space="preserve">≥ 30 % to 26 weeks </w:t>
            </w:r>
          </w:p>
        </w:tc>
        <w:tc>
          <w:tcPr>
            <w:tcW w:w="734" w:type="pct"/>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xml:space="preserve">≥ 30 % to 26 weeks </w:t>
            </w:r>
          </w:p>
        </w:tc>
        <w:tc>
          <w:tcPr>
            <w:tcW w:w="734" w:type="pct"/>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xml:space="preserve">≥ 30 % to 26 weeks </w:t>
            </w:r>
          </w:p>
        </w:tc>
        <w:tc>
          <w:tcPr>
            <w:tcW w:w="733" w:type="pct"/>
            <w:shd w:val="clear" w:color="auto" w:fill="FFFFFF"/>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xml:space="preserve">≥ 30 % to 26 weeks </w:t>
            </w:r>
          </w:p>
        </w:tc>
      </w:tr>
      <w:tr w:rsidR="00513FD2" w:rsidRPr="003F3D71" w:rsidTr="00513FD2">
        <w:trPr>
          <w:cantSplit/>
          <w:trHeight w:val="356"/>
          <w:jc w:val="center"/>
        </w:trPr>
        <w:tc>
          <w:tcPr>
            <w:tcW w:w="2065" w:type="pct"/>
            <w:shd w:val="clear" w:color="auto" w:fill="FFFFFF"/>
          </w:tcPr>
          <w:p w:rsidR="00513FD2" w:rsidRPr="003F3D71" w:rsidRDefault="00513FD2" w:rsidP="00181BA8">
            <w:pPr>
              <w:keepLines/>
              <w:pBdr>
                <w:top w:val="nil"/>
                <w:left w:val="nil"/>
                <w:bottom w:val="nil"/>
                <w:right w:val="nil"/>
                <w:between w:val="nil"/>
                <w:bar w:val="nil"/>
              </w:pBdr>
              <w:spacing w:before="120" w:after="120" w:line="259" w:lineRule="auto"/>
              <w:rPr>
                <w:rFonts w:eastAsia="Calibri" w:cs="Arial"/>
                <w:iCs/>
                <w:sz w:val="20"/>
                <w:bdr w:val="nil"/>
              </w:rPr>
            </w:pPr>
            <w:r w:rsidRPr="003F3D71">
              <w:rPr>
                <w:rFonts w:eastAsia="Times New Roman" w:cs="Arial"/>
                <w:iCs/>
                <w:noProof/>
                <w:sz w:val="20"/>
                <w:lang w:eastAsia="en-AU"/>
              </w:rPr>
              <w:sym w:font="Wingdings" w:char="F074"/>
            </w:r>
            <w:r w:rsidRPr="003F3D71">
              <w:rPr>
                <w:rFonts w:eastAsia="Times New Roman" w:cs="Arial"/>
                <w:iCs/>
                <w:sz w:val="20"/>
              </w:rPr>
              <w:t xml:space="preserve"> </w:t>
            </w:r>
            <w:r w:rsidRPr="003F3D71">
              <w:rPr>
                <w:rFonts w:eastAsia="Times New Roman" w:cs="Arial"/>
                <w:iCs/>
                <w:noProof/>
                <w:sz w:val="20"/>
                <w:lang w:eastAsia="en-AU"/>
              </w:rPr>
              <w:t xml:space="preserve">3.1.1-1C - </w:t>
            </w:r>
            <w:r w:rsidRPr="003F3D71">
              <w:rPr>
                <w:rFonts w:eastAsia="Calibri" w:cs="Arial"/>
                <w:iCs/>
                <w:sz w:val="20"/>
                <w:bdr w:val="nil"/>
              </w:rPr>
              <w:t>At least 20</w:t>
            </w:r>
            <w:r w:rsidR="00181BA8">
              <w:rPr>
                <w:rFonts w:eastAsia="Calibri" w:cs="Arial"/>
                <w:iCs/>
                <w:sz w:val="20"/>
                <w:bdr w:val="nil"/>
              </w:rPr>
              <w:t>%</w:t>
            </w:r>
            <w:r w:rsidRPr="003F3D71">
              <w:rPr>
                <w:rFonts w:eastAsia="Calibri" w:cs="Arial"/>
                <w:iCs/>
                <w:sz w:val="20"/>
                <w:bdr w:val="nil"/>
              </w:rPr>
              <w:t xml:space="preserve"> of job placements sustained to 52 weeks.</w:t>
            </w:r>
          </w:p>
        </w:tc>
        <w:tc>
          <w:tcPr>
            <w:tcW w:w="733" w:type="pct"/>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xml:space="preserve">≥ 20 % to 52 weeks </w:t>
            </w:r>
          </w:p>
        </w:tc>
        <w:tc>
          <w:tcPr>
            <w:tcW w:w="734" w:type="pct"/>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xml:space="preserve">≥ 20 % to 52 weeks </w:t>
            </w:r>
          </w:p>
        </w:tc>
        <w:tc>
          <w:tcPr>
            <w:tcW w:w="734" w:type="pct"/>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xml:space="preserve">≥ 20 % to 52 weeks </w:t>
            </w:r>
          </w:p>
        </w:tc>
        <w:tc>
          <w:tcPr>
            <w:tcW w:w="733" w:type="pct"/>
            <w:shd w:val="clear" w:color="auto" w:fill="FFFFFF"/>
            <w:vAlign w:val="center"/>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20 % to 52 weeks</w:t>
            </w:r>
          </w:p>
        </w:tc>
      </w:tr>
    </w:tbl>
    <w:p w:rsidR="00513FD2" w:rsidRPr="003F3D71" w:rsidRDefault="00513FD2" w:rsidP="00513FD2">
      <w:pPr>
        <w:shd w:val="clear" w:color="auto" w:fill="CCC0D9" w:themeFill="accent4" w:themeFillTint="66"/>
        <w:spacing w:before="120" w:after="120"/>
        <w:rPr>
          <w:rFonts w:eastAsia="Times New Roman" w:cs="Arial"/>
          <w:b/>
          <w:sz w:val="20"/>
          <w:szCs w:val="20"/>
        </w:rPr>
      </w:pPr>
      <w:r w:rsidRPr="003F3D71">
        <w:rPr>
          <w:rFonts w:eastAsia="Times New Roman" w:cs="Arial"/>
          <w:b/>
          <w:sz w:val="20"/>
          <w:szCs w:val="20"/>
        </w:rPr>
        <w:t>Rationale</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 xml:space="preserve">Measuring the </w:t>
      </w:r>
      <w:r w:rsidRPr="003F3D71">
        <w:rPr>
          <w:rFonts w:eastAsia="Times New Roman" w:cs="Arial"/>
          <w:i/>
          <w:sz w:val="20"/>
          <w:szCs w:val="20"/>
        </w:rPr>
        <w:t>extent to which people with disability are supported to find and maintain employment through Disability Employment Services</w:t>
      </w:r>
      <w:r w:rsidRPr="003F3D71">
        <w:rPr>
          <w:rFonts w:eastAsia="Times New Roman" w:cs="Arial"/>
          <w:sz w:val="20"/>
          <w:szCs w:val="20"/>
        </w:rPr>
        <w:t xml:space="preserve"> aims to demonstrate that DES has assisted people with disability, injury or health condition, to secure and maintain sustainable open employment. This measure demonstrates the </w:t>
      </w:r>
      <w:r w:rsidRPr="003F3D71">
        <w:rPr>
          <w:rFonts w:eastAsia="Times New Roman" w:cs="Arial"/>
          <w:b/>
          <w:sz w:val="20"/>
          <w:szCs w:val="20"/>
        </w:rPr>
        <w:t>effectiveness</w:t>
      </w:r>
      <w:r w:rsidRPr="003F3D71">
        <w:rPr>
          <w:rFonts w:eastAsia="Times New Roman" w:cs="Arial"/>
          <w:sz w:val="20"/>
          <w:szCs w:val="20"/>
        </w:rPr>
        <w:t xml:space="preserve"> of DES in achieving the objective of the key activity: </w:t>
      </w:r>
      <w:r w:rsidRPr="003F3D71">
        <w:rPr>
          <w:rFonts w:eastAsia="Times New Roman" w:cs="Arial"/>
          <w:i/>
          <w:sz w:val="20"/>
          <w:szCs w:val="20"/>
        </w:rPr>
        <w:t>To help individuals with injury, disability or a health condition to secure and maintain sustainable open employment</w:t>
      </w:r>
      <w:r w:rsidRPr="003F3D71">
        <w:rPr>
          <w:rFonts w:eastAsia="Times New Roman" w:cs="Arial"/>
          <w:sz w:val="20"/>
          <w:szCs w:val="20"/>
        </w:rPr>
        <w:t>.</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lastRenderedPageBreak/>
        <w:t>Targeting at least 40, 30 and 20</w:t>
      </w:r>
      <w:r w:rsidR="00181BA8">
        <w:rPr>
          <w:rFonts w:eastAsia="Times New Roman" w:cs="Arial"/>
          <w:sz w:val="20"/>
          <w:szCs w:val="20"/>
        </w:rPr>
        <w:t>%</w:t>
      </w:r>
      <w:r w:rsidRPr="003F3D71">
        <w:rPr>
          <w:rFonts w:eastAsia="Times New Roman" w:cs="Arial"/>
          <w:sz w:val="20"/>
          <w:szCs w:val="20"/>
        </w:rPr>
        <w:t xml:space="preserve"> of job placements sustained to 13, 26 and 52 weeks respectively demonstrates the </w:t>
      </w:r>
      <w:r w:rsidRPr="003F3D71">
        <w:rPr>
          <w:rFonts w:eastAsia="Times New Roman" w:cs="Arial"/>
          <w:b/>
          <w:sz w:val="20"/>
          <w:szCs w:val="20"/>
        </w:rPr>
        <w:t>effectiveness</w:t>
      </w:r>
      <w:r w:rsidRPr="003F3D71">
        <w:rPr>
          <w:rFonts w:eastAsia="Times New Roman" w:cs="Arial"/>
          <w:sz w:val="20"/>
          <w:szCs w:val="20"/>
        </w:rPr>
        <w:t xml:space="preserve"> of the key activity by showing the extent to which the disability service providers have provided support to individuals with injury, disability, or a health condition to secure and maintain sustainable open employment.</w:t>
      </w:r>
    </w:p>
    <w:p w:rsidR="00513FD2" w:rsidRPr="00683B3A" w:rsidRDefault="00513FD2" w:rsidP="00513FD2">
      <w:pPr>
        <w:shd w:val="clear" w:color="auto" w:fill="CCC0D9" w:themeFill="accent4" w:themeFillTint="66"/>
        <w:spacing w:before="120" w:after="120"/>
        <w:rPr>
          <w:rFonts w:eastAsia="Times New Roman" w:cs="Arial"/>
          <w:b/>
          <w:sz w:val="20"/>
          <w:szCs w:val="20"/>
        </w:rPr>
      </w:pPr>
      <w:r w:rsidRPr="00683B3A">
        <w:rPr>
          <w:rFonts w:eastAsia="Times New Roman" w:cs="Arial"/>
          <w:b/>
          <w:sz w:val="20"/>
          <w:szCs w:val="20"/>
        </w:rPr>
        <w:t xml:space="preserve">Methodology </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The per cent is the proportion of job placements sustained to 13, 26 and 52 weeks.</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 xml:space="preserve">The </w:t>
      </w:r>
      <w:r w:rsidRPr="003F3D71">
        <w:rPr>
          <w:rFonts w:eastAsia="Times New Roman" w:cs="Arial"/>
          <w:b/>
          <w:sz w:val="20"/>
          <w:szCs w:val="20"/>
        </w:rPr>
        <w:t>data source</w:t>
      </w:r>
      <w:r w:rsidRPr="003F3D71">
        <w:rPr>
          <w:rFonts w:eastAsia="Times New Roman" w:cs="Arial"/>
          <w:sz w:val="20"/>
          <w:szCs w:val="20"/>
        </w:rPr>
        <w:t xml:space="preserve"> used for this calculation is the Department of Education, Skills and Employment – Employment Business Intelligence Warehouse.</w:t>
      </w:r>
    </w:p>
    <w:p w:rsidR="00513FD2" w:rsidRPr="003F3D71" w:rsidRDefault="00513FD2" w:rsidP="00513FD2">
      <w:pPr>
        <w:shd w:val="clear" w:color="auto" w:fill="CCC0D9" w:themeFill="accent4" w:themeFillTint="66"/>
        <w:spacing w:before="120" w:after="120"/>
        <w:rPr>
          <w:rFonts w:eastAsia="Times New Roman" w:cs="Arial"/>
          <w:b/>
          <w:sz w:val="20"/>
          <w:szCs w:val="20"/>
        </w:rPr>
      </w:pPr>
      <w:r w:rsidRPr="003F3D71">
        <w:rPr>
          <w:rFonts w:eastAsia="Times New Roman" w:cs="Arial"/>
          <w:b/>
          <w:sz w:val="20"/>
          <w:szCs w:val="20"/>
        </w:rPr>
        <w:t>Program Outputs</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rPr>
        <w:t>Number of Disability Employment Services participants</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rPr>
        <w:t>Number of Disability Employment Services providers</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rPr>
        <w:t>Administered outlays</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br w:type="page"/>
      </w:r>
    </w:p>
    <w:p w:rsidR="00513FD2" w:rsidRPr="003F3D71" w:rsidRDefault="00513FD2" w:rsidP="00513FD2">
      <w:pPr>
        <w:shd w:val="clear" w:color="auto" w:fill="500778"/>
        <w:spacing w:before="120" w:after="120"/>
        <w:rPr>
          <w:rFonts w:eastAsia="Times New Roman" w:cs="Arial"/>
          <w:b/>
          <w:color w:val="FFFFFF"/>
          <w:sz w:val="20"/>
          <w:szCs w:val="20"/>
        </w:rPr>
      </w:pPr>
      <w:r w:rsidRPr="003F3D71">
        <w:rPr>
          <w:rFonts w:eastAsia="Times New Roman" w:cs="Arial"/>
          <w:b/>
          <w:color w:val="FFFFFF"/>
          <w:sz w:val="20"/>
          <w:szCs w:val="20"/>
        </w:rPr>
        <w:lastRenderedPageBreak/>
        <w:t>PROGRAM 3.1 DISABILITY AND CARERS</w:t>
      </w:r>
    </w:p>
    <w:p w:rsidR="00513FD2" w:rsidRPr="003F3D71" w:rsidRDefault="00513FD2" w:rsidP="00513FD2">
      <w:pPr>
        <w:shd w:val="clear" w:color="auto" w:fill="500778"/>
        <w:spacing w:before="120" w:after="120"/>
        <w:rPr>
          <w:rFonts w:eastAsia="Times New Roman" w:cs="Arial"/>
          <w:sz w:val="20"/>
          <w:szCs w:val="20"/>
        </w:rPr>
      </w:pPr>
      <w:r w:rsidRPr="003F3D71">
        <w:rPr>
          <w:rFonts w:eastAsia="Times New Roman" w:cs="Arial"/>
          <w:color w:val="FFFFFF"/>
          <w:sz w:val="20"/>
          <w:szCs w:val="20"/>
        </w:rPr>
        <w:t>To support people with disability and carers to actively participate in community and economic life</w:t>
      </w:r>
      <w:r w:rsidRPr="003F3D71">
        <w:rPr>
          <w:rFonts w:eastAsia="Times New Roman" w:cs="Arial"/>
          <w:sz w:val="20"/>
          <w:szCs w:val="20"/>
        </w:rPr>
        <w:t xml:space="preserve">. </w:t>
      </w:r>
    </w:p>
    <w:p w:rsidR="00513FD2" w:rsidRPr="003F3D71" w:rsidRDefault="00513FD2" w:rsidP="00513FD2">
      <w:pPr>
        <w:shd w:val="clear" w:color="auto" w:fill="CCC0D9" w:themeFill="accent4" w:themeFillTint="66"/>
        <w:spacing w:before="120" w:after="120"/>
        <w:rPr>
          <w:rFonts w:eastAsia="Times New Roman" w:cs="Arial"/>
          <w:b/>
          <w:sz w:val="20"/>
          <w:szCs w:val="20"/>
        </w:rPr>
      </w:pPr>
      <w:r w:rsidRPr="003F3D71">
        <w:rPr>
          <w:rFonts w:eastAsia="Times New Roman" w:cs="Arial"/>
          <w:b/>
          <w:sz w:val="20"/>
          <w:szCs w:val="20"/>
        </w:rPr>
        <w:t>Key Activity — 3.1.2 Support for Carers</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 xml:space="preserve">Support for Carers is a key activity of the Disability and Carers Program. Support for Carers aims to provide assistance, support, and services for </w:t>
      </w:r>
      <w:r w:rsidRPr="003F3D71">
        <w:rPr>
          <w:rFonts w:eastAsia="Times New Roman" w:cs="Arial"/>
          <w:b/>
          <w:sz w:val="20"/>
          <w:szCs w:val="20"/>
        </w:rPr>
        <w:t>carers</w:t>
      </w:r>
      <w:r w:rsidRPr="003F3D71">
        <w:rPr>
          <w:rFonts w:eastAsia="Times New Roman" w:cs="Arial"/>
          <w:sz w:val="20"/>
          <w:szCs w:val="20"/>
        </w:rPr>
        <w:t>.</w:t>
      </w:r>
    </w:p>
    <w:p w:rsidR="00513FD2" w:rsidRPr="003F3D71" w:rsidRDefault="00513FD2" w:rsidP="00513FD2">
      <w:pPr>
        <w:spacing w:before="120" w:after="120"/>
        <w:rPr>
          <w:rFonts w:eastAsia="Times New Roman" w:cs="Arial"/>
          <w:sz w:val="20"/>
          <w:szCs w:val="20"/>
        </w:rPr>
      </w:pPr>
      <w:r w:rsidRPr="003F3D71">
        <w:rPr>
          <w:rFonts w:eastAsia="Times New Roman" w:cs="Arial"/>
          <w:b/>
          <w:sz w:val="20"/>
          <w:szCs w:val="20"/>
        </w:rPr>
        <w:t>The department</w:t>
      </w:r>
      <w:r w:rsidRPr="003F3D71">
        <w:rPr>
          <w:rFonts w:eastAsia="Times New Roman" w:cs="Arial"/>
          <w:sz w:val="20"/>
          <w:szCs w:val="20"/>
        </w:rPr>
        <w:t xml:space="preserve"> is responsible for managing activities providing supports and services to carers under the Integrated Carer Support Service (ICSS) model, publicly branded as Carer Gateway.</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Through Carer Gateway, carers can access a range of tailored supports and services to help them manage their daily challenges, reduce stress, and plan for the future. The services, delivered face</w:t>
      </w:r>
      <w:r w:rsidRPr="003F3D71">
        <w:rPr>
          <w:rFonts w:eastAsia="Times New Roman" w:cs="Arial"/>
          <w:sz w:val="20"/>
          <w:szCs w:val="20"/>
        </w:rPr>
        <w:noBreakHyphen/>
        <w:t>to</w:t>
      </w:r>
      <w:r w:rsidRPr="003F3D71">
        <w:rPr>
          <w:rFonts w:eastAsia="Times New Roman" w:cs="Arial"/>
          <w:sz w:val="20"/>
          <w:szCs w:val="20"/>
        </w:rPr>
        <w:noBreakHyphen/>
        <w:t>face and through digital channels, focus on providing carers with access to early</w:t>
      </w:r>
      <w:r w:rsidRPr="003F3D71">
        <w:rPr>
          <w:rFonts w:eastAsia="Times New Roman" w:cs="Arial"/>
          <w:sz w:val="20"/>
          <w:szCs w:val="20"/>
        </w:rPr>
        <w:noBreakHyphen/>
        <w:t>intervention, preventative and skill building supports to improve well-being and long-term outcomes.</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 xml:space="preserve">The department is responsible for managing the ICSS including: </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lang w:val="en-US"/>
        </w:rPr>
        <w:t>Responsibility for the Carer Gateway Website and 1800 telephone number (Services Australia manages infrastructure)</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lang w:val="en-US"/>
        </w:rPr>
        <w:t xml:space="preserve">Manage grants for the </w:t>
      </w:r>
      <w:r w:rsidRPr="003F3D71">
        <w:rPr>
          <w:rFonts w:eastAsia="Times New Roman" w:cs="Arial"/>
          <w:sz w:val="20"/>
          <w:szCs w:val="20"/>
        </w:rPr>
        <w:t xml:space="preserve">Carer Gateway Service Providers, </w:t>
      </w:r>
      <w:r w:rsidRPr="003F3D71">
        <w:rPr>
          <w:rFonts w:eastAsia="Times New Roman" w:cs="Arial"/>
          <w:sz w:val="20"/>
          <w:szCs w:val="20"/>
          <w:lang w:val="en-US"/>
        </w:rPr>
        <w:t>Young Carer Bursary and Young Carer Network Service Provider, Tristate Vocational Outcomes Pilot Program</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lang w:val="en-US"/>
        </w:rPr>
        <w:t>Manage contract for the Digital Counselling Service Provider</w:t>
      </w:r>
      <w:r w:rsidRPr="003F3D71">
        <w:rPr>
          <w:rFonts w:eastAsia="Times New Roman" w:cs="Arial"/>
          <w:sz w:val="20"/>
          <w:szCs w:val="20"/>
        </w:rPr>
        <w:t xml:space="preserve">, </w:t>
      </w:r>
      <w:r w:rsidRPr="003F3D71">
        <w:rPr>
          <w:rFonts w:eastAsia="Times New Roman" w:cs="Arial"/>
          <w:sz w:val="20"/>
          <w:szCs w:val="20"/>
          <w:lang w:val="en-US"/>
        </w:rPr>
        <w:t xml:space="preserve">Online Peer Support Service and </w:t>
      </w:r>
      <w:r w:rsidR="00276CDD">
        <w:rPr>
          <w:rFonts w:eastAsia="Times New Roman" w:cs="Arial"/>
          <w:sz w:val="20"/>
          <w:szCs w:val="20"/>
          <w:lang w:val="en-US"/>
        </w:rPr>
        <w:t>S</w:t>
      </w:r>
      <w:r w:rsidRPr="003F3D71">
        <w:rPr>
          <w:rFonts w:eastAsia="Times New Roman" w:cs="Arial"/>
          <w:sz w:val="20"/>
          <w:szCs w:val="20"/>
          <w:lang w:val="en-US"/>
        </w:rPr>
        <w:t xml:space="preserve">ocial </w:t>
      </w:r>
      <w:r w:rsidR="00276CDD">
        <w:rPr>
          <w:rFonts w:eastAsia="Times New Roman" w:cs="Arial"/>
          <w:sz w:val="20"/>
          <w:szCs w:val="20"/>
          <w:lang w:val="en-US"/>
        </w:rPr>
        <w:t>M</w:t>
      </w:r>
      <w:r w:rsidRPr="003F3D71">
        <w:rPr>
          <w:rFonts w:eastAsia="Times New Roman" w:cs="Arial"/>
          <w:sz w:val="20"/>
          <w:szCs w:val="20"/>
          <w:lang w:val="en-US"/>
        </w:rPr>
        <w:t xml:space="preserve">edia </w:t>
      </w:r>
      <w:r w:rsidR="00276CDD">
        <w:rPr>
          <w:rFonts w:eastAsia="Times New Roman" w:cs="Arial"/>
          <w:sz w:val="20"/>
          <w:szCs w:val="20"/>
          <w:lang w:val="en-US"/>
        </w:rPr>
        <w:t>A</w:t>
      </w:r>
      <w:r w:rsidRPr="003F3D71">
        <w:rPr>
          <w:rFonts w:eastAsia="Times New Roman" w:cs="Arial"/>
          <w:sz w:val="20"/>
          <w:szCs w:val="20"/>
          <w:lang w:val="en-US"/>
        </w:rPr>
        <w:t>ccount Provider</w:t>
      </w:r>
      <w:r w:rsidRPr="003F3D71">
        <w:rPr>
          <w:rFonts w:eastAsia="Times New Roman" w:cs="Arial"/>
          <w:sz w:val="20"/>
          <w:szCs w:val="20"/>
        </w:rPr>
        <w:t xml:space="preserve">, </w:t>
      </w:r>
      <w:r w:rsidRPr="003F3D71">
        <w:rPr>
          <w:rFonts w:eastAsia="Times New Roman" w:cs="Arial"/>
          <w:sz w:val="20"/>
          <w:szCs w:val="20"/>
          <w:lang w:val="en-US"/>
        </w:rPr>
        <w:t>Online Carer Coaching and Skills Service Provider</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lang w:val="en-US"/>
        </w:rPr>
        <w:t>Manage communications and social media content.</w:t>
      </w:r>
    </w:p>
    <w:tbl>
      <w:tblPr>
        <w:tblStyle w:val="TableGrid397"/>
        <w:tblW w:w="4967" w:type="pct"/>
        <w:jc w:val="center"/>
        <w:tblLayout w:type="fixed"/>
        <w:tblLook w:val="04A0" w:firstRow="1" w:lastRow="0" w:firstColumn="1" w:lastColumn="0" w:noHBand="0" w:noVBand="1"/>
        <w:tblCaption w:val="3.1.2 performance measure and target"/>
        <w:tblDescription w:val="Table outlines the targeted carer gateway percentages across 2022-23, 2023-24, 2024-25 and 2025-26"/>
      </w:tblPr>
      <w:tblGrid>
        <w:gridCol w:w="4956"/>
        <w:gridCol w:w="1134"/>
        <w:gridCol w:w="1173"/>
        <w:gridCol w:w="1211"/>
        <w:gridCol w:w="1090"/>
      </w:tblGrid>
      <w:tr w:rsidR="00513FD2" w:rsidRPr="003F3D71" w:rsidTr="005B200F">
        <w:trPr>
          <w:cantSplit/>
          <w:trHeight w:val="356"/>
          <w:tblHeader/>
          <w:jc w:val="center"/>
        </w:trPr>
        <w:tc>
          <w:tcPr>
            <w:tcW w:w="5000" w:type="pct"/>
            <w:gridSpan w:val="5"/>
            <w:shd w:val="clear" w:color="auto" w:fill="D9D9D6"/>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Performance Measure</w:t>
            </w:r>
          </w:p>
        </w:tc>
      </w:tr>
      <w:tr w:rsidR="00513FD2" w:rsidRPr="003F3D71" w:rsidTr="00513FD2">
        <w:trPr>
          <w:cantSplit/>
          <w:trHeight w:val="356"/>
          <w:jc w:val="center"/>
        </w:trPr>
        <w:tc>
          <w:tcPr>
            <w:tcW w:w="5000" w:type="pct"/>
            <w:gridSpan w:val="5"/>
            <w:shd w:val="clear" w:color="auto" w:fill="auto"/>
          </w:tcPr>
          <w:p w:rsidR="00513FD2" w:rsidRPr="003F3D71" w:rsidRDefault="00513FD2" w:rsidP="00513FD2">
            <w:pPr>
              <w:spacing w:before="120" w:after="120" w:line="259" w:lineRule="auto"/>
              <w:rPr>
                <w:rFonts w:eastAsia="Times New Roman" w:cs="Arial"/>
                <w:b/>
                <w:sz w:val="20"/>
              </w:rPr>
            </w:pPr>
            <w:r w:rsidRPr="003F3D71">
              <w:rPr>
                <w:rFonts w:eastAsia="Times New Roman" w:cs="Arial"/>
                <w:sz w:val="20"/>
              </w:rPr>
              <w:t>3.1.2-1 Extent to which carers access information, supports, and services.</w:t>
            </w:r>
          </w:p>
        </w:tc>
      </w:tr>
      <w:tr w:rsidR="00513FD2" w:rsidRPr="003F3D71" w:rsidTr="00513FD2">
        <w:trPr>
          <w:cantSplit/>
          <w:trHeight w:val="356"/>
          <w:jc w:val="center"/>
        </w:trPr>
        <w:tc>
          <w:tcPr>
            <w:tcW w:w="2591" w:type="pct"/>
            <w:shd w:val="clear" w:color="auto" w:fill="D9D9D6"/>
          </w:tcPr>
          <w:p w:rsidR="00513FD2" w:rsidRPr="003F3D71" w:rsidRDefault="00513FD2" w:rsidP="00513FD2">
            <w:pPr>
              <w:spacing w:before="120" w:after="120" w:line="259" w:lineRule="auto"/>
              <w:rPr>
                <w:rFonts w:eastAsia="Times New Roman" w:cs="Arial"/>
                <w:sz w:val="20"/>
              </w:rPr>
            </w:pPr>
            <w:r w:rsidRPr="003F3D71">
              <w:rPr>
                <w:rFonts w:eastAsia="Times New Roman" w:cs="Arial"/>
                <w:b/>
                <w:sz w:val="20"/>
              </w:rPr>
              <w:t>Target</w:t>
            </w:r>
          </w:p>
        </w:tc>
        <w:tc>
          <w:tcPr>
            <w:tcW w:w="593" w:type="pct"/>
            <w:shd w:val="clear" w:color="auto" w:fill="D9D9D6"/>
            <w:vAlign w:val="center"/>
          </w:tcPr>
          <w:p w:rsidR="00513FD2" w:rsidRPr="003F3D71" w:rsidRDefault="00513FD2" w:rsidP="00513FD2">
            <w:pPr>
              <w:spacing w:before="120" w:after="120" w:line="259" w:lineRule="auto"/>
              <w:jc w:val="center"/>
              <w:rPr>
                <w:rFonts w:eastAsia="Times New Roman" w:cs="Arial"/>
                <w:sz w:val="20"/>
              </w:rPr>
            </w:pPr>
            <w:r w:rsidRPr="003F3D71">
              <w:rPr>
                <w:rFonts w:eastAsia="Times New Roman" w:cs="Arial"/>
                <w:b/>
                <w:sz w:val="20"/>
              </w:rPr>
              <w:t>2022–23</w:t>
            </w:r>
          </w:p>
        </w:tc>
        <w:tc>
          <w:tcPr>
            <w:tcW w:w="613" w:type="pct"/>
            <w:shd w:val="clear" w:color="auto" w:fill="D9D9D6"/>
            <w:vAlign w:val="center"/>
          </w:tcPr>
          <w:p w:rsidR="00513FD2" w:rsidRPr="003F3D71" w:rsidRDefault="00513FD2" w:rsidP="00513FD2">
            <w:pPr>
              <w:spacing w:before="120" w:after="120" w:line="259" w:lineRule="auto"/>
              <w:jc w:val="center"/>
              <w:rPr>
                <w:rFonts w:eastAsia="Times New Roman" w:cs="Arial"/>
                <w:b/>
                <w:sz w:val="20"/>
              </w:rPr>
            </w:pPr>
            <w:r w:rsidRPr="003F3D71">
              <w:rPr>
                <w:rFonts w:eastAsia="Times New Roman" w:cs="Arial"/>
                <w:b/>
                <w:sz w:val="20"/>
              </w:rPr>
              <w:t>2023–24</w:t>
            </w:r>
          </w:p>
        </w:tc>
        <w:tc>
          <w:tcPr>
            <w:tcW w:w="633" w:type="pct"/>
            <w:shd w:val="clear" w:color="auto" w:fill="D9D9D6"/>
            <w:vAlign w:val="center"/>
          </w:tcPr>
          <w:p w:rsidR="00513FD2" w:rsidRPr="003F3D71" w:rsidRDefault="00513FD2" w:rsidP="00513FD2">
            <w:pPr>
              <w:spacing w:before="120" w:after="120" w:line="259" w:lineRule="auto"/>
              <w:jc w:val="center"/>
              <w:rPr>
                <w:rFonts w:eastAsia="Times New Roman" w:cs="Arial"/>
                <w:b/>
                <w:sz w:val="20"/>
              </w:rPr>
            </w:pPr>
            <w:r w:rsidRPr="003F3D71">
              <w:rPr>
                <w:rFonts w:eastAsia="Times New Roman" w:cs="Arial"/>
                <w:b/>
                <w:sz w:val="20"/>
              </w:rPr>
              <w:t>2024–25</w:t>
            </w:r>
          </w:p>
        </w:tc>
        <w:tc>
          <w:tcPr>
            <w:tcW w:w="570" w:type="pct"/>
            <w:shd w:val="clear" w:color="auto" w:fill="D9D9D6"/>
            <w:vAlign w:val="center"/>
          </w:tcPr>
          <w:p w:rsidR="00513FD2" w:rsidRPr="003F3D71" w:rsidRDefault="00513FD2" w:rsidP="00513FD2">
            <w:pPr>
              <w:spacing w:before="120" w:after="120" w:line="259" w:lineRule="auto"/>
              <w:jc w:val="center"/>
              <w:rPr>
                <w:rFonts w:eastAsia="Times New Roman" w:cs="Arial"/>
                <w:b/>
                <w:sz w:val="20"/>
              </w:rPr>
            </w:pPr>
            <w:r w:rsidRPr="003F3D71">
              <w:rPr>
                <w:rFonts w:eastAsia="Times New Roman" w:cs="Arial"/>
                <w:b/>
                <w:sz w:val="20"/>
              </w:rPr>
              <w:t>2025–26</w:t>
            </w:r>
          </w:p>
        </w:tc>
      </w:tr>
      <w:tr w:rsidR="00513FD2" w:rsidRPr="003F3D71" w:rsidTr="00513FD2">
        <w:trPr>
          <w:cantSplit/>
          <w:trHeight w:val="356"/>
          <w:jc w:val="center"/>
        </w:trPr>
        <w:tc>
          <w:tcPr>
            <w:tcW w:w="2591" w:type="pct"/>
            <w:shd w:val="clear" w:color="auto" w:fill="FFFFFF"/>
          </w:tcPr>
          <w:p w:rsidR="00513FD2" w:rsidRPr="003F3D71" w:rsidRDefault="00513FD2" w:rsidP="00181BA8">
            <w:pPr>
              <w:spacing w:before="120" w:after="120" w:line="259" w:lineRule="auto"/>
              <w:rPr>
                <w:rFonts w:eastAsia="Times New Roman" w:cs="Arial"/>
                <w:sz w:val="20"/>
              </w:rPr>
            </w:pPr>
            <w:r w:rsidRPr="003F3D71">
              <w:rPr>
                <w:rFonts w:eastAsia="Times New Roman" w:cs="Arial"/>
                <w:noProof/>
                <w:sz w:val="20"/>
                <w:lang w:eastAsia="en-AU"/>
              </w:rPr>
              <w:sym w:font="Wingdings" w:char="F074"/>
            </w:r>
            <w:r w:rsidRPr="003F3D71">
              <w:rPr>
                <w:rFonts w:eastAsia="Times New Roman" w:cs="Arial"/>
                <w:sz w:val="20"/>
              </w:rPr>
              <w:t xml:space="preserve"> 3.1.2-1A - At least 10</w:t>
            </w:r>
            <w:r w:rsidR="00181BA8">
              <w:rPr>
                <w:rFonts w:eastAsia="Times New Roman" w:cs="Arial"/>
                <w:sz w:val="20"/>
              </w:rPr>
              <w:t>%</w:t>
            </w:r>
            <w:r w:rsidRPr="003F3D71">
              <w:rPr>
                <w:rFonts w:eastAsia="Times New Roman" w:cs="Arial"/>
                <w:sz w:val="20"/>
              </w:rPr>
              <w:t xml:space="preserve"> annual increase in people accessing Carer Gateway (website and 1800 number).</w:t>
            </w:r>
          </w:p>
        </w:tc>
        <w:tc>
          <w:tcPr>
            <w:tcW w:w="593" w:type="pct"/>
          </w:tcPr>
          <w:p w:rsidR="00513FD2" w:rsidRPr="003F3D71" w:rsidRDefault="00513FD2" w:rsidP="00513FD2">
            <w:pPr>
              <w:spacing w:before="120" w:after="120" w:line="259" w:lineRule="auto"/>
              <w:jc w:val="center"/>
              <w:rPr>
                <w:rFonts w:eastAsia="Times New Roman" w:cs="Arial"/>
                <w:sz w:val="20"/>
              </w:rPr>
            </w:pPr>
            <w:r w:rsidRPr="003F3D71">
              <w:rPr>
                <w:rFonts w:eastAsia="Times New Roman" w:cs="Arial"/>
                <w:sz w:val="20"/>
              </w:rPr>
              <w:t xml:space="preserve">≥10 </w:t>
            </w:r>
            <w:r>
              <w:rPr>
                <w:sz w:val="20"/>
                <w:lang w:eastAsia="en-GB"/>
              </w:rPr>
              <w:t>%</w:t>
            </w:r>
          </w:p>
        </w:tc>
        <w:tc>
          <w:tcPr>
            <w:tcW w:w="613" w:type="pct"/>
          </w:tcPr>
          <w:p w:rsidR="00513FD2" w:rsidRPr="003F3D71" w:rsidRDefault="00513FD2" w:rsidP="00513FD2">
            <w:pPr>
              <w:spacing w:before="120" w:after="120" w:line="259" w:lineRule="auto"/>
              <w:jc w:val="center"/>
              <w:rPr>
                <w:rFonts w:eastAsia="Times New Roman" w:cs="Arial"/>
                <w:sz w:val="20"/>
              </w:rPr>
            </w:pPr>
            <w:r w:rsidRPr="003F3D71">
              <w:rPr>
                <w:rFonts w:eastAsia="Times New Roman" w:cs="Arial"/>
                <w:sz w:val="20"/>
              </w:rPr>
              <w:t xml:space="preserve">≥10 </w:t>
            </w:r>
            <w:r>
              <w:rPr>
                <w:sz w:val="20"/>
                <w:lang w:eastAsia="en-GB"/>
              </w:rPr>
              <w:t>%</w:t>
            </w:r>
          </w:p>
        </w:tc>
        <w:tc>
          <w:tcPr>
            <w:tcW w:w="633" w:type="pct"/>
          </w:tcPr>
          <w:p w:rsidR="00513FD2" w:rsidRPr="003F3D71" w:rsidRDefault="00513FD2" w:rsidP="00513FD2">
            <w:pPr>
              <w:spacing w:before="120" w:after="120" w:line="259" w:lineRule="auto"/>
              <w:jc w:val="center"/>
              <w:rPr>
                <w:rFonts w:eastAsia="Times New Roman" w:cs="Arial"/>
                <w:sz w:val="20"/>
              </w:rPr>
            </w:pPr>
            <w:r w:rsidRPr="003F3D71">
              <w:rPr>
                <w:rFonts w:eastAsia="Times New Roman" w:cs="Arial"/>
                <w:sz w:val="20"/>
              </w:rPr>
              <w:t xml:space="preserve">≥10 </w:t>
            </w:r>
            <w:r>
              <w:rPr>
                <w:sz w:val="20"/>
                <w:lang w:eastAsia="en-GB"/>
              </w:rPr>
              <w:t>%</w:t>
            </w:r>
          </w:p>
        </w:tc>
        <w:tc>
          <w:tcPr>
            <w:tcW w:w="570" w:type="pct"/>
            <w:shd w:val="clear" w:color="auto" w:fill="FFFFFF"/>
          </w:tcPr>
          <w:p w:rsidR="00513FD2" w:rsidRPr="003F3D71" w:rsidRDefault="00513FD2" w:rsidP="00513FD2">
            <w:pPr>
              <w:spacing w:before="120" w:after="120" w:line="259" w:lineRule="auto"/>
              <w:jc w:val="center"/>
              <w:rPr>
                <w:rFonts w:eastAsia="Times New Roman" w:cs="Arial"/>
                <w:sz w:val="20"/>
              </w:rPr>
            </w:pPr>
            <w:r w:rsidRPr="003F3D71">
              <w:rPr>
                <w:rFonts w:eastAsia="Times New Roman" w:cs="Arial"/>
                <w:sz w:val="20"/>
              </w:rPr>
              <w:t xml:space="preserve">≥10 </w:t>
            </w:r>
            <w:r>
              <w:rPr>
                <w:sz w:val="20"/>
                <w:lang w:eastAsia="en-GB"/>
              </w:rPr>
              <w:t>%</w:t>
            </w:r>
          </w:p>
        </w:tc>
      </w:tr>
    </w:tbl>
    <w:p w:rsidR="00513FD2" w:rsidRPr="003F3D71" w:rsidRDefault="00513FD2" w:rsidP="00513FD2">
      <w:pPr>
        <w:shd w:val="clear" w:color="auto" w:fill="CCC0D9" w:themeFill="accent4" w:themeFillTint="66"/>
        <w:spacing w:before="120" w:after="120"/>
        <w:rPr>
          <w:rFonts w:eastAsia="Times New Roman" w:cs="Arial"/>
          <w:b/>
          <w:sz w:val="20"/>
          <w:szCs w:val="20"/>
        </w:rPr>
      </w:pPr>
      <w:r w:rsidRPr="003F3D71">
        <w:rPr>
          <w:rFonts w:eastAsia="Times New Roman" w:cs="Arial"/>
          <w:b/>
          <w:sz w:val="20"/>
          <w:szCs w:val="20"/>
        </w:rPr>
        <w:t>Rationale</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 xml:space="preserve">Measuring the </w:t>
      </w:r>
      <w:r w:rsidRPr="003F3D71">
        <w:rPr>
          <w:rFonts w:eastAsia="Times New Roman" w:cs="Arial"/>
          <w:i/>
          <w:sz w:val="20"/>
          <w:szCs w:val="20"/>
        </w:rPr>
        <w:t xml:space="preserve">extent to which carers access information, supports and services </w:t>
      </w:r>
      <w:r w:rsidRPr="003F3D71">
        <w:rPr>
          <w:rFonts w:eastAsia="Times New Roman" w:cs="Arial"/>
          <w:sz w:val="20"/>
          <w:szCs w:val="20"/>
        </w:rPr>
        <w:t xml:space="preserve">aims to demonstrate performance as a shorter-term outcome and complements the longer-term outcome of carer resilience through provision of preventative support services. This measure demonstrates the </w:t>
      </w:r>
      <w:r w:rsidRPr="003F3D71">
        <w:rPr>
          <w:rFonts w:eastAsia="Times New Roman" w:cs="Arial"/>
          <w:b/>
          <w:sz w:val="20"/>
          <w:szCs w:val="20"/>
        </w:rPr>
        <w:t>effectiveness</w:t>
      </w:r>
      <w:r w:rsidRPr="003F3D71">
        <w:rPr>
          <w:rFonts w:eastAsia="Times New Roman" w:cs="Arial"/>
          <w:sz w:val="20"/>
          <w:szCs w:val="20"/>
        </w:rPr>
        <w:t xml:space="preserve"> of Support for Carers in achieving the objective of the key activity: </w:t>
      </w:r>
      <w:r w:rsidRPr="003F3D71">
        <w:rPr>
          <w:rFonts w:eastAsia="Times New Roman" w:cs="Arial"/>
          <w:i/>
          <w:sz w:val="20"/>
          <w:szCs w:val="20"/>
        </w:rPr>
        <w:t>To provide assistance, support and services for carers.</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Targeting at least 10</w:t>
      </w:r>
      <w:r w:rsidR="00181BA8">
        <w:rPr>
          <w:rFonts w:eastAsia="Times New Roman" w:cs="Arial"/>
          <w:sz w:val="20"/>
          <w:szCs w:val="20"/>
        </w:rPr>
        <w:t>%</w:t>
      </w:r>
      <w:r w:rsidRPr="003F3D71">
        <w:rPr>
          <w:rFonts w:eastAsia="Times New Roman" w:cs="Arial"/>
          <w:sz w:val="20"/>
          <w:szCs w:val="20"/>
        </w:rPr>
        <w:t xml:space="preserve"> annual increase in people accessing Carer Gateway demonstrates the </w:t>
      </w:r>
      <w:r w:rsidRPr="003F3D71">
        <w:rPr>
          <w:rFonts w:eastAsia="Times New Roman" w:cs="Arial"/>
          <w:b/>
          <w:sz w:val="20"/>
          <w:szCs w:val="20"/>
        </w:rPr>
        <w:t>effectiveness</w:t>
      </w:r>
      <w:r w:rsidRPr="003F3D71">
        <w:rPr>
          <w:rFonts w:eastAsia="Times New Roman" w:cs="Arial"/>
          <w:sz w:val="20"/>
          <w:szCs w:val="20"/>
        </w:rPr>
        <w:t xml:space="preserve"> of the key activity by showing the extent to which carers access information, supports and services through Carer Gateway access points over time.</w:t>
      </w:r>
    </w:p>
    <w:p w:rsidR="00513FD2" w:rsidRPr="003F3D71" w:rsidRDefault="00513FD2" w:rsidP="00513FD2">
      <w:pPr>
        <w:shd w:val="clear" w:color="auto" w:fill="CCC0D9" w:themeFill="accent4" w:themeFillTint="66"/>
        <w:spacing w:before="120" w:after="120"/>
        <w:rPr>
          <w:rFonts w:eastAsia="Times New Roman" w:cs="Arial"/>
          <w:b/>
          <w:sz w:val="20"/>
          <w:szCs w:val="20"/>
        </w:rPr>
      </w:pPr>
      <w:r w:rsidRPr="003F3D71">
        <w:rPr>
          <w:rFonts w:eastAsia="Times New Roman" w:cs="Arial"/>
          <w:b/>
          <w:sz w:val="20"/>
          <w:szCs w:val="20"/>
        </w:rPr>
        <w:t>Methodology</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The total number of carers accessing Carer Gateway each year is the total of the following 2 values added together:</w:t>
      </w:r>
    </w:p>
    <w:p w:rsidR="00513FD2" w:rsidRPr="003F3D71" w:rsidRDefault="00513FD2" w:rsidP="00762037">
      <w:pPr>
        <w:numPr>
          <w:ilvl w:val="0"/>
          <w:numId w:val="26"/>
        </w:numPr>
        <w:spacing w:before="0" w:after="0"/>
        <w:ind w:left="641" w:hanging="357"/>
        <w:rPr>
          <w:rFonts w:eastAsia="Times New Roman" w:cs="Arial"/>
          <w:sz w:val="20"/>
          <w:szCs w:val="20"/>
        </w:rPr>
      </w:pPr>
      <w:r w:rsidRPr="003F3D71">
        <w:rPr>
          <w:rFonts w:eastAsia="Times New Roman" w:cs="Arial"/>
          <w:sz w:val="20"/>
          <w:szCs w:val="20"/>
        </w:rPr>
        <w:t>total Carer Gateway page views over the reporting period</w:t>
      </w:r>
    </w:p>
    <w:p w:rsidR="00513FD2" w:rsidRPr="003F3D71" w:rsidRDefault="00513FD2" w:rsidP="00762037">
      <w:pPr>
        <w:numPr>
          <w:ilvl w:val="0"/>
          <w:numId w:val="26"/>
        </w:numPr>
        <w:spacing w:before="0" w:after="0"/>
        <w:ind w:left="641" w:hanging="357"/>
        <w:rPr>
          <w:rFonts w:eastAsia="Times New Roman" w:cs="Arial"/>
          <w:sz w:val="20"/>
          <w:szCs w:val="20"/>
        </w:rPr>
      </w:pPr>
      <w:r w:rsidRPr="003F3D71">
        <w:rPr>
          <w:rFonts w:eastAsia="Times New Roman" w:cs="Arial"/>
          <w:sz w:val="20"/>
          <w:szCs w:val="20"/>
        </w:rPr>
        <w:t>total successful calls to Carer Gateway over the reporting period.</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The percentage of annual increase is calculated by comparing the current reporting period and the previous reporting period.</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 xml:space="preserve">The </w:t>
      </w:r>
      <w:r w:rsidRPr="003F3D71">
        <w:rPr>
          <w:rFonts w:eastAsia="Times New Roman" w:cs="Arial"/>
          <w:b/>
          <w:sz w:val="20"/>
          <w:szCs w:val="20"/>
        </w:rPr>
        <w:t>data sources</w:t>
      </w:r>
      <w:r w:rsidRPr="003F3D71">
        <w:rPr>
          <w:rFonts w:eastAsia="Times New Roman" w:cs="Arial"/>
          <w:sz w:val="20"/>
          <w:szCs w:val="20"/>
        </w:rPr>
        <w:t xml:space="preserve"> used for this calculation are:</w:t>
      </w:r>
    </w:p>
    <w:p w:rsidR="00513FD2" w:rsidRPr="003F3D71" w:rsidRDefault="00513FD2" w:rsidP="00762037">
      <w:pPr>
        <w:numPr>
          <w:ilvl w:val="0"/>
          <w:numId w:val="26"/>
        </w:numPr>
        <w:spacing w:before="0" w:after="0"/>
        <w:ind w:left="641" w:hanging="357"/>
        <w:rPr>
          <w:rFonts w:eastAsia="Times New Roman" w:cs="Arial"/>
          <w:sz w:val="20"/>
          <w:szCs w:val="20"/>
        </w:rPr>
      </w:pPr>
      <w:r w:rsidRPr="003F3D71">
        <w:rPr>
          <w:rFonts w:eastAsia="Times New Roman" w:cs="Arial"/>
          <w:sz w:val="20"/>
          <w:szCs w:val="20"/>
        </w:rPr>
        <w:t>Services Australia Google Analytics custom dashboard</w:t>
      </w:r>
    </w:p>
    <w:p w:rsidR="00513FD2" w:rsidRPr="003F3D71" w:rsidRDefault="00513FD2" w:rsidP="00762037">
      <w:pPr>
        <w:numPr>
          <w:ilvl w:val="0"/>
          <w:numId w:val="26"/>
        </w:numPr>
        <w:spacing w:before="0" w:after="0"/>
        <w:ind w:left="641" w:hanging="357"/>
        <w:rPr>
          <w:rFonts w:eastAsia="Times New Roman" w:cs="Arial"/>
          <w:sz w:val="20"/>
          <w:szCs w:val="20"/>
        </w:rPr>
      </w:pPr>
      <w:r w:rsidRPr="003F3D71">
        <w:rPr>
          <w:rFonts w:eastAsia="Times New Roman" w:cs="Arial"/>
          <w:sz w:val="20"/>
          <w:szCs w:val="20"/>
        </w:rPr>
        <w:t>Telstra telephony system.</w:t>
      </w:r>
    </w:p>
    <w:tbl>
      <w:tblPr>
        <w:tblStyle w:val="TableGrid397"/>
        <w:tblW w:w="4967" w:type="pct"/>
        <w:jc w:val="center"/>
        <w:tblLayout w:type="fixed"/>
        <w:tblLook w:val="04A0" w:firstRow="1" w:lastRow="0" w:firstColumn="1" w:lastColumn="0" w:noHBand="0" w:noVBand="1"/>
        <w:tblCaption w:val="3.1.2 performance measure and target"/>
        <w:tblDescription w:val="Table outlines the targeted percentages of registered carers across 2022-23, 2023-24, 2024-25 and 2025-26"/>
      </w:tblPr>
      <w:tblGrid>
        <w:gridCol w:w="4839"/>
        <w:gridCol w:w="1211"/>
        <w:gridCol w:w="1211"/>
        <w:gridCol w:w="1211"/>
        <w:gridCol w:w="1092"/>
      </w:tblGrid>
      <w:tr w:rsidR="00513FD2" w:rsidRPr="003F3D71" w:rsidTr="005B200F">
        <w:trPr>
          <w:cantSplit/>
          <w:trHeight w:val="356"/>
          <w:tblHeader/>
          <w:jc w:val="center"/>
        </w:trPr>
        <w:tc>
          <w:tcPr>
            <w:tcW w:w="5000" w:type="pct"/>
            <w:gridSpan w:val="5"/>
            <w:shd w:val="clear" w:color="auto" w:fill="D9D9D6"/>
          </w:tcPr>
          <w:p w:rsidR="00513FD2" w:rsidRPr="003F3D71" w:rsidRDefault="00513FD2" w:rsidP="00513FD2">
            <w:pPr>
              <w:keepNext/>
              <w:spacing w:before="120" w:after="120" w:line="259" w:lineRule="auto"/>
              <w:rPr>
                <w:rFonts w:eastAsia="Times New Roman" w:cs="Arial"/>
                <w:b/>
                <w:sz w:val="20"/>
              </w:rPr>
            </w:pPr>
            <w:r w:rsidRPr="003F3D71">
              <w:rPr>
                <w:rFonts w:eastAsia="Times New Roman" w:cs="Arial"/>
                <w:b/>
                <w:sz w:val="20"/>
              </w:rPr>
              <w:lastRenderedPageBreak/>
              <w:t>Performance Measure</w:t>
            </w:r>
          </w:p>
        </w:tc>
      </w:tr>
      <w:tr w:rsidR="00513FD2" w:rsidRPr="003F3D71" w:rsidTr="00513FD2">
        <w:trPr>
          <w:cantSplit/>
          <w:trHeight w:val="356"/>
          <w:jc w:val="center"/>
        </w:trPr>
        <w:tc>
          <w:tcPr>
            <w:tcW w:w="5000" w:type="pct"/>
            <w:gridSpan w:val="5"/>
            <w:shd w:val="clear" w:color="auto" w:fill="auto"/>
          </w:tcPr>
          <w:p w:rsidR="00513FD2" w:rsidRPr="003F3D71" w:rsidRDefault="00513FD2" w:rsidP="00EE138D">
            <w:pPr>
              <w:spacing w:before="120" w:after="120" w:line="259" w:lineRule="auto"/>
              <w:rPr>
                <w:rFonts w:eastAsia="Times New Roman" w:cs="Arial"/>
                <w:b/>
                <w:sz w:val="20"/>
              </w:rPr>
            </w:pPr>
            <w:r w:rsidRPr="003F3D71">
              <w:rPr>
                <w:rFonts w:eastAsia="Times New Roman" w:cs="Arial"/>
                <w:sz w:val="20"/>
              </w:rPr>
              <w:t>3.1.2-2 Extent to which carers who are registered with Carer Gateway local service providers’ wellbeing is</w:t>
            </w:r>
            <w:r w:rsidR="00EE138D">
              <w:rPr>
                <w:rFonts w:eastAsia="Times New Roman" w:cs="Arial"/>
                <w:sz w:val="20"/>
              </w:rPr>
              <w:t> </w:t>
            </w:r>
            <w:r w:rsidRPr="003F3D71">
              <w:rPr>
                <w:rFonts w:eastAsia="Times New Roman" w:cs="Arial"/>
                <w:sz w:val="20"/>
              </w:rPr>
              <w:t>assessed as improved.</w:t>
            </w:r>
          </w:p>
        </w:tc>
      </w:tr>
      <w:tr w:rsidR="00513FD2" w:rsidRPr="003F3D71" w:rsidTr="00513FD2">
        <w:trPr>
          <w:cantSplit/>
          <w:trHeight w:val="356"/>
          <w:jc w:val="center"/>
        </w:trPr>
        <w:tc>
          <w:tcPr>
            <w:tcW w:w="2530" w:type="pct"/>
            <w:shd w:val="clear" w:color="auto" w:fill="D9D9D6"/>
          </w:tcPr>
          <w:p w:rsidR="00513FD2" w:rsidRPr="003F3D71" w:rsidRDefault="00513FD2" w:rsidP="00513FD2">
            <w:pPr>
              <w:spacing w:before="120" w:after="120" w:line="259" w:lineRule="auto"/>
              <w:rPr>
                <w:rFonts w:eastAsia="Times New Roman" w:cs="Arial"/>
                <w:sz w:val="20"/>
              </w:rPr>
            </w:pPr>
            <w:r w:rsidRPr="003F3D71">
              <w:rPr>
                <w:rFonts w:eastAsia="Times New Roman" w:cs="Arial"/>
                <w:b/>
                <w:sz w:val="20"/>
              </w:rPr>
              <w:t>Target</w:t>
            </w:r>
          </w:p>
        </w:tc>
        <w:tc>
          <w:tcPr>
            <w:tcW w:w="633" w:type="pct"/>
            <w:shd w:val="clear" w:color="auto" w:fill="D9D9D6"/>
          </w:tcPr>
          <w:p w:rsidR="00513FD2" w:rsidRPr="003F3D71" w:rsidRDefault="00513FD2" w:rsidP="00513FD2">
            <w:pPr>
              <w:spacing w:before="120" w:after="120" w:line="259" w:lineRule="auto"/>
              <w:rPr>
                <w:rFonts w:eastAsia="Times New Roman" w:cs="Arial"/>
                <w:sz w:val="20"/>
              </w:rPr>
            </w:pPr>
            <w:r w:rsidRPr="003F3D71">
              <w:rPr>
                <w:rFonts w:eastAsia="Times New Roman" w:cs="Arial"/>
                <w:b/>
                <w:sz w:val="20"/>
              </w:rPr>
              <w:t>2022–23</w:t>
            </w:r>
          </w:p>
        </w:tc>
        <w:tc>
          <w:tcPr>
            <w:tcW w:w="633" w:type="pct"/>
            <w:shd w:val="clear" w:color="auto" w:fill="D9D9D6"/>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2023–24</w:t>
            </w:r>
          </w:p>
        </w:tc>
        <w:tc>
          <w:tcPr>
            <w:tcW w:w="633" w:type="pct"/>
            <w:shd w:val="clear" w:color="auto" w:fill="D9D9D6"/>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2024–25</w:t>
            </w:r>
          </w:p>
        </w:tc>
        <w:tc>
          <w:tcPr>
            <w:tcW w:w="571" w:type="pct"/>
            <w:shd w:val="clear" w:color="auto" w:fill="D9D9D6"/>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2025–26</w:t>
            </w:r>
          </w:p>
        </w:tc>
      </w:tr>
      <w:tr w:rsidR="00513FD2" w:rsidRPr="003F3D71" w:rsidTr="00513FD2">
        <w:trPr>
          <w:cantSplit/>
          <w:trHeight w:val="356"/>
          <w:jc w:val="center"/>
        </w:trPr>
        <w:tc>
          <w:tcPr>
            <w:tcW w:w="2530" w:type="pct"/>
            <w:shd w:val="clear" w:color="auto" w:fill="FFFFFF"/>
          </w:tcPr>
          <w:p w:rsidR="00513FD2" w:rsidRPr="003F3D71" w:rsidRDefault="00513FD2" w:rsidP="00513FD2">
            <w:pPr>
              <w:spacing w:before="120" w:after="120" w:line="259" w:lineRule="auto"/>
              <w:rPr>
                <w:rFonts w:eastAsia="Times New Roman" w:cs="Arial"/>
                <w:sz w:val="20"/>
              </w:rPr>
            </w:pPr>
            <w:r w:rsidRPr="003F3D71">
              <w:rPr>
                <w:rFonts w:eastAsia="Times New Roman" w:cs="Arial"/>
                <w:noProof/>
                <w:sz w:val="20"/>
                <w:lang w:eastAsia="en-AU"/>
              </w:rPr>
              <w:sym w:font="Wingdings" w:char="F074"/>
            </w:r>
            <w:r w:rsidRPr="003F3D71">
              <w:rPr>
                <w:rFonts w:eastAsia="Times New Roman" w:cs="Arial"/>
                <w:sz w:val="20"/>
              </w:rPr>
              <w:t xml:space="preserve"> 3.1.2-2A - </w:t>
            </w:r>
            <w:r w:rsidR="001F6F38">
              <w:rPr>
                <w:rFonts w:eastAsia="Times New Roman" w:cs="Arial"/>
                <w:color w:val="000000"/>
                <w:sz w:val="20"/>
                <w:lang w:eastAsia="en-GB"/>
              </w:rPr>
              <w:t>Percentage</w:t>
            </w:r>
            <w:r w:rsidRPr="003F3D71">
              <w:rPr>
                <w:rFonts w:eastAsia="Times New Roman" w:cs="Arial"/>
                <w:color w:val="000000"/>
                <w:sz w:val="20"/>
                <w:lang w:eastAsia="en-GB"/>
              </w:rPr>
              <w:t xml:space="preserve"> of carers registered with Carer Gateway local service providers assessed as having improved level of wellbeing.</w:t>
            </w:r>
          </w:p>
        </w:tc>
        <w:tc>
          <w:tcPr>
            <w:tcW w:w="633" w:type="pct"/>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xml:space="preserve">30 </w:t>
            </w:r>
            <w:r>
              <w:rPr>
                <w:sz w:val="20"/>
                <w:lang w:eastAsia="en-GB"/>
              </w:rPr>
              <w:t>%</w:t>
            </w:r>
          </w:p>
        </w:tc>
        <w:tc>
          <w:tcPr>
            <w:tcW w:w="633" w:type="pct"/>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xml:space="preserve">35 </w:t>
            </w:r>
            <w:r>
              <w:rPr>
                <w:sz w:val="20"/>
                <w:lang w:eastAsia="en-GB"/>
              </w:rPr>
              <w:t>%</w:t>
            </w:r>
          </w:p>
        </w:tc>
        <w:tc>
          <w:tcPr>
            <w:tcW w:w="633" w:type="pct"/>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xml:space="preserve">40 </w:t>
            </w:r>
            <w:r>
              <w:rPr>
                <w:sz w:val="20"/>
                <w:lang w:eastAsia="en-GB"/>
              </w:rPr>
              <w:t>%</w:t>
            </w:r>
          </w:p>
        </w:tc>
        <w:tc>
          <w:tcPr>
            <w:tcW w:w="571" w:type="pct"/>
            <w:shd w:val="clear" w:color="auto" w:fill="FFFFFF"/>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xml:space="preserve">40 </w:t>
            </w:r>
            <w:r>
              <w:rPr>
                <w:sz w:val="20"/>
                <w:lang w:eastAsia="en-GB"/>
              </w:rPr>
              <w:t>%</w:t>
            </w:r>
          </w:p>
        </w:tc>
      </w:tr>
    </w:tbl>
    <w:p w:rsidR="00513FD2" w:rsidRPr="003F3D71" w:rsidRDefault="00513FD2" w:rsidP="00513FD2">
      <w:pPr>
        <w:shd w:val="clear" w:color="auto" w:fill="CCC0D9" w:themeFill="accent4" w:themeFillTint="66"/>
        <w:spacing w:before="120" w:after="120"/>
        <w:rPr>
          <w:rFonts w:eastAsia="Times New Roman" w:cs="Arial"/>
          <w:b/>
          <w:sz w:val="20"/>
          <w:szCs w:val="20"/>
        </w:rPr>
      </w:pPr>
      <w:r w:rsidRPr="003F3D71">
        <w:rPr>
          <w:rFonts w:eastAsia="Times New Roman" w:cs="Arial"/>
          <w:b/>
          <w:sz w:val="20"/>
          <w:szCs w:val="20"/>
        </w:rPr>
        <w:t>Rationale</w:t>
      </w:r>
    </w:p>
    <w:p w:rsidR="00513FD2" w:rsidRPr="003F3D71" w:rsidRDefault="00513FD2" w:rsidP="00513FD2">
      <w:pPr>
        <w:spacing w:before="120" w:after="120"/>
        <w:rPr>
          <w:rFonts w:eastAsia="Times New Roman" w:cs="Arial"/>
          <w:b/>
          <w:sz w:val="20"/>
          <w:szCs w:val="20"/>
        </w:rPr>
      </w:pPr>
      <w:r w:rsidRPr="003F3D71">
        <w:rPr>
          <w:rFonts w:eastAsia="Times New Roman" w:cs="Arial"/>
          <w:sz w:val="20"/>
          <w:szCs w:val="20"/>
        </w:rPr>
        <w:t xml:space="preserve">Measuring the </w:t>
      </w:r>
      <w:r w:rsidRPr="003F3D71">
        <w:rPr>
          <w:rFonts w:eastAsia="Times New Roman" w:cs="Arial"/>
          <w:i/>
          <w:sz w:val="20"/>
          <w:szCs w:val="20"/>
        </w:rPr>
        <w:t xml:space="preserve">extent to which </w:t>
      </w:r>
      <w:r w:rsidR="00B02A9B">
        <w:rPr>
          <w:rFonts w:eastAsia="Times New Roman" w:cs="Arial"/>
          <w:i/>
          <w:sz w:val="20"/>
          <w:szCs w:val="20"/>
        </w:rPr>
        <w:t xml:space="preserve">the wellbeing of </w:t>
      </w:r>
      <w:r w:rsidRPr="003F3D71">
        <w:rPr>
          <w:rFonts w:eastAsia="Times New Roman" w:cs="Arial"/>
          <w:i/>
          <w:sz w:val="20"/>
          <w:szCs w:val="20"/>
        </w:rPr>
        <w:t>carers registered with Carer Gateway local service providers is</w:t>
      </w:r>
      <w:r w:rsidR="00EE138D">
        <w:rPr>
          <w:rFonts w:eastAsia="Times New Roman" w:cs="Arial"/>
          <w:i/>
          <w:sz w:val="20"/>
          <w:szCs w:val="20"/>
        </w:rPr>
        <w:t> </w:t>
      </w:r>
      <w:r w:rsidRPr="003F3D71">
        <w:rPr>
          <w:rFonts w:eastAsia="Times New Roman" w:cs="Arial"/>
          <w:i/>
          <w:sz w:val="20"/>
          <w:szCs w:val="20"/>
        </w:rPr>
        <w:t>assessed as improved</w:t>
      </w:r>
      <w:r w:rsidRPr="003F3D71">
        <w:rPr>
          <w:rFonts w:eastAsia="Times New Roman" w:cs="Arial"/>
          <w:sz w:val="20"/>
          <w:szCs w:val="20"/>
        </w:rPr>
        <w:t xml:space="preserve"> aims to demonstrate the </w:t>
      </w:r>
      <w:r w:rsidRPr="003F3D71">
        <w:rPr>
          <w:rFonts w:eastAsia="Times New Roman" w:cs="Arial"/>
          <w:b/>
          <w:sz w:val="20"/>
          <w:szCs w:val="20"/>
        </w:rPr>
        <w:t>effectiveness</w:t>
      </w:r>
      <w:r w:rsidRPr="003F3D71">
        <w:rPr>
          <w:rFonts w:eastAsia="Times New Roman" w:cs="Arial"/>
          <w:sz w:val="20"/>
          <w:szCs w:val="20"/>
        </w:rPr>
        <w:t xml:space="preserve"> of Support for Carers in relation to one of</w:t>
      </w:r>
      <w:r w:rsidR="00EE138D">
        <w:rPr>
          <w:rFonts w:eastAsia="Times New Roman" w:cs="Arial"/>
          <w:sz w:val="20"/>
          <w:szCs w:val="20"/>
        </w:rPr>
        <w:t> </w:t>
      </w:r>
      <w:r w:rsidRPr="003F3D71">
        <w:rPr>
          <w:rFonts w:eastAsia="Times New Roman" w:cs="Arial"/>
          <w:sz w:val="20"/>
          <w:szCs w:val="20"/>
        </w:rPr>
        <w:t xml:space="preserve">the long term outcomes of the ICSS: </w:t>
      </w:r>
      <w:r w:rsidRPr="003F3D71">
        <w:rPr>
          <w:rFonts w:eastAsia="Times New Roman" w:cs="Arial"/>
          <w:i/>
          <w:sz w:val="20"/>
          <w:szCs w:val="20"/>
        </w:rPr>
        <w:t>improve carer wellbeing</w:t>
      </w:r>
      <w:r w:rsidRPr="003F3D71">
        <w:rPr>
          <w:rFonts w:eastAsia="Times New Roman" w:cs="Arial"/>
          <w:sz w:val="20"/>
          <w:szCs w:val="20"/>
        </w:rPr>
        <w:t>.</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 xml:space="preserve">Targeting the number of Carer Gateway registered carers assessed as having improved wellbeing, demonstrates the </w:t>
      </w:r>
      <w:r w:rsidRPr="003F3D71">
        <w:rPr>
          <w:rFonts w:eastAsia="Times New Roman" w:cs="Arial"/>
          <w:b/>
          <w:sz w:val="20"/>
          <w:szCs w:val="20"/>
        </w:rPr>
        <w:t>effectiveness</w:t>
      </w:r>
      <w:r w:rsidRPr="003F3D71">
        <w:rPr>
          <w:rFonts w:eastAsia="Times New Roman" w:cs="Arial"/>
          <w:sz w:val="20"/>
          <w:szCs w:val="20"/>
        </w:rPr>
        <w:t xml:space="preserve"> of the program activity in improving outcomes for carers. This is an ongoing measure and the increase to the target result in out-years recognises that improved carer wellbeing is</w:t>
      </w:r>
      <w:r w:rsidR="00EE138D">
        <w:rPr>
          <w:rFonts w:eastAsia="Times New Roman" w:cs="Arial"/>
          <w:sz w:val="20"/>
          <w:szCs w:val="20"/>
        </w:rPr>
        <w:t> </w:t>
      </w:r>
      <w:r w:rsidRPr="003F3D71">
        <w:rPr>
          <w:rFonts w:eastAsia="Times New Roman" w:cs="Arial"/>
          <w:sz w:val="20"/>
          <w:szCs w:val="20"/>
        </w:rPr>
        <w:t>a</w:t>
      </w:r>
      <w:r w:rsidR="00EE138D">
        <w:rPr>
          <w:rFonts w:eastAsia="Times New Roman" w:cs="Arial"/>
          <w:sz w:val="20"/>
          <w:szCs w:val="20"/>
        </w:rPr>
        <w:t> </w:t>
      </w:r>
      <w:r w:rsidRPr="003F3D71">
        <w:rPr>
          <w:rFonts w:eastAsia="Times New Roman" w:cs="Arial"/>
          <w:sz w:val="20"/>
          <w:szCs w:val="20"/>
        </w:rPr>
        <w:t>longer-term outcome.</w:t>
      </w:r>
      <w:r>
        <w:rPr>
          <w:rFonts w:eastAsia="Times New Roman" w:cs="Arial"/>
          <w:sz w:val="20"/>
          <w:szCs w:val="20"/>
        </w:rPr>
        <w:t xml:space="preserve"> </w:t>
      </w:r>
      <w:r w:rsidRPr="003F3D71">
        <w:rPr>
          <w:rFonts w:eastAsia="Times New Roman" w:cs="Arial"/>
          <w:sz w:val="20"/>
          <w:szCs w:val="20"/>
        </w:rPr>
        <w:t>It also reflects an expectation of increasing levels of carer wellbeing as the program matures and carer access increases.</w:t>
      </w:r>
    </w:p>
    <w:p w:rsidR="00513FD2" w:rsidRPr="003F3D71" w:rsidRDefault="00513FD2" w:rsidP="00513FD2">
      <w:pPr>
        <w:shd w:val="clear" w:color="auto" w:fill="CCC0D9" w:themeFill="accent4" w:themeFillTint="66"/>
        <w:spacing w:before="120" w:after="120"/>
        <w:rPr>
          <w:rFonts w:eastAsia="Times New Roman" w:cs="Arial"/>
          <w:b/>
          <w:sz w:val="20"/>
          <w:szCs w:val="20"/>
        </w:rPr>
      </w:pPr>
      <w:r w:rsidRPr="003F3D71">
        <w:rPr>
          <w:rFonts w:eastAsia="Times New Roman" w:cs="Arial"/>
          <w:b/>
          <w:sz w:val="20"/>
          <w:szCs w:val="20"/>
        </w:rPr>
        <w:t>Methodology</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The total number of carers registered with Carer Gateway service providers with assessed improvement in</w:t>
      </w:r>
      <w:r w:rsidR="00EE138D">
        <w:rPr>
          <w:rFonts w:eastAsia="Times New Roman" w:cs="Arial"/>
          <w:sz w:val="20"/>
          <w:szCs w:val="20"/>
        </w:rPr>
        <w:t> </w:t>
      </w:r>
      <w:r w:rsidRPr="003F3D71">
        <w:rPr>
          <w:rFonts w:eastAsia="Times New Roman" w:cs="Arial"/>
          <w:sz w:val="20"/>
          <w:szCs w:val="20"/>
        </w:rPr>
        <w:t>wellbeing is calculated using data from Carers Star</w:t>
      </w:r>
      <w:r w:rsidRPr="003F3D71">
        <w:rPr>
          <w:rFonts w:eastAsia="Times New Roman" w:cs="Arial"/>
          <w:sz w:val="20"/>
          <w:szCs w:val="20"/>
          <w:vertAlign w:val="superscript"/>
        </w:rPr>
        <w:t>TM</w:t>
      </w:r>
      <w:r w:rsidR="002D5047" w:rsidRPr="003F3D71">
        <w:rPr>
          <w:rFonts w:eastAsia="Times New Roman" w:cs="Arial"/>
          <w:sz w:val="20"/>
          <w:szCs w:val="20"/>
        </w:rPr>
        <w:t xml:space="preserve"> </w:t>
      </w:r>
      <w:r w:rsidRPr="003F3D71">
        <w:rPr>
          <w:rFonts w:eastAsia="Times New Roman" w:cs="Arial"/>
          <w:sz w:val="20"/>
          <w:szCs w:val="20"/>
        </w:rPr>
        <w:t>needs assessments, across all reporting periods from 1 January 2020 to the end of the reporting period.</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Data results are produced using Data Exchange QLIK Sense client outcomes reporting. QLIK Sense pairs available earliest and latest SCORE data entered in DEX for each client, and produces the percentage of</w:t>
      </w:r>
      <w:r w:rsidR="00EE138D">
        <w:rPr>
          <w:rFonts w:eastAsia="Times New Roman" w:cs="Arial"/>
          <w:sz w:val="20"/>
          <w:szCs w:val="20"/>
        </w:rPr>
        <w:t> </w:t>
      </w:r>
      <w:r w:rsidRPr="003F3D71">
        <w:rPr>
          <w:rFonts w:eastAsia="Times New Roman" w:cs="Arial"/>
          <w:sz w:val="20"/>
          <w:szCs w:val="20"/>
        </w:rPr>
        <w:t>carers who are assessed as having improved wellbeing.</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 xml:space="preserve">The </w:t>
      </w:r>
      <w:r w:rsidRPr="003F3D71">
        <w:rPr>
          <w:rFonts w:eastAsia="Times New Roman" w:cs="Arial"/>
          <w:b/>
          <w:sz w:val="20"/>
          <w:szCs w:val="20"/>
        </w:rPr>
        <w:t>data sources</w:t>
      </w:r>
      <w:r w:rsidRPr="003F3D71">
        <w:rPr>
          <w:rFonts w:eastAsia="Times New Roman" w:cs="Arial"/>
          <w:sz w:val="20"/>
          <w:szCs w:val="20"/>
        </w:rPr>
        <w:t xml:space="preserve"> used for this calculation are:</w:t>
      </w:r>
    </w:p>
    <w:p w:rsidR="00513FD2" w:rsidRPr="003F3D71" w:rsidRDefault="00513FD2" w:rsidP="00E211B3">
      <w:pPr>
        <w:numPr>
          <w:ilvl w:val="0"/>
          <w:numId w:val="26"/>
        </w:numPr>
        <w:spacing w:before="120" w:after="120"/>
        <w:ind w:left="641" w:hanging="357"/>
        <w:rPr>
          <w:rFonts w:eastAsia="Times New Roman" w:cs="Arial"/>
          <w:sz w:val="20"/>
          <w:szCs w:val="20"/>
        </w:rPr>
      </w:pPr>
      <w:r w:rsidRPr="003F3D71">
        <w:rPr>
          <w:rFonts w:eastAsia="Times New Roman" w:cs="Arial"/>
          <w:sz w:val="20"/>
          <w:szCs w:val="20"/>
        </w:rPr>
        <w:t>Carer Star</w:t>
      </w:r>
      <w:r w:rsidRPr="003F3D71">
        <w:rPr>
          <w:rFonts w:eastAsia="Times New Roman" w:cs="Arial"/>
          <w:sz w:val="20"/>
          <w:szCs w:val="20"/>
          <w:vertAlign w:val="superscript"/>
        </w:rPr>
        <w:t>TM</w:t>
      </w:r>
      <w:r w:rsidRPr="003F3D71">
        <w:rPr>
          <w:rFonts w:eastAsia="Times New Roman" w:cs="Arial"/>
          <w:sz w:val="20"/>
          <w:szCs w:val="20"/>
        </w:rPr>
        <w:t xml:space="preserve"> needs assessments conducted by Carer Gateway service providers and entered into the Data Exchange.</w:t>
      </w:r>
    </w:p>
    <w:p w:rsidR="00513FD2" w:rsidRPr="003F3D71" w:rsidRDefault="00513FD2" w:rsidP="00513FD2">
      <w:pPr>
        <w:shd w:val="clear" w:color="auto" w:fill="CCC0D9" w:themeFill="accent4" w:themeFillTint="66"/>
        <w:spacing w:before="120" w:after="120"/>
        <w:rPr>
          <w:rFonts w:eastAsia="Times New Roman" w:cs="Arial"/>
          <w:b/>
          <w:sz w:val="20"/>
          <w:szCs w:val="20"/>
        </w:rPr>
      </w:pPr>
      <w:r w:rsidRPr="003F3D71">
        <w:rPr>
          <w:rFonts w:eastAsia="Times New Roman" w:cs="Arial"/>
          <w:b/>
          <w:sz w:val="20"/>
          <w:szCs w:val="20"/>
        </w:rPr>
        <w:t>Program Outputs</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rPr>
        <w:t>Number of carers assisted</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rPr>
        <w:t>Number of Disability Employment Services participants</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rPr>
        <w:t>Number of Disability Employment Services providers</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rPr>
        <w:t>Number of people with disability provided with direct advocacy support</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rPr>
        <w:t>Administered outlays</w:t>
      </w:r>
    </w:p>
    <w:p w:rsidR="00513FD2" w:rsidRPr="003F3D71" w:rsidRDefault="00513FD2" w:rsidP="00762037">
      <w:pPr>
        <w:spacing w:before="0" w:after="0" w:line="240" w:lineRule="auto"/>
        <w:rPr>
          <w:rFonts w:eastAsia="Times New Roman" w:cs="Arial"/>
          <w:sz w:val="20"/>
          <w:szCs w:val="20"/>
        </w:rPr>
      </w:pPr>
      <w:r w:rsidRPr="003F3D71">
        <w:rPr>
          <w:rFonts w:eastAsia="Times New Roman" w:cs="Arial"/>
          <w:sz w:val="20"/>
          <w:szCs w:val="20"/>
        </w:rPr>
        <w:br w:type="page"/>
      </w:r>
    </w:p>
    <w:p w:rsidR="00513FD2" w:rsidRPr="003F3D71" w:rsidRDefault="00513FD2" w:rsidP="00513FD2">
      <w:pPr>
        <w:shd w:val="clear" w:color="auto" w:fill="500778"/>
        <w:spacing w:before="120" w:after="120"/>
        <w:rPr>
          <w:rFonts w:eastAsia="Times New Roman" w:cs="Arial"/>
          <w:b/>
          <w:color w:val="FFFFFF"/>
          <w:sz w:val="20"/>
          <w:szCs w:val="20"/>
        </w:rPr>
      </w:pPr>
      <w:r w:rsidRPr="003F3D71">
        <w:rPr>
          <w:rFonts w:eastAsia="Times New Roman" w:cs="Arial"/>
          <w:b/>
          <w:color w:val="FFFFFF"/>
          <w:sz w:val="20"/>
          <w:szCs w:val="20"/>
        </w:rPr>
        <w:lastRenderedPageBreak/>
        <w:t>PROGRAM 3.2 NATIONAL DISABILITY INSURANCE SCHEME</w:t>
      </w:r>
    </w:p>
    <w:p w:rsidR="00513FD2" w:rsidRPr="003F3D71" w:rsidRDefault="00513FD2" w:rsidP="00513FD2">
      <w:pPr>
        <w:shd w:val="clear" w:color="auto" w:fill="500778"/>
        <w:spacing w:before="120" w:after="120"/>
        <w:rPr>
          <w:rFonts w:eastAsia="Times New Roman" w:cs="Arial"/>
          <w:color w:val="FFFFFF"/>
          <w:sz w:val="20"/>
          <w:szCs w:val="20"/>
        </w:rPr>
      </w:pPr>
      <w:r w:rsidRPr="003F3D71">
        <w:rPr>
          <w:rFonts w:eastAsia="Times New Roman" w:cs="Arial"/>
          <w:color w:val="FFFFFF"/>
          <w:sz w:val="20"/>
          <w:szCs w:val="20"/>
        </w:rPr>
        <w:t>To improve the wellbeing and social and economic participation of people with disability, and their families and carers, by building a NDIS that delivers individualised support through an insurance approach. This program also includes the Jobs and Market Fund.</w:t>
      </w:r>
    </w:p>
    <w:p w:rsidR="00513FD2" w:rsidRPr="003F3D71" w:rsidRDefault="00513FD2" w:rsidP="00513FD2">
      <w:pPr>
        <w:shd w:val="clear" w:color="auto" w:fill="CCC0D9" w:themeFill="accent4" w:themeFillTint="66"/>
        <w:spacing w:before="120" w:after="120"/>
        <w:rPr>
          <w:rFonts w:eastAsia="Times New Roman" w:cs="Arial"/>
          <w:b/>
          <w:sz w:val="20"/>
          <w:szCs w:val="20"/>
        </w:rPr>
      </w:pPr>
      <w:r w:rsidRPr="003F3D71">
        <w:rPr>
          <w:rFonts w:eastAsia="Times New Roman" w:cs="Arial"/>
          <w:b/>
          <w:sz w:val="20"/>
          <w:szCs w:val="20"/>
        </w:rPr>
        <w:t xml:space="preserve">Key Activity — 3.2.1 NDIS Transition </w:t>
      </w:r>
    </w:p>
    <w:p w:rsidR="00513FD2" w:rsidRPr="003F3D71" w:rsidRDefault="00513FD2" w:rsidP="00513FD2">
      <w:pPr>
        <w:spacing w:before="120" w:after="120"/>
        <w:rPr>
          <w:rFonts w:eastAsia="Calibri" w:cs="Arial"/>
          <w:sz w:val="20"/>
          <w:szCs w:val="20"/>
        </w:rPr>
      </w:pPr>
      <w:r w:rsidRPr="003F3D71">
        <w:rPr>
          <w:rFonts w:eastAsia="Calibri" w:cs="Arial"/>
          <w:sz w:val="20"/>
          <w:szCs w:val="20"/>
        </w:rPr>
        <w:t xml:space="preserve">National Disability Insurance Scheme (NDIS) Transition is a key activity of the NDIS Program </w:t>
      </w:r>
      <w:r w:rsidR="00B02A9B">
        <w:rPr>
          <w:rFonts w:eastAsia="Calibri" w:cs="Arial"/>
          <w:sz w:val="20"/>
          <w:szCs w:val="20"/>
        </w:rPr>
        <w:t>that</w:t>
      </w:r>
      <w:r w:rsidRPr="003F3D71">
        <w:rPr>
          <w:rFonts w:eastAsia="Calibri" w:cs="Arial"/>
          <w:sz w:val="20"/>
          <w:szCs w:val="20"/>
        </w:rPr>
        <w:t xml:space="preserve"> aims to</w:t>
      </w:r>
      <w:r w:rsidR="002D5047">
        <w:rPr>
          <w:rFonts w:eastAsia="Calibri" w:cs="Arial"/>
          <w:sz w:val="20"/>
          <w:szCs w:val="20"/>
        </w:rPr>
        <w:t> </w:t>
      </w:r>
      <w:r w:rsidRPr="003F3D71">
        <w:rPr>
          <w:rFonts w:eastAsia="Calibri" w:cs="Arial"/>
          <w:sz w:val="20"/>
          <w:szCs w:val="20"/>
        </w:rPr>
        <w:t>support national implementation of the NDIS in accordance with inter-government agreements. The</w:t>
      </w:r>
      <w:r w:rsidR="002D5047">
        <w:rPr>
          <w:rFonts w:eastAsia="Calibri" w:cs="Arial"/>
          <w:sz w:val="20"/>
          <w:szCs w:val="20"/>
        </w:rPr>
        <w:t> </w:t>
      </w:r>
      <w:r w:rsidRPr="003F3D71">
        <w:rPr>
          <w:rFonts w:eastAsia="Calibri" w:cs="Arial"/>
          <w:sz w:val="20"/>
          <w:szCs w:val="20"/>
        </w:rPr>
        <w:t>completion of transition is defined by:</w:t>
      </w:r>
    </w:p>
    <w:p w:rsidR="00513FD2" w:rsidRPr="003F3D71" w:rsidRDefault="00513FD2" w:rsidP="00E211B3">
      <w:pPr>
        <w:numPr>
          <w:ilvl w:val="0"/>
          <w:numId w:val="31"/>
        </w:numPr>
        <w:spacing w:before="120" w:after="120"/>
        <w:rPr>
          <w:rFonts w:eastAsia="Calibri" w:cs="Arial"/>
          <w:sz w:val="20"/>
          <w:szCs w:val="20"/>
          <w:lang w:eastAsia="en-GB"/>
        </w:rPr>
      </w:pPr>
      <w:r w:rsidRPr="003F3D71">
        <w:rPr>
          <w:rFonts w:eastAsia="Calibri" w:cs="Arial"/>
          <w:sz w:val="20"/>
          <w:szCs w:val="20"/>
          <w:lang w:eastAsia="en-GB"/>
        </w:rPr>
        <w:t>The execution of full scheme bilateral agreements between the Commonwealth and all states and territories (target = full scheme agreements signed with all states and territories by 30 June 2023).</w:t>
      </w:r>
    </w:p>
    <w:p w:rsidR="00513FD2" w:rsidRPr="003F3D71" w:rsidRDefault="00513FD2" w:rsidP="00513FD2">
      <w:pPr>
        <w:spacing w:before="120" w:after="120"/>
        <w:rPr>
          <w:rFonts w:eastAsia="Calibri" w:cs="Arial"/>
          <w:sz w:val="20"/>
          <w:szCs w:val="20"/>
        </w:rPr>
      </w:pPr>
      <w:r w:rsidRPr="008554C7">
        <w:rPr>
          <w:rFonts w:eastAsia="Calibri" w:cs="Arial"/>
          <w:b/>
          <w:sz w:val="20"/>
          <w:szCs w:val="20"/>
          <w:lang w:val="en-US"/>
        </w:rPr>
        <w:t>The department’s</w:t>
      </w:r>
      <w:r w:rsidRPr="003F3D71">
        <w:rPr>
          <w:rFonts w:eastAsia="Calibri" w:cs="Arial"/>
          <w:sz w:val="20"/>
          <w:szCs w:val="20"/>
          <w:lang w:val="en-US"/>
        </w:rPr>
        <w:t xml:space="preserve"> role is to facilitate transition to the NDIS, including:</w:t>
      </w:r>
    </w:p>
    <w:p w:rsidR="00513FD2" w:rsidRPr="003F3D71" w:rsidRDefault="00513FD2" w:rsidP="00762037">
      <w:pPr>
        <w:numPr>
          <w:ilvl w:val="0"/>
          <w:numId w:val="32"/>
        </w:numPr>
        <w:spacing w:before="0" w:after="0"/>
        <w:ind w:left="714" w:hanging="357"/>
        <w:rPr>
          <w:rFonts w:eastAsia="Calibri" w:cs="Arial"/>
          <w:sz w:val="20"/>
          <w:szCs w:val="20"/>
        </w:rPr>
      </w:pPr>
      <w:r w:rsidRPr="003F3D71">
        <w:rPr>
          <w:rFonts w:eastAsia="Calibri" w:cs="Arial"/>
          <w:sz w:val="20"/>
          <w:szCs w:val="20"/>
        </w:rPr>
        <w:t>execute full scheme bilateral agreements with all states and territories</w:t>
      </w:r>
      <w:r w:rsidR="00276CDD">
        <w:rPr>
          <w:rFonts w:eastAsia="Calibri" w:cs="Arial"/>
          <w:sz w:val="20"/>
          <w:szCs w:val="20"/>
        </w:rPr>
        <w:t>;</w:t>
      </w:r>
    </w:p>
    <w:p w:rsidR="00513FD2" w:rsidRPr="003F3D71" w:rsidRDefault="00513FD2" w:rsidP="00762037">
      <w:pPr>
        <w:numPr>
          <w:ilvl w:val="0"/>
          <w:numId w:val="32"/>
        </w:numPr>
        <w:spacing w:before="0" w:after="0"/>
        <w:ind w:left="714" w:hanging="357"/>
        <w:rPr>
          <w:rFonts w:eastAsia="Calibri" w:cs="Arial"/>
          <w:sz w:val="20"/>
          <w:szCs w:val="20"/>
          <w:lang w:val="en-US"/>
        </w:rPr>
      </w:pPr>
      <w:r w:rsidRPr="003F3D71">
        <w:rPr>
          <w:rFonts w:eastAsia="Calibri" w:cs="Arial"/>
          <w:sz w:val="20"/>
          <w:szCs w:val="20"/>
          <w:lang w:val="en-US"/>
        </w:rPr>
        <w:t>administer inter-government agreements about the NDIS, governing state financial contributions to</w:t>
      </w:r>
      <w:r w:rsidR="00EE138D">
        <w:rPr>
          <w:rFonts w:eastAsia="Calibri" w:cs="Arial"/>
          <w:sz w:val="20"/>
          <w:szCs w:val="20"/>
          <w:lang w:val="en-US"/>
        </w:rPr>
        <w:t> </w:t>
      </w:r>
      <w:r w:rsidRPr="003F3D71">
        <w:rPr>
          <w:rFonts w:eastAsia="Calibri" w:cs="Arial"/>
          <w:sz w:val="20"/>
          <w:szCs w:val="20"/>
          <w:lang w:val="en-US"/>
        </w:rPr>
        <w:t>the scheme, including the recognition of in-kind provision of services by states and territories, and</w:t>
      </w:r>
      <w:r w:rsidR="00EE138D">
        <w:rPr>
          <w:rFonts w:eastAsia="Calibri" w:cs="Arial"/>
          <w:sz w:val="20"/>
          <w:szCs w:val="20"/>
          <w:lang w:val="en-US"/>
        </w:rPr>
        <w:t> </w:t>
      </w:r>
      <w:r w:rsidRPr="003F3D71">
        <w:rPr>
          <w:rFonts w:eastAsia="Calibri" w:cs="Arial"/>
          <w:sz w:val="20"/>
          <w:szCs w:val="20"/>
          <w:lang w:val="en-US"/>
        </w:rPr>
        <w:t>commitments to phase these out, and advising on payments from the DisabilityCare Australia Fund; and</w:t>
      </w:r>
    </w:p>
    <w:p w:rsidR="00513FD2" w:rsidRPr="00575CC9" w:rsidRDefault="00513FD2" w:rsidP="00762037">
      <w:pPr>
        <w:numPr>
          <w:ilvl w:val="0"/>
          <w:numId w:val="32"/>
        </w:numPr>
        <w:spacing w:before="0" w:after="0"/>
        <w:ind w:left="714" w:hanging="357"/>
        <w:rPr>
          <w:rFonts w:eastAsia="Calibri" w:cs="Arial"/>
          <w:sz w:val="20"/>
          <w:szCs w:val="20"/>
        </w:rPr>
      </w:pPr>
      <w:r w:rsidRPr="003F3D71">
        <w:rPr>
          <w:rFonts w:eastAsia="Calibri" w:cs="Arial"/>
          <w:sz w:val="20"/>
          <w:szCs w:val="20"/>
          <w:lang w:val="en-US"/>
        </w:rPr>
        <w:t>monitor the implementation of the NDIS in each state and territory through trilateral governance arrangements with the NDIA and state and territory governments.</w:t>
      </w:r>
    </w:p>
    <w:tbl>
      <w:tblPr>
        <w:tblStyle w:val="TableGrid396"/>
        <w:tblW w:w="5006" w:type="pct"/>
        <w:jc w:val="center"/>
        <w:tblLayout w:type="fixed"/>
        <w:tblLook w:val="04A0" w:firstRow="1" w:lastRow="0" w:firstColumn="1" w:lastColumn="0" w:noHBand="0" w:noVBand="1"/>
        <w:tblCaption w:val="3.2.1 performance measure and target"/>
        <w:tblDescription w:val="Table outlines the full Scheme national agreement will be signed in 2022-23"/>
      </w:tblPr>
      <w:tblGrid>
        <w:gridCol w:w="3962"/>
        <w:gridCol w:w="1419"/>
        <w:gridCol w:w="1419"/>
        <w:gridCol w:w="1419"/>
        <w:gridCol w:w="1421"/>
      </w:tblGrid>
      <w:tr w:rsidR="00513FD2" w:rsidRPr="003F3D71" w:rsidTr="005B200F">
        <w:trPr>
          <w:cantSplit/>
          <w:trHeight w:val="356"/>
          <w:tblHeader/>
          <w:jc w:val="center"/>
        </w:trPr>
        <w:tc>
          <w:tcPr>
            <w:tcW w:w="5000" w:type="pct"/>
            <w:gridSpan w:val="5"/>
            <w:shd w:val="clear" w:color="auto" w:fill="D9D9D6"/>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Performance Measure</w:t>
            </w:r>
          </w:p>
        </w:tc>
      </w:tr>
      <w:tr w:rsidR="00513FD2" w:rsidRPr="003F3D71" w:rsidTr="00513FD2">
        <w:trPr>
          <w:cantSplit/>
          <w:trHeight w:val="356"/>
          <w:jc w:val="center"/>
        </w:trPr>
        <w:tc>
          <w:tcPr>
            <w:tcW w:w="5000" w:type="pct"/>
            <w:gridSpan w:val="5"/>
            <w:shd w:val="clear" w:color="auto" w:fill="auto"/>
          </w:tcPr>
          <w:p w:rsidR="00513FD2" w:rsidRPr="003F3D71" w:rsidRDefault="00513FD2" w:rsidP="00513FD2">
            <w:pPr>
              <w:spacing w:before="120" w:after="120" w:line="259" w:lineRule="auto"/>
              <w:rPr>
                <w:rFonts w:eastAsia="Times New Roman" w:cs="Arial"/>
                <w:b/>
                <w:sz w:val="20"/>
              </w:rPr>
            </w:pPr>
            <w:r w:rsidRPr="003F3D71">
              <w:rPr>
                <w:rFonts w:eastAsia="Times New Roman" w:cs="Arial"/>
                <w:sz w:val="20"/>
              </w:rPr>
              <w:t>3.2.1-1 DSS works with states and territories and the NDIA to support national implementation of the NDIS in accordance with inter government agreements.</w:t>
            </w:r>
          </w:p>
        </w:tc>
      </w:tr>
      <w:tr w:rsidR="00513FD2" w:rsidRPr="003F3D71" w:rsidTr="00513FD2">
        <w:trPr>
          <w:cantSplit/>
          <w:trHeight w:val="356"/>
          <w:jc w:val="center"/>
        </w:trPr>
        <w:tc>
          <w:tcPr>
            <w:tcW w:w="2055" w:type="pct"/>
            <w:shd w:val="clear" w:color="auto" w:fill="D9D9D6"/>
            <w:hideMark/>
          </w:tcPr>
          <w:p w:rsidR="00513FD2" w:rsidRPr="003F3D71" w:rsidRDefault="00513FD2" w:rsidP="00513FD2">
            <w:pPr>
              <w:spacing w:before="120" w:after="120" w:line="259" w:lineRule="auto"/>
              <w:rPr>
                <w:rFonts w:eastAsia="Times New Roman" w:cs="Arial"/>
                <w:sz w:val="20"/>
              </w:rPr>
            </w:pPr>
            <w:r w:rsidRPr="003F3D71">
              <w:rPr>
                <w:rFonts w:eastAsia="Times New Roman" w:cs="Arial"/>
                <w:b/>
                <w:sz w:val="20"/>
              </w:rPr>
              <w:t>Target</w:t>
            </w:r>
          </w:p>
        </w:tc>
        <w:tc>
          <w:tcPr>
            <w:tcW w:w="736" w:type="pct"/>
            <w:shd w:val="clear" w:color="auto" w:fill="D9D9D6"/>
            <w:vAlign w:val="center"/>
            <w:hideMark/>
          </w:tcPr>
          <w:p w:rsidR="00513FD2" w:rsidRPr="003F3D71" w:rsidRDefault="00513FD2" w:rsidP="00513FD2">
            <w:pPr>
              <w:spacing w:before="120" w:after="120" w:line="259" w:lineRule="auto"/>
              <w:jc w:val="both"/>
              <w:rPr>
                <w:rFonts w:eastAsia="Times New Roman" w:cs="Arial"/>
                <w:sz w:val="20"/>
              </w:rPr>
            </w:pPr>
            <w:r w:rsidRPr="003F3D71">
              <w:rPr>
                <w:rFonts w:eastAsia="Times New Roman" w:cs="Arial"/>
                <w:b/>
                <w:sz w:val="20"/>
              </w:rPr>
              <w:t>2022–23</w:t>
            </w:r>
          </w:p>
        </w:tc>
        <w:tc>
          <w:tcPr>
            <w:tcW w:w="736" w:type="pct"/>
            <w:shd w:val="clear" w:color="auto" w:fill="D9D9D6"/>
            <w:vAlign w:val="center"/>
            <w:hideMark/>
          </w:tcPr>
          <w:p w:rsidR="00513FD2" w:rsidRPr="003F3D71" w:rsidRDefault="00513FD2" w:rsidP="00513FD2">
            <w:pPr>
              <w:spacing w:before="120" w:after="120" w:line="259" w:lineRule="auto"/>
              <w:jc w:val="both"/>
              <w:rPr>
                <w:rFonts w:eastAsia="Times New Roman" w:cs="Arial"/>
                <w:b/>
                <w:sz w:val="20"/>
              </w:rPr>
            </w:pPr>
            <w:r w:rsidRPr="003F3D71">
              <w:rPr>
                <w:rFonts w:eastAsia="Times New Roman" w:cs="Arial"/>
                <w:b/>
                <w:sz w:val="20"/>
              </w:rPr>
              <w:t>2023–24</w:t>
            </w:r>
          </w:p>
        </w:tc>
        <w:tc>
          <w:tcPr>
            <w:tcW w:w="736" w:type="pct"/>
            <w:shd w:val="clear" w:color="auto" w:fill="D9D9D6"/>
            <w:vAlign w:val="center"/>
            <w:hideMark/>
          </w:tcPr>
          <w:p w:rsidR="00513FD2" w:rsidRPr="003F3D71" w:rsidRDefault="00513FD2" w:rsidP="00513FD2">
            <w:pPr>
              <w:spacing w:before="120" w:after="120" w:line="259" w:lineRule="auto"/>
              <w:jc w:val="both"/>
              <w:rPr>
                <w:rFonts w:eastAsia="Times New Roman" w:cs="Arial"/>
                <w:b/>
                <w:sz w:val="20"/>
              </w:rPr>
            </w:pPr>
            <w:r w:rsidRPr="003F3D71">
              <w:rPr>
                <w:rFonts w:eastAsia="Times New Roman" w:cs="Arial"/>
                <w:b/>
                <w:sz w:val="20"/>
              </w:rPr>
              <w:t>2024–25</w:t>
            </w:r>
          </w:p>
        </w:tc>
        <w:tc>
          <w:tcPr>
            <w:tcW w:w="737" w:type="pct"/>
            <w:shd w:val="clear" w:color="auto" w:fill="D9D9D6"/>
            <w:vAlign w:val="center"/>
            <w:hideMark/>
          </w:tcPr>
          <w:p w:rsidR="00513FD2" w:rsidRPr="003F3D71" w:rsidRDefault="00513FD2" w:rsidP="00513FD2">
            <w:pPr>
              <w:spacing w:before="120" w:after="120" w:line="259" w:lineRule="auto"/>
              <w:jc w:val="both"/>
              <w:rPr>
                <w:rFonts w:eastAsia="Times New Roman" w:cs="Arial"/>
                <w:b/>
                <w:sz w:val="20"/>
              </w:rPr>
            </w:pPr>
            <w:r w:rsidRPr="003F3D71">
              <w:rPr>
                <w:rFonts w:eastAsia="Times New Roman" w:cs="Arial"/>
                <w:b/>
                <w:sz w:val="20"/>
              </w:rPr>
              <w:t>2025–26</w:t>
            </w:r>
          </w:p>
        </w:tc>
      </w:tr>
      <w:tr w:rsidR="00513FD2" w:rsidRPr="003F3D71" w:rsidTr="00513FD2">
        <w:trPr>
          <w:cantSplit/>
          <w:trHeight w:val="356"/>
          <w:jc w:val="center"/>
        </w:trPr>
        <w:tc>
          <w:tcPr>
            <w:tcW w:w="2055" w:type="pct"/>
            <w:shd w:val="clear" w:color="auto" w:fill="FFFFFF"/>
            <w:hideMark/>
          </w:tcPr>
          <w:p w:rsidR="00513FD2" w:rsidRPr="003F3D71" w:rsidRDefault="00513FD2" w:rsidP="00513FD2">
            <w:pPr>
              <w:spacing w:before="120" w:after="120" w:line="259" w:lineRule="auto"/>
              <w:rPr>
                <w:rFonts w:eastAsia="Times New Roman" w:cs="Arial"/>
                <w:sz w:val="20"/>
              </w:rPr>
            </w:pPr>
            <w:r w:rsidRPr="003F3D71">
              <w:rPr>
                <w:rFonts w:eastAsia="Times New Roman" w:cs="Arial"/>
                <w:noProof/>
                <w:sz w:val="20"/>
                <w:lang w:eastAsia="en-AU"/>
              </w:rPr>
              <w:sym w:font="Wingdings" w:char="F074"/>
            </w:r>
            <w:r w:rsidRPr="003F3D71">
              <w:rPr>
                <w:rFonts w:eastAsia="Times New Roman" w:cs="Arial"/>
                <w:sz w:val="20"/>
              </w:rPr>
              <w:t xml:space="preserve"> 3.2.1-1A - Full scheme agreements signed with all states and territories by 30 June 2023.</w:t>
            </w:r>
          </w:p>
        </w:tc>
        <w:tc>
          <w:tcPr>
            <w:tcW w:w="736" w:type="pct"/>
            <w:shd w:val="clear" w:color="auto" w:fill="FFFFFF"/>
            <w:vAlign w:val="center"/>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Full scheme agreement signed with all states and territories</w:t>
            </w:r>
          </w:p>
        </w:tc>
        <w:tc>
          <w:tcPr>
            <w:tcW w:w="736" w:type="pct"/>
            <w:shd w:val="clear" w:color="auto" w:fill="FFFFFF"/>
          </w:tcPr>
          <w:p w:rsidR="00513FD2" w:rsidRPr="003F3D71" w:rsidRDefault="00513FD2" w:rsidP="00513FD2">
            <w:pPr>
              <w:spacing w:before="120" w:after="120" w:line="259" w:lineRule="auto"/>
              <w:rPr>
                <w:rFonts w:eastAsia="Times New Roman" w:cs="Arial"/>
                <w:sz w:val="20"/>
                <w:vertAlign w:val="subscript"/>
              </w:rPr>
            </w:pPr>
            <w:r w:rsidRPr="003F3D71">
              <w:rPr>
                <w:rFonts w:eastAsia="Times New Roman" w:cs="Arial"/>
                <w:sz w:val="20"/>
              </w:rPr>
              <w:t>N/A</w:t>
            </w:r>
          </w:p>
        </w:tc>
        <w:tc>
          <w:tcPr>
            <w:tcW w:w="736" w:type="pct"/>
            <w:shd w:val="clear" w:color="auto" w:fill="FFFFFF"/>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N/A</w:t>
            </w:r>
          </w:p>
        </w:tc>
        <w:tc>
          <w:tcPr>
            <w:tcW w:w="737" w:type="pct"/>
            <w:shd w:val="clear" w:color="auto" w:fill="FFFFFF"/>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N/A</w:t>
            </w:r>
          </w:p>
        </w:tc>
      </w:tr>
    </w:tbl>
    <w:p w:rsidR="00513FD2" w:rsidRPr="003F3D71" w:rsidRDefault="00513FD2" w:rsidP="00513FD2">
      <w:pPr>
        <w:spacing w:before="120" w:after="120"/>
        <w:rPr>
          <w:rFonts w:eastAsia="Calibri" w:cs="Arial"/>
          <w:sz w:val="20"/>
          <w:szCs w:val="20"/>
        </w:rPr>
      </w:pPr>
      <w:r w:rsidRPr="003F3D71">
        <w:rPr>
          <w:rFonts w:eastAsia="Calibri" w:cs="Arial"/>
          <w:sz w:val="20"/>
          <w:szCs w:val="20"/>
        </w:rPr>
        <w:t>This target will be fully met by 30 June 2023. Monitoring against this target will not be required for future years.</w:t>
      </w:r>
    </w:p>
    <w:p w:rsidR="00513FD2" w:rsidRPr="003F3D71" w:rsidRDefault="00513FD2" w:rsidP="00513FD2">
      <w:pPr>
        <w:shd w:val="clear" w:color="auto" w:fill="CCC0D9" w:themeFill="accent4" w:themeFillTint="66"/>
        <w:spacing w:before="120" w:after="120"/>
        <w:rPr>
          <w:rFonts w:eastAsia="Calibri" w:cs="Arial"/>
          <w:b/>
          <w:sz w:val="20"/>
          <w:szCs w:val="20"/>
        </w:rPr>
      </w:pPr>
      <w:r w:rsidRPr="003F3D71">
        <w:rPr>
          <w:rFonts w:eastAsia="Calibri" w:cs="Arial"/>
          <w:b/>
          <w:sz w:val="20"/>
          <w:szCs w:val="20"/>
        </w:rPr>
        <w:t>Rationale</w:t>
      </w:r>
    </w:p>
    <w:p w:rsidR="00513FD2" w:rsidRPr="003F3D71" w:rsidRDefault="00513FD2" w:rsidP="00513FD2">
      <w:pPr>
        <w:spacing w:before="120" w:after="120"/>
        <w:rPr>
          <w:rFonts w:eastAsia="Calibri" w:cs="Arial"/>
          <w:sz w:val="20"/>
          <w:szCs w:val="20"/>
        </w:rPr>
      </w:pPr>
      <w:r w:rsidRPr="003F3D71">
        <w:rPr>
          <w:rFonts w:eastAsia="Calibri" w:cs="Arial"/>
          <w:sz w:val="20"/>
          <w:szCs w:val="20"/>
        </w:rPr>
        <w:t>The execution of full scheme bilateral agreements with all states and territories demonstrates the completion of transition as all states and territories would be contributing to the NDIS under full scheme bilateral agreements, as opposed to transition bilateral agreements. Western Australia is the only state or territory remaining to negotiate full scheme arrangements. Negotiation of full scheme arrangements for WA is</w:t>
      </w:r>
      <w:r w:rsidR="00EE138D">
        <w:rPr>
          <w:rFonts w:eastAsia="Calibri" w:cs="Arial"/>
          <w:sz w:val="20"/>
          <w:szCs w:val="20"/>
        </w:rPr>
        <w:t> </w:t>
      </w:r>
      <w:r w:rsidRPr="003F3D71">
        <w:rPr>
          <w:rFonts w:eastAsia="Calibri" w:cs="Arial"/>
          <w:sz w:val="20"/>
          <w:szCs w:val="20"/>
        </w:rPr>
        <w:t xml:space="preserve">scheduled to be completed by 30 June 2023. This measure demonstrates the </w:t>
      </w:r>
      <w:r w:rsidRPr="003F3D71">
        <w:rPr>
          <w:rFonts w:eastAsia="Calibri" w:cs="Arial"/>
          <w:b/>
          <w:sz w:val="20"/>
          <w:szCs w:val="20"/>
        </w:rPr>
        <w:t>effectiveness</w:t>
      </w:r>
      <w:r w:rsidRPr="003F3D71">
        <w:rPr>
          <w:rFonts w:eastAsia="Calibri" w:cs="Arial"/>
          <w:sz w:val="20"/>
          <w:szCs w:val="20"/>
        </w:rPr>
        <w:t xml:space="preserve"> of </w:t>
      </w:r>
      <w:r w:rsidRPr="003F3D71">
        <w:rPr>
          <w:rFonts w:eastAsia="Calibri" w:cs="Arial"/>
          <w:b/>
          <w:sz w:val="20"/>
          <w:szCs w:val="20"/>
        </w:rPr>
        <w:t>NDIS Transition</w:t>
      </w:r>
      <w:r w:rsidRPr="003F3D71">
        <w:rPr>
          <w:rFonts w:eastAsia="Calibri" w:cs="Arial"/>
          <w:sz w:val="20"/>
          <w:szCs w:val="20"/>
        </w:rPr>
        <w:t xml:space="preserve"> in achieving the objective of the key activity: for eligible persons to be supported by the NDIS rather than by services provided under arrangements in place prior to the NDIS becoming available across all of Australia.</w:t>
      </w:r>
    </w:p>
    <w:p w:rsidR="00513FD2" w:rsidRPr="003F3D71" w:rsidRDefault="00513FD2" w:rsidP="00513FD2">
      <w:pPr>
        <w:shd w:val="clear" w:color="auto" w:fill="CCC0D9" w:themeFill="accent4" w:themeFillTint="66"/>
        <w:spacing w:before="120" w:after="120"/>
        <w:rPr>
          <w:rFonts w:eastAsia="Calibri" w:cs="Arial"/>
          <w:b/>
          <w:sz w:val="20"/>
          <w:szCs w:val="20"/>
        </w:rPr>
      </w:pPr>
      <w:r w:rsidRPr="003F3D71">
        <w:rPr>
          <w:rFonts w:eastAsia="Calibri" w:cs="Arial"/>
          <w:b/>
          <w:sz w:val="20"/>
          <w:szCs w:val="20"/>
        </w:rPr>
        <w:t>Methodology</w:t>
      </w:r>
    </w:p>
    <w:p w:rsidR="00513FD2" w:rsidRPr="003F3D71" w:rsidRDefault="00513FD2" w:rsidP="00513FD2">
      <w:pPr>
        <w:spacing w:before="120" w:after="120"/>
        <w:rPr>
          <w:rFonts w:eastAsia="Calibri" w:cs="Arial"/>
          <w:sz w:val="20"/>
          <w:szCs w:val="20"/>
        </w:rPr>
      </w:pPr>
      <w:r w:rsidRPr="003F3D71">
        <w:rPr>
          <w:rFonts w:eastAsia="Calibri" w:cs="Arial"/>
          <w:sz w:val="20"/>
          <w:szCs w:val="20"/>
        </w:rPr>
        <w:t>Reporting against this measure will be based on the execution of a full scheme bilateral agreement with the Western Australian government. Once executed, full s</w:t>
      </w:r>
      <w:r w:rsidR="00EB0FAB">
        <w:rPr>
          <w:rFonts w:eastAsia="Calibri" w:cs="Arial"/>
          <w:sz w:val="20"/>
          <w:szCs w:val="20"/>
        </w:rPr>
        <w:t>cheme agreements will be in p</w:t>
      </w:r>
      <w:r w:rsidRPr="003F3D71">
        <w:rPr>
          <w:rFonts w:eastAsia="Calibri" w:cs="Arial"/>
          <w:sz w:val="20"/>
          <w:szCs w:val="20"/>
        </w:rPr>
        <w:t>lace with all states and territories.</w:t>
      </w:r>
    </w:p>
    <w:p w:rsidR="00513FD2" w:rsidRPr="003F3D71" w:rsidRDefault="00513FD2" w:rsidP="00513FD2">
      <w:pPr>
        <w:shd w:val="clear" w:color="auto" w:fill="CCC0D9" w:themeFill="accent4" w:themeFillTint="66"/>
        <w:spacing w:before="120" w:after="120"/>
        <w:rPr>
          <w:rFonts w:eastAsia="Calibri" w:cs="Arial"/>
          <w:b/>
          <w:sz w:val="20"/>
          <w:szCs w:val="20"/>
        </w:rPr>
      </w:pPr>
      <w:r w:rsidRPr="003F3D71">
        <w:rPr>
          <w:rFonts w:eastAsia="Calibri" w:cs="Arial"/>
          <w:b/>
          <w:sz w:val="20"/>
          <w:szCs w:val="20"/>
        </w:rPr>
        <w:t>Program Outputs</w:t>
      </w:r>
    </w:p>
    <w:p w:rsidR="00513FD2" w:rsidRPr="003F3D71" w:rsidRDefault="00513FD2" w:rsidP="00762037">
      <w:pPr>
        <w:numPr>
          <w:ilvl w:val="0"/>
          <w:numId w:val="26"/>
        </w:numPr>
        <w:spacing w:before="0" w:after="0"/>
        <w:ind w:left="641" w:hanging="357"/>
        <w:rPr>
          <w:rFonts w:eastAsia="Calibri" w:cs="Arial"/>
          <w:sz w:val="20"/>
          <w:szCs w:val="20"/>
        </w:rPr>
      </w:pPr>
      <w:r w:rsidRPr="003F3D71">
        <w:rPr>
          <w:rFonts w:eastAsia="Calibri" w:cs="Arial"/>
          <w:sz w:val="20"/>
          <w:szCs w:val="20"/>
        </w:rPr>
        <w:t>Administered outlays (NDIS; NDIS Transition; NDIS Participant Plans; Information, Linkages and Capacity Building; Establishment of the NDIS Quality and Safeguards Commission; Boosting the Local Care Workforce; Payments to Corporate Entity – National Disability Insurance Agency costs)</w:t>
      </w:r>
    </w:p>
    <w:p w:rsidR="00513FD2" w:rsidRPr="003F3D71" w:rsidRDefault="00513FD2" w:rsidP="007C74B7">
      <w:pPr>
        <w:spacing w:before="0" w:after="0"/>
        <w:ind w:left="284"/>
        <w:rPr>
          <w:rFonts w:eastAsia="Times New Roman" w:cs="Arial"/>
          <w:sz w:val="20"/>
          <w:szCs w:val="20"/>
        </w:rPr>
      </w:pPr>
      <w:r w:rsidRPr="003F3D71">
        <w:rPr>
          <w:rFonts w:eastAsia="Times New Roman" w:cs="Arial"/>
          <w:sz w:val="20"/>
          <w:szCs w:val="20"/>
        </w:rPr>
        <w:br w:type="page"/>
      </w:r>
    </w:p>
    <w:p w:rsidR="00513FD2" w:rsidRPr="003F3D71" w:rsidRDefault="00513FD2" w:rsidP="00513FD2">
      <w:pPr>
        <w:shd w:val="clear" w:color="auto" w:fill="500778"/>
        <w:spacing w:before="120" w:after="120"/>
        <w:rPr>
          <w:rFonts w:eastAsia="Times New Roman" w:cs="Arial"/>
          <w:b/>
          <w:color w:val="FFFFFF"/>
          <w:sz w:val="20"/>
          <w:szCs w:val="20"/>
        </w:rPr>
      </w:pPr>
      <w:r w:rsidRPr="003F3D71">
        <w:rPr>
          <w:rFonts w:eastAsia="Times New Roman" w:cs="Arial"/>
          <w:b/>
          <w:color w:val="FFFFFF"/>
          <w:sz w:val="20"/>
          <w:szCs w:val="20"/>
        </w:rPr>
        <w:lastRenderedPageBreak/>
        <w:t>PROGRAM 3.2 NATIONAL DISABILITY INSURANCE SCHEME</w:t>
      </w:r>
    </w:p>
    <w:p w:rsidR="00513FD2" w:rsidRPr="003F3D71" w:rsidRDefault="00513FD2" w:rsidP="00513FD2">
      <w:pPr>
        <w:shd w:val="clear" w:color="auto" w:fill="500778"/>
        <w:spacing w:before="120" w:after="120"/>
        <w:rPr>
          <w:rFonts w:eastAsia="Times New Roman" w:cs="Arial"/>
          <w:color w:val="FFFFFF"/>
          <w:sz w:val="20"/>
          <w:szCs w:val="20"/>
        </w:rPr>
      </w:pPr>
      <w:r w:rsidRPr="003F3D71">
        <w:rPr>
          <w:rFonts w:eastAsia="Times New Roman" w:cs="Arial"/>
          <w:color w:val="FFFFFF"/>
          <w:sz w:val="20"/>
          <w:szCs w:val="20"/>
        </w:rPr>
        <w:t>To improve the wellbeing and social and economic participation of people with disability, and their families and carers, by building a NDIS that delivers individualised support through an insurance approach. This program also includes the Jobs and Market Fund.</w:t>
      </w:r>
    </w:p>
    <w:p w:rsidR="00513FD2" w:rsidRPr="003F3D71" w:rsidRDefault="00513FD2" w:rsidP="00513FD2">
      <w:pPr>
        <w:shd w:val="clear" w:color="auto" w:fill="CCC0D9" w:themeFill="accent4" w:themeFillTint="66"/>
        <w:spacing w:before="120" w:after="120"/>
        <w:rPr>
          <w:rFonts w:eastAsia="Times New Roman" w:cs="Arial"/>
          <w:b/>
          <w:sz w:val="20"/>
          <w:szCs w:val="20"/>
        </w:rPr>
      </w:pPr>
      <w:r w:rsidRPr="003F3D71">
        <w:rPr>
          <w:rFonts w:eastAsia="Times New Roman" w:cs="Arial"/>
          <w:b/>
          <w:sz w:val="20"/>
          <w:szCs w:val="20"/>
        </w:rPr>
        <w:t>Key Activity — 3.2.2 Development of NDIS Market</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 xml:space="preserve">Development of the National Disability Insurance Scheme (NDIS) market is a key activity </w:t>
      </w:r>
      <w:r w:rsidR="00B02A9B">
        <w:rPr>
          <w:rFonts w:eastAsia="Times New Roman" w:cs="Arial"/>
          <w:sz w:val="20"/>
          <w:szCs w:val="20"/>
        </w:rPr>
        <w:t>that</w:t>
      </w:r>
      <w:r w:rsidRPr="003F3D71">
        <w:rPr>
          <w:rFonts w:eastAsia="Times New Roman" w:cs="Arial"/>
          <w:sz w:val="20"/>
          <w:szCs w:val="20"/>
        </w:rPr>
        <w:t xml:space="preserve"> aims to support the development of an efficient, effective, and</w:t>
      </w:r>
      <w:r w:rsidR="00EE138D">
        <w:rPr>
          <w:rFonts w:eastAsia="Times New Roman" w:cs="Arial"/>
          <w:sz w:val="20"/>
          <w:szCs w:val="20"/>
        </w:rPr>
        <w:t> </w:t>
      </w:r>
      <w:r w:rsidRPr="003F3D71">
        <w:rPr>
          <w:rFonts w:eastAsia="Times New Roman" w:cs="Arial"/>
          <w:sz w:val="20"/>
          <w:szCs w:val="20"/>
        </w:rPr>
        <w:t>mature market and workforce for the NDIS.</w:t>
      </w:r>
    </w:p>
    <w:p w:rsidR="00513FD2" w:rsidRPr="003F3D71" w:rsidRDefault="00513FD2" w:rsidP="00513FD2">
      <w:pPr>
        <w:spacing w:before="120" w:after="120"/>
        <w:rPr>
          <w:rFonts w:eastAsia="Times New Roman" w:cs="Arial"/>
          <w:sz w:val="20"/>
          <w:szCs w:val="20"/>
        </w:rPr>
      </w:pPr>
      <w:r w:rsidRPr="003F3D71">
        <w:rPr>
          <w:rFonts w:eastAsia="Times New Roman" w:cs="Arial"/>
          <w:b/>
          <w:sz w:val="20"/>
          <w:szCs w:val="20"/>
        </w:rPr>
        <w:t>The department</w:t>
      </w:r>
      <w:r w:rsidR="0046615C">
        <w:rPr>
          <w:rFonts w:eastAsia="Times New Roman" w:cs="Arial"/>
          <w:b/>
          <w:sz w:val="20"/>
          <w:szCs w:val="20"/>
        </w:rPr>
        <w:t>’s</w:t>
      </w:r>
      <w:r w:rsidRPr="003F3D71">
        <w:rPr>
          <w:rFonts w:eastAsia="Times New Roman" w:cs="Arial"/>
          <w:sz w:val="20"/>
          <w:szCs w:val="20"/>
        </w:rPr>
        <w:t xml:space="preserve"> role is to:</w:t>
      </w:r>
    </w:p>
    <w:p w:rsidR="00513FD2" w:rsidRPr="003F3D71" w:rsidRDefault="00513FD2" w:rsidP="00762037">
      <w:pPr>
        <w:spacing w:before="0" w:after="0"/>
        <w:ind w:left="720" w:hanging="720"/>
        <w:rPr>
          <w:rFonts w:eastAsia="Times New Roman" w:cs="Arial"/>
          <w:sz w:val="20"/>
          <w:szCs w:val="20"/>
        </w:rPr>
      </w:pPr>
      <w:r w:rsidRPr="003F3D71">
        <w:rPr>
          <w:rFonts w:eastAsia="Times New Roman" w:cs="Arial"/>
          <w:sz w:val="20"/>
          <w:szCs w:val="20"/>
        </w:rPr>
        <w:t>1.</w:t>
      </w:r>
      <w:r w:rsidRPr="003F3D71">
        <w:rPr>
          <w:rFonts w:eastAsia="Times New Roman" w:cs="Arial"/>
          <w:sz w:val="20"/>
          <w:szCs w:val="20"/>
        </w:rPr>
        <w:tab/>
        <w:t>Provide policy advice to government on</w:t>
      </w:r>
      <w:r w:rsidR="0046615C">
        <w:rPr>
          <w:rFonts w:eastAsia="Times New Roman" w:cs="Arial"/>
          <w:sz w:val="20"/>
          <w:szCs w:val="20"/>
        </w:rPr>
        <w:t xml:space="preserve"> </w:t>
      </w:r>
      <w:r w:rsidR="0046615C" w:rsidRPr="0046615C">
        <w:rPr>
          <w:rFonts w:eastAsia="Times New Roman" w:cs="Arial"/>
          <w:sz w:val="20"/>
          <w:szCs w:val="20"/>
        </w:rPr>
        <w:t>the development of the NDIS market and workforce</w:t>
      </w:r>
      <w:r w:rsidR="0046615C">
        <w:rPr>
          <w:rFonts w:eastAsia="Times New Roman" w:cs="Arial"/>
          <w:sz w:val="20"/>
          <w:szCs w:val="20"/>
        </w:rPr>
        <w:t xml:space="preserve">, including pricing, payment, </w:t>
      </w:r>
      <w:r w:rsidRPr="003F3D71">
        <w:rPr>
          <w:rFonts w:eastAsia="Times New Roman" w:cs="Arial"/>
          <w:sz w:val="20"/>
          <w:szCs w:val="20"/>
        </w:rPr>
        <w:t xml:space="preserve">market and workforce issues </w:t>
      </w:r>
    </w:p>
    <w:p w:rsidR="00513FD2" w:rsidRPr="003F3D71" w:rsidRDefault="00513FD2" w:rsidP="00762037">
      <w:pPr>
        <w:spacing w:before="0" w:after="0"/>
        <w:ind w:left="720" w:hanging="720"/>
        <w:rPr>
          <w:rFonts w:eastAsia="Times New Roman" w:cs="Arial"/>
          <w:sz w:val="20"/>
          <w:szCs w:val="20"/>
        </w:rPr>
      </w:pPr>
      <w:r w:rsidRPr="003F3D71">
        <w:rPr>
          <w:rFonts w:eastAsia="Times New Roman" w:cs="Arial"/>
          <w:sz w:val="20"/>
          <w:szCs w:val="20"/>
        </w:rPr>
        <w:t>2.</w:t>
      </w:r>
      <w:r w:rsidRPr="003F3D71">
        <w:rPr>
          <w:rFonts w:eastAsia="Times New Roman" w:cs="Arial"/>
          <w:sz w:val="20"/>
          <w:szCs w:val="20"/>
        </w:rPr>
        <w:tab/>
        <w:t xml:space="preserve">Provide policy advice on </w:t>
      </w:r>
      <w:r w:rsidR="0046615C">
        <w:rPr>
          <w:rFonts w:eastAsia="Times New Roman" w:cs="Arial"/>
          <w:sz w:val="20"/>
          <w:szCs w:val="20"/>
        </w:rPr>
        <w:t xml:space="preserve">the </w:t>
      </w:r>
      <w:r w:rsidR="00323BEB">
        <w:rPr>
          <w:rFonts w:eastAsia="Times New Roman" w:cs="Arial"/>
          <w:sz w:val="20"/>
          <w:szCs w:val="20"/>
        </w:rPr>
        <w:t xml:space="preserve">design </w:t>
      </w:r>
      <w:r w:rsidR="0046615C">
        <w:rPr>
          <w:rFonts w:eastAsia="Times New Roman" w:cs="Arial"/>
          <w:sz w:val="20"/>
          <w:szCs w:val="20"/>
        </w:rPr>
        <w:t>of implementation arrangements under the NDIS quality and safeguarding framework</w:t>
      </w:r>
    </w:p>
    <w:p w:rsidR="00513FD2" w:rsidRPr="003F3D71" w:rsidRDefault="00513FD2" w:rsidP="00762037">
      <w:pPr>
        <w:spacing w:before="0" w:after="0"/>
        <w:ind w:left="720" w:hanging="720"/>
        <w:rPr>
          <w:rFonts w:eastAsia="Times New Roman" w:cs="Arial"/>
          <w:sz w:val="20"/>
          <w:szCs w:val="20"/>
        </w:rPr>
      </w:pPr>
      <w:r w:rsidRPr="003F3D71">
        <w:rPr>
          <w:rFonts w:eastAsia="Times New Roman" w:cs="Arial"/>
          <w:sz w:val="20"/>
          <w:szCs w:val="20"/>
        </w:rPr>
        <w:t>3.</w:t>
      </w:r>
      <w:r w:rsidRPr="003F3D71">
        <w:rPr>
          <w:rFonts w:eastAsia="Times New Roman" w:cs="Arial"/>
          <w:sz w:val="20"/>
          <w:szCs w:val="20"/>
        </w:rPr>
        <w:tab/>
      </w:r>
      <w:r w:rsidR="00DF2ABF">
        <w:rPr>
          <w:rFonts w:eastAsia="Times New Roman" w:cs="Arial"/>
          <w:sz w:val="20"/>
          <w:szCs w:val="20"/>
        </w:rPr>
        <w:t xml:space="preserve">Develop </w:t>
      </w:r>
      <w:r w:rsidR="00B02A9B">
        <w:rPr>
          <w:rFonts w:eastAsia="Times New Roman" w:cs="Arial"/>
          <w:sz w:val="20"/>
          <w:szCs w:val="20"/>
        </w:rPr>
        <w:t xml:space="preserve">and implement strategies and initiatives to support an effective NDIS market and workforce </w:t>
      </w:r>
    </w:p>
    <w:p w:rsidR="00513FD2" w:rsidRPr="003F3D71" w:rsidRDefault="00513FD2" w:rsidP="00762037">
      <w:pPr>
        <w:spacing w:before="0" w:after="0"/>
        <w:ind w:left="720" w:hanging="720"/>
        <w:rPr>
          <w:rFonts w:eastAsia="Times New Roman" w:cs="Arial"/>
          <w:sz w:val="20"/>
          <w:szCs w:val="20"/>
        </w:rPr>
      </w:pPr>
      <w:r w:rsidRPr="003F3D71">
        <w:rPr>
          <w:rFonts w:eastAsia="Times New Roman" w:cs="Arial"/>
          <w:sz w:val="20"/>
          <w:szCs w:val="20"/>
        </w:rPr>
        <w:t>4.</w:t>
      </w:r>
      <w:r w:rsidRPr="003F3D71">
        <w:rPr>
          <w:rFonts w:eastAsia="Times New Roman" w:cs="Arial"/>
          <w:sz w:val="20"/>
          <w:szCs w:val="20"/>
        </w:rPr>
        <w:tab/>
        <w:t xml:space="preserve">Report on market effectiveness from a policy perspective, including market KPIs </w:t>
      </w:r>
    </w:p>
    <w:p w:rsidR="00513FD2" w:rsidRPr="003F3D71" w:rsidRDefault="00513FD2" w:rsidP="00762037">
      <w:pPr>
        <w:spacing w:before="0" w:after="0"/>
        <w:ind w:left="720" w:hanging="720"/>
        <w:rPr>
          <w:rFonts w:eastAsia="Times New Roman" w:cs="Arial"/>
          <w:sz w:val="20"/>
          <w:szCs w:val="20"/>
        </w:rPr>
      </w:pPr>
      <w:r w:rsidRPr="003F3D71">
        <w:rPr>
          <w:rFonts w:eastAsia="Times New Roman" w:cs="Arial"/>
          <w:sz w:val="20"/>
          <w:szCs w:val="20"/>
        </w:rPr>
        <w:t>5.</w:t>
      </w:r>
      <w:r w:rsidRPr="003F3D71">
        <w:rPr>
          <w:rFonts w:eastAsia="Times New Roman" w:cs="Arial"/>
          <w:sz w:val="20"/>
          <w:szCs w:val="20"/>
        </w:rPr>
        <w:tab/>
      </w:r>
      <w:r w:rsidR="00DF2ABF">
        <w:rPr>
          <w:rFonts w:eastAsia="Times New Roman" w:cs="Arial"/>
          <w:sz w:val="20"/>
          <w:szCs w:val="20"/>
        </w:rPr>
        <w:t>Maintain</w:t>
      </w:r>
      <w:r w:rsidR="00DF2ABF" w:rsidRPr="003F3D71">
        <w:rPr>
          <w:rFonts w:eastAsia="Times New Roman" w:cs="Arial"/>
          <w:sz w:val="20"/>
          <w:szCs w:val="20"/>
        </w:rPr>
        <w:t xml:space="preserve"> </w:t>
      </w:r>
      <w:r w:rsidRPr="003F3D71">
        <w:rPr>
          <w:rFonts w:eastAsia="Times New Roman" w:cs="Arial"/>
          <w:sz w:val="20"/>
          <w:szCs w:val="20"/>
        </w:rPr>
        <w:t>the NDIS demand map</w:t>
      </w:r>
      <w:r w:rsidR="00AA37A2">
        <w:rPr>
          <w:rFonts w:eastAsia="Times New Roman" w:cs="Arial"/>
          <w:sz w:val="20"/>
          <w:szCs w:val="20"/>
        </w:rPr>
        <w:t xml:space="preserve"> to help providers to </w:t>
      </w:r>
      <w:r w:rsidR="00323BEB">
        <w:rPr>
          <w:rFonts w:eastAsia="Times New Roman" w:cs="Arial"/>
          <w:sz w:val="20"/>
          <w:szCs w:val="20"/>
        </w:rPr>
        <w:t xml:space="preserve">understand service demand and </w:t>
      </w:r>
      <w:r w:rsidR="00AA37A2">
        <w:rPr>
          <w:rFonts w:eastAsia="Times New Roman" w:cs="Arial"/>
          <w:sz w:val="20"/>
          <w:szCs w:val="20"/>
        </w:rPr>
        <w:t>grow in the NDIS</w:t>
      </w:r>
      <w:r w:rsidRPr="003F3D71">
        <w:rPr>
          <w:rFonts w:eastAsia="Times New Roman" w:cs="Arial"/>
          <w:sz w:val="20"/>
          <w:szCs w:val="20"/>
        </w:rPr>
        <w:t xml:space="preserve"> </w:t>
      </w:r>
    </w:p>
    <w:p w:rsidR="00513FD2" w:rsidRPr="003F3D71" w:rsidRDefault="00513FD2" w:rsidP="00762037">
      <w:pPr>
        <w:spacing w:before="0" w:after="0"/>
        <w:ind w:left="720" w:hanging="720"/>
        <w:rPr>
          <w:rFonts w:eastAsia="Times New Roman" w:cs="Arial"/>
          <w:sz w:val="20"/>
          <w:szCs w:val="20"/>
        </w:rPr>
      </w:pPr>
      <w:r w:rsidRPr="003F3D71">
        <w:rPr>
          <w:rFonts w:eastAsia="Times New Roman" w:cs="Arial"/>
          <w:sz w:val="20"/>
          <w:szCs w:val="20"/>
        </w:rPr>
        <w:t>6.</w:t>
      </w:r>
      <w:r w:rsidRPr="003F3D71">
        <w:rPr>
          <w:rFonts w:eastAsia="Times New Roman" w:cs="Arial"/>
          <w:sz w:val="20"/>
          <w:szCs w:val="20"/>
        </w:rPr>
        <w:tab/>
        <w:t>Implement market roles and responsibilities with the states and territories, NDIA and NDIS Quality Safeguards Commission</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 xml:space="preserve">The department delivers the Boosting the Local Care Workforce Program with </w:t>
      </w:r>
      <w:r w:rsidRPr="003F3D71">
        <w:rPr>
          <w:rFonts w:eastAsia="Times New Roman" w:cs="Arial"/>
          <w:b/>
          <w:sz w:val="20"/>
          <w:szCs w:val="20"/>
        </w:rPr>
        <w:t>EY Australia and the Community Services Industry Alliance</w:t>
      </w:r>
      <w:r w:rsidRPr="003F3D71">
        <w:rPr>
          <w:rFonts w:eastAsia="Times New Roman" w:cs="Arial"/>
          <w:sz w:val="20"/>
          <w:szCs w:val="20"/>
        </w:rPr>
        <w:t>. The Boosting the Local Care Workforce Program aims to develop the capacity and capability of disability and aged care service providers to operate effectiv</w:t>
      </w:r>
      <w:r>
        <w:rPr>
          <w:rFonts w:eastAsia="Times New Roman" w:cs="Arial"/>
          <w:sz w:val="20"/>
          <w:szCs w:val="20"/>
        </w:rPr>
        <w:t>ely and expand their workforce.</w:t>
      </w:r>
    </w:p>
    <w:tbl>
      <w:tblPr>
        <w:tblStyle w:val="TableGrid396"/>
        <w:tblW w:w="4972" w:type="pct"/>
        <w:jc w:val="center"/>
        <w:tblLayout w:type="fixed"/>
        <w:tblLook w:val="04A0" w:firstRow="1" w:lastRow="0" w:firstColumn="1" w:lastColumn="0" w:noHBand="0" w:noVBand="1"/>
        <w:tblCaption w:val="3.2.2 performance measure and target"/>
        <w:tblDescription w:val="Table outlines the targeted market supply gap percentages across 2022-23, 2023-24, 2024-25 and 2025-26"/>
      </w:tblPr>
      <w:tblGrid>
        <w:gridCol w:w="4386"/>
        <w:gridCol w:w="1212"/>
        <w:gridCol w:w="1361"/>
        <w:gridCol w:w="1363"/>
        <w:gridCol w:w="1252"/>
      </w:tblGrid>
      <w:tr w:rsidR="00513FD2" w:rsidRPr="003F3D71" w:rsidTr="005B200F">
        <w:trPr>
          <w:cantSplit/>
          <w:trHeight w:val="356"/>
          <w:tblHeader/>
          <w:jc w:val="center"/>
        </w:trPr>
        <w:tc>
          <w:tcPr>
            <w:tcW w:w="5000" w:type="pct"/>
            <w:gridSpan w:val="5"/>
            <w:tcBorders>
              <w:bottom w:val="nil"/>
            </w:tcBorders>
            <w:shd w:val="clear" w:color="auto" w:fill="D9D9D9"/>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Performance Measure</w:t>
            </w:r>
          </w:p>
        </w:tc>
      </w:tr>
      <w:tr w:rsidR="00513FD2" w:rsidRPr="003F3D71" w:rsidTr="00513FD2">
        <w:trPr>
          <w:cantSplit/>
          <w:trHeight w:val="356"/>
          <w:jc w:val="center"/>
        </w:trPr>
        <w:tc>
          <w:tcPr>
            <w:tcW w:w="5000" w:type="pct"/>
            <w:gridSpan w:val="5"/>
            <w:tcBorders>
              <w:top w:val="nil"/>
            </w:tcBorders>
            <w:shd w:val="clear" w:color="auto" w:fill="auto"/>
          </w:tcPr>
          <w:p w:rsidR="00513FD2" w:rsidRPr="003F3D71" w:rsidRDefault="00513FD2" w:rsidP="00513FD2">
            <w:pPr>
              <w:spacing w:before="120" w:after="120" w:line="259" w:lineRule="auto"/>
              <w:rPr>
                <w:rFonts w:eastAsia="Times New Roman" w:cs="Arial"/>
                <w:b/>
                <w:sz w:val="20"/>
              </w:rPr>
            </w:pPr>
            <w:r w:rsidRPr="003F3D71">
              <w:rPr>
                <w:rFonts w:eastAsia="Times New Roman" w:cs="Arial"/>
                <w:sz w:val="20"/>
              </w:rPr>
              <w:t>3.2.2-1 Market indicators signal that participants have improved opportunity to access services in the market.</w:t>
            </w:r>
          </w:p>
        </w:tc>
      </w:tr>
      <w:tr w:rsidR="00513FD2" w:rsidRPr="003F3D71" w:rsidTr="00513FD2">
        <w:trPr>
          <w:cantSplit/>
          <w:trHeight w:val="356"/>
          <w:jc w:val="center"/>
        </w:trPr>
        <w:tc>
          <w:tcPr>
            <w:tcW w:w="2290" w:type="pct"/>
            <w:shd w:val="clear" w:color="auto" w:fill="D9D9D9"/>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Target</w:t>
            </w:r>
          </w:p>
        </w:tc>
        <w:tc>
          <w:tcPr>
            <w:tcW w:w="633" w:type="pct"/>
            <w:shd w:val="clear" w:color="auto" w:fill="D9D9D9"/>
            <w:vAlign w:val="center"/>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2022–23</w:t>
            </w:r>
          </w:p>
        </w:tc>
        <w:tc>
          <w:tcPr>
            <w:tcW w:w="711" w:type="pct"/>
            <w:shd w:val="clear" w:color="auto" w:fill="D9D9D9"/>
            <w:vAlign w:val="center"/>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2023–24</w:t>
            </w:r>
          </w:p>
        </w:tc>
        <w:tc>
          <w:tcPr>
            <w:tcW w:w="712" w:type="pct"/>
            <w:shd w:val="clear" w:color="auto" w:fill="D9D9D9"/>
            <w:vAlign w:val="center"/>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2024–25</w:t>
            </w:r>
          </w:p>
        </w:tc>
        <w:tc>
          <w:tcPr>
            <w:tcW w:w="654" w:type="pct"/>
            <w:shd w:val="clear" w:color="auto" w:fill="D9D9D9"/>
            <w:vAlign w:val="center"/>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2025–26</w:t>
            </w:r>
          </w:p>
        </w:tc>
      </w:tr>
      <w:tr w:rsidR="00513FD2" w:rsidRPr="003F3D71" w:rsidTr="00513FD2">
        <w:trPr>
          <w:cantSplit/>
          <w:trHeight w:val="356"/>
          <w:jc w:val="center"/>
        </w:trPr>
        <w:tc>
          <w:tcPr>
            <w:tcW w:w="2290" w:type="pct"/>
            <w:shd w:val="clear" w:color="auto" w:fill="auto"/>
          </w:tcPr>
          <w:p w:rsidR="00513FD2" w:rsidRPr="003F3D71" w:rsidRDefault="00513FD2" w:rsidP="00181BA8">
            <w:pPr>
              <w:keepLines/>
              <w:spacing w:before="120" w:after="120" w:line="259" w:lineRule="auto"/>
              <w:rPr>
                <w:rFonts w:eastAsia="Calibri" w:cs="Arial"/>
                <w:iCs/>
                <w:sz w:val="20"/>
                <w:bdr w:val="nil"/>
              </w:rPr>
            </w:pPr>
            <w:r w:rsidRPr="003F3D71">
              <w:rPr>
                <w:rFonts w:eastAsia="Times New Roman" w:cs="Arial"/>
                <w:iCs/>
                <w:noProof/>
                <w:sz w:val="20"/>
                <w:lang w:eastAsia="en-AU"/>
              </w:rPr>
              <w:sym w:font="Wingdings" w:char="F074"/>
            </w:r>
            <w:r w:rsidRPr="003F3D71">
              <w:rPr>
                <w:rFonts w:eastAsia="Times New Roman" w:cs="Arial"/>
                <w:iCs/>
                <w:sz w:val="20"/>
              </w:rPr>
              <w:t xml:space="preserve"> 3.2.2-1A - </w:t>
            </w:r>
            <w:r w:rsidRPr="003F3D71">
              <w:rPr>
                <w:rFonts w:eastAsia="Calibri" w:cs="Arial"/>
                <w:iCs/>
                <w:sz w:val="20"/>
                <w:bdr w:val="none" w:sz="0" w:space="0" w:color="auto" w:frame="1"/>
              </w:rPr>
              <w:t>At least 3</w:t>
            </w:r>
            <w:r w:rsidR="00181BA8">
              <w:rPr>
                <w:rFonts w:eastAsia="Calibri" w:cs="Arial"/>
                <w:iCs/>
                <w:sz w:val="20"/>
                <w:bdr w:val="none" w:sz="0" w:space="0" w:color="auto" w:frame="1"/>
              </w:rPr>
              <w:t>%</w:t>
            </w:r>
            <w:r w:rsidRPr="003F3D71">
              <w:rPr>
                <w:rFonts w:eastAsia="Calibri" w:cs="Arial"/>
                <w:iCs/>
                <w:sz w:val="20"/>
                <w:bdr w:val="none" w:sz="0" w:space="0" w:color="auto" w:frame="1"/>
              </w:rPr>
              <w:t xml:space="preserve"> reduction in market supply gaps in each financial year up to 30 June 2026.</w:t>
            </w:r>
          </w:p>
        </w:tc>
        <w:tc>
          <w:tcPr>
            <w:tcW w:w="633" w:type="pct"/>
            <w:shd w:val="clear" w:color="auto" w:fill="auto"/>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u w:val="single"/>
              </w:rPr>
              <w:t>&gt;</w:t>
            </w:r>
            <w:r w:rsidRPr="003F3D71">
              <w:rPr>
                <w:rFonts w:eastAsia="Times New Roman" w:cs="Arial"/>
                <w:sz w:val="20"/>
              </w:rPr>
              <w:t xml:space="preserve"> 3%</w:t>
            </w:r>
          </w:p>
        </w:tc>
        <w:tc>
          <w:tcPr>
            <w:tcW w:w="711" w:type="pct"/>
            <w:shd w:val="clear" w:color="auto" w:fill="auto"/>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u w:val="single"/>
              </w:rPr>
              <w:t>&gt;</w:t>
            </w:r>
            <w:r w:rsidRPr="003F3D71">
              <w:rPr>
                <w:rFonts w:eastAsia="Times New Roman" w:cs="Arial"/>
                <w:sz w:val="20"/>
              </w:rPr>
              <w:t xml:space="preserve"> 3%</w:t>
            </w:r>
          </w:p>
        </w:tc>
        <w:tc>
          <w:tcPr>
            <w:tcW w:w="712" w:type="pct"/>
            <w:shd w:val="clear" w:color="auto" w:fill="auto"/>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u w:val="single"/>
              </w:rPr>
              <w:t>&gt;</w:t>
            </w:r>
            <w:r w:rsidRPr="003F3D71">
              <w:rPr>
                <w:rFonts w:eastAsia="Times New Roman" w:cs="Arial"/>
                <w:sz w:val="20"/>
              </w:rPr>
              <w:t xml:space="preserve"> 3%</w:t>
            </w:r>
          </w:p>
        </w:tc>
        <w:tc>
          <w:tcPr>
            <w:tcW w:w="654" w:type="pct"/>
            <w:shd w:val="clear" w:color="auto" w:fill="auto"/>
          </w:tcPr>
          <w:p w:rsidR="00513FD2" w:rsidRPr="003F3D71" w:rsidRDefault="00513FD2" w:rsidP="00513FD2">
            <w:pPr>
              <w:spacing w:before="120" w:after="120" w:line="259" w:lineRule="auto"/>
              <w:rPr>
                <w:rFonts w:eastAsia="Times New Roman" w:cs="Arial"/>
                <w:color w:val="000000"/>
                <w:sz w:val="20"/>
              </w:rPr>
            </w:pPr>
            <w:r w:rsidRPr="003F3D71">
              <w:rPr>
                <w:rFonts w:eastAsia="Times New Roman" w:cs="Arial"/>
                <w:sz w:val="20"/>
                <w:u w:val="single"/>
              </w:rPr>
              <w:t>&gt;</w:t>
            </w:r>
            <w:r w:rsidRPr="003F3D71">
              <w:rPr>
                <w:rFonts w:eastAsia="Times New Roman" w:cs="Arial"/>
                <w:sz w:val="20"/>
              </w:rPr>
              <w:t xml:space="preserve"> 3%</w:t>
            </w:r>
          </w:p>
        </w:tc>
      </w:tr>
      <w:tr w:rsidR="00513FD2" w:rsidRPr="003F3D71" w:rsidTr="00513FD2">
        <w:trPr>
          <w:cantSplit/>
          <w:trHeight w:val="356"/>
          <w:jc w:val="center"/>
        </w:trPr>
        <w:tc>
          <w:tcPr>
            <w:tcW w:w="2290" w:type="pct"/>
            <w:shd w:val="clear" w:color="auto" w:fill="auto"/>
          </w:tcPr>
          <w:p w:rsidR="00513FD2" w:rsidRPr="003F3D71" w:rsidRDefault="00513FD2" w:rsidP="00181BA8">
            <w:pPr>
              <w:keepLines/>
              <w:spacing w:before="120" w:after="120" w:line="259" w:lineRule="auto"/>
              <w:rPr>
                <w:rFonts w:eastAsia="Times New Roman" w:cs="Arial"/>
                <w:iCs/>
                <w:sz w:val="20"/>
              </w:rPr>
            </w:pPr>
            <w:r w:rsidRPr="003F3D71">
              <w:rPr>
                <w:rFonts w:eastAsia="Times New Roman" w:cs="Arial"/>
                <w:iCs/>
                <w:noProof/>
                <w:sz w:val="20"/>
                <w:lang w:eastAsia="en-AU"/>
              </w:rPr>
              <w:sym w:font="Wingdings" w:char="F074"/>
            </w:r>
            <w:r w:rsidRPr="003F3D71">
              <w:rPr>
                <w:rFonts w:eastAsia="Times New Roman" w:cs="Arial"/>
                <w:iCs/>
                <w:sz w:val="20"/>
              </w:rPr>
              <w:t xml:space="preserve"> 3.2.2-1B - </w:t>
            </w:r>
            <w:r w:rsidRPr="003F3D71">
              <w:rPr>
                <w:rFonts w:eastAsia="Calibri" w:cs="Arial"/>
                <w:iCs/>
                <w:sz w:val="20"/>
                <w:bdr w:val="nil"/>
              </w:rPr>
              <w:t>At least 3</w:t>
            </w:r>
            <w:r w:rsidR="00181BA8">
              <w:rPr>
                <w:rFonts w:eastAsia="Calibri" w:cs="Arial"/>
                <w:iCs/>
                <w:sz w:val="20"/>
                <w:bdr w:val="nil"/>
              </w:rPr>
              <w:t>%</w:t>
            </w:r>
            <w:r w:rsidRPr="003F3D71">
              <w:rPr>
                <w:rFonts w:eastAsia="Calibri" w:cs="Arial"/>
                <w:iCs/>
                <w:sz w:val="20"/>
                <w:bdr w:val="nil"/>
              </w:rPr>
              <w:t xml:space="preserve"> increase in NDIS market competition (a decrease in market concentration</w:t>
            </w:r>
            <w:r w:rsidRPr="003F3D71">
              <w:rPr>
                <w:rFonts w:eastAsia="Times New Roman" w:cs="Arial"/>
                <w:iCs/>
                <w:sz w:val="20"/>
              </w:rPr>
              <w:t xml:space="preserve">) in remote areas in each financial year up to 30 June 2026. </w:t>
            </w:r>
          </w:p>
        </w:tc>
        <w:tc>
          <w:tcPr>
            <w:tcW w:w="633" w:type="pct"/>
            <w:shd w:val="clear" w:color="auto" w:fill="auto"/>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u w:val="single"/>
              </w:rPr>
              <w:t>&gt;</w:t>
            </w:r>
            <w:r w:rsidRPr="003F3D71">
              <w:rPr>
                <w:rFonts w:eastAsia="Times New Roman" w:cs="Arial"/>
                <w:sz w:val="20"/>
              </w:rPr>
              <w:t xml:space="preserve"> 3%</w:t>
            </w:r>
          </w:p>
        </w:tc>
        <w:tc>
          <w:tcPr>
            <w:tcW w:w="711" w:type="pct"/>
            <w:shd w:val="clear" w:color="auto" w:fill="auto"/>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u w:val="single"/>
              </w:rPr>
              <w:t>&gt;</w:t>
            </w:r>
            <w:r w:rsidRPr="003F3D71">
              <w:rPr>
                <w:rFonts w:eastAsia="Times New Roman" w:cs="Arial"/>
                <w:sz w:val="20"/>
              </w:rPr>
              <w:t xml:space="preserve"> 3%</w:t>
            </w:r>
          </w:p>
        </w:tc>
        <w:tc>
          <w:tcPr>
            <w:tcW w:w="712" w:type="pct"/>
            <w:shd w:val="clear" w:color="auto" w:fill="auto"/>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u w:val="single"/>
              </w:rPr>
              <w:t>&gt;</w:t>
            </w:r>
            <w:r w:rsidRPr="003F3D71">
              <w:rPr>
                <w:rFonts w:eastAsia="Times New Roman" w:cs="Arial"/>
                <w:sz w:val="20"/>
              </w:rPr>
              <w:t xml:space="preserve"> 3%</w:t>
            </w:r>
          </w:p>
        </w:tc>
        <w:tc>
          <w:tcPr>
            <w:tcW w:w="654" w:type="pct"/>
            <w:shd w:val="clear" w:color="auto" w:fill="auto"/>
          </w:tcPr>
          <w:p w:rsidR="00513FD2" w:rsidRPr="003F3D71" w:rsidRDefault="00513FD2" w:rsidP="00513FD2">
            <w:pPr>
              <w:spacing w:before="120" w:after="120" w:line="259" w:lineRule="auto"/>
              <w:rPr>
                <w:rFonts w:eastAsia="Times New Roman" w:cs="Arial"/>
                <w:color w:val="000000"/>
                <w:sz w:val="20"/>
              </w:rPr>
            </w:pPr>
            <w:r w:rsidRPr="003F3D71">
              <w:rPr>
                <w:rFonts w:eastAsia="Times New Roman" w:cs="Arial"/>
                <w:sz w:val="20"/>
                <w:u w:val="single"/>
              </w:rPr>
              <w:t>&gt;</w:t>
            </w:r>
            <w:r w:rsidRPr="003F3D71">
              <w:rPr>
                <w:rFonts w:eastAsia="Times New Roman" w:cs="Arial"/>
                <w:sz w:val="20"/>
              </w:rPr>
              <w:t xml:space="preserve"> 3%</w:t>
            </w:r>
          </w:p>
        </w:tc>
      </w:tr>
    </w:tbl>
    <w:p w:rsidR="00513FD2" w:rsidRPr="003F3D71" w:rsidRDefault="00513FD2" w:rsidP="00513FD2">
      <w:pPr>
        <w:shd w:val="clear" w:color="auto" w:fill="CCC0D9" w:themeFill="accent4" w:themeFillTint="66"/>
        <w:spacing w:before="120" w:after="120"/>
        <w:rPr>
          <w:rFonts w:eastAsia="Times New Roman" w:cs="Arial"/>
          <w:b/>
          <w:sz w:val="20"/>
          <w:szCs w:val="20"/>
        </w:rPr>
      </w:pPr>
      <w:r w:rsidRPr="003F3D71">
        <w:rPr>
          <w:rFonts w:eastAsia="Times New Roman" w:cs="Arial"/>
          <w:b/>
          <w:sz w:val="20"/>
          <w:szCs w:val="20"/>
        </w:rPr>
        <w:t>Rationale</w:t>
      </w:r>
    </w:p>
    <w:p w:rsidR="00773EDC" w:rsidRPr="003F3D71" w:rsidRDefault="00513FD2" w:rsidP="00513FD2">
      <w:pPr>
        <w:spacing w:before="120" w:after="120"/>
        <w:rPr>
          <w:rFonts w:eastAsia="Times New Roman" w:cs="Arial"/>
          <w:sz w:val="20"/>
          <w:szCs w:val="20"/>
        </w:rPr>
      </w:pPr>
      <w:r w:rsidRPr="003F3D71">
        <w:rPr>
          <w:rFonts w:eastAsia="Times New Roman" w:cs="Arial"/>
          <w:bCs/>
          <w:sz w:val="20"/>
          <w:szCs w:val="20"/>
        </w:rPr>
        <w:t xml:space="preserve">Measuring </w:t>
      </w:r>
      <w:r w:rsidRPr="003F3D71">
        <w:rPr>
          <w:rFonts w:eastAsia="Times New Roman" w:cs="Arial"/>
          <w:bCs/>
          <w:i/>
          <w:sz w:val="20"/>
          <w:szCs w:val="20"/>
        </w:rPr>
        <w:t>market indicators signal that participants have improved opportunity to access services in the market</w:t>
      </w:r>
      <w:r w:rsidRPr="003F3D71">
        <w:rPr>
          <w:rFonts w:eastAsia="Times New Roman" w:cs="Arial"/>
          <w:bCs/>
          <w:sz w:val="20"/>
          <w:szCs w:val="20"/>
        </w:rPr>
        <w:t xml:space="preserve"> aims to demonstrate participants have improved opportunities to access services in the market. This</w:t>
      </w:r>
      <w:r w:rsidR="00EE138D">
        <w:rPr>
          <w:rFonts w:eastAsia="Times New Roman" w:cs="Arial"/>
          <w:bCs/>
          <w:sz w:val="20"/>
          <w:szCs w:val="20"/>
        </w:rPr>
        <w:t> </w:t>
      </w:r>
      <w:r w:rsidRPr="003F3D71">
        <w:rPr>
          <w:rFonts w:eastAsia="Times New Roman" w:cs="Arial"/>
          <w:bCs/>
          <w:sz w:val="20"/>
          <w:szCs w:val="20"/>
        </w:rPr>
        <w:t xml:space="preserve">measure demonstrates the </w:t>
      </w:r>
      <w:r w:rsidRPr="003F3D71">
        <w:rPr>
          <w:rFonts w:eastAsia="Times New Roman" w:cs="Arial"/>
          <w:b/>
          <w:sz w:val="20"/>
          <w:szCs w:val="20"/>
        </w:rPr>
        <w:t>effectiveness</w:t>
      </w:r>
      <w:r w:rsidRPr="003F3D71">
        <w:rPr>
          <w:rFonts w:eastAsia="Times New Roman" w:cs="Arial"/>
          <w:bCs/>
          <w:sz w:val="20"/>
          <w:szCs w:val="20"/>
        </w:rPr>
        <w:t xml:space="preserve"> of </w:t>
      </w:r>
      <w:r w:rsidRPr="003F3D71">
        <w:rPr>
          <w:rFonts w:eastAsia="Times New Roman" w:cs="Arial"/>
          <w:color w:val="000000"/>
          <w:sz w:val="20"/>
          <w:szCs w:val="20"/>
        </w:rPr>
        <w:t>development of the NDIS market</w:t>
      </w:r>
      <w:r w:rsidRPr="003F3D71">
        <w:rPr>
          <w:rFonts w:eastAsia="Times New Roman" w:cs="Arial"/>
          <w:bCs/>
          <w:sz w:val="20"/>
          <w:szCs w:val="20"/>
        </w:rPr>
        <w:t xml:space="preserve"> in achieving the objective of the key activity: </w:t>
      </w:r>
      <w:r w:rsidRPr="003F3D71">
        <w:rPr>
          <w:rFonts w:eastAsia="Times New Roman" w:cs="Arial"/>
          <w:bCs/>
          <w:i/>
          <w:sz w:val="20"/>
          <w:szCs w:val="20"/>
        </w:rPr>
        <w:t>To support the development of an efficient, effective and mature market and workforce for the NDIS</w:t>
      </w:r>
      <w:r w:rsidRPr="003F3D71">
        <w:rPr>
          <w:rFonts w:eastAsia="Times New Roman" w:cs="Arial"/>
          <w:bCs/>
          <w:sz w:val="20"/>
          <w:szCs w:val="20"/>
        </w:rPr>
        <w:t xml:space="preserve">. Targeting </w:t>
      </w:r>
      <w:r w:rsidRPr="003F3D71">
        <w:rPr>
          <w:rFonts w:eastAsia="Times New Roman" w:cs="Arial"/>
          <w:bCs/>
          <w:i/>
          <w:sz w:val="20"/>
          <w:szCs w:val="20"/>
        </w:rPr>
        <w:t>a</w:t>
      </w:r>
      <w:r w:rsidRPr="003F3D71">
        <w:rPr>
          <w:rFonts w:eastAsia="Times New Roman" w:cs="Arial"/>
          <w:i/>
          <w:sz w:val="20"/>
          <w:szCs w:val="20"/>
        </w:rPr>
        <w:t xml:space="preserve">t least </w:t>
      </w:r>
      <w:r w:rsidR="00C73076">
        <w:rPr>
          <w:rFonts w:eastAsia="Times New Roman" w:cs="Arial"/>
          <w:i/>
          <w:sz w:val="20"/>
          <w:szCs w:val="20"/>
        </w:rPr>
        <w:t>3</w:t>
      </w:r>
      <w:r w:rsidR="00181BA8">
        <w:rPr>
          <w:rFonts w:eastAsia="Times New Roman" w:cs="Arial"/>
          <w:i/>
          <w:sz w:val="20"/>
          <w:szCs w:val="20"/>
        </w:rPr>
        <w:t>%</w:t>
      </w:r>
      <w:r w:rsidRPr="003F3D71">
        <w:rPr>
          <w:rFonts w:eastAsia="Times New Roman" w:cs="Arial"/>
          <w:i/>
          <w:sz w:val="20"/>
          <w:szCs w:val="20"/>
        </w:rPr>
        <w:t xml:space="preserve"> reduction in market supply gaps </w:t>
      </w:r>
      <w:r w:rsidR="00C73076">
        <w:rPr>
          <w:rFonts w:eastAsia="Times New Roman" w:cs="Arial"/>
          <w:i/>
          <w:sz w:val="20"/>
          <w:szCs w:val="20"/>
        </w:rPr>
        <w:t>each financial year</w:t>
      </w:r>
      <w:r w:rsidRPr="003F3D71">
        <w:rPr>
          <w:rFonts w:eastAsia="Times New Roman" w:cs="Arial"/>
          <w:bCs/>
          <w:sz w:val="20"/>
          <w:szCs w:val="20"/>
        </w:rPr>
        <w:t xml:space="preserve"> demonstrates the </w:t>
      </w:r>
      <w:r w:rsidRPr="003F3D71">
        <w:rPr>
          <w:rFonts w:eastAsia="Times New Roman" w:cs="Arial"/>
          <w:b/>
          <w:sz w:val="20"/>
          <w:szCs w:val="20"/>
        </w:rPr>
        <w:t>effectiveness</w:t>
      </w:r>
      <w:r w:rsidRPr="003F3D71">
        <w:rPr>
          <w:rFonts w:eastAsia="Times New Roman" w:cs="Arial"/>
          <w:bCs/>
          <w:sz w:val="20"/>
          <w:szCs w:val="20"/>
        </w:rPr>
        <w:t xml:space="preserve"> of the key activity. This target measures structural supply gaps – an indicator that a</w:t>
      </w:r>
      <w:r w:rsidR="00EE138D">
        <w:rPr>
          <w:rFonts w:eastAsia="Times New Roman" w:cs="Arial"/>
          <w:bCs/>
          <w:sz w:val="20"/>
          <w:szCs w:val="20"/>
        </w:rPr>
        <w:t> </w:t>
      </w:r>
      <w:r w:rsidRPr="003F3D71">
        <w:rPr>
          <w:rFonts w:eastAsia="Times New Roman" w:cs="Arial"/>
          <w:bCs/>
          <w:sz w:val="20"/>
          <w:szCs w:val="20"/>
        </w:rPr>
        <w:t xml:space="preserve">participant is unable to access supply of supports they need within the market. Targeting </w:t>
      </w:r>
      <w:r w:rsidRPr="003F3D71">
        <w:rPr>
          <w:rFonts w:eastAsia="Times New Roman" w:cs="Arial"/>
          <w:bCs/>
          <w:i/>
          <w:sz w:val="20"/>
          <w:szCs w:val="20"/>
        </w:rPr>
        <w:t xml:space="preserve">At least </w:t>
      </w:r>
      <w:r w:rsidR="00C73076">
        <w:rPr>
          <w:rFonts w:eastAsia="Times New Roman" w:cs="Arial"/>
          <w:bCs/>
          <w:i/>
          <w:sz w:val="20"/>
          <w:szCs w:val="20"/>
        </w:rPr>
        <w:t>3</w:t>
      </w:r>
      <w:r w:rsidR="00181BA8">
        <w:rPr>
          <w:rFonts w:eastAsia="Times New Roman" w:cs="Arial"/>
          <w:bCs/>
          <w:i/>
          <w:sz w:val="20"/>
          <w:szCs w:val="20"/>
        </w:rPr>
        <w:t>%</w:t>
      </w:r>
      <w:r w:rsidRPr="003F3D71">
        <w:rPr>
          <w:rFonts w:eastAsia="Times New Roman" w:cs="Arial"/>
          <w:bCs/>
          <w:i/>
          <w:sz w:val="20"/>
          <w:szCs w:val="20"/>
        </w:rPr>
        <w:t xml:space="preserve"> increase in NDIS market competition (a decrease in market concentration) in remote areas </w:t>
      </w:r>
      <w:r w:rsidR="00C73076">
        <w:rPr>
          <w:rFonts w:eastAsia="Times New Roman" w:cs="Arial"/>
          <w:bCs/>
          <w:i/>
          <w:sz w:val="20"/>
          <w:szCs w:val="20"/>
        </w:rPr>
        <w:t>each year</w:t>
      </w:r>
      <w:r w:rsidRPr="003F3D71">
        <w:rPr>
          <w:rFonts w:eastAsia="Times New Roman" w:cs="Arial"/>
          <w:bCs/>
          <w:i/>
          <w:sz w:val="20"/>
          <w:szCs w:val="20"/>
        </w:rPr>
        <w:t xml:space="preserve">, </w:t>
      </w:r>
      <w:r w:rsidRPr="003F3D71">
        <w:rPr>
          <w:rFonts w:eastAsia="Times New Roman" w:cs="Arial"/>
          <w:bCs/>
          <w:sz w:val="20"/>
          <w:szCs w:val="20"/>
        </w:rPr>
        <w:t xml:space="preserve">demonstrates the </w:t>
      </w:r>
      <w:r w:rsidRPr="003F3D71">
        <w:rPr>
          <w:rFonts w:eastAsia="Times New Roman" w:cs="Arial"/>
          <w:b/>
          <w:sz w:val="20"/>
          <w:szCs w:val="20"/>
        </w:rPr>
        <w:t>effectiveness</w:t>
      </w:r>
      <w:r w:rsidRPr="003F3D71">
        <w:rPr>
          <w:rFonts w:eastAsia="Times New Roman" w:cs="Arial"/>
          <w:bCs/>
          <w:sz w:val="20"/>
          <w:szCs w:val="20"/>
        </w:rPr>
        <w:t xml:space="preserve"> of the key activity. Market competition is a market indicator which describes whether a market has many providers or if it is dominated by a few large providers. </w:t>
      </w:r>
    </w:p>
    <w:p w:rsidR="00513FD2" w:rsidRPr="003F3D71" w:rsidRDefault="00513FD2" w:rsidP="00513FD2">
      <w:pPr>
        <w:shd w:val="clear" w:color="auto" w:fill="CCC0D9" w:themeFill="accent4" w:themeFillTint="66"/>
        <w:spacing w:before="120" w:after="120"/>
        <w:rPr>
          <w:rFonts w:eastAsia="Times New Roman" w:cs="Arial"/>
          <w:b/>
          <w:sz w:val="20"/>
          <w:szCs w:val="20"/>
        </w:rPr>
      </w:pPr>
      <w:r w:rsidRPr="003F3D71">
        <w:rPr>
          <w:rFonts w:eastAsia="Times New Roman" w:cs="Arial"/>
          <w:b/>
          <w:sz w:val="20"/>
          <w:szCs w:val="20"/>
        </w:rPr>
        <w:t>Methodology</w:t>
      </w:r>
    </w:p>
    <w:p w:rsidR="00513FD2" w:rsidRPr="003F3D71" w:rsidRDefault="00513FD2" w:rsidP="00513FD2">
      <w:pPr>
        <w:spacing w:before="120" w:after="120"/>
        <w:rPr>
          <w:rFonts w:eastAsia="Times New Roman" w:cs="Arial"/>
          <w:sz w:val="20"/>
          <w:szCs w:val="20"/>
        </w:rPr>
      </w:pPr>
      <w:r w:rsidRPr="003F3D71">
        <w:rPr>
          <w:rFonts w:eastAsia="Times New Roman" w:cs="Arial"/>
          <w:sz w:val="20"/>
          <w:szCs w:val="20"/>
        </w:rPr>
        <w:t>3.2.2-1A - Market supply gaps are measured as differences between expected mature plan utilisation rates and what is actually being spent in the market. Supply gaps may be driven by short-term transitory or market development factors or may be a structural supply issue. This target measures structural supply gaps – an</w:t>
      </w:r>
      <w:r w:rsidR="00EE138D">
        <w:rPr>
          <w:rFonts w:eastAsia="Times New Roman" w:cs="Arial"/>
          <w:sz w:val="20"/>
          <w:szCs w:val="20"/>
        </w:rPr>
        <w:t> </w:t>
      </w:r>
      <w:r w:rsidRPr="003F3D71">
        <w:rPr>
          <w:rFonts w:eastAsia="Times New Roman" w:cs="Arial"/>
          <w:sz w:val="20"/>
          <w:szCs w:val="20"/>
        </w:rPr>
        <w:t xml:space="preserve">indicator that a participant is unable to access supply of supports they need within the market. </w:t>
      </w:r>
    </w:p>
    <w:p w:rsidR="00513FD2" w:rsidRDefault="00513FD2" w:rsidP="00513FD2">
      <w:pPr>
        <w:spacing w:before="120" w:after="120"/>
        <w:ind w:hanging="11"/>
        <w:rPr>
          <w:rFonts w:eastAsia="Times New Roman" w:cs="Arial"/>
          <w:sz w:val="20"/>
          <w:szCs w:val="20"/>
        </w:rPr>
      </w:pPr>
      <w:r w:rsidRPr="003F3D71">
        <w:rPr>
          <w:rFonts w:eastAsia="Times New Roman" w:cs="Arial"/>
          <w:sz w:val="20"/>
          <w:szCs w:val="20"/>
        </w:rPr>
        <w:lastRenderedPageBreak/>
        <w:t xml:space="preserve">The </w:t>
      </w:r>
      <w:r w:rsidRPr="003F3D71">
        <w:rPr>
          <w:rFonts w:eastAsia="Times New Roman" w:cs="Arial"/>
          <w:b/>
          <w:sz w:val="20"/>
          <w:szCs w:val="20"/>
        </w:rPr>
        <w:t>data source</w:t>
      </w:r>
      <w:r w:rsidRPr="003F3D71">
        <w:rPr>
          <w:rFonts w:eastAsia="Times New Roman" w:cs="Arial"/>
          <w:sz w:val="20"/>
          <w:szCs w:val="20"/>
        </w:rPr>
        <w:t xml:space="preserve"> used for this calculation is NDIA Scheme datasets.</w:t>
      </w:r>
    </w:p>
    <w:p w:rsidR="00513FD2" w:rsidRPr="003F3D71" w:rsidRDefault="00513FD2" w:rsidP="00513FD2">
      <w:pPr>
        <w:spacing w:before="120" w:after="120"/>
        <w:ind w:hanging="11"/>
        <w:rPr>
          <w:rFonts w:eastAsia="Times New Roman" w:cs="Arial"/>
          <w:sz w:val="20"/>
          <w:szCs w:val="20"/>
        </w:rPr>
      </w:pPr>
      <w:r w:rsidRPr="003F3D71">
        <w:rPr>
          <w:rFonts w:eastAsia="Times New Roman" w:cs="Arial"/>
          <w:sz w:val="20"/>
          <w:szCs w:val="20"/>
        </w:rPr>
        <w:t>3.2.2-1B - Market competition is measured as a decrease in market concentration, which is weighted according to the value of the district. The remote concentration is presented as the change in remote market concentration. Market concentration measures firms’ respective shares of the total revenue in a market or</w:t>
      </w:r>
      <w:r w:rsidR="00EE138D">
        <w:rPr>
          <w:rFonts w:eastAsia="Times New Roman" w:cs="Arial"/>
          <w:sz w:val="20"/>
          <w:szCs w:val="20"/>
        </w:rPr>
        <w:t> </w:t>
      </w:r>
      <w:r w:rsidRPr="003F3D71">
        <w:rPr>
          <w:rFonts w:eastAsia="Times New Roman" w:cs="Arial"/>
          <w:sz w:val="20"/>
          <w:szCs w:val="20"/>
        </w:rPr>
        <w:t>the extent of dominance in the market. A market with higher concentration may be less competitive (higher prices and less diverse services offered).</w:t>
      </w:r>
    </w:p>
    <w:p w:rsidR="00513FD2" w:rsidRPr="002B19F4" w:rsidRDefault="00513FD2" w:rsidP="00513FD2">
      <w:pPr>
        <w:spacing w:before="120" w:after="120"/>
        <w:ind w:hanging="11"/>
        <w:rPr>
          <w:rFonts w:eastAsia="Times New Roman" w:cs="Arial"/>
          <w:sz w:val="20"/>
          <w:szCs w:val="20"/>
        </w:rPr>
      </w:pPr>
      <w:r w:rsidRPr="003F3D71">
        <w:rPr>
          <w:rFonts w:eastAsia="Times New Roman" w:cs="Arial"/>
          <w:sz w:val="20"/>
          <w:szCs w:val="20"/>
        </w:rPr>
        <w:t xml:space="preserve">The </w:t>
      </w:r>
      <w:r w:rsidRPr="003F3D71">
        <w:rPr>
          <w:rFonts w:eastAsia="Times New Roman" w:cs="Arial"/>
          <w:b/>
          <w:sz w:val="20"/>
          <w:szCs w:val="20"/>
        </w:rPr>
        <w:t>data source</w:t>
      </w:r>
      <w:r w:rsidRPr="003F3D71">
        <w:rPr>
          <w:rFonts w:eastAsia="Times New Roman" w:cs="Arial"/>
          <w:sz w:val="20"/>
          <w:szCs w:val="20"/>
        </w:rPr>
        <w:t xml:space="preserve"> used for this calcu</w:t>
      </w:r>
      <w:r>
        <w:rPr>
          <w:rFonts w:eastAsia="Times New Roman" w:cs="Arial"/>
          <w:sz w:val="20"/>
          <w:szCs w:val="20"/>
        </w:rPr>
        <w:t>lation is NDIA Scheme datasets.</w:t>
      </w:r>
    </w:p>
    <w:p w:rsidR="00513FD2" w:rsidRPr="003F3D71" w:rsidRDefault="00513FD2" w:rsidP="00513FD2">
      <w:pPr>
        <w:shd w:val="clear" w:color="auto" w:fill="CCC0D9" w:themeFill="accent4" w:themeFillTint="66"/>
        <w:spacing w:before="120" w:after="120"/>
        <w:rPr>
          <w:rFonts w:eastAsia="Times New Roman" w:cs="Arial"/>
          <w:b/>
          <w:sz w:val="20"/>
          <w:szCs w:val="20"/>
        </w:rPr>
      </w:pPr>
      <w:r w:rsidRPr="003F3D71">
        <w:rPr>
          <w:rFonts w:eastAsia="Times New Roman" w:cs="Arial"/>
          <w:b/>
          <w:sz w:val="20"/>
          <w:szCs w:val="20"/>
        </w:rPr>
        <w:t>Program Outputs</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rPr>
        <w:t>Administered outlays (NDIS; NDIS Transition; NDIS Participant Plans; Information, Linkages and Capacity Building; Establishment of the NDIS Quality and Safeguards Commission; Boosting the Local Care Workforce; Payments to Corporate Entity – National Disability Insurance Agency costs)</w:t>
      </w:r>
    </w:p>
    <w:p w:rsidR="00513FD2" w:rsidRPr="003F3D71" w:rsidRDefault="00513FD2" w:rsidP="00762037">
      <w:pPr>
        <w:numPr>
          <w:ilvl w:val="0"/>
          <w:numId w:val="26"/>
        </w:numPr>
        <w:spacing w:before="0" w:after="0" w:line="240" w:lineRule="auto"/>
        <w:ind w:left="641" w:hanging="357"/>
        <w:rPr>
          <w:rFonts w:eastAsia="Times New Roman" w:cs="Arial"/>
          <w:sz w:val="20"/>
          <w:szCs w:val="20"/>
        </w:rPr>
      </w:pPr>
      <w:r w:rsidRPr="003F3D71">
        <w:rPr>
          <w:rFonts w:eastAsia="Times New Roman" w:cs="Arial"/>
          <w:sz w:val="20"/>
          <w:szCs w:val="20"/>
        </w:rPr>
        <w:t xml:space="preserve">High quality and timely policy advice to government </w:t>
      </w:r>
    </w:p>
    <w:p w:rsidR="00513FD2" w:rsidRPr="002B19F4" w:rsidRDefault="00513FD2" w:rsidP="007C74B7">
      <w:pPr>
        <w:spacing w:before="0" w:after="0" w:line="240" w:lineRule="auto"/>
        <w:ind w:left="284"/>
        <w:rPr>
          <w:rFonts w:eastAsia="Times New Roman" w:cs="Arial"/>
          <w:sz w:val="20"/>
          <w:szCs w:val="20"/>
        </w:rPr>
      </w:pPr>
    </w:p>
    <w:p w:rsidR="00513FD2" w:rsidRPr="003F3D71" w:rsidRDefault="00513FD2" w:rsidP="00513FD2">
      <w:pPr>
        <w:spacing w:before="120" w:after="120"/>
        <w:ind w:left="720" w:hanging="720"/>
        <w:rPr>
          <w:rFonts w:eastAsia="Times New Roman" w:cs="Arial"/>
          <w:sz w:val="20"/>
          <w:szCs w:val="20"/>
        </w:rPr>
      </w:pPr>
      <w:r w:rsidRPr="003F3D71">
        <w:rPr>
          <w:rFonts w:eastAsia="Times New Roman" w:cs="Arial"/>
          <w:sz w:val="20"/>
          <w:szCs w:val="20"/>
        </w:rPr>
        <w:br w:type="page"/>
      </w:r>
    </w:p>
    <w:p w:rsidR="00513FD2" w:rsidRPr="003F3D71" w:rsidRDefault="00513FD2" w:rsidP="00513FD2">
      <w:pPr>
        <w:shd w:val="clear" w:color="auto" w:fill="500778"/>
        <w:spacing w:before="120" w:after="120"/>
        <w:rPr>
          <w:rFonts w:eastAsia="Times New Roman" w:cs="Arial"/>
          <w:b/>
          <w:color w:val="FFFFFF"/>
          <w:sz w:val="20"/>
          <w:szCs w:val="20"/>
        </w:rPr>
      </w:pPr>
      <w:r w:rsidRPr="003F3D71">
        <w:rPr>
          <w:rFonts w:eastAsia="Times New Roman" w:cs="Arial"/>
          <w:b/>
          <w:color w:val="FFFFFF"/>
          <w:sz w:val="20"/>
          <w:szCs w:val="20"/>
        </w:rPr>
        <w:lastRenderedPageBreak/>
        <w:t>PROGRAM 3.2 NATIONAL DISABILITY INSURANCE SCHEME</w:t>
      </w:r>
    </w:p>
    <w:p w:rsidR="00513FD2" w:rsidRPr="003F3D71" w:rsidRDefault="00513FD2" w:rsidP="00513FD2">
      <w:pPr>
        <w:shd w:val="clear" w:color="auto" w:fill="500778"/>
        <w:spacing w:before="120" w:after="120"/>
        <w:rPr>
          <w:rFonts w:eastAsia="Times New Roman" w:cs="Arial"/>
          <w:color w:val="FFFFFF"/>
          <w:sz w:val="20"/>
          <w:szCs w:val="20"/>
        </w:rPr>
      </w:pPr>
      <w:r w:rsidRPr="003F3D71">
        <w:rPr>
          <w:rFonts w:eastAsia="Times New Roman" w:cs="Arial"/>
          <w:color w:val="FFFFFF"/>
          <w:sz w:val="20"/>
          <w:szCs w:val="20"/>
        </w:rPr>
        <w:t>To improve the wellbeing and social and economic participation of people with disability, and their families and carers, by building a NDIS that delivers individualised support through an insurance approach. This program also includes the Jobs and Market Fund.</w:t>
      </w:r>
    </w:p>
    <w:p w:rsidR="00513FD2" w:rsidRPr="003F3D71" w:rsidRDefault="00513FD2" w:rsidP="00513FD2">
      <w:pPr>
        <w:shd w:val="clear" w:color="auto" w:fill="CCC0D9" w:themeFill="accent4" w:themeFillTint="66"/>
        <w:spacing w:before="120" w:after="120"/>
        <w:rPr>
          <w:rFonts w:eastAsia="Times New Roman" w:cs="Arial"/>
          <w:sz w:val="20"/>
          <w:szCs w:val="20"/>
        </w:rPr>
      </w:pPr>
      <w:r w:rsidRPr="003F3D71">
        <w:rPr>
          <w:rFonts w:eastAsia="Times New Roman" w:cs="Arial"/>
          <w:b/>
          <w:sz w:val="20"/>
          <w:szCs w:val="20"/>
        </w:rPr>
        <w:t>Key Activity — 3.2.3 NDIS Participant Plans</w:t>
      </w:r>
    </w:p>
    <w:p w:rsidR="00513FD2" w:rsidRPr="003F3D71" w:rsidRDefault="00513FD2" w:rsidP="00513FD2">
      <w:pPr>
        <w:spacing w:before="120" w:after="120"/>
        <w:rPr>
          <w:rFonts w:eastAsia="Calibri" w:cs="Arial"/>
          <w:sz w:val="20"/>
          <w:szCs w:val="20"/>
        </w:rPr>
      </w:pPr>
      <w:r w:rsidRPr="003F3D71">
        <w:rPr>
          <w:rFonts w:eastAsia="Calibri" w:cs="Arial"/>
          <w:sz w:val="20"/>
          <w:szCs w:val="20"/>
        </w:rPr>
        <w:t xml:space="preserve">National Disability Insurance Scheme (NDIS) Participant Plans is a key activity of the NDIS Program. NDIS Participant Plans aims to provide support to </w:t>
      </w:r>
      <w:r w:rsidRPr="003F3D71">
        <w:rPr>
          <w:rFonts w:eastAsia="Calibri" w:cs="Arial"/>
          <w:b/>
          <w:sz w:val="20"/>
          <w:szCs w:val="20"/>
        </w:rPr>
        <w:t>people with disability</w:t>
      </w:r>
      <w:r w:rsidRPr="003F3D71">
        <w:rPr>
          <w:rFonts w:eastAsia="Calibri" w:cs="Arial"/>
          <w:sz w:val="20"/>
          <w:szCs w:val="20"/>
        </w:rPr>
        <w:t xml:space="preserve"> to participate in and contribute to their community. The NDIS is Australia’s first national Scheme for people with disability. It moves away from the previous system of providing block funding to agencies and community organisations to give funding directly to people with disability.</w:t>
      </w:r>
    </w:p>
    <w:p w:rsidR="00513FD2" w:rsidRPr="003F3D71" w:rsidRDefault="00513FD2" w:rsidP="00513FD2">
      <w:pPr>
        <w:spacing w:before="120" w:after="120"/>
        <w:rPr>
          <w:rFonts w:eastAsia="Calibri" w:cs="Arial"/>
          <w:bCs/>
          <w:sz w:val="20"/>
          <w:szCs w:val="20"/>
          <w:lang w:eastAsia="en-GB"/>
        </w:rPr>
      </w:pPr>
      <w:r w:rsidRPr="003F3D71">
        <w:rPr>
          <w:rFonts w:eastAsia="Calibri" w:cs="Arial"/>
          <w:sz w:val="20"/>
          <w:szCs w:val="20"/>
          <w:lang w:eastAsia="en-GB"/>
        </w:rPr>
        <w:t>In 2022-23, it is estimated that 586,433 people with permanent and significant disability will be supported by</w:t>
      </w:r>
      <w:r w:rsidR="00EE138D">
        <w:rPr>
          <w:rFonts w:eastAsia="Calibri" w:cs="Arial"/>
          <w:sz w:val="20"/>
          <w:szCs w:val="20"/>
          <w:lang w:eastAsia="en-GB"/>
        </w:rPr>
        <w:t> </w:t>
      </w:r>
      <w:r w:rsidRPr="003F3D71">
        <w:rPr>
          <w:rFonts w:eastAsia="Calibri" w:cs="Arial"/>
          <w:sz w:val="20"/>
          <w:szCs w:val="20"/>
          <w:lang w:eastAsia="en-GB"/>
        </w:rPr>
        <w:t>the NDIS and will collectively spend more than $33.9 billion on supports from funds provided to them by the scheme.</w:t>
      </w:r>
      <w:r>
        <w:rPr>
          <w:rFonts w:eastAsia="Calibri" w:cs="Arial"/>
          <w:sz w:val="20"/>
          <w:szCs w:val="20"/>
          <w:lang w:eastAsia="en-GB"/>
        </w:rPr>
        <w:t xml:space="preserve"> </w:t>
      </w:r>
      <w:r w:rsidRPr="003F3D71">
        <w:rPr>
          <w:rFonts w:eastAsia="Calibri" w:cs="Arial"/>
          <w:sz w:val="20"/>
          <w:szCs w:val="20"/>
          <w:lang w:eastAsia="en-GB"/>
        </w:rPr>
        <w:t xml:space="preserve">This is more than twice as many people and more than </w:t>
      </w:r>
      <w:r w:rsidR="00276CDD">
        <w:rPr>
          <w:rFonts w:eastAsia="Calibri" w:cs="Arial"/>
          <w:sz w:val="20"/>
          <w:szCs w:val="20"/>
          <w:lang w:eastAsia="en-GB"/>
        </w:rPr>
        <w:t xml:space="preserve">3 </w:t>
      </w:r>
      <w:r w:rsidRPr="003F3D71">
        <w:rPr>
          <w:rFonts w:eastAsia="Calibri" w:cs="Arial"/>
          <w:sz w:val="20"/>
          <w:szCs w:val="20"/>
          <w:lang w:eastAsia="en-GB"/>
        </w:rPr>
        <w:t>times the expenditure on supports as was the case before the NDIS was established</w:t>
      </w:r>
      <w:r w:rsidR="004B39ED" w:rsidRPr="003F3D71">
        <w:rPr>
          <w:rFonts w:eastAsia="Calibri" w:cs="Arial"/>
          <w:sz w:val="20"/>
          <w:szCs w:val="20"/>
          <w:lang w:eastAsia="en-GB"/>
        </w:rPr>
        <w:t>.</w:t>
      </w:r>
      <w:r w:rsidRPr="003F3D71">
        <w:rPr>
          <w:rFonts w:eastAsia="Calibri" w:cs="Arial"/>
          <w:sz w:val="20"/>
          <w:szCs w:val="20"/>
          <w:lang w:eastAsia="en-GB"/>
        </w:rPr>
        <w:t xml:space="preserve"> </w:t>
      </w:r>
    </w:p>
    <w:p w:rsidR="00513FD2" w:rsidRPr="003F3D71" w:rsidRDefault="00513FD2" w:rsidP="00513FD2">
      <w:pPr>
        <w:spacing w:before="120" w:after="120"/>
        <w:rPr>
          <w:rFonts w:eastAsia="Calibri" w:cs="Arial"/>
          <w:sz w:val="20"/>
          <w:szCs w:val="20"/>
        </w:rPr>
      </w:pPr>
      <w:r w:rsidRPr="003F3D71">
        <w:rPr>
          <w:rFonts w:eastAsia="Calibri" w:cs="Arial"/>
          <w:sz w:val="20"/>
          <w:szCs w:val="20"/>
        </w:rPr>
        <w:t>The NDIS works with participants to identify the supports they need to achieve goals in many aspects of their life. People’s goals may include independence, involvement in their community, education, employment, and</w:t>
      </w:r>
      <w:r w:rsidR="00EE138D">
        <w:rPr>
          <w:rFonts w:eastAsia="Calibri" w:cs="Arial"/>
          <w:sz w:val="20"/>
          <w:szCs w:val="20"/>
        </w:rPr>
        <w:t> </w:t>
      </w:r>
      <w:r w:rsidRPr="003F3D71">
        <w:rPr>
          <w:rFonts w:eastAsia="Calibri" w:cs="Arial"/>
          <w:sz w:val="20"/>
          <w:szCs w:val="20"/>
        </w:rPr>
        <w:t>health and wellbeing. The NDIS provides greater choice and control for participants over how and when they receive support. The NDIS also has a focus on funding early intervention where this can reduce the impact of disability for eligible people, including children.</w:t>
      </w:r>
    </w:p>
    <w:p w:rsidR="00513FD2" w:rsidRPr="003F3D71" w:rsidRDefault="00513FD2" w:rsidP="00513FD2">
      <w:pPr>
        <w:spacing w:before="120" w:after="120"/>
        <w:rPr>
          <w:rFonts w:eastAsia="Calibri" w:cs="Arial"/>
          <w:sz w:val="20"/>
          <w:szCs w:val="20"/>
        </w:rPr>
      </w:pPr>
      <w:r w:rsidRPr="003F3D71">
        <w:rPr>
          <w:rFonts w:eastAsia="Calibri" w:cs="Arial"/>
          <w:b/>
          <w:sz w:val="20"/>
          <w:szCs w:val="20"/>
        </w:rPr>
        <w:t>The department</w:t>
      </w:r>
      <w:r w:rsidRPr="003F3D71">
        <w:rPr>
          <w:rFonts w:eastAsia="Calibri" w:cs="Arial"/>
          <w:sz w:val="20"/>
          <w:szCs w:val="20"/>
        </w:rPr>
        <w:t xml:space="preserve"> is responsible for:</w:t>
      </w:r>
    </w:p>
    <w:p w:rsidR="00513FD2" w:rsidRPr="003F3D71" w:rsidRDefault="00513FD2" w:rsidP="00762037">
      <w:pPr>
        <w:numPr>
          <w:ilvl w:val="0"/>
          <w:numId w:val="26"/>
        </w:numPr>
        <w:spacing w:before="0" w:after="0" w:line="240" w:lineRule="auto"/>
        <w:ind w:left="641" w:hanging="357"/>
        <w:rPr>
          <w:rFonts w:eastAsia="Calibri" w:cs="Arial"/>
          <w:sz w:val="20"/>
          <w:szCs w:val="20"/>
          <w:lang w:val="en-US"/>
        </w:rPr>
      </w:pPr>
      <w:r w:rsidRPr="003F3D71">
        <w:rPr>
          <w:rFonts w:eastAsia="Calibri" w:cs="Arial"/>
          <w:sz w:val="20"/>
          <w:szCs w:val="20"/>
          <w:lang w:val="en-US"/>
        </w:rPr>
        <w:t xml:space="preserve">providing advice to government on the design, operation and performance of the </w:t>
      </w:r>
      <w:r w:rsidR="00323BEB">
        <w:rPr>
          <w:rFonts w:eastAsia="Calibri" w:cs="Arial"/>
          <w:sz w:val="20"/>
          <w:szCs w:val="20"/>
          <w:lang w:val="en-US"/>
        </w:rPr>
        <w:t>NDIS</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t xml:space="preserve">supporting the development of legislation to amend the </w:t>
      </w:r>
      <w:hyperlink r:id="rId24" w:history="1">
        <w:r w:rsidRPr="003F3D71">
          <w:rPr>
            <w:rFonts w:eastAsia="Calibri" w:cs="Arial"/>
            <w:i/>
            <w:color w:val="0000FF"/>
            <w:sz w:val="20"/>
            <w:szCs w:val="20"/>
            <w:u w:val="single"/>
            <w:lang w:val="en-US"/>
          </w:rPr>
          <w:t xml:space="preserve">National Disability Insurance Scheme Act 2013 </w:t>
        </w:r>
        <w:r w:rsidRPr="003F3D71">
          <w:rPr>
            <w:rFonts w:eastAsia="Calibri" w:cs="Arial"/>
            <w:color w:val="0000FF"/>
            <w:sz w:val="20"/>
            <w:szCs w:val="20"/>
            <w:u w:val="single"/>
            <w:lang w:val="en-US"/>
          </w:rPr>
          <w:t>(Cth)</w:t>
        </w:r>
      </w:hyperlink>
      <w:r w:rsidRPr="003F3D71">
        <w:rPr>
          <w:rFonts w:eastAsia="Calibri" w:cs="Arial"/>
          <w:sz w:val="20"/>
          <w:szCs w:val="20"/>
          <w:lang w:val="en-US"/>
        </w:rPr>
        <w:t xml:space="preserve"> and subordinate legislation (rules made under the Act),</w:t>
      </w:r>
      <w:r>
        <w:rPr>
          <w:rFonts w:eastAsia="Calibri" w:cs="Arial"/>
          <w:sz w:val="20"/>
          <w:szCs w:val="20"/>
          <w:lang w:val="en-US"/>
        </w:rPr>
        <w:t xml:space="preserve"> </w:t>
      </w:r>
      <w:r w:rsidRPr="003F3D71">
        <w:rPr>
          <w:rFonts w:eastAsia="Calibri" w:cs="Arial"/>
          <w:sz w:val="20"/>
          <w:szCs w:val="20"/>
          <w:lang w:val="en-US"/>
        </w:rPr>
        <w:t>which underpin the governance and operations of the NDIS</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t>administering Commonwealth payments to the NDIA</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t>liaising with states and territories regarding the interface between the NDIS and the other services systems such as health, housing, education, transport, justice and child protection</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t>supporting meetings of Commonwealth, state and territory disability ministers as the Ministerial Council under the NDIS Act</w:t>
      </w:r>
    </w:p>
    <w:p w:rsidR="00513FD2" w:rsidRPr="003F3D71" w:rsidRDefault="00513FD2" w:rsidP="00762037">
      <w:pPr>
        <w:numPr>
          <w:ilvl w:val="0"/>
          <w:numId w:val="27"/>
        </w:numPr>
        <w:spacing w:before="0" w:after="0" w:line="240" w:lineRule="auto"/>
        <w:ind w:left="641" w:hanging="357"/>
        <w:rPr>
          <w:rFonts w:eastAsia="Calibri" w:cs="Arial"/>
          <w:sz w:val="20"/>
          <w:szCs w:val="20"/>
        </w:rPr>
      </w:pPr>
      <w:r w:rsidRPr="003F3D71">
        <w:rPr>
          <w:rFonts w:eastAsia="Calibri" w:cs="Arial"/>
          <w:sz w:val="20"/>
          <w:szCs w:val="20"/>
          <w:lang w:val="en-US"/>
        </w:rPr>
        <w:t>implementing</w:t>
      </w:r>
      <w:r w:rsidR="00AA37A2" w:rsidRPr="00AA37A2">
        <w:rPr>
          <w:rFonts w:eastAsia="Calibri" w:cs="Arial"/>
          <w:sz w:val="20"/>
          <w:szCs w:val="20"/>
          <w:lang w:val="en-US"/>
        </w:rPr>
        <w:t xml:space="preserve"> </w:t>
      </w:r>
      <w:r w:rsidR="00AA37A2">
        <w:rPr>
          <w:rFonts w:eastAsia="Calibri" w:cs="Arial"/>
          <w:sz w:val="20"/>
          <w:szCs w:val="20"/>
          <w:lang w:val="en-US"/>
        </w:rPr>
        <w:t>actions that support the achievement of targets to prevent younger people from enter</w:t>
      </w:r>
      <w:r w:rsidR="004F6A99">
        <w:rPr>
          <w:rFonts w:eastAsia="Calibri" w:cs="Arial"/>
          <w:sz w:val="20"/>
          <w:szCs w:val="20"/>
          <w:lang w:val="en-US"/>
        </w:rPr>
        <w:t>ing</w:t>
      </w:r>
      <w:r w:rsidR="00AA37A2">
        <w:rPr>
          <w:rFonts w:eastAsia="Calibri" w:cs="Arial"/>
          <w:sz w:val="20"/>
          <w:szCs w:val="20"/>
          <w:lang w:val="en-US"/>
        </w:rPr>
        <w:t xml:space="preserve"> into, or remaining in, residential aged care, except in exceptional circumstances,</w:t>
      </w:r>
      <w:r w:rsidRPr="003F3D71">
        <w:rPr>
          <w:rFonts w:eastAsia="Calibri" w:cs="Arial"/>
          <w:sz w:val="20"/>
          <w:szCs w:val="20"/>
          <w:lang w:val="en-US"/>
        </w:rPr>
        <w:t xml:space="preserve"> jointly with the Department of Health</w:t>
      </w:r>
      <w:r w:rsidR="00AA37A2">
        <w:rPr>
          <w:rFonts w:eastAsia="Calibri" w:cs="Arial"/>
          <w:sz w:val="20"/>
          <w:szCs w:val="20"/>
          <w:lang w:val="en-US"/>
        </w:rPr>
        <w:t xml:space="preserve"> and Aged Care</w:t>
      </w:r>
      <w:r w:rsidRPr="003F3D71">
        <w:rPr>
          <w:rFonts w:eastAsia="Calibri" w:cs="Arial"/>
          <w:sz w:val="20"/>
          <w:szCs w:val="20"/>
          <w:lang w:val="en-US"/>
        </w:rPr>
        <w:t xml:space="preserve"> and the NDIA.</w:t>
      </w:r>
    </w:p>
    <w:p w:rsidR="00513FD2" w:rsidRPr="003F3D71" w:rsidRDefault="00513FD2" w:rsidP="00513FD2">
      <w:pPr>
        <w:keepNext/>
        <w:spacing w:before="120" w:after="120"/>
        <w:rPr>
          <w:rFonts w:eastAsia="Calibri" w:cs="Arial"/>
          <w:sz w:val="20"/>
          <w:szCs w:val="20"/>
        </w:rPr>
      </w:pPr>
      <w:r w:rsidRPr="003F3D71">
        <w:rPr>
          <w:rFonts w:eastAsia="Calibri" w:cs="Arial"/>
          <w:b/>
          <w:sz w:val="20"/>
          <w:szCs w:val="20"/>
        </w:rPr>
        <w:t>The National Disability Insurance Agency (NDIA)</w:t>
      </w:r>
      <w:r w:rsidRPr="003F3D71">
        <w:rPr>
          <w:rFonts w:eastAsia="Calibri" w:cs="Arial"/>
          <w:sz w:val="20"/>
          <w:szCs w:val="20"/>
        </w:rPr>
        <w:t xml:space="preserve"> is responsible for:</w:t>
      </w:r>
    </w:p>
    <w:p w:rsidR="00513FD2" w:rsidRPr="003F3D71" w:rsidRDefault="00513FD2" w:rsidP="00E211B3">
      <w:pPr>
        <w:numPr>
          <w:ilvl w:val="0"/>
          <w:numId w:val="27"/>
        </w:numPr>
        <w:spacing w:before="120" w:after="120"/>
        <w:ind w:left="641" w:hanging="357"/>
        <w:rPr>
          <w:rFonts w:eastAsia="Calibri" w:cs="Arial"/>
          <w:sz w:val="20"/>
          <w:szCs w:val="20"/>
        </w:rPr>
      </w:pPr>
      <w:r w:rsidRPr="003F3D71">
        <w:rPr>
          <w:rFonts w:eastAsia="Calibri" w:cs="Arial"/>
          <w:sz w:val="20"/>
          <w:szCs w:val="20"/>
          <w:lang w:val="en-US"/>
        </w:rPr>
        <w:t>coordination</w:t>
      </w:r>
      <w:r w:rsidRPr="003F3D71">
        <w:rPr>
          <w:rFonts w:eastAsia="Calibri" w:cs="Arial"/>
          <w:sz w:val="20"/>
          <w:szCs w:val="20"/>
        </w:rPr>
        <w:t>, strategic or referral services, or activities relating to the funding for reasonable and necessary supports via individual plans, which will assist people with disability to participate in</w:t>
      </w:r>
      <w:r w:rsidR="0013448B">
        <w:rPr>
          <w:rFonts w:eastAsia="Calibri" w:cs="Arial"/>
          <w:sz w:val="20"/>
          <w:szCs w:val="20"/>
        </w:rPr>
        <w:t> </w:t>
      </w:r>
      <w:r w:rsidRPr="003F3D71">
        <w:rPr>
          <w:rFonts w:eastAsia="Calibri" w:cs="Arial"/>
          <w:sz w:val="20"/>
          <w:szCs w:val="20"/>
        </w:rPr>
        <w:t xml:space="preserve">economic and social life. </w:t>
      </w:r>
    </w:p>
    <w:p w:rsidR="00513FD2" w:rsidRPr="003F3D71" w:rsidRDefault="00513FD2" w:rsidP="00513FD2">
      <w:pPr>
        <w:spacing w:before="120" w:after="120"/>
        <w:ind w:left="284"/>
        <w:rPr>
          <w:rFonts w:eastAsia="Calibri" w:cs="Arial"/>
          <w:sz w:val="20"/>
          <w:szCs w:val="20"/>
        </w:rPr>
      </w:pPr>
      <w:r w:rsidRPr="003F3D71">
        <w:rPr>
          <w:rFonts w:eastAsia="Calibri" w:cs="Arial"/>
          <w:sz w:val="20"/>
          <w:szCs w:val="20"/>
        </w:rPr>
        <w:t>The functions of the NDIA are:</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t>deliver the NDIS</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t>manage the financial sustainability of the NDIS and advise and report on this to the Ministerial Council</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t>develop and enhance the disability sector including by facilitating innovation, research, and contemporary best practice in the sector</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t>collect, analyse, and exchange data about disabilities and the supports (including early intervention supports) for people with disability through the NDIS</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t>undertake research relating to disability, the supports for people with disability, and the social contributors to disability</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t xml:space="preserve">drive the implementation of </w:t>
      </w:r>
      <w:r w:rsidR="00AA37A2">
        <w:rPr>
          <w:rFonts w:eastAsia="Calibri" w:cs="Arial"/>
          <w:sz w:val="20"/>
          <w:szCs w:val="20"/>
          <w:lang w:val="en-US"/>
        </w:rPr>
        <w:t>actions</w:t>
      </w:r>
      <w:r w:rsidRPr="003F3D71">
        <w:rPr>
          <w:rFonts w:eastAsia="Calibri" w:cs="Arial"/>
          <w:sz w:val="20"/>
          <w:szCs w:val="20"/>
          <w:lang w:val="en-US"/>
        </w:rPr>
        <w:t xml:space="preserve"> to achieve targets</w:t>
      </w:r>
      <w:r w:rsidR="00AA37A2">
        <w:rPr>
          <w:rFonts w:eastAsia="Calibri" w:cs="Arial"/>
          <w:sz w:val="20"/>
          <w:szCs w:val="20"/>
          <w:lang w:val="en-US"/>
        </w:rPr>
        <w:t xml:space="preserve"> relating to younger people in residential aged care</w:t>
      </w:r>
      <w:r w:rsidR="00534BF0">
        <w:rPr>
          <w:rFonts w:eastAsia="Calibri" w:cs="Arial"/>
          <w:sz w:val="20"/>
          <w:szCs w:val="20"/>
          <w:lang w:val="en-US"/>
        </w:rPr>
        <w:t>,</w:t>
      </w:r>
      <w:r w:rsidRPr="003F3D71">
        <w:rPr>
          <w:rFonts w:eastAsia="Calibri" w:cs="Arial"/>
          <w:sz w:val="20"/>
          <w:szCs w:val="20"/>
          <w:lang w:val="en-US"/>
        </w:rPr>
        <w:t xml:space="preserve"> jointly with the Department and </w:t>
      </w:r>
      <w:r w:rsidR="00AA37A2">
        <w:rPr>
          <w:rFonts w:eastAsia="Calibri" w:cs="Arial"/>
          <w:sz w:val="20"/>
          <w:szCs w:val="20"/>
          <w:lang w:val="en-US"/>
        </w:rPr>
        <w:t xml:space="preserve">the Department of </w:t>
      </w:r>
      <w:r w:rsidRPr="003F3D71">
        <w:rPr>
          <w:rFonts w:eastAsia="Calibri" w:cs="Arial"/>
          <w:sz w:val="20"/>
          <w:szCs w:val="20"/>
          <w:lang w:val="en-US"/>
        </w:rPr>
        <w:t>Health</w:t>
      </w:r>
      <w:r w:rsidR="00AA37A2">
        <w:rPr>
          <w:rFonts w:eastAsia="Calibri" w:cs="Arial"/>
          <w:sz w:val="20"/>
          <w:szCs w:val="20"/>
          <w:lang w:val="en-US"/>
        </w:rPr>
        <w:t xml:space="preserve"> and Aged Care</w:t>
      </w:r>
      <w:r w:rsidRPr="003F3D71">
        <w:rPr>
          <w:rFonts w:eastAsia="Calibri" w:cs="Arial"/>
          <w:sz w:val="20"/>
          <w:szCs w:val="20"/>
          <w:lang w:val="en-US"/>
        </w:rPr>
        <w:t>.</w:t>
      </w:r>
    </w:p>
    <w:p w:rsidR="00513FD2" w:rsidRPr="003F3D71" w:rsidRDefault="00513FD2" w:rsidP="00513FD2">
      <w:pPr>
        <w:spacing w:before="120" w:after="120"/>
        <w:ind w:left="720" w:hanging="720"/>
        <w:rPr>
          <w:rFonts w:eastAsia="Calibri" w:cs="Arial"/>
          <w:sz w:val="20"/>
          <w:szCs w:val="20"/>
        </w:rPr>
      </w:pPr>
      <w:r w:rsidRPr="003F3D71">
        <w:rPr>
          <w:rFonts w:eastAsia="Calibri" w:cs="Arial"/>
          <w:b/>
          <w:sz w:val="20"/>
          <w:szCs w:val="20"/>
        </w:rPr>
        <w:t>The states and territories’</w:t>
      </w:r>
      <w:r w:rsidRPr="003F3D71">
        <w:rPr>
          <w:rFonts w:eastAsia="Calibri" w:cs="Arial"/>
          <w:sz w:val="20"/>
          <w:szCs w:val="20"/>
        </w:rPr>
        <w:t xml:space="preserve"> role in governing and implementing the NDIS, include:</w:t>
      </w:r>
    </w:p>
    <w:p w:rsidR="00513FD2" w:rsidRPr="003F3D71" w:rsidRDefault="00513FD2" w:rsidP="00762037">
      <w:pPr>
        <w:numPr>
          <w:ilvl w:val="0"/>
          <w:numId w:val="27"/>
        </w:numPr>
        <w:spacing w:before="0" w:after="0" w:line="240" w:lineRule="auto"/>
        <w:ind w:left="641" w:hanging="357"/>
        <w:rPr>
          <w:rFonts w:eastAsia="Calibri" w:cs="Arial"/>
          <w:sz w:val="20"/>
          <w:szCs w:val="20"/>
        </w:rPr>
      </w:pPr>
      <w:r w:rsidRPr="003F3D71">
        <w:rPr>
          <w:rFonts w:eastAsia="Calibri" w:cs="Arial"/>
          <w:sz w:val="20"/>
          <w:szCs w:val="20"/>
          <w:lang w:val="en-US"/>
        </w:rPr>
        <w:t>agreeing NDIS rules, which underpin the governance and operations of the NDIS</w:t>
      </w:r>
      <w:r w:rsidRPr="003F3D71">
        <w:rPr>
          <w:rFonts w:eastAsia="Calibri" w:cs="Arial"/>
          <w:sz w:val="20"/>
          <w:szCs w:val="20"/>
        </w:rPr>
        <w:t xml:space="preserve"> </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t>transitioning people with disability in their state programs to the NDIS</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t>delivering in-kind supports to NDIS participants, phasing these out by June 2023</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t>providing financial contributions to the NDIS</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t>monitoring and contributing to the outcomes and financial sustainability of the NDIS</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lastRenderedPageBreak/>
        <w:t>providing ongoing support via continuity of support arrangements for people not eligible for NDIS</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lang w:val="en-US"/>
        </w:rPr>
        <w:t>providing accommodation support, community support, community access, and respite for people with disabilities</w:t>
      </w:r>
    </w:p>
    <w:p w:rsidR="00513FD2" w:rsidRPr="00BC7C70" w:rsidRDefault="00513FD2" w:rsidP="00BC7C70">
      <w:pPr>
        <w:numPr>
          <w:ilvl w:val="0"/>
          <w:numId w:val="27"/>
        </w:numPr>
        <w:spacing w:before="0" w:after="0" w:line="240" w:lineRule="auto"/>
        <w:ind w:left="641" w:hanging="357"/>
        <w:rPr>
          <w:rFonts w:eastAsia="Calibri" w:cs="Arial"/>
          <w:sz w:val="20"/>
          <w:szCs w:val="20"/>
        </w:rPr>
      </w:pPr>
      <w:r w:rsidRPr="003F3D71">
        <w:rPr>
          <w:rFonts w:eastAsia="Calibri" w:cs="Arial"/>
          <w:sz w:val="20"/>
          <w:szCs w:val="20"/>
          <w:lang w:val="en-US"/>
        </w:rPr>
        <w:t>providing affordable and accessible accommodation options for NDIS participants, including</w:t>
      </w:r>
      <w:r w:rsidR="00534BF0">
        <w:rPr>
          <w:rFonts w:eastAsia="Calibri" w:cs="Arial"/>
          <w:sz w:val="20"/>
          <w:szCs w:val="20"/>
          <w:lang w:val="en-US"/>
        </w:rPr>
        <w:t xml:space="preserve"> but not limited to</w:t>
      </w:r>
      <w:r w:rsidR="00D44128">
        <w:rPr>
          <w:rFonts w:eastAsia="Calibri" w:cs="Arial"/>
          <w:sz w:val="20"/>
          <w:szCs w:val="20"/>
          <w:lang w:val="en-US"/>
        </w:rPr>
        <w:t>,</w:t>
      </w:r>
      <w:r w:rsidR="00534BF0">
        <w:rPr>
          <w:rFonts w:eastAsia="Calibri" w:cs="Arial"/>
          <w:sz w:val="20"/>
          <w:szCs w:val="20"/>
          <w:lang w:val="en-US"/>
        </w:rPr>
        <w:t xml:space="preserve"> supporting the transition of</w:t>
      </w:r>
      <w:r w:rsidRPr="003F3D71">
        <w:rPr>
          <w:rFonts w:eastAsia="Calibri" w:cs="Arial"/>
          <w:sz w:val="20"/>
          <w:szCs w:val="20"/>
          <w:lang w:val="en-US"/>
        </w:rPr>
        <w:t xml:space="preserve"> </w:t>
      </w:r>
      <w:r w:rsidR="00534BF0">
        <w:rPr>
          <w:rFonts w:eastAsia="Calibri" w:cs="Arial"/>
          <w:sz w:val="20"/>
          <w:szCs w:val="20"/>
          <w:lang w:val="en-US"/>
        </w:rPr>
        <w:t>younger people out of residential aged care where they are</w:t>
      </w:r>
      <w:r w:rsidRPr="003F3D71">
        <w:rPr>
          <w:rFonts w:eastAsia="Calibri" w:cs="Arial"/>
          <w:sz w:val="20"/>
          <w:szCs w:val="20"/>
          <w:lang w:val="en-US"/>
        </w:rPr>
        <w:t xml:space="preserve"> not eligible for housing supports under the NDIS</w:t>
      </w:r>
      <w:r w:rsidR="00534BF0">
        <w:rPr>
          <w:rFonts w:eastAsia="Calibri" w:cs="Arial"/>
          <w:sz w:val="20"/>
          <w:szCs w:val="20"/>
        </w:rPr>
        <w:t>.</w:t>
      </w:r>
    </w:p>
    <w:p w:rsidR="00513FD2" w:rsidRPr="003F3D71" w:rsidRDefault="00513FD2" w:rsidP="00513FD2">
      <w:pPr>
        <w:spacing w:before="120" w:after="120"/>
        <w:ind w:left="720" w:hanging="720"/>
        <w:rPr>
          <w:rFonts w:eastAsia="Calibri" w:cs="Arial"/>
          <w:sz w:val="20"/>
          <w:szCs w:val="20"/>
        </w:rPr>
      </w:pPr>
      <w:r w:rsidRPr="003F3D71">
        <w:rPr>
          <w:rFonts w:eastAsia="Calibri" w:cs="Arial"/>
          <w:b/>
          <w:sz w:val="20"/>
          <w:szCs w:val="20"/>
        </w:rPr>
        <w:t>The Department of Health</w:t>
      </w:r>
      <w:r w:rsidR="00AA37A2">
        <w:rPr>
          <w:rFonts w:eastAsia="Calibri" w:cs="Arial"/>
          <w:b/>
          <w:sz w:val="20"/>
          <w:szCs w:val="20"/>
        </w:rPr>
        <w:t xml:space="preserve"> and Aged Care</w:t>
      </w:r>
      <w:r w:rsidRPr="003F3D71">
        <w:rPr>
          <w:rFonts w:eastAsia="Calibri" w:cs="Arial"/>
          <w:b/>
          <w:sz w:val="20"/>
          <w:szCs w:val="20"/>
        </w:rPr>
        <w:t>’s role</w:t>
      </w:r>
      <w:r w:rsidRPr="003F3D71">
        <w:rPr>
          <w:rFonts w:eastAsia="Calibri" w:cs="Arial"/>
          <w:sz w:val="20"/>
          <w:szCs w:val="20"/>
        </w:rPr>
        <w:t xml:space="preserve"> in implementing the NDIS is to:</w:t>
      </w:r>
    </w:p>
    <w:p w:rsidR="00513FD2" w:rsidRPr="003F3D71" w:rsidRDefault="00513FD2" w:rsidP="00762037">
      <w:pPr>
        <w:numPr>
          <w:ilvl w:val="0"/>
          <w:numId w:val="27"/>
        </w:numPr>
        <w:spacing w:before="0" w:after="0" w:line="240" w:lineRule="auto"/>
        <w:ind w:left="641" w:hanging="357"/>
        <w:rPr>
          <w:rFonts w:eastAsia="Calibri" w:cs="Arial"/>
          <w:sz w:val="20"/>
          <w:szCs w:val="20"/>
          <w:lang w:val="en-US"/>
        </w:rPr>
      </w:pPr>
      <w:r w:rsidRPr="003F3D71">
        <w:rPr>
          <w:rFonts w:eastAsia="Calibri" w:cs="Arial"/>
          <w:sz w:val="20"/>
          <w:szCs w:val="20"/>
        </w:rPr>
        <w:t xml:space="preserve">set policy </w:t>
      </w:r>
      <w:r w:rsidRPr="003F3D71">
        <w:rPr>
          <w:rFonts w:eastAsia="Calibri" w:cs="Arial"/>
          <w:sz w:val="20"/>
          <w:szCs w:val="20"/>
          <w:lang w:val="en-US"/>
        </w:rPr>
        <w:t>and guidelines for people eligible for aged care, including people with disability, and its interface with the NDIS</w:t>
      </w:r>
    </w:p>
    <w:p w:rsidR="00513FD2" w:rsidRDefault="00513FD2" w:rsidP="00762037">
      <w:pPr>
        <w:numPr>
          <w:ilvl w:val="0"/>
          <w:numId w:val="27"/>
        </w:numPr>
        <w:spacing w:before="0" w:after="0" w:line="240" w:lineRule="auto"/>
        <w:ind w:left="641" w:hanging="357"/>
        <w:rPr>
          <w:rFonts w:eastAsia="Calibri" w:cs="Arial"/>
          <w:sz w:val="20"/>
          <w:szCs w:val="20"/>
        </w:rPr>
      </w:pPr>
      <w:r w:rsidRPr="003F3D71">
        <w:rPr>
          <w:rFonts w:eastAsia="Calibri" w:cs="Arial"/>
          <w:sz w:val="20"/>
          <w:szCs w:val="20"/>
          <w:lang w:val="en-US"/>
        </w:rPr>
        <w:t xml:space="preserve">drive the </w:t>
      </w:r>
      <w:r w:rsidR="00534BF0">
        <w:rPr>
          <w:rFonts w:eastAsia="Calibri" w:cs="Arial"/>
          <w:sz w:val="20"/>
          <w:szCs w:val="20"/>
          <w:lang w:val="en-US"/>
        </w:rPr>
        <w:t>implementation of actions to achieve</w:t>
      </w:r>
      <w:r w:rsidRPr="003F3D71">
        <w:rPr>
          <w:rFonts w:eastAsia="Calibri" w:cs="Arial"/>
          <w:sz w:val="20"/>
          <w:szCs w:val="20"/>
          <w:lang w:val="en-US"/>
        </w:rPr>
        <w:t xml:space="preserve"> targets</w:t>
      </w:r>
      <w:r w:rsidR="00AA37A2">
        <w:rPr>
          <w:rFonts w:eastAsia="Calibri" w:cs="Arial"/>
          <w:sz w:val="20"/>
          <w:szCs w:val="20"/>
          <w:lang w:val="en-US"/>
        </w:rPr>
        <w:t xml:space="preserve"> relating to younger people in residential aged care</w:t>
      </w:r>
      <w:r w:rsidR="00534BF0">
        <w:rPr>
          <w:rFonts w:eastAsia="Calibri" w:cs="Arial"/>
          <w:sz w:val="20"/>
          <w:szCs w:val="20"/>
          <w:lang w:val="en-US"/>
        </w:rPr>
        <w:t>,</w:t>
      </w:r>
      <w:r w:rsidRPr="003F3D71">
        <w:rPr>
          <w:rFonts w:eastAsia="Calibri" w:cs="Arial"/>
          <w:sz w:val="20"/>
          <w:szCs w:val="20"/>
          <w:lang w:val="en-US"/>
        </w:rPr>
        <w:t xml:space="preserve"> jointly with</w:t>
      </w:r>
      <w:r w:rsidRPr="003F3D71">
        <w:rPr>
          <w:rFonts w:eastAsia="Calibri" w:cs="Arial"/>
          <w:sz w:val="20"/>
          <w:szCs w:val="20"/>
        </w:rPr>
        <w:t xml:space="preserve"> the Department and </w:t>
      </w:r>
      <w:r w:rsidR="00AA37A2">
        <w:rPr>
          <w:rFonts w:eastAsia="Calibri" w:cs="Arial"/>
          <w:sz w:val="20"/>
          <w:szCs w:val="20"/>
        </w:rPr>
        <w:t>NDIA</w:t>
      </w:r>
      <w:r w:rsidRPr="003F3D71">
        <w:rPr>
          <w:rFonts w:eastAsia="Calibri" w:cs="Arial"/>
          <w:sz w:val="20"/>
          <w:szCs w:val="20"/>
        </w:rPr>
        <w:t>.</w:t>
      </w:r>
    </w:p>
    <w:p w:rsidR="00001B01" w:rsidRPr="003F3D71" w:rsidRDefault="00001B01" w:rsidP="005B6BFD">
      <w:pPr>
        <w:spacing w:before="0" w:after="0" w:line="240" w:lineRule="auto"/>
        <w:ind w:left="284"/>
        <w:rPr>
          <w:rFonts w:eastAsia="Calibri" w:cs="Arial"/>
          <w:sz w:val="20"/>
          <w:szCs w:val="20"/>
        </w:rPr>
      </w:pPr>
    </w:p>
    <w:tbl>
      <w:tblPr>
        <w:tblStyle w:val="TableGrid396"/>
        <w:tblW w:w="4955" w:type="pct"/>
        <w:tblLayout w:type="fixed"/>
        <w:tblLook w:val="04A0" w:firstRow="1" w:lastRow="0" w:firstColumn="1" w:lastColumn="0" w:noHBand="0" w:noVBand="1"/>
        <w:tblCaption w:val="3.2.3 performance measure and target"/>
        <w:tblDescription w:val="Table outlines the targeted percentages of meeting NDIS participants needs across 2022-23, 2023-24, 2024-25 and 2025-26"/>
      </w:tblPr>
      <w:tblGrid>
        <w:gridCol w:w="3326"/>
        <w:gridCol w:w="1210"/>
        <w:gridCol w:w="1666"/>
        <w:gridCol w:w="1664"/>
        <w:gridCol w:w="1675"/>
      </w:tblGrid>
      <w:tr w:rsidR="00513FD2" w:rsidRPr="003F3D71" w:rsidTr="005B200F">
        <w:trPr>
          <w:cantSplit/>
          <w:trHeight w:val="356"/>
          <w:tblHeader/>
        </w:trPr>
        <w:tc>
          <w:tcPr>
            <w:tcW w:w="5000" w:type="pct"/>
            <w:gridSpan w:val="5"/>
            <w:shd w:val="clear" w:color="auto" w:fill="D9D9D6"/>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Performance Measure</w:t>
            </w:r>
          </w:p>
        </w:tc>
      </w:tr>
      <w:tr w:rsidR="00513FD2" w:rsidRPr="003F3D71" w:rsidTr="00513FD2">
        <w:trPr>
          <w:cantSplit/>
          <w:trHeight w:val="356"/>
        </w:trPr>
        <w:tc>
          <w:tcPr>
            <w:tcW w:w="5000" w:type="pct"/>
            <w:gridSpan w:val="5"/>
            <w:shd w:val="clear" w:color="auto" w:fill="auto"/>
          </w:tcPr>
          <w:p w:rsidR="00513FD2" w:rsidRPr="003F3D71" w:rsidRDefault="00513FD2" w:rsidP="00513FD2">
            <w:pPr>
              <w:spacing w:before="120" w:after="120" w:line="259" w:lineRule="auto"/>
              <w:rPr>
                <w:rFonts w:eastAsia="Times New Roman" w:cs="Arial"/>
                <w:b/>
                <w:sz w:val="20"/>
              </w:rPr>
            </w:pPr>
            <w:r w:rsidRPr="003F3D71">
              <w:rPr>
                <w:rFonts w:eastAsia="Times New Roman" w:cs="Arial"/>
                <w:sz w:val="20"/>
              </w:rPr>
              <w:t>3.2.3-1 Extent to which NDIS participant outcomes are met.</w:t>
            </w:r>
          </w:p>
        </w:tc>
      </w:tr>
      <w:tr w:rsidR="00513FD2" w:rsidRPr="003F3D71" w:rsidTr="00513FD2">
        <w:trPr>
          <w:cantSplit/>
          <w:trHeight w:val="356"/>
        </w:trPr>
        <w:tc>
          <w:tcPr>
            <w:tcW w:w="1743" w:type="pct"/>
            <w:shd w:val="clear" w:color="auto" w:fill="D9D9D6"/>
            <w:hideMark/>
          </w:tcPr>
          <w:p w:rsidR="00513FD2" w:rsidRPr="003F3D71" w:rsidRDefault="00513FD2" w:rsidP="00513FD2">
            <w:pPr>
              <w:spacing w:before="120" w:after="120" w:line="259" w:lineRule="auto"/>
              <w:rPr>
                <w:rFonts w:eastAsia="Times New Roman" w:cs="Arial"/>
                <w:sz w:val="20"/>
              </w:rPr>
            </w:pPr>
            <w:r w:rsidRPr="003F3D71">
              <w:rPr>
                <w:rFonts w:eastAsia="Times New Roman" w:cs="Arial"/>
                <w:b/>
                <w:sz w:val="20"/>
              </w:rPr>
              <w:t>Target</w:t>
            </w:r>
          </w:p>
        </w:tc>
        <w:tc>
          <w:tcPr>
            <w:tcW w:w="634" w:type="pct"/>
            <w:shd w:val="clear" w:color="auto" w:fill="D9D9D6"/>
            <w:vAlign w:val="center"/>
            <w:hideMark/>
          </w:tcPr>
          <w:p w:rsidR="00513FD2" w:rsidRPr="003F3D71" w:rsidRDefault="00513FD2" w:rsidP="00513FD2">
            <w:pPr>
              <w:spacing w:before="120" w:after="120" w:line="259" w:lineRule="auto"/>
              <w:rPr>
                <w:rFonts w:eastAsia="Times New Roman" w:cs="Arial"/>
                <w:sz w:val="20"/>
              </w:rPr>
            </w:pPr>
            <w:r w:rsidRPr="003F3D71">
              <w:rPr>
                <w:rFonts w:eastAsia="Times New Roman" w:cs="Arial"/>
                <w:b/>
                <w:sz w:val="20"/>
              </w:rPr>
              <w:t>2022–23</w:t>
            </w:r>
          </w:p>
        </w:tc>
        <w:tc>
          <w:tcPr>
            <w:tcW w:w="873" w:type="pct"/>
            <w:shd w:val="clear" w:color="auto" w:fill="D9D9D6"/>
            <w:vAlign w:val="center"/>
            <w:hideMark/>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2023–24</w:t>
            </w:r>
          </w:p>
        </w:tc>
        <w:tc>
          <w:tcPr>
            <w:tcW w:w="872" w:type="pct"/>
            <w:shd w:val="clear" w:color="auto" w:fill="D9D9D6"/>
            <w:vAlign w:val="center"/>
            <w:hideMark/>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2024–25</w:t>
            </w:r>
          </w:p>
        </w:tc>
        <w:tc>
          <w:tcPr>
            <w:tcW w:w="878" w:type="pct"/>
            <w:shd w:val="clear" w:color="auto" w:fill="D9D9D6"/>
            <w:vAlign w:val="center"/>
            <w:hideMark/>
          </w:tcPr>
          <w:p w:rsidR="00513FD2" w:rsidRPr="003F3D71" w:rsidRDefault="00513FD2" w:rsidP="00513FD2">
            <w:pPr>
              <w:spacing w:before="120" w:after="120" w:line="259" w:lineRule="auto"/>
              <w:rPr>
                <w:rFonts w:eastAsia="Times New Roman" w:cs="Arial"/>
                <w:b/>
                <w:sz w:val="20"/>
              </w:rPr>
            </w:pPr>
            <w:r w:rsidRPr="003F3D71">
              <w:rPr>
                <w:rFonts w:eastAsia="Times New Roman" w:cs="Arial"/>
                <w:b/>
                <w:sz w:val="20"/>
              </w:rPr>
              <w:t>2025–26</w:t>
            </w:r>
          </w:p>
        </w:tc>
      </w:tr>
      <w:tr w:rsidR="00513FD2" w:rsidRPr="003F3D71" w:rsidTr="00513FD2">
        <w:trPr>
          <w:cantSplit/>
          <w:trHeight w:val="356"/>
        </w:trPr>
        <w:tc>
          <w:tcPr>
            <w:tcW w:w="1743" w:type="pct"/>
            <w:shd w:val="clear" w:color="auto" w:fill="auto"/>
            <w:hideMark/>
          </w:tcPr>
          <w:p w:rsidR="00513FD2" w:rsidRPr="003F3D71" w:rsidRDefault="00513FD2" w:rsidP="00181BA8">
            <w:pPr>
              <w:keepLines/>
              <w:spacing w:before="120" w:after="120" w:line="259" w:lineRule="auto"/>
              <w:rPr>
                <w:rFonts w:eastAsia="Calibri" w:cs="Arial"/>
                <w:iCs/>
                <w:sz w:val="20"/>
                <w:bdr w:val="none" w:sz="0" w:space="0" w:color="auto" w:frame="1"/>
              </w:rPr>
            </w:pPr>
            <w:r w:rsidRPr="003F3D71">
              <w:rPr>
                <w:rFonts w:eastAsia="Times New Roman" w:cs="Arial"/>
                <w:iCs/>
                <w:noProof/>
                <w:sz w:val="20"/>
                <w:lang w:eastAsia="en-AU"/>
              </w:rPr>
              <w:sym w:font="Wingdings" w:char="F074"/>
            </w:r>
            <w:r w:rsidRPr="003F3D71">
              <w:rPr>
                <w:rFonts w:eastAsia="Times New Roman" w:cs="Arial"/>
                <w:iCs/>
                <w:sz w:val="20"/>
              </w:rPr>
              <w:t xml:space="preserve"> </w:t>
            </w:r>
            <w:r w:rsidRPr="003F3D71">
              <w:rPr>
                <w:rFonts w:eastAsia="Times New Roman" w:cs="Arial"/>
                <w:iCs/>
                <w:noProof/>
                <w:sz w:val="20"/>
                <w:lang w:eastAsia="en-AU"/>
              </w:rPr>
              <w:t xml:space="preserve">3.2.3-1A - </w:t>
            </w:r>
            <w:r w:rsidRPr="003F3D71">
              <w:rPr>
                <w:rFonts w:eastAsia="Calibri" w:cs="Arial"/>
                <w:iCs/>
                <w:sz w:val="20"/>
                <w:bdr w:val="none" w:sz="0" w:space="0" w:color="auto" w:frame="1"/>
              </w:rPr>
              <w:t>At least 25</w:t>
            </w:r>
            <w:r w:rsidR="00181BA8">
              <w:rPr>
                <w:rFonts w:eastAsia="Calibri" w:cs="Arial"/>
                <w:iCs/>
                <w:sz w:val="20"/>
                <w:bdr w:val="none" w:sz="0" w:space="0" w:color="auto" w:frame="1"/>
              </w:rPr>
              <w:t>%</w:t>
            </w:r>
            <w:r w:rsidRPr="003F3D71">
              <w:rPr>
                <w:rFonts w:eastAsia="Calibri" w:cs="Arial"/>
                <w:iCs/>
                <w:sz w:val="20"/>
                <w:bdr w:val="none" w:sz="0" w:space="0" w:color="auto" w:frame="1"/>
              </w:rPr>
              <w:t xml:space="preserve"> of working age NDIS participants in paid employment.</w:t>
            </w:r>
          </w:p>
        </w:tc>
        <w:tc>
          <w:tcPr>
            <w:tcW w:w="634" w:type="pct"/>
            <w:shd w:val="clear" w:color="auto" w:fill="auto"/>
            <w:hideMark/>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25 %</w:t>
            </w:r>
          </w:p>
        </w:tc>
        <w:tc>
          <w:tcPr>
            <w:tcW w:w="873" w:type="pct"/>
            <w:shd w:val="clear" w:color="auto" w:fill="auto"/>
            <w:hideMark/>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25 %</w:t>
            </w:r>
          </w:p>
        </w:tc>
        <w:tc>
          <w:tcPr>
            <w:tcW w:w="872" w:type="pct"/>
            <w:shd w:val="clear" w:color="auto" w:fill="auto"/>
            <w:hideMark/>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25 %</w:t>
            </w:r>
          </w:p>
        </w:tc>
        <w:tc>
          <w:tcPr>
            <w:tcW w:w="878" w:type="pct"/>
            <w:shd w:val="clear" w:color="auto" w:fill="auto"/>
            <w:hideMark/>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25 %</w:t>
            </w:r>
          </w:p>
        </w:tc>
      </w:tr>
      <w:tr w:rsidR="00513FD2" w:rsidRPr="003F3D71" w:rsidTr="00513FD2">
        <w:trPr>
          <w:cantSplit/>
          <w:trHeight w:val="356"/>
        </w:trPr>
        <w:tc>
          <w:tcPr>
            <w:tcW w:w="1743" w:type="pct"/>
            <w:shd w:val="clear" w:color="auto" w:fill="auto"/>
            <w:hideMark/>
          </w:tcPr>
          <w:p w:rsidR="00513FD2" w:rsidRPr="003F3D71" w:rsidRDefault="00513FD2" w:rsidP="00181BA8">
            <w:pPr>
              <w:keepLines/>
              <w:spacing w:before="120" w:after="120" w:line="259" w:lineRule="auto"/>
              <w:rPr>
                <w:rFonts w:eastAsia="Calibri" w:cs="Arial"/>
                <w:iCs/>
                <w:sz w:val="20"/>
                <w:bdr w:val="none" w:sz="0" w:space="0" w:color="auto" w:frame="1"/>
              </w:rPr>
            </w:pPr>
            <w:r w:rsidRPr="003F3D71">
              <w:rPr>
                <w:rFonts w:eastAsia="Times New Roman" w:cs="Arial"/>
                <w:iCs/>
                <w:noProof/>
                <w:sz w:val="20"/>
                <w:lang w:eastAsia="en-AU"/>
              </w:rPr>
              <w:sym w:font="Wingdings" w:char="F074"/>
            </w:r>
            <w:r w:rsidRPr="003F3D71">
              <w:rPr>
                <w:rFonts w:eastAsia="Times New Roman" w:cs="Arial"/>
                <w:iCs/>
                <w:sz w:val="20"/>
              </w:rPr>
              <w:t xml:space="preserve"> </w:t>
            </w:r>
            <w:r w:rsidRPr="003F3D71">
              <w:rPr>
                <w:rFonts w:eastAsia="Times New Roman" w:cs="Arial"/>
                <w:iCs/>
                <w:noProof/>
                <w:sz w:val="20"/>
                <w:lang w:eastAsia="en-AU"/>
              </w:rPr>
              <w:t xml:space="preserve">3.2.3-1B - </w:t>
            </w:r>
            <w:r w:rsidRPr="003F3D71">
              <w:rPr>
                <w:rFonts w:eastAsia="Calibri" w:cs="Arial"/>
                <w:iCs/>
                <w:sz w:val="20"/>
                <w:bdr w:val="none" w:sz="0" w:space="0" w:color="auto" w:frame="1"/>
              </w:rPr>
              <w:t>At least 45</w:t>
            </w:r>
            <w:r w:rsidR="00181BA8">
              <w:rPr>
                <w:rFonts w:eastAsia="Calibri" w:cs="Arial"/>
                <w:iCs/>
                <w:sz w:val="20"/>
                <w:bdr w:val="none" w:sz="0" w:space="0" w:color="auto" w:frame="1"/>
              </w:rPr>
              <w:t>%</w:t>
            </w:r>
            <w:r w:rsidRPr="003F3D71">
              <w:rPr>
                <w:rFonts w:eastAsia="Calibri" w:cs="Arial"/>
                <w:iCs/>
                <w:sz w:val="20"/>
                <w:bdr w:val="none" w:sz="0" w:space="0" w:color="auto" w:frame="1"/>
              </w:rPr>
              <w:t xml:space="preserve"> of NDIS participants involved in community and social activities.</w:t>
            </w:r>
          </w:p>
        </w:tc>
        <w:tc>
          <w:tcPr>
            <w:tcW w:w="634" w:type="pct"/>
            <w:shd w:val="clear" w:color="auto" w:fill="auto"/>
            <w:hideMark/>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45 %</w:t>
            </w:r>
          </w:p>
        </w:tc>
        <w:tc>
          <w:tcPr>
            <w:tcW w:w="873" w:type="pct"/>
            <w:shd w:val="clear" w:color="auto" w:fill="auto"/>
            <w:hideMark/>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45 %</w:t>
            </w:r>
          </w:p>
        </w:tc>
        <w:tc>
          <w:tcPr>
            <w:tcW w:w="872" w:type="pct"/>
            <w:shd w:val="clear" w:color="auto" w:fill="auto"/>
            <w:hideMark/>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45 %</w:t>
            </w:r>
          </w:p>
        </w:tc>
        <w:tc>
          <w:tcPr>
            <w:tcW w:w="878" w:type="pct"/>
            <w:shd w:val="clear" w:color="auto" w:fill="auto"/>
            <w:hideMark/>
          </w:tcPr>
          <w:p w:rsidR="00513FD2" w:rsidRPr="003F3D71" w:rsidRDefault="00513FD2" w:rsidP="00513FD2">
            <w:pPr>
              <w:spacing w:before="120" w:after="120" w:line="259" w:lineRule="auto"/>
              <w:rPr>
                <w:rFonts w:eastAsia="Times New Roman" w:cs="Arial"/>
                <w:sz w:val="20"/>
              </w:rPr>
            </w:pPr>
            <w:r w:rsidRPr="003F3D71">
              <w:rPr>
                <w:rFonts w:eastAsia="Times New Roman" w:cs="Arial"/>
                <w:sz w:val="20"/>
              </w:rPr>
              <w:t>≥ 45 %</w:t>
            </w:r>
          </w:p>
        </w:tc>
      </w:tr>
    </w:tbl>
    <w:p w:rsidR="00513FD2" w:rsidRPr="003F3D71" w:rsidRDefault="00513FD2" w:rsidP="00513FD2">
      <w:pPr>
        <w:spacing w:before="120" w:after="120"/>
        <w:rPr>
          <w:rFonts w:eastAsia="Calibri" w:cs="Arial"/>
          <w:sz w:val="20"/>
          <w:szCs w:val="20"/>
        </w:rPr>
      </w:pPr>
    </w:p>
    <w:tbl>
      <w:tblPr>
        <w:tblStyle w:val="TableGrid396"/>
        <w:tblW w:w="4955" w:type="pct"/>
        <w:jc w:val="center"/>
        <w:tblLayout w:type="fixed"/>
        <w:tblLook w:val="04A0" w:firstRow="1" w:lastRow="0" w:firstColumn="1" w:lastColumn="0" w:noHBand="0" w:noVBand="1"/>
        <w:tblCaption w:val="3.2.3 performance measure and target"/>
        <w:tblDescription w:val="Table outlines the targeted implementation of the strategy for younger people in residential aged care across 2022-23, 2023-24, 2024-25 and 2025-26"/>
      </w:tblPr>
      <w:tblGrid>
        <w:gridCol w:w="3325"/>
        <w:gridCol w:w="1214"/>
        <w:gridCol w:w="1664"/>
        <w:gridCol w:w="1668"/>
        <w:gridCol w:w="1670"/>
      </w:tblGrid>
      <w:tr w:rsidR="00513FD2" w:rsidRPr="003F3D71" w:rsidTr="005B200F">
        <w:trPr>
          <w:trHeight w:val="356"/>
          <w:tblHeader/>
          <w:jc w:val="center"/>
        </w:trPr>
        <w:tc>
          <w:tcPr>
            <w:tcW w:w="5000" w:type="pct"/>
            <w:gridSpan w:val="5"/>
            <w:shd w:val="clear" w:color="auto" w:fill="D9D9D6"/>
          </w:tcPr>
          <w:p w:rsidR="00513FD2" w:rsidRPr="003F3D71" w:rsidRDefault="00513FD2" w:rsidP="00513FD2">
            <w:pPr>
              <w:keepNext/>
              <w:spacing w:before="120" w:after="120" w:line="259" w:lineRule="auto"/>
              <w:rPr>
                <w:rFonts w:eastAsia="Times New Roman" w:cs="Arial"/>
                <w:b/>
                <w:sz w:val="20"/>
              </w:rPr>
            </w:pPr>
            <w:r w:rsidRPr="003F3D71">
              <w:rPr>
                <w:rFonts w:eastAsia="Times New Roman" w:cs="Arial"/>
                <w:b/>
                <w:sz w:val="20"/>
              </w:rPr>
              <w:t>Performance Measure</w:t>
            </w:r>
          </w:p>
        </w:tc>
      </w:tr>
      <w:tr w:rsidR="00513FD2" w:rsidRPr="003F3D71" w:rsidTr="00AF137B">
        <w:trPr>
          <w:trHeight w:val="356"/>
          <w:jc w:val="center"/>
        </w:trPr>
        <w:tc>
          <w:tcPr>
            <w:tcW w:w="5000" w:type="pct"/>
            <w:gridSpan w:val="5"/>
            <w:shd w:val="clear" w:color="auto" w:fill="auto"/>
          </w:tcPr>
          <w:p w:rsidR="00513FD2" w:rsidRPr="003F3D71" w:rsidRDefault="00513FD2" w:rsidP="00BC7C70">
            <w:pPr>
              <w:keepNext/>
              <w:spacing w:before="120" w:after="120" w:line="259" w:lineRule="auto"/>
              <w:rPr>
                <w:rFonts w:eastAsia="Times New Roman" w:cs="Arial"/>
                <w:b/>
                <w:sz w:val="20"/>
              </w:rPr>
            </w:pPr>
            <w:r w:rsidRPr="003F3D71">
              <w:rPr>
                <w:rFonts w:eastAsia="Times New Roman" w:cs="Arial"/>
                <w:sz w:val="20"/>
              </w:rPr>
              <w:t xml:space="preserve">3.2.3-2 </w:t>
            </w:r>
            <w:r w:rsidR="009E0829">
              <w:rPr>
                <w:rFonts w:eastAsia="Times New Roman" w:cs="Arial"/>
                <w:sz w:val="20"/>
              </w:rPr>
              <w:t>Progress towards</w:t>
            </w:r>
            <w:r w:rsidR="009E0829" w:rsidRPr="003F3D71">
              <w:rPr>
                <w:rFonts w:eastAsia="Times New Roman" w:cs="Arial"/>
                <w:sz w:val="20"/>
              </w:rPr>
              <w:t xml:space="preserve"> </w:t>
            </w:r>
            <w:r w:rsidR="009E0829">
              <w:rPr>
                <w:rFonts w:eastAsia="Times New Roman" w:cs="Arial"/>
                <w:sz w:val="20"/>
              </w:rPr>
              <w:t>targets relating to y</w:t>
            </w:r>
            <w:r w:rsidRPr="003F3D71">
              <w:rPr>
                <w:rFonts w:eastAsia="Times New Roman" w:cs="Arial"/>
                <w:sz w:val="20"/>
              </w:rPr>
              <w:t xml:space="preserve">ounger </w:t>
            </w:r>
            <w:r w:rsidR="009E0829">
              <w:rPr>
                <w:rFonts w:eastAsia="Times New Roman" w:cs="Arial"/>
                <w:sz w:val="20"/>
              </w:rPr>
              <w:t>p</w:t>
            </w:r>
            <w:r w:rsidRPr="003F3D71">
              <w:rPr>
                <w:rFonts w:eastAsia="Times New Roman" w:cs="Arial"/>
                <w:sz w:val="20"/>
              </w:rPr>
              <w:t xml:space="preserve">eople </w:t>
            </w:r>
            <w:r w:rsidR="009E0829">
              <w:rPr>
                <w:rFonts w:eastAsia="Times New Roman" w:cs="Arial"/>
                <w:sz w:val="20"/>
              </w:rPr>
              <w:t>i</w:t>
            </w:r>
            <w:r w:rsidRPr="003F3D71">
              <w:rPr>
                <w:rFonts w:eastAsia="Times New Roman" w:cs="Arial"/>
                <w:sz w:val="20"/>
              </w:rPr>
              <w:t xml:space="preserve">n </w:t>
            </w:r>
            <w:r w:rsidR="009E0829">
              <w:rPr>
                <w:rFonts w:eastAsia="Times New Roman" w:cs="Arial"/>
                <w:sz w:val="20"/>
              </w:rPr>
              <w:t>r</w:t>
            </w:r>
            <w:r w:rsidRPr="003F3D71">
              <w:rPr>
                <w:rFonts w:eastAsia="Times New Roman" w:cs="Arial"/>
                <w:sz w:val="20"/>
              </w:rPr>
              <w:t xml:space="preserve">esidential </w:t>
            </w:r>
            <w:r w:rsidR="009E0829">
              <w:rPr>
                <w:rFonts w:eastAsia="Times New Roman" w:cs="Arial"/>
                <w:sz w:val="20"/>
              </w:rPr>
              <w:t>a</w:t>
            </w:r>
            <w:r w:rsidRPr="003F3D71">
              <w:rPr>
                <w:rFonts w:eastAsia="Times New Roman" w:cs="Arial"/>
                <w:sz w:val="20"/>
              </w:rPr>
              <w:t xml:space="preserve">ged </w:t>
            </w:r>
            <w:r w:rsidR="009E0829">
              <w:rPr>
                <w:rFonts w:eastAsia="Times New Roman" w:cs="Arial"/>
                <w:sz w:val="20"/>
              </w:rPr>
              <w:t>c</w:t>
            </w:r>
            <w:r w:rsidRPr="003F3D71">
              <w:rPr>
                <w:rFonts w:eastAsia="Times New Roman" w:cs="Arial"/>
                <w:sz w:val="20"/>
              </w:rPr>
              <w:t>are.</w:t>
            </w:r>
          </w:p>
        </w:tc>
      </w:tr>
      <w:tr w:rsidR="00513FD2" w:rsidRPr="003F3D71" w:rsidTr="00AF137B">
        <w:trPr>
          <w:trHeight w:val="356"/>
          <w:jc w:val="center"/>
        </w:trPr>
        <w:tc>
          <w:tcPr>
            <w:tcW w:w="1743" w:type="pct"/>
            <w:shd w:val="clear" w:color="auto" w:fill="D9D9D6"/>
            <w:hideMark/>
          </w:tcPr>
          <w:p w:rsidR="00513FD2" w:rsidRPr="003F3D71" w:rsidRDefault="00513FD2" w:rsidP="00513FD2">
            <w:pPr>
              <w:keepNext/>
              <w:keepLines/>
              <w:spacing w:before="120" w:after="120" w:line="259" w:lineRule="auto"/>
              <w:rPr>
                <w:rFonts w:eastAsia="Calibri" w:cs="Arial"/>
                <w:iCs/>
                <w:sz w:val="20"/>
                <w:bdr w:val="none" w:sz="0" w:space="0" w:color="auto" w:frame="1"/>
              </w:rPr>
            </w:pPr>
            <w:r w:rsidRPr="003F3D71">
              <w:rPr>
                <w:rFonts w:eastAsia="Times New Roman" w:cs="Arial"/>
                <w:b/>
                <w:iCs/>
                <w:sz w:val="20"/>
              </w:rPr>
              <w:t>Target</w:t>
            </w:r>
          </w:p>
        </w:tc>
        <w:tc>
          <w:tcPr>
            <w:tcW w:w="636" w:type="pct"/>
            <w:shd w:val="clear" w:color="auto" w:fill="D9D9D6"/>
            <w:vAlign w:val="center"/>
          </w:tcPr>
          <w:p w:rsidR="00513FD2" w:rsidRPr="003F3D71" w:rsidRDefault="00513FD2" w:rsidP="00513FD2">
            <w:pPr>
              <w:keepNext/>
              <w:spacing w:before="120" w:after="120" w:line="259" w:lineRule="auto"/>
              <w:rPr>
                <w:rFonts w:eastAsia="Calibri" w:cs="Arial"/>
                <w:iCs/>
                <w:sz w:val="20"/>
                <w:bdr w:val="none" w:sz="0" w:space="0" w:color="auto" w:frame="1"/>
              </w:rPr>
            </w:pPr>
            <w:r w:rsidRPr="003F3D71">
              <w:rPr>
                <w:rFonts w:eastAsia="Times New Roman" w:cs="Arial"/>
                <w:b/>
                <w:sz w:val="20"/>
              </w:rPr>
              <w:t>2022–23</w:t>
            </w:r>
          </w:p>
        </w:tc>
        <w:tc>
          <w:tcPr>
            <w:tcW w:w="872" w:type="pct"/>
            <w:shd w:val="clear" w:color="auto" w:fill="D9D9D6"/>
            <w:vAlign w:val="center"/>
          </w:tcPr>
          <w:p w:rsidR="00513FD2" w:rsidRPr="003F3D71" w:rsidRDefault="00513FD2" w:rsidP="00513FD2">
            <w:pPr>
              <w:keepNext/>
              <w:spacing w:before="120" w:after="120" w:line="259" w:lineRule="auto"/>
              <w:rPr>
                <w:rFonts w:eastAsia="Calibri" w:cs="Arial"/>
                <w:iCs/>
                <w:sz w:val="20"/>
                <w:bdr w:val="none" w:sz="0" w:space="0" w:color="auto" w:frame="1"/>
              </w:rPr>
            </w:pPr>
            <w:r w:rsidRPr="003F3D71">
              <w:rPr>
                <w:rFonts w:eastAsia="Times New Roman" w:cs="Arial"/>
                <w:b/>
                <w:sz w:val="20"/>
              </w:rPr>
              <w:t>2023–24</w:t>
            </w:r>
          </w:p>
        </w:tc>
        <w:tc>
          <w:tcPr>
            <w:tcW w:w="874" w:type="pct"/>
            <w:shd w:val="clear" w:color="auto" w:fill="D9D9D6"/>
            <w:vAlign w:val="center"/>
          </w:tcPr>
          <w:p w:rsidR="00513FD2" w:rsidRPr="003F3D71" w:rsidRDefault="00513FD2" w:rsidP="00513FD2">
            <w:pPr>
              <w:keepNext/>
              <w:spacing w:before="120" w:after="120" w:line="259" w:lineRule="auto"/>
              <w:rPr>
                <w:rFonts w:eastAsia="Calibri" w:cs="Arial"/>
                <w:iCs/>
                <w:sz w:val="20"/>
                <w:bdr w:val="none" w:sz="0" w:space="0" w:color="auto" w:frame="1"/>
              </w:rPr>
            </w:pPr>
            <w:r w:rsidRPr="003F3D71">
              <w:rPr>
                <w:rFonts w:eastAsia="Times New Roman" w:cs="Arial"/>
                <w:b/>
                <w:sz w:val="20"/>
              </w:rPr>
              <w:t>2024–25</w:t>
            </w:r>
          </w:p>
        </w:tc>
        <w:tc>
          <w:tcPr>
            <w:tcW w:w="875" w:type="pct"/>
            <w:shd w:val="clear" w:color="auto" w:fill="D9D9D6"/>
            <w:vAlign w:val="center"/>
          </w:tcPr>
          <w:p w:rsidR="00513FD2" w:rsidRPr="003F3D71" w:rsidRDefault="00513FD2" w:rsidP="00513FD2">
            <w:pPr>
              <w:keepNext/>
              <w:spacing w:before="120" w:after="120" w:line="259" w:lineRule="auto"/>
              <w:rPr>
                <w:rFonts w:eastAsia="Calibri" w:cs="Arial"/>
                <w:iCs/>
                <w:sz w:val="20"/>
                <w:bdr w:val="none" w:sz="0" w:space="0" w:color="auto" w:frame="1"/>
              </w:rPr>
            </w:pPr>
            <w:r w:rsidRPr="003F3D71">
              <w:rPr>
                <w:rFonts w:eastAsia="Times New Roman" w:cs="Arial"/>
                <w:b/>
                <w:sz w:val="20"/>
              </w:rPr>
              <w:t>2025–26</w:t>
            </w:r>
          </w:p>
        </w:tc>
      </w:tr>
      <w:tr w:rsidR="00513FD2" w:rsidRPr="003F3D71" w:rsidTr="00AF137B">
        <w:tblPrEx>
          <w:jc w:val="left"/>
        </w:tblPrEx>
        <w:trPr>
          <w:trHeight w:val="356"/>
        </w:trPr>
        <w:tc>
          <w:tcPr>
            <w:tcW w:w="1743" w:type="pct"/>
            <w:hideMark/>
          </w:tcPr>
          <w:p w:rsidR="00513FD2" w:rsidRPr="003F3D71" w:rsidRDefault="00513FD2" w:rsidP="00513FD2">
            <w:pPr>
              <w:keepLines/>
              <w:spacing w:before="120" w:after="120" w:line="259" w:lineRule="auto"/>
              <w:rPr>
                <w:rFonts w:eastAsia="Calibri" w:cs="Arial"/>
                <w:iCs/>
                <w:sz w:val="20"/>
                <w:bdr w:val="none" w:sz="0" w:space="0" w:color="auto" w:frame="1"/>
              </w:rPr>
            </w:pPr>
            <w:r w:rsidRPr="003F3D71">
              <w:rPr>
                <w:rFonts w:eastAsia="Times New Roman" w:cs="Arial"/>
                <w:iCs/>
                <w:noProof/>
                <w:sz w:val="20"/>
                <w:lang w:eastAsia="en-AU"/>
              </w:rPr>
              <w:sym w:font="Wingdings" w:char="F074"/>
            </w:r>
            <w:r w:rsidRPr="003F3D71">
              <w:rPr>
                <w:rFonts w:eastAsia="Times New Roman" w:cs="Arial"/>
                <w:iCs/>
                <w:sz w:val="20"/>
              </w:rPr>
              <w:t xml:space="preserve"> 3.2.3-2A - </w:t>
            </w:r>
            <w:r w:rsidRPr="003F3D71">
              <w:rPr>
                <w:rFonts w:eastAsia="Calibri" w:cs="Arial"/>
                <w:iCs/>
                <w:sz w:val="20"/>
                <w:bdr w:val="none" w:sz="0" w:space="0" w:color="auto" w:frame="1"/>
              </w:rPr>
              <w:t>No people under 65 years entering residential aged care by the end of 2022 apart from in exceptional circumstances.</w:t>
            </w:r>
          </w:p>
        </w:tc>
        <w:tc>
          <w:tcPr>
            <w:tcW w:w="636" w:type="pct"/>
            <w:shd w:val="clear" w:color="auto" w:fill="auto"/>
          </w:tcPr>
          <w:p w:rsidR="00513FD2" w:rsidRPr="003F3D71" w:rsidRDefault="00513FD2" w:rsidP="00513FD2">
            <w:pPr>
              <w:spacing w:before="120" w:after="120" w:line="259" w:lineRule="auto"/>
              <w:rPr>
                <w:rFonts w:eastAsia="Calibri" w:cs="Arial"/>
                <w:iCs/>
                <w:sz w:val="20"/>
                <w:bdr w:val="none" w:sz="0" w:space="0" w:color="auto" w:frame="1"/>
              </w:rPr>
            </w:pPr>
            <w:r w:rsidRPr="003F3D71">
              <w:rPr>
                <w:rFonts w:eastAsia="Calibri" w:cs="Arial"/>
                <w:iCs/>
                <w:sz w:val="20"/>
                <w:bdr w:val="none" w:sz="0" w:space="0" w:color="auto" w:frame="1"/>
              </w:rPr>
              <w:t>Progress towards target (Dec 2022)</w:t>
            </w:r>
          </w:p>
        </w:tc>
        <w:tc>
          <w:tcPr>
            <w:tcW w:w="872" w:type="pct"/>
          </w:tcPr>
          <w:p w:rsidR="00513FD2" w:rsidRPr="003F3D71" w:rsidRDefault="00513FD2" w:rsidP="00513FD2">
            <w:pPr>
              <w:spacing w:before="120" w:after="120" w:line="259" w:lineRule="auto"/>
              <w:rPr>
                <w:rFonts w:eastAsia="Calibri" w:cs="Arial"/>
                <w:iCs/>
                <w:sz w:val="20"/>
                <w:bdr w:val="none" w:sz="0" w:space="0" w:color="auto" w:frame="1"/>
              </w:rPr>
            </w:pPr>
            <w:r w:rsidRPr="003F3D71">
              <w:rPr>
                <w:rFonts w:eastAsia="Calibri" w:cs="Arial"/>
                <w:iCs/>
                <w:sz w:val="20"/>
                <w:bdr w:val="none" w:sz="0" w:space="0" w:color="auto" w:frame="1"/>
              </w:rPr>
              <w:t>Entry only for people who have exceptional circumstances</w:t>
            </w:r>
          </w:p>
        </w:tc>
        <w:tc>
          <w:tcPr>
            <w:tcW w:w="874" w:type="pct"/>
          </w:tcPr>
          <w:p w:rsidR="00513FD2" w:rsidRPr="003F3D71" w:rsidRDefault="00513FD2" w:rsidP="00513FD2">
            <w:pPr>
              <w:spacing w:before="120" w:after="120" w:line="259" w:lineRule="auto"/>
              <w:rPr>
                <w:rFonts w:eastAsia="Calibri" w:cs="Arial"/>
                <w:iCs/>
                <w:sz w:val="20"/>
                <w:bdr w:val="none" w:sz="0" w:space="0" w:color="auto" w:frame="1"/>
              </w:rPr>
            </w:pPr>
            <w:r w:rsidRPr="003F3D71">
              <w:rPr>
                <w:rFonts w:eastAsia="Calibri" w:cs="Arial"/>
                <w:iCs/>
                <w:sz w:val="20"/>
                <w:bdr w:val="none" w:sz="0" w:space="0" w:color="auto" w:frame="1"/>
              </w:rPr>
              <w:t>Entry only for people who have exceptional circumstances</w:t>
            </w:r>
          </w:p>
        </w:tc>
        <w:tc>
          <w:tcPr>
            <w:tcW w:w="875" w:type="pct"/>
          </w:tcPr>
          <w:p w:rsidR="00513FD2" w:rsidRPr="003F3D71" w:rsidRDefault="00513FD2" w:rsidP="00BC7C70">
            <w:pPr>
              <w:spacing w:before="120" w:after="120" w:line="259" w:lineRule="auto"/>
              <w:rPr>
                <w:rFonts w:eastAsia="Calibri" w:cs="Arial"/>
                <w:iCs/>
                <w:sz w:val="20"/>
                <w:bdr w:val="none" w:sz="0" w:space="0" w:color="auto" w:frame="1"/>
              </w:rPr>
            </w:pPr>
            <w:r w:rsidRPr="003F3D71">
              <w:rPr>
                <w:rFonts w:eastAsia="Calibri" w:cs="Arial"/>
                <w:iCs/>
                <w:sz w:val="20"/>
                <w:bdr w:val="none" w:sz="0" w:space="0" w:color="auto" w:frame="1"/>
              </w:rPr>
              <w:t>Entry only for people who have exceptional circumstances</w:t>
            </w:r>
          </w:p>
        </w:tc>
      </w:tr>
      <w:tr w:rsidR="00513FD2" w:rsidRPr="003F3D71" w:rsidTr="00AF137B">
        <w:tblPrEx>
          <w:jc w:val="left"/>
        </w:tblPrEx>
        <w:trPr>
          <w:trHeight w:val="356"/>
        </w:trPr>
        <w:tc>
          <w:tcPr>
            <w:tcW w:w="1743" w:type="pct"/>
          </w:tcPr>
          <w:p w:rsidR="00513FD2" w:rsidRPr="003F3D71" w:rsidRDefault="00513FD2" w:rsidP="00513FD2">
            <w:pPr>
              <w:keepLines/>
              <w:spacing w:before="120" w:after="120" w:line="259" w:lineRule="auto"/>
              <w:rPr>
                <w:rFonts w:eastAsia="Times New Roman" w:cs="Arial"/>
                <w:iCs/>
                <w:noProof/>
                <w:sz w:val="20"/>
                <w:lang w:eastAsia="en-AU"/>
              </w:rPr>
            </w:pPr>
            <w:r w:rsidRPr="003F3D71">
              <w:rPr>
                <w:rFonts w:eastAsia="Times New Roman" w:cs="Arial"/>
                <w:iCs/>
                <w:noProof/>
                <w:sz w:val="20"/>
                <w:lang w:eastAsia="en-AU"/>
              </w:rPr>
              <w:sym w:font="Wingdings" w:char="F074"/>
            </w:r>
            <w:r w:rsidRPr="003F3D71">
              <w:rPr>
                <w:rFonts w:eastAsia="Times New Roman" w:cs="Arial"/>
                <w:iCs/>
                <w:sz w:val="20"/>
              </w:rPr>
              <w:t xml:space="preserve"> 3.2.3-2B -</w:t>
            </w:r>
            <w:r w:rsidRPr="003F3D71">
              <w:rPr>
                <w:rFonts w:eastAsia="Times New Roman" w:cs="Arial"/>
                <w:iCs/>
                <w:noProof/>
                <w:sz w:val="20"/>
                <w:lang w:eastAsia="en-AU"/>
              </w:rPr>
              <w:t xml:space="preserve"> </w:t>
            </w:r>
            <w:r w:rsidRPr="003F3D71">
              <w:rPr>
                <w:rFonts w:eastAsia="Calibri" w:cs="Arial"/>
                <w:iCs/>
                <w:sz w:val="20"/>
                <w:bdr w:val="none" w:sz="0" w:space="0" w:color="auto" w:frame="1"/>
              </w:rPr>
              <w:t>No people under 45 years living in residential aged care by the end of 2022 apart from in exceptional circumstances.</w:t>
            </w:r>
          </w:p>
        </w:tc>
        <w:tc>
          <w:tcPr>
            <w:tcW w:w="636" w:type="pct"/>
            <w:shd w:val="clear" w:color="auto" w:fill="auto"/>
            <w:vAlign w:val="center"/>
          </w:tcPr>
          <w:p w:rsidR="00513FD2" w:rsidRPr="003F3D71" w:rsidRDefault="00513FD2" w:rsidP="00513FD2">
            <w:pPr>
              <w:spacing w:before="120" w:after="120" w:line="259" w:lineRule="auto"/>
              <w:rPr>
                <w:rFonts w:eastAsia="Calibri" w:cs="Arial"/>
                <w:iCs/>
                <w:sz w:val="20"/>
                <w:bdr w:val="none" w:sz="0" w:space="0" w:color="auto" w:frame="1"/>
              </w:rPr>
            </w:pPr>
            <w:r w:rsidRPr="003F3D71">
              <w:rPr>
                <w:rFonts w:eastAsia="Calibri" w:cs="Arial"/>
                <w:iCs/>
                <w:sz w:val="20"/>
                <w:bdr w:val="none" w:sz="0" w:space="0" w:color="auto" w:frame="1"/>
              </w:rPr>
              <w:t>Progress towards target (Dec 2022)</w:t>
            </w:r>
          </w:p>
        </w:tc>
        <w:tc>
          <w:tcPr>
            <w:tcW w:w="872" w:type="pct"/>
            <w:shd w:val="clear" w:color="auto" w:fill="FFFFFF"/>
            <w:vAlign w:val="center"/>
          </w:tcPr>
          <w:p w:rsidR="00513FD2" w:rsidRPr="003F3D71" w:rsidRDefault="00513FD2" w:rsidP="00513FD2">
            <w:pPr>
              <w:spacing w:before="120" w:after="120" w:line="259" w:lineRule="auto"/>
              <w:rPr>
                <w:rFonts w:eastAsia="Calibri" w:cs="Arial"/>
                <w:iCs/>
                <w:sz w:val="20"/>
                <w:bdr w:val="none" w:sz="0" w:space="0" w:color="auto" w:frame="1"/>
              </w:rPr>
            </w:pPr>
            <w:r w:rsidRPr="003F3D71">
              <w:rPr>
                <w:rFonts w:eastAsia="Calibri" w:cs="Arial"/>
                <w:iCs/>
                <w:sz w:val="20"/>
                <w:bdr w:val="none" w:sz="0" w:space="0" w:color="auto" w:frame="1"/>
              </w:rPr>
              <w:t>Only younger people under 45 with</w:t>
            </w:r>
            <w:r>
              <w:rPr>
                <w:rFonts w:eastAsia="Calibri" w:cs="Arial"/>
                <w:iCs/>
                <w:sz w:val="20"/>
                <w:bdr w:val="none" w:sz="0" w:space="0" w:color="auto" w:frame="1"/>
              </w:rPr>
              <w:t xml:space="preserve"> </w:t>
            </w:r>
            <w:r w:rsidRPr="003F3D71">
              <w:rPr>
                <w:rFonts w:eastAsia="Calibri" w:cs="Arial"/>
                <w:iCs/>
                <w:sz w:val="20"/>
                <w:bdr w:val="none" w:sz="0" w:space="0" w:color="auto" w:frame="1"/>
              </w:rPr>
              <w:t>exceptional circumstances</w:t>
            </w:r>
          </w:p>
        </w:tc>
        <w:tc>
          <w:tcPr>
            <w:tcW w:w="874" w:type="pct"/>
            <w:shd w:val="clear" w:color="auto" w:fill="FFFFFF"/>
            <w:vAlign w:val="center"/>
          </w:tcPr>
          <w:p w:rsidR="00513FD2" w:rsidRPr="003F3D71" w:rsidRDefault="00513FD2" w:rsidP="00513FD2">
            <w:pPr>
              <w:spacing w:before="120" w:after="120" w:line="259" w:lineRule="auto"/>
              <w:rPr>
                <w:rFonts w:eastAsia="Calibri" w:cs="Arial"/>
                <w:iCs/>
                <w:sz w:val="20"/>
                <w:bdr w:val="none" w:sz="0" w:space="0" w:color="auto" w:frame="1"/>
              </w:rPr>
            </w:pPr>
            <w:r w:rsidRPr="003F3D71">
              <w:rPr>
                <w:rFonts w:eastAsia="Calibri" w:cs="Arial"/>
                <w:iCs/>
                <w:sz w:val="20"/>
                <w:bdr w:val="none" w:sz="0" w:space="0" w:color="auto" w:frame="1"/>
              </w:rPr>
              <w:t>Only younger people under 45 with exceptional circumstances</w:t>
            </w:r>
          </w:p>
        </w:tc>
        <w:tc>
          <w:tcPr>
            <w:tcW w:w="875" w:type="pct"/>
            <w:shd w:val="clear" w:color="auto" w:fill="FFFFFF"/>
          </w:tcPr>
          <w:p w:rsidR="00513FD2" w:rsidRPr="003F3D71" w:rsidRDefault="00513FD2" w:rsidP="00513FD2">
            <w:pPr>
              <w:spacing w:before="120" w:after="120" w:line="259" w:lineRule="auto"/>
              <w:rPr>
                <w:rFonts w:eastAsia="Calibri" w:cs="Arial"/>
                <w:iCs/>
                <w:sz w:val="20"/>
                <w:bdr w:val="none" w:sz="0" w:space="0" w:color="auto" w:frame="1"/>
              </w:rPr>
            </w:pPr>
            <w:r w:rsidRPr="003F3D71">
              <w:rPr>
                <w:rFonts w:eastAsia="Calibri" w:cs="Arial"/>
                <w:iCs/>
                <w:sz w:val="20"/>
                <w:bdr w:val="none" w:sz="0" w:space="0" w:color="auto" w:frame="1"/>
              </w:rPr>
              <w:t>Only younger people under 45 with exceptional circumstances</w:t>
            </w:r>
          </w:p>
        </w:tc>
      </w:tr>
    </w:tbl>
    <w:p w:rsidR="00513FD2" w:rsidRPr="003F3D71" w:rsidRDefault="00513FD2" w:rsidP="00513FD2">
      <w:pPr>
        <w:spacing w:before="120" w:after="120"/>
        <w:rPr>
          <w:rFonts w:eastAsia="Calibri" w:cs="Arial"/>
          <w:b/>
          <w:sz w:val="20"/>
          <w:szCs w:val="20"/>
        </w:rPr>
      </w:pPr>
    </w:p>
    <w:p w:rsidR="00513FD2" w:rsidRPr="003F3D71" w:rsidRDefault="00513FD2" w:rsidP="00513FD2">
      <w:pPr>
        <w:shd w:val="clear" w:color="auto" w:fill="CCC0D9" w:themeFill="accent4" w:themeFillTint="66"/>
        <w:tabs>
          <w:tab w:val="left" w:pos="284"/>
        </w:tabs>
        <w:spacing w:before="120" w:after="120"/>
        <w:rPr>
          <w:rFonts w:eastAsia="Calibri" w:cs="Arial"/>
          <w:b/>
          <w:sz w:val="20"/>
          <w:szCs w:val="20"/>
        </w:rPr>
      </w:pPr>
      <w:r w:rsidRPr="003F3D71">
        <w:rPr>
          <w:rFonts w:eastAsia="Calibri" w:cs="Arial"/>
          <w:b/>
          <w:sz w:val="20"/>
          <w:szCs w:val="20"/>
        </w:rPr>
        <w:t>Rationale</w:t>
      </w:r>
    </w:p>
    <w:p w:rsidR="00513FD2" w:rsidRPr="003F3D71" w:rsidRDefault="00513FD2" w:rsidP="00513FD2">
      <w:pPr>
        <w:spacing w:before="120" w:after="120"/>
        <w:rPr>
          <w:rFonts w:eastAsia="Calibri" w:cs="Arial"/>
          <w:sz w:val="20"/>
          <w:szCs w:val="20"/>
        </w:rPr>
      </w:pPr>
      <w:r w:rsidRPr="003F3D71">
        <w:rPr>
          <w:rFonts w:eastAsia="Calibri" w:cs="Arial"/>
          <w:sz w:val="20"/>
          <w:szCs w:val="20"/>
        </w:rPr>
        <w:t>The performance measure aligns to the key activity long-term outcomes: Participants are empowered to live an ordinary life. This includes supporting their independence, and social and economic participation; and participants exercising choice and control in the pursuit of their goals and the planning and delivery of their supports, including their living arrangements.</w:t>
      </w:r>
    </w:p>
    <w:p w:rsidR="00513FD2" w:rsidRDefault="00513FD2" w:rsidP="00513FD2">
      <w:pPr>
        <w:spacing w:before="120" w:after="120"/>
        <w:rPr>
          <w:rFonts w:eastAsia="Calibri" w:cs="Arial"/>
          <w:sz w:val="20"/>
          <w:szCs w:val="20"/>
        </w:rPr>
      </w:pPr>
      <w:r w:rsidRPr="003F3D71">
        <w:rPr>
          <w:rFonts w:eastAsia="Calibri" w:cs="Arial"/>
          <w:sz w:val="20"/>
          <w:szCs w:val="20"/>
        </w:rPr>
        <w:t xml:space="preserve">Measuring the </w:t>
      </w:r>
      <w:r w:rsidRPr="007C74B7">
        <w:rPr>
          <w:rFonts w:eastAsia="Calibri" w:cs="Arial"/>
          <w:i/>
          <w:sz w:val="20"/>
          <w:szCs w:val="20"/>
        </w:rPr>
        <w:t>extent to which NDIS participant outcomes are met</w:t>
      </w:r>
      <w:r w:rsidRPr="003F3D71">
        <w:rPr>
          <w:rFonts w:eastAsia="Calibri" w:cs="Arial"/>
          <w:sz w:val="20"/>
          <w:szCs w:val="20"/>
        </w:rPr>
        <w:t xml:space="preserve"> will demonstrate if NDIS participants are provided with appropriate services and support for their individual needs (i.e. meet their individual outcomes), particularly for social and economic participation and living arrangement goals. The department contributes to achieving this measure by influencing the policy design of the NDIS through inter-agency governance arrangements.</w:t>
      </w:r>
    </w:p>
    <w:p w:rsidR="00513FD2" w:rsidRPr="003F3D71" w:rsidRDefault="00513FD2" w:rsidP="00762037">
      <w:pPr>
        <w:numPr>
          <w:ilvl w:val="0"/>
          <w:numId w:val="28"/>
        </w:numPr>
        <w:spacing w:before="0" w:after="0" w:line="240" w:lineRule="auto"/>
        <w:ind w:left="641" w:hanging="357"/>
        <w:rPr>
          <w:rFonts w:eastAsia="Calibri" w:cs="Arial"/>
          <w:iCs/>
          <w:sz w:val="20"/>
          <w:szCs w:val="20"/>
        </w:rPr>
      </w:pPr>
      <w:r w:rsidRPr="003F3D71">
        <w:rPr>
          <w:rFonts w:eastAsia="Calibri" w:cs="Arial"/>
          <w:iCs/>
          <w:sz w:val="20"/>
          <w:szCs w:val="20"/>
        </w:rPr>
        <w:lastRenderedPageBreak/>
        <w:t>Targeting at least 25</w:t>
      </w:r>
      <w:r w:rsidR="00181BA8">
        <w:rPr>
          <w:rFonts w:eastAsia="Calibri" w:cs="Arial"/>
          <w:iCs/>
          <w:sz w:val="20"/>
          <w:szCs w:val="20"/>
        </w:rPr>
        <w:t>%</w:t>
      </w:r>
      <w:r w:rsidRPr="003F3D71">
        <w:rPr>
          <w:rFonts w:eastAsia="Calibri" w:cs="Arial"/>
          <w:iCs/>
          <w:sz w:val="20"/>
          <w:szCs w:val="20"/>
        </w:rPr>
        <w:t xml:space="preserve"> of working age NDIS participants in paid employment, demonstrates the </w:t>
      </w:r>
      <w:r w:rsidRPr="003F3D71">
        <w:rPr>
          <w:rFonts w:eastAsia="Calibri" w:cs="Arial"/>
          <w:b/>
          <w:iCs/>
          <w:sz w:val="20"/>
          <w:szCs w:val="20"/>
        </w:rPr>
        <w:t>effectiveness</w:t>
      </w:r>
      <w:r w:rsidRPr="003F3D71">
        <w:rPr>
          <w:rFonts w:eastAsia="Calibri" w:cs="Arial"/>
          <w:iCs/>
          <w:sz w:val="20"/>
          <w:szCs w:val="20"/>
        </w:rPr>
        <w:t xml:space="preserve"> of the key activity by showing working age NDIS participants in paid employment. This will demonstrate if participants are achieving their employment outcomes.</w:t>
      </w:r>
    </w:p>
    <w:p w:rsidR="00513FD2" w:rsidRPr="003F3D71" w:rsidRDefault="00513FD2" w:rsidP="00762037">
      <w:pPr>
        <w:numPr>
          <w:ilvl w:val="0"/>
          <w:numId w:val="28"/>
        </w:numPr>
        <w:spacing w:before="0" w:after="0" w:line="240" w:lineRule="auto"/>
        <w:ind w:left="641" w:hanging="357"/>
        <w:rPr>
          <w:rFonts w:eastAsia="Calibri" w:cs="Arial"/>
          <w:iCs/>
          <w:sz w:val="20"/>
          <w:szCs w:val="20"/>
        </w:rPr>
      </w:pPr>
      <w:r w:rsidRPr="003F3D71">
        <w:rPr>
          <w:rFonts w:eastAsia="Calibri" w:cs="Arial"/>
          <w:iCs/>
          <w:sz w:val="20"/>
          <w:szCs w:val="20"/>
        </w:rPr>
        <w:t>Targeting at least 45</w:t>
      </w:r>
      <w:r w:rsidR="00181BA8">
        <w:rPr>
          <w:rFonts w:eastAsia="Calibri" w:cs="Arial"/>
          <w:iCs/>
          <w:sz w:val="20"/>
          <w:szCs w:val="20"/>
        </w:rPr>
        <w:t>%</w:t>
      </w:r>
      <w:r w:rsidRPr="003F3D71">
        <w:rPr>
          <w:rFonts w:eastAsia="Calibri" w:cs="Arial"/>
          <w:iCs/>
          <w:sz w:val="20"/>
          <w:szCs w:val="20"/>
        </w:rPr>
        <w:t xml:space="preserve"> of NDIS participants involved in community and social activities demonstrates the </w:t>
      </w:r>
      <w:r w:rsidRPr="003F3D71">
        <w:rPr>
          <w:rFonts w:eastAsia="Calibri" w:cs="Arial"/>
          <w:b/>
          <w:iCs/>
          <w:sz w:val="20"/>
          <w:szCs w:val="20"/>
        </w:rPr>
        <w:t>effectiveness</w:t>
      </w:r>
      <w:r w:rsidRPr="003F3D71">
        <w:rPr>
          <w:rFonts w:eastAsia="Calibri" w:cs="Arial"/>
          <w:iCs/>
          <w:sz w:val="20"/>
          <w:szCs w:val="20"/>
        </w:rPr>
        <w:t xml:space="preserve"> of the key activity by showing NDIS participants involved in</w:t>
      </w:r>
      <w:r w:rsidR="0013448B">
        <w:rPr>
          <w:rFonts w:eastAsia="Calibri" w:cs="Arial"/>
          <w:iCs/>
          <w:sz w:val="20"/>
          <w:szCs w:val="20"/>
        </w:rPr>
        <w:t> </w:t>
      </w:r>
      <w:r w:rsidRPr="003F3D71">
        <w:rPr>
          <w:rFonts w:eastAsia="Calibri" w:cs="Arial"/>
          <w:iCs/>
          <w:sz w:val="20"/>
          <w:szCs w:val="20"/>
        </w:rPr>
        <w:t>community and social activities. This will demonstrate if participants are achieving their social participation outcomes.</w:t>
      </w:r>
    </w:p>
    <w:p w:rsidR="00BC7C70" w:rsidRDefault="00BC7C70" w:rsidP="007C74B7">
      <w:pPr>
        <w:spacing w:before="0" w:after="0" w:line="240" w:lineRule="auto"/>
        <w:rPr>
          <w:rFonts w:eastAsia="Calibri" w:cs="Arial"/>
          <w:szCs w:val="20"/>
        </w:rPr>
      </w:pPr>
    </w:p>
    <w:p w:rsidR="00BC7C70" w:rsidRPr="00BC7C70" w:rsidRDefault="00BC7C70" w:rsidP="007C74B7">
      <w:pPr>
        <w:spacing w:before="0" w:after="0" w:line="240" w:lineRule="auto"/>
        <w:rPr>
          <w:rFonts w:eastAsia="Calibri" w:cs="Arial"/>
          <w:sz w:val="20"/>
          <w:szCs w:val="20"/>
        </w:rPr>
      </w:pPr>
      <w:r w:rsidRPr="007C74B7">
        <w:rPr>
          <w:rFonts w:eastAsia="Calibri" w:cs="Arial"/>
          <w:sz w:val="20"/>
          <w:szCs w:val="20"/>
        </w:rPr>
        <w:t xml:space="preserve">Measuring the </w:t>
      </w:r>
      <w:r w:rsidRPr="007C74B7">
        <w:rPr>
          <w:rFonts w:eastAsia="Calibri" w:cs="Arial"/>
          <w:i/>
          <w:sz w:val="20"/>
          <w:szCs w:val="20"/>
        </w:rPr>
        <w:t>progress towards targets relating to younger people in residential aged care</w:t>
      </w:r>
      <w:r w:rsidRPr="007C74B7">
        <w:rPr>
          <w:rFonts w:eastAsia="Calibri" w:cs="Arial"/>
          <w:sz w:val="20"/>
          <w:szCs w:val="20"/>
        </w:rPr>
        <w:t xml:space="preserve"> will demonstrate the extent to which actions</w:t>
      </w:r>
      <w:r>
        <w:rPr>
          <w:rFonts w:eastAsia="Calibri" w:cs="Arial"/>
          <w:sz w:val="20"/>
          <w:szCs w:val="20"/>
        </w:rPr>
        <w:t xml:space="preserve"> by the Department, jointly with the NDIA and Department of Health and Aged Care,</w:t>
      </w:r>
      <w:r w:rsidRPr="007C74B7">
        <w:rPr>
          <w:rFonts w:eastAsia="Calibri" w:cs="Arial"/>
          <w:sz w:val="20"/>
          <w:szCs w:val="20"/>
        </w:rPr>
        <w:t xml:space="preserve"> are effective in contributing to the Australian Government’s commitment to ensure no person under the age of 65 lives in residential aged care by 2025, unless there are exceptional circumstances. The aged care system is designed to support the needs of older people and is not designed for younger people.</w:t>
      </w:r>
    </w:p>
    <w:p w:rsidR="00513FD2" w:rsidRPr="003F3D71" w:rsidRDefault="00513FD2" w:rsidP="00762037">
      <w:pPr>
        <w:numPr>
          <w:ilvl w:val="0"/>
          <w:numId w:val="28"/>
        </w:numPr>
        <w:spacing w:before="0" w:after="0" w:line="240" w:lineRule="auto"/>
        <w:ind w:left="641" w:hanging="357"/>
        <w:rPr>
          <w:rFonts w:eastAsia="Calibri" w:cs="Arial"/>
          <w:iCs/>
          <w:sz w:val="20"/>
          <w:szCs w:val="20"/>
        </w:rPr>
      </w:pPr>
      <w:r w:rsidRPr="003F3D71">
        <w:rPr>
          <w:rFonts w:eastAsia="Calibri" w:cs="Arial"/>
          <w:iCs/>
          <w:sz w:val="20"/>
          <w:szCs w:val="20"/>
        </w:rPr>
        <w:t>Targeting no people under 65 years entering residential aged care by the end of 2022 apart from in</w:t>
      </w:r>
      <w:r w:rsidR="0013448B">
        <w:rPr>
          <w:rFonts w:eastAsia="Calibri" w:cs="Arial"/>
          <w:iCs/>
          <w:sz w:val="20"/>
          <w:szCs w:val="20"/>
        </w:rPr>
        <w:t> </w:t>
      </w:r>
      <w:r w:rsidRPr="003F3D71">
        <w:rPr>
          <w:rFonts w:eastAsia="Calibri" w:cs="Arial"/>
          <w:iCs/>
          <w:sz w:val="20"/>
          <w:szCs w:val="20"/>
        </w:rPr>
        <w:t xml:space="preserve">exceptional circumstances demonstrates the </w:t>
      </w:r>
      <w:r w:rsidRPr="003F3D71">
        <w:rPr>
          <w:rFonts w:eastAsia="Calibri" w:cs="Arial"/>
          <w:b/>
          <w:iCs/>
          <w:sz w:val="20"/>
          <w:szCs w:val="20"/>
        </w:rPr>
        <w:t>effectiveness</w:t>
      </w:r>
      <w:r w:rsidRPr="003F3D71">
        <w:rPr>
          <w:rFonts w:eastAsia="Calibri" w:cs="Arial"/>
          <w:iCs/>
          <w:sz w:val="20"/>
          <w:szCs w:val="20"/>
        </w:rPr>
        <w:t xml:space="preserve"> of the key activity by showing whether NDIS participants are achieving their living arrangement goals and outcomes.</w:t>
      </w:r>
    </w:p>
    <w:p w:rsidR="00513FD2" w:rsidRPr="003F3D71" w:rsidRDefault="00513FD2" w:rsidP="00762037">
      <w:pPr>
        <w:numPr>
          <w:ilvl w:val="0"/>
          <w:numId w:val="28"/>
        </w:numPr>
        <w:spacing w:before="0" w:after="0" w:line="240" w:lineRule="auto"/>
        <w:ind w:left="641" w:hanging="357"/>
        <w:rPr>
          <w:rFonts w:eastAsia="Calibri" w:cs="Arial"/>
          <w:iCs/>
          <w:sz w:val="20"/>
          <w:szCs w:val="20"/>
        </w:rPr>
      </w:pPr>
      <w:r w:rsidRPr="003F3D71">
        <w:rPr>
          <w:rFonts w:eastAsia="Calibri" w:cs="Arial"/>
          <w:iCs/>
          <w:sz w:val="20"/>
          <w:szCs w:val="20"/>
        </w:rPr>
        <w:t>Targeting no people under 45 years living in residential aged care by the end of 2022 apart from in</w:t>
      </w:r>
      <w:r w:rsidR="0013448B">
        <w:rPr>
          <w:rFonts w:eastAsia="Calibri" w:cs="Arial"/>
          <w:iCs/>
          <w:sz w:val="20"/>
          <w:szCs w:val="20"/>
        </w:rPr>
        <w:t> </w:t>
      </w:r>
      <w:r w:rsidRPr="003F3D71">
        <w:rPr>
          <w:rFonts w:eastAsia="Calibri" w:cs="Arial"/>
          <w:iCs/>
          <w:sz w:val="20"/>
          <w:szCs w:val="20"/>
        </w:rPr>
        <w:t xml:space="preserve">exceptional circumstances demonstrates the </w:t>
      </w:r>
      <w:r w:rsidRPr="003F3D71">
        <w:rPr>
          <w:rFonts w:eastAsia="Calibri" w:cs="Arial"/>
          <w:b/>
          <w:iCs/>
          <w:sz w:val="20"/>
          <w:szCs w:val="20"/>
        </w:rPr>
        <w:t>effectiveness</w:t>
      </w:r>
      <w:r w:rsidRPr="003F3D71">
        <w:rPr>
          <w:rFonts w:eastAsia="Calibri" w:cs="Arial"/>
          <w:iCs/>
          <w:sz w:val="20"/>
          <w:szCs w:val="20"/>
        </w:rPr>
        <w:t xml:space="preserve"> of the key activity by showing whether NDIS participants are achieving their living arrangement goals and outcomes.</w:t>
      </w:r>
    </w:p>
    <w:p w:rsidR="00513FD2" w:rsidRPr="003F3D71" w:rsidRDefault="00513FD2" w:rsidP="00513FD2">
      <w:pPr>
        <w:keepNext/>
        <w:shd w:val="clear" w:color="auto" w:fill="CCC0D9" w:themeFill="accent4" w:themeFillTint="66"/>
        <w:spacing w:before="120" w:after="120"/>
        <w:rPr>
          <w:rFonts w:eastAsia="Calibri" w:cs="Arial"/>
          <w:b/>
          <w:sz w:val="20"/>
          <w:szCs w:val="20"/>
        </w:rPr>
      </w:pPr>
      <w:r w:rsidRPr="003F3D71">
        <w:rPr>
          <w:rFonts w:eastAsia="Calibri" w:cs="Arial"/>
          <w:b/>
          <w:sz w:val="20"/>
          <w:szCs w:val="20"/>
        </w:rPr>
        <w:t>Methodology</w:t>
      </w:r>
    </w:p>
    <w:p w:rsidR="00513FD2" w:rsidRPr="003F3D71" w:rsidRDefault="00513FD2" w:rsidP="00762037">
      <w:pPr>
        <w:keepLines/>
        <w:numPr>
          <w:ilvl w:val="0"/>
          <w:numId w:val="29"/>
        </w:numPr>
        <w:spacing w:before="0" w:after="0" w:line="240" w:lineRule="auto"/>
        <w:ind w:left="641" w:hanging="357"/>
        <w:rPr>
          <w:rFonts w:eastAsia="Calibri" w:cs="Arial"/>
          <w:iCs/>
          <w:sz w:val="20"/>
          <w:szCs w:val="20"/>
        </w:rPr>
      </w:pPr>
      <w:r w:rsidRPr="003F3D71">
        <w:rPr>
          <w:rFonts w:eastAsia="Calibri" w:cs="Arial"/>
          <w:iCs/>
          <w:sz w:val="20"/>
          <w:szCs w:val="20"/>
        </w:rPr>
        <w:t xml:space="preserve">The </w:t>
      </w:r>
      <w:r w:rsidRPr="003F3D71">
        <w:rPr>
          <w:rFonts w:eastAsia="Calibri" w:cs="Arial"/>
          <w:i/>
          <w:iCs/>
          <w:sz w:val="20"/>
          <w:szCs w:val="20"/>
        </w:rPr>
        <w:t>25</w:t>
      </w:r>
      <w:r w:rsidR="00181BA8">
        <w:rPr>
          <w:rFonts w:eastAsia="Calibri" w:cs="Arial"/>
          <w:i/>
          <w:iCs/>
          <w:sz w:val="20"/>
          <w:szCs w:val="20"/>
        </w:rPr>
        <w:t>%</w:t>
      </w:r>
      <w:r w:rsidRPr="003F3D71">
        <w:rPr>
          <w:rFonts w:eastAsia="Calibri" w:cs="Arial"/>
          <w:i/>
          <w:iCs/>
          <w:sz w:val="20"/>
          <w:szCs w:val="20"/>
        </w:rPr>
        <w:t xml:space="preserve"> of working age NDIS participants in paid employment</w:t>
      </w:r>
      <w:r w:rsidRPr="003F3D71">
        <w:rPr>
          <w:rFonts w:eastAsia="Calibri" w:cs="Arial"/>
          <w:iCs/>
          <w:sz w:val="20"/>
          <w:szCs w:val="20"/>
        </w:rPr>
        <w:t xml:space="preserve"> is based on the proportion of</w:t>
      </w:r>
      <w:r w:rsidR="0013448B">
        <w:rPr>
          <w:rFonts w:eastAsia="Calibri" w:cs="Arial"/>
          <w:iCs/>
          <w:sz w:val="20"/>
          <w:szCs w:val="20"/>
        </w:rPr>
        <w:t> </w:t>
      </w:r>
      <w:r w:rsidRPr="003F3D71">
        <w:rPr>
          <w:rFonts w:eastAsia="Calibri" w:cs="Arial"/>
          <w:iCs/>
          <w:sz w:val="20"/>
          <w:szCs w:val="20"/>
        </w:rPr>
        <w:t>participants aged 15 and over, who have been in the Scheme for at least two years, in paid work at</w:t>
      </w:r>
      <w:r w:rsidR="0013448B">
        <w:rPr>
          <w:rFonts w:eastAsia="Calibri" w:cs="Arial"/>
          <w:iCs/>
          <w:sz w:val="20"/>
          <w:szCs w:val="20"/>
        </w:rPr>
        <w:t> </w:t>
      </w:r>
      <w:r w:rsidRPr="003F3D71">
        <w:rPr>
          <w:rFonts w:eastAsia="Calibri" w:cs="Arial"/>
          <w:iCs/>
          <w:sz w:val="20"/>
          <w:szCs w:val="20"/>
        </w:rPr>
        <w:t>their latest plan review.</w:t>
      </w:r>
    </w:p>
    <w:p w:rsidR="00513FD2" w:rsidRPr="003F3D71" w:rsidRDefault="00513FD2" w:rsidP="00762037">
      <w:pPr>
        <w:keepLines/>
        <w:numPr>
          <w:ilvl w:val="0"/>
          <w:numId w:val="29"/>
        </w:numPr>
        <w:spacing w:before="0" w:after="0" w:line="240" w:lineRule="auto"/>
        <w:ind w:left="641" w:hanging="357"/>
        <w:rPr>
          <w:rFonts w:eastAsia="Calibri" w:cs="Arial"/>
          <w:iCs/>
          <w:sz w:val="20"/>
          <w:szCs w:val="20"/>
        </w:rPr>
      </w:pPr>
      <w:r w:rsidRPr="003F3D71">
        <w:rPr>
          <w:rFonts w:eastAsia="Calibri" w:cs="Arial"/>
          <w:iCs/>
          <w:sz w:val="20"/>
          <w:szCs w:val="20"/>
        </w:rPr>
        <w:t xml:space="preserve">The </w:t>
      </w:r>
      <w:r w:rsidRPr="003F3D71">
        <w:rPr>
          <w:rFonts w:eastAsia="Calibri" w:cs="Arial"/>
          <w:i/>
          <w:iCs/>
          <w:sz w:val="20"/>
          <w:szCs w:val="20"/>
        </w:rPr>
        <w:t>45</w:t>
      </w:r>
      <w:r w:rsidR="00181BA8">
        <w:rPr>
          <w:rFonts w:eastAsia="Calibri" w:cs="Arial"/>
          <w:i/>
          <w:iCs/>
          <w:sz w:val="20"/>
          <w:szCs w:val="20"/>
        </w:rPr>
        <w:t>%</w:t>
      </w:r>
      <w:r w:rsidRPr="003F3D71">
        <w:rPr>
          <w:rFonts w:eastAsia="Calibri" w:cs="Arial"/>
          <w:i/>
          <w:iCs/>
          <w:sz w:val="20"/>
          <w:szCs w:val="20"/>
        </w:rPr>
        <w:t xml:space="preserve"> NDIS participants in community and social activities</w:t>
      </w:r>
      <w:r w:rsidRPr="003F3D71">
        <w:rPr>
          <w:rFonts w:eastAsia="Calibri" w:cs="Arial"/>
          <w:iCs/>
          <w:sz w:val="20"/>
          <w:szCs w:val="20"/>
        </w:rPr>
        <w:t xml:space="preserve"> is based on the proportion of</w:t>
      </w:r>
      <w:r w:rsidR="0013448B">
        <w:rPr>
          <w:rFonts w:eastAsia="Calibri" w:cs="Arial"/>
          <w:iCs/>
          <w:sz w:val="20"/>
          <w:szCs w:val="20"/>
        </w:rPr>
        <w:t> </w:t>
      </w:r>
      <w:r w:rsidRPr="003F3D71">
        <w:rPr>
          <w:rFonts w:eastAsia="Calibri" w:cs="Arial"/>
          <w:iCs/>
          <w:sz w:val="20"/>
          <w:szCs w:val="20"/>
        </w:rPr>
        <w:t>participants aged 15 and over, who have been in the Scheme for at least two years, who were involved in community, cultural or religious groups at their latest plan review.</w:t>
      </w:r>
    </w:p>
    <w:p w:rsidR="00513FD2" w:rsidRPr="003F3D71" w:rsidRDefault="00513FD2" w:rsidP="00762037">
      <w:pPr>
        <w:keepLines/>
        <w:numPr>
          <w:ilvl w:val="0"/>
          <w:numId w:val="29"/>
        </w:numPr>
        <w:spacing w:before="0" w:after="0" w:line="240" w:lineRule="auto"/>
        <w:ind w:left="641" w:hanging="357"/>
        <w:rPr>
          <w:rFonts w:eastAsia="Calibri" w:cs="Arial"/>
          <w:iCs/>
          <w:sz w:val="20"/>
          <w:szCs w:val="20"/>
        </w:rPr>
      </w:pPr>
      <w:r w:rsidRPr="003F3D71">
        <w:rPr>
          <w:rFonts w:eastAsia="Calibri" w:cs="Arial"/>
          <w:iCs/>
          <w:sz w:val="20"/>
          <w:szCs w:val="20"/>
        </w:rPr>
        <w:t>The number of people under 65 years entering, and under 65 years and 45 years living, in residential care, is based on participant residential details where the Australian Institute of Health and Welfare (AIHW) are able to identify people with disability currently residing in residential aged care facilities.</w:t>
      </w:r>
    </w:p>
    <w:p w:rsidR="00513FD2" w:rsidRPr="003F3D71" w:rsidRDefault="00513FD2" w:rsidP="00513FD2">
      <w:pPr>
        <w:spacing w:before="120" w:after="120"/>
        <w:rPr>
          <w:rFonts w:eastAsia="Calibri" w:cs="Arial"/>
          <w:sz w:val="20"/>
          <w:szCs w:val="20"/>
        </w:rPr>
      </w:pPr>
      <w:r w:rsidRPr="003F3D71">
        <w:rPr>
          <w:rFonts w:eastAsia="Calibri" w:cs="Arial"/>
          <w:sz w:val="20"/>
          <w:szCs w:val="20"/>
        </w:rPr>
        <w:t xml:space="preserve">The </w:t>
      </w:r>
      <w:r w:rsidRPr="003F3D71">
        <w:rPr>
          <w:rFonts w:eastAsia="Calibri" w:cs="Arial"/>
          <w:b/>
          <w:sz w:val="20"/>
          <w:szCs w:val="20"/>
        </w:rPr>
        <w:t>data source</w:t>
      </w:r>
      <w:r w:rsidRPr="003F3D71">
        <w:rPr>
          <w:rFonts w:eastAsia="Calibri" w:cs="Arial"/>
          <w:sz w:val="20"/>
          <w:szCs w:val="20"/>
        </w:rPr>
        <w:t xml:space="preserve"> used for this calculation is NDIA Survey Data and AIHW Aged Care reports.</w:t>
      </w:r>
    </w:p>
    <w:p w:rsidR="00513FD2" w:rsidRPr="003F3D71" w:rsidRDefault="00513FD2" w:rsidP="00513FD2">
      <w:pPr>
        <w:shd w:val="clear" w:color="auto" w:fill="CCC0D9" w:themeFill="accent4" w:themeFillTint="66"/>
        <w:spacing w:before="120" w:after="120"/>
        <w:rPr>
          <w:rFonts w:eastAsia="Calibri" w:cs="Arial"/>
          <w:b/>
          <w:sz w:val="20"/>
          <w:szCs w:val="20"/>
        </w:rPr>
      </w:pPr>
      <w:r w:rsidRPr="003F3D71">
        <w:rPr>
          <w:rFonts w:eastAsia="Calibri" w:cs="Arial"/>
          <w:b/>
          <w:sz w:val="20"/>
          <w:szCs w:val="20"/>
        </w:rPr>
        <w:t>Program Outputs</w:t>
      </w:r>
    </w:p>
    <w:p w:rsidR="00513FD2" w:rsidRDefault="00513FD2" w:rsidP="00762037">
      <w:pPr>
        <w:numPr>
          <w:ilvl w:val="0"/>
          <w:numId w:val="30"/>
        </w:numPr>
        <w:spacing w:before="0" w:after="0" w:line="240" w:lineRule="auto"/>
        <w:ind w:left="714" w:hanging="357"/>
        <w:rPr>
          <w:rFonts w:eastAsia="Calibri" w:cs="Arial"/>
          <w:sz w:val="20"/>
          <w:szCs w:val="20"/>
        </w:rPr>
      </w:pPr>
      <w:r w:rsidRPr="003F3D71">
        <w:rPr>
          <w:rFonts w:eastAsia="Calibri" w:cs="Arial"/>
          <w:sz w:val="20"/>
          <w:szCs w:val="20"/>
        </w:rPr>
        <w:t>Administered outlays (NDIS; NDIS Transition; NDIS Participant Plans; Information, Linkages and Capacity Building; Establishment of the NDIS Quality and Safeguards Commission; Boosting the Local Care Workforce; Payments to Corporate Entity – National Disability Insurance Agency costs)</w:t>
      </w:r>
    </w:p>
    <w:p w:rsidR="009E0829" w:rsidRPr="003F3D71" w:rsidRDefault="009E0829" w:rsidP="007C74B7">
      <w:pPr>
        <w:spacing w:before="0" w:after="0" w:line="240" w:lineRule="auto"/>
        <w:ind w:left="714"/>
        <w:rPr>
          <w:rFonts w:eastAsia="Calibri" w:cs="Arial"/>
          <w:sz w:val="20"/>
          <w:szCs w:val="20"/>
        </w:rPr>
      </w:pPr>
    </w:p>
    <w:p w:rsidR="00513FD2" w:rsidRPr="00193FA6" w:rsidRDefault="00513FD2" w:rsidP="00513FD2">
      <w:pPr>
        <w:pStyle w:val="Heading1-NP"/>
        <w:rPr>
          <w:color w:val="A6192E"/>
        </w:rPr>
      </w:pPr>
      <w:bookmarkStart w:id="85" w:name="_Toc111026132"/>
      <w:r w:rsidRPr="00193FA6">
        <w:rPr>
          <w:color w:val="A6192E"/>
        </w:rPr>
        <w:lastRenderedPageBreak/>
        <w:t>Outcome 4: Housing</w:t>
      </w:r>
      <w:bookmarkEnd w:id="67"/>
      <w:bookmarkEnd w:id="85"/>
    </w:p>
    <w:p w:rsidR="00513FD2" w:rsidRPr="003D49C4" w:rsidRDefault="00513FD2" w:rsidP="003D49C4">
      <w:pPr>
        <w:pStyle w:val="Heading2"/>
        <w:rPr>
          <w:color w:val="auto"/>
        </w:rPr>
      </w:pPr>
      <w:bookmarkStart w:id="86" w:name="_Toc77593313"/>
      <w:bookmarkStart w:id="87" w:name="_Toc111026133"/>
      <w:r w:rsidRPr="003D49C4">
        <w:rPr>
          <w:color w:val="auto"/>
        </w:rPr>
        <w:t>Programs and activities</w:t>
      </w:r>
      <w:bookmarkEnd w:id="86"/>
      <w:bookmarkEnd w:id="87"/>
      <w:r w:rsidRPr="003D49C4">
        <w:rPr>
          <w:color w:val="auto"/>
        </w:rPr>
        <w:t xml:space="preserve"> </w:t>
      </w:r>
    </w:p>
    <w:p w:rsidR="00513FD2" w:rsidRPr="003F3D71" w:rsidRDefault="00513FD2" w:rsidP="00513FD2">
      <w:pPr>
        <w:autoSpaceDE w:val="0"/>
        <w:autoSpaceDN w:val="0"/>
        <w:adjustRightInd w:val="0"/>
        <w:spacing w:before="120" w:after="120"/>
        <w:rPr>
          <w:rFonts w:cs="Arial"/>
          <w:color w:val="000000"/>
          <w:sz w:val="20"/>
        </w:rPr>
      </w:pPr>
      <w:r w:rsidRPr="003F3D71">
        <w:rPr>
          <w:rFonts w:cs="Arial"/>
          <w:color w:val="000000"/>
          <w:sz w:val="20"/>
        </w:rPr>
        <w:t xml:space="preserve">Outcome 4 comprises 2 programs and a number of activities that contribute to the achievement of the housing outcome. The table below depicts how this purpose is translated into measurable activities. </w:t>
      </w:r>
    </w:p>
    <w:p w:rsidR="00513FD2" w:rsidRPr="003F3D71" w:rsidRDefault="00513FD2" w:rsidP="00513FD2">
      <w:pPr>
        <w:autoSpaceDE w:val="0"/>
        <w:autoSpaceDN w:val="0"/>
        <w:adjustRightInd w:val="0"/>
        <w:spacing w:before="120" w:after="120"/>
        <w:ind w:right="-164"/>
        <w:rPr>
          <w:rFonts w:cstheme="minorHAnsi"/>
          <w:color w:val="000000"/>
          <w:sz w:val="20"/>
        </w:rPr>
      </w:pPr>
      <w:r w:rsidRPr="003F3D71">
        <w:rPr>
          <w:rFonts w:cs="Arial"/>
          <w:color w:val="000000"/>
          <w:sz w:val="20"/>
        </w:rPr>
        <w:t>An in-depth description of each of the activities, performance measures, targets, rationale, methodology and outputs are in the Performance Tables Section on the page</w:t>
      </w:r>
      <w:r w:rsidR="00B001B0">
        <w:rPr>
          <w:rFonts w:cs="Arial"/>
          <w:color w:val="000000"/>
          <w:sz w:val="20"/>
        </w:rPr>
        <w:t>s to follow</w:t>
      </w:r>
      <w:r w:rsidRPr="003F3D71">
        <w:rPr>
          <w:rFonts w:cs="Arial"/>
          <w:color w:val="000000"/>
          <w:sz w:val="20"/>
        </w:rPr>
        <w:t>.</w:t>
      </w:r>
    </w:p>
    <w:p w:rsidR="00513FD2" w:rsidRPr="007C55D9" w:rsidRDefault="00513FD2" w:rsidP="00513FD2">
      <w:pPr>
        <w:shd w:val="clear" w:color="auto" w:fill="A6192E"/>
        <w:spacing w:before="120" w:after="120"/>
        <w:rPr>
          <w:rFonts w:cstheme="minorHAnsi"/>
          <w:b/>
          <w:bCs/>
          <w:color w:val="FFFFFF" w:themeColor="background1"/>
          <w:sz w:val="20"/>
          <w:szCs w:val="20"/>
        </w:rPr>
      </w:pPr>
      <w:r w:rsidRPr="007C55D9">
        <w:rPr>
          <w:rFonts w:cstheme="minorHAnsi"/>
          <w:b/>
          <w:bCs/>
          <w:color w:val="FFFFFF" w:themeColor="background1"/>
          <w:sz w:val="20"/>
          <w:szCs w:val="20"/>
        </w:rPr>
        <w:t>OUTCOME 4 – HOUSING</w:t>
      </w:r>
    </w:p>
    <w:p w:rsidR="00513FD2" w:rsidRPr="007C55D9" w:rsidRDefault="00513FD2" w:rsidP="00513FD2">
      <w:pPr>
        <w:shd w:val="clear" w:color="auto" w:fill="A6192E"/>
        <w:spacing w:before="120" w:after="120"/>
        <w:rPr>
          <w:rFonts w:cstheme="minorHAnsi"/>
          <w:color w:val="FFFFFF" w:themeColor="background1"/>
          <w:sz w:val="20"/>
          <w:szCs w:val="20"/>
          <w:bdr w:val="nil"/>
        </w:rPr>
      </w:pPr>
      <w:r w:rsidRPr="007C55D9">
        <w:rPr>
          <w:rFonts w:cstheme="minorHAnsi"/>
          <w:color w:val="FFFFFF" w:themeColor="background1"/>
          <w:sz w:val="20"/>
          <w:szCs w:val="20"/>
          <w:bdr w:val="nil"/>
        </w:rPr>
        <w:t>Improving housing affordability, supporting social housing for individuals and preventing and addressing homelessness by providing targeted supports</w:t>
      </w:r>
    </w:p>
    <w:tbl>
      <w:tblPr>
        <w:tblStyle w:val="TableGrid"/>
        <w:tblW w:w="9781" w:type="dxa"/>
        <w:jc w:val="center"/>
        <w:tblBorders>
          <w:top w:val="none" w:sz="0" w:space="0" w:color="auto"/>
          <w:left w:val="single" w:sz="36" w:space="0" w:color="FFFFFF" w:themeColor="background1"/>
          <w:bottom w:val="single" w:sz="36" w:space="0" w:color="FFFFFF" w:themeColor="background1"/>
          <w:right w:val="single" w:sz="36" w:space="0" w:color="FFFFFF" w:themeColor="background1"/>
          <w:insideH w:val="none" w:sz="0" w:space="0" w:color="auto"/>
          <w:insideV w:val="single" w:sz="36" w:space="0" w:color="FFFFFF" w:themeColor="background1"/>
        </w:tblBorders>
        <w:tblLayout w:type="fixed"/>
        <w:tblLook w:val="04A0" w:firstRow="1" w:lastRow="0" w:firstColumn="1" w:lastColumn="0" w:noHBand="0" w:noVBand="1"/>
        <w:tblCaption w:val="Programs and activities"/>
        <w:tblDescription w:val="Outcome 4 Housing"/>
      </w:tblPr>
      <w:tblGrid>
        <w:gridCol w:w="4890"/>
        <w:gridCol w:w="4891"/>
      </w:tblGrid>
      <w:tr w:rsidR="00513FD2" w:rsidRPr="007C55D9" w:rsidTr="005B200F">
        <w:trPr>
          <w:tblHeader/>
          <w:jc w:val="center"/>
        </w:trPr>
        <w:tc>
          <w:tcPr>
            <w:tcW w:w="489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6192E"/>
          </w:tcPr>
          <w:p w:rsidR="00513FD2" w:rsidRPr="007C55D9" w:rsidRDefault="00513FD2" w:rsidP="00513FD2">
            <w:pPr>
              <w:spacing w:before="120" w:after="120" w:line="259" w:lineRule="auto"/>
              <w:jc w:val="center"/>
              <w:rPr>
                <w:rFonts w:cstheme="minorHAnsi"/>
                <w:b/>
                <w:color w:val="FFFFFF" w:themeColor="background1"/>
                <w:sz w:val="20"/>
              </w:rPr>
            </w:pPr>
            <w:r w:rsidRPr="007C55D9">
              <w:rPr>
                <w:rFonts w:cstheme="minorHAnsi"/>
                <w:b/>
                <w:bCs/>
                <w:color w:val="FFFFFF" w:themeColor="background1"/>
                <w:sz w:val="20"/>
              </w:rPr>
              <w:t>Program 4.1</w:t>
            </w:r>
          </w:p>
          <w:p w:rsidR="00513FD2" w:rsidRPr="007C55D9" w:rsidRDefault="00513FD2" w:rsidP="00513FD2">
            <w:pPr>
              <w:spacing w:before="120" w:after="120" w:line="259" w:lineRule="auto"/>
              <w:jc w:val="center"/>
              <w:rPr>
                <w:rFonts w:cstheme="minorHAnsi"/>
                <w:b/>
                <w:color w:val="FFFFFF" w:themeColor="background1"/>
                <w:sz w:val="20"/>
              </w:rPr>
            </w:pPr>
            <w:r w:rsidRPr="007C55D9">
              <w:rPr>
                <w:rFonts w:cstheme="minorHAnsi"/>
                <w:b/>
                <w:bCs/>
                <w:color w:val="FFFFFF" w:themeColor="background1"/>
                <w:sz w:val="20"/>
              </w:rPr>
              <w:t>Housing and Homelessness</w:t>
            </w:r>
            <w:r w:rsidRPr="007C55D9">
              <w:rPr>
                <w:b/>
                <w:bCs/>
                <w:color w:val="FFFFFF" w:themeColor="background1"/>
                <w:sz w:val="20"/>
              </w:rPr>
              <w:t xml:space="preserve"> </w:t>
            </w:r>
          </w:p>
        </w:tc>
        <w:tc>
          <w:tcPr>
            <w:tcW w:w="48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6192E"/>
          </w:tcPr>
          <w:p w:rsidR="00513FD2" w:rsidRPr="007C55D9" w:rsidRDefault="00513FD2" w:rsidP="00513FD2">
            <w:pPr>
              <w:spacing w:before="120" w:after="120" w:line="259" w:lineRule="auto"/>
              <w:jc w:val="center"/>
              <w:rPr>
                <w:rFonts w:cstheme="minorHAnsi"/>
                <w:b/>
                <w:color w:val="FFFFFF" w:themeColor="background1"/>
                <w:sz w:val="20"/>
              </w:rPr>
            </w:pPr>
            <w:r w:rsidRPr="007C55D9">
              <w:rPr>
                <w:rFonts w:cstheme="minorHAnsi"/>
                <w:b/>
                <w:bCs/>
                <w:color w:val="FFFFFF" w:themeColor="background1"/>
                <w:sz w:val="20"/>
              </w:rPr>
              <w:t>Program 4.2</w:t>
            </w:r>
          </w:p>
          <w:p w:rsidR="00513FD2" w:rsidRPr="007C55D9" w:rsidRDefault="00513FD2" w:rsidP="00513FD2">
            <w:pPr>
              <w:spacing w:before="120" w:after="120" w:line="259" w:lineRule="auto"/>
              <w:jc w:val="center"/>
              <w:rPr>
                <w:rFonts w:cstheme="minorHAnsi"/>
                <w:color w:val="FFFFFF" w:themeColor="background1"/>
                <w:sz w:val="20"/>
              </w:rPr>
            </w:pPr>
            <w:r w:rsidRPr="007C55D9">
              <w:rPr>
                <w:rFonts w:cstheme="minorHAnsi"/>
                <w:b/>
                <w:bCs/>
                <w:color w:val="FFFFFF" w:themeColor="background1"/>
                <w:sz w:val="20"/>
              </w:rPr>
              <w:t>Affordable Housing</w:t>
            </w:r>
          </w:p>
        </w:tc>
      </w:tr>
      <w:tr w:rsidR="00513FD2" w:rsidRPr="003F3D71" w:rsidTr="00513FD2">
        <w:trPr>
          <w:jc w:val="center"/>
        </w:trPr>
        <w:tc>
          <w:tcPr>
            <w:tcW w:w="489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BD4B4" w:themeFill="accent6" w:themeFillTint="66"/>
          </w:tcPr>
          <w:p w:rsidR="00513FD2" w:rsidRPr="003F3D71" w:rsidRDefault="00513FD2" w:rsidP="00513FD2">
            <w:pPr>
              <w:spacing w:before="120" w:after="120" w:line="259" w:lineRule="auto"/>
              <w:ind w:left="85"/>
              <w:jc w:val="center"/>
              <w:rPr>
                <w:rFonts w:cstheme="minorHAnsi"/>
                <w:sz w:val="20"/>
              </w:rPr>
            </w:pPr>
            <w:r w:rsidRPr="003F3D71">
              <w:rPr>
                <w:rFonts w:cstheme="minorHAnsi"/>
                <w:b/>
                <w:bCs/>
                <w:sz w:val="20"/>
              </w:rPr>
              <w:t>Key activities</w:t>
            </w:r>
          </w:p>
          <w:p w:rsidR="00513FD2" w:rsidRPr="003F3D71" w:rsidRDefault="00513FD2" w:rsidP="00513FD2">
            <w:pPr>
              <w:spacing w:before="120" w:after="120" w:line="259" w:lineRule="auto"/>
              <w:ind w:left="170"/>
              <w:rPr>
                <w:rFonts w:cstheme="minorHAnsi"/>
                <w:sz w:val="20"/>
              </w:rPr>
            </w:pPr>
            <w:r w:rsidRPr="003F3D71">
              <w:rPr>
                <w:rFonts w:cstheme="minorHAnsi"/>
                <w:sz w:val="20"/>
              </w:rPr>
              <w:t>4.1.1 – National Housing and Homelessness Agreement</w:t>
            </w:r>
          </w:p>
          <w:p w:rsidR="00513FD2" w:rsidRPr="003F3D71" w:rsidRDefault="00513FD2" w:rsidP="00513FD2">
            <w:pPr>
              <w:spacing w:before="120" w:after="120" w:line="259" w:lineRule="auto"/>
              <w:ind w:left="170"/>
              <w:rPr>
                <w:rFonts w:cstheme="minorHAnsi"/>
                <w:sz w:val="20"/>
              </w:rPr>
            </w:pPr>
          </w:p>
        </w:tc>
        <w:tc>
          <w:tcPr>
            <w:tcW w:w="48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BD4B4" w:themeFill="accent6" w:themeFillTint="66"/>
          </w:tcPr>
          <w:p w:rsidR="00513FD2" w:rsidRPr="003F3D71" w:rsidRDefault="00513FD2" w:rsidP="00513FD2">
            <w:pPr>
              <w:spacing w:before="120" w:after="120" w:line="259" w:lineRule="auto"/>
              <w:ind w:left="85"/>
              <w:jc w:val="center"/>
              <w:rPr>
                <w:rFonts w:cstheme="minorHAnsi"/>
                <w:sz w:val="20"/>
              </w:rPr>
            </w:pPr>
            <w:r w:rsidRPr="003F3D71">
              <w:rPr>
                <w:rFonts w:cstheme="minorHAnsi"/>
                <w:b/>
                <w:bCs/>
                <w:sz w:val="20"/>
              </w:rPr>
              <w:t>Key activities</w:t>
            </w:r>
          </w:p>
          <w:p w:rsidR="00513FD2" w:rsidRPr="003F3D71" w:rsidRDefault="00513FD2" w:rsidP="00513FD2">
            <w:pPr>
              <w:spacing w:before="120" w:after="120" w:line="259" w:lineRule="auto"/>
              <w:ind w:left="170"/>
              <w:rPr>
                <w:rFonts w:cstheme="minorHAnsi"/>
                <w:b/>
                <w:sz w:val="20"/>
              </w:rPr>
            </w:pPr>
            <w:r w:rsidRPr="003F3D71">
              <w:rPr>
                <w:rFonts w:cstheme="minorHAnsi"/>
                <w:sz w:val="20"/>
              </w:rPr>
              <w:t>4.2.1 – Affordable Housing</w:t>
            </w:r>
          </w:p>
        </w:tc>
      </w:tr>
    </w:tbl>
    <w:p w:rsidR="00513FD2" w:rsidRPr="009B4DDE" w:rsidRDefault="00513FD2" w:rsidP="00513FD2">
      <w:pPr>
        <w:spacing w:before="120" w:after="120"/>
      </w:pPr>
    </w:p>
    <w:p w:rsidR="00EB0FAB" w:rsidRPr="003D49C4" w:rsidRDefault="00513FD2" w:rsidP="003D49C4">
      <w:pPr>
        <w:pStyle w:val="Heading2"/>
        <w:rPr>
          <w:rFonts w:eastAsia="Times New Roman" w:cs="Calibri"/>
          <w:color w:val="A6192E"/>
          <w:szCs w:val="18"/>
        </w:rPr>
      </w:pPr>
      <w:r w:rsidRPr="009B4DDE">
        <w:br w:type="page"/>
      </w:r>
      <w:bookmarkStart w:id="88" w:name="_Toc111026134"/>
      <w:bookmarkEnd w:id="68"/>
      <w:bookmarkEnd w:id="69"/>
      <w:r w:rsidR="00EB0FAB" w:rsidRPr="003D49C4">
        <w:rPr>
          <w:rFonts w:eastAsia="Times New Roman"/>
          <w:color w:val="A6192E"/>
        </w:rPr>
        <w:lastRenderedPageBreak/>
        <w:t>Performance Tables Outcome 4: Housing</w:t>
      </w:r>
      <w:bookmarkEnd w:id="88"/>
      <w:r w:rsidR="00EB0FAB" w:rsidRPr="003D49C4">
        <w:rPr>
          <w:rFonts w:eastAsia="Times New Roman"/>
          <w:color w:val="A6192E"/>
        </w:rPr>
        <w:t xml:space="preserve"> </w:t>
      </w:r>
    </w:p>
    <w:p w:rsidR="00513FD2" w:rsidRPr="003F3D71" w:rsidRDefault="00513FD2" w:rsidP="00513FD2">
      <w:pPr>
        <w:shd w:val="clear" w:color="auto" w:fill="A6192E"/>
        <w:spacing w:before="120" w:after="120"/>
        <w:rPr>
          <w:rFonts w:cs="Arial"/>
          <w:b/>
          <w:color w:val="FFFFFF" w:themeColor="background1"/>
          <w:sz w:val="20"/>
          <w:szCs w:val="20"/>
        </w:rPr>
      </w:pPr>
      <w:r w:rsidRPr="003F3D71">
        <w:rPr>
          <w:rFonts w:cs="Arial"/>
          <w:b/>
          <w:color w:val="FFFFFF" w:themeColor="background1"/>
          <w:sz w:val="20"/>
          <w:szCs w:val="20"/>
        </w:rPr>
        <w:t>Program 4.1 Housing and Homelessness</w:t>
      </w:r>
    </w:p>
    <w:p w:rsidR="00513FD2" w:rsidRPr="003F3D71" w:rsidRDefault="00513FD2" w:rsidP="00513FD2">
      <w:pPr>
        <w:shd w:val="clear" w:color="auto" w:fill="A6192E"/>
        <w:spacing w:before="120" w:after="120"/>
        <w:rPr>
          <w:rFonts w:cs="Arial"/>
          <w:color w:val="FFFFFF" w:themeColor="background1"/>
          <w:sz w:val="20"/>
          <w:szCs w:val="20"/>
        </w:rPr>
      </w:pPr>
      <w:r w:rsidRPr="003F3D71">
        <w:rPr>
          <w:rFonts w:cs="Arial"/>
          <w:color w:val="FFFFFF" w:themeColor="background1"/>
          <w:sz w:val="20"/>
          <w:szCs w:val="20"/>
        </w:rPr>
        <w:t>This program aims to provide support for affordable housing and homelessness prevention initiatives including the design and implementation of innovative early-stage projects.</w:t>
      </w:r>
    </w:p>
    <w:p w:rsidR="00513FD2" w:rsidRPr="003F3D71" w:rsidRDefault="00513FD2" w:rsidP="00513FD2">
      <w:pPr>
        <w:shd w:val="clear" w:color="auto" w:fill="FBD4B4" w:themeFill="accent6" w:themeFillTint="66"/>
        <w:spacing w:before="120" w:after="120"/>
        <w:rPr>
          <w:rFonts w:cs="Arial"/>
          <w:b/>
          <w:sz w:val="20"/>
          <w:szCs w:val="20"/>
        </w:rPr>
      </w:pPr>
      <w:r w:rsidRPr="003F3D71">
        <w:rPr>
          <w:rFonts w:cs="Arial"/>
          <w:b/>
          <w:sz w:val="20"/>
          <w:szCs w:val="20"/>
        </w:rPr>
        <w:t>Key Activity — 4.1.1 National Housing and Homelessness Agreement</w:t>
      </w:r>
    </w:p>
    <w:p w:rsidR="00513FD2" w:rsidRPr="003F3D71" w:rsidRDefault="00513FD2" w:rsidP="00513FD2">
      <w:pPr>
        <w:spacing w:before="120" w:after="120"/>
        <w:rPr>
          <w:rFonts w:cs="Arial"/>
          <w:sz w:val="20"/>
          <w:szCs w:val="20"/>
        </w:rPr>
      </w:pPr>
      <w:r w:rsidRPr="003F3D71">
        <w:rPr>
          <w:rFonts w:cs="Arial"/>
          <w:sz w:val="20"/>
          <w:szCs w:val="20"/>
        </w:rPr>
        <w:t>The National Housing and Homelessness Agreement (NHHA) is a national funding agreement between the Australian Government and the states and territories. It is a Key Activity of the Housing and Homelessness program. The NHHA provides funding each year to states and territories to improve Australians’ access to</w:t>
      </w:r>
      <w:r w:rsidR="0013448B">
        <w:rPr>
          <w:rFonts w:cs="Arial"/>
          <w:sz w:val="20"/>
          <w:szCs w:val="20"/>
        </w:rPr>
        <w:t> </w:t>
      </w:r>
      <w:r w:rsidRPr="003F3D71">
        <w:rPr>
          <w:rFonts w:cs="Arial"/>
          <w:sz w:val="20"/>
          <w:szCs w:val="20"/>
        </w:rPr>
        <w:t>affordable, safe and sustainable housing across the housing spectrum, including to prevent and address homelessness, and to support social and economic participation</w:t>
      </w:r>
      <w:r w:rsidRPr="003F3D71">
        <w:rPr>
          <w:rFonts w:cs="Arial"/>
          <w:i/>
          <w:sz w:val="20"/>
          <w:szCs w:val="20"/>
        </w:rPr>
        <w:t xml:space="preserve">. </w:t>
      </w:r>
    </w:p>
    <w:p w:rsidR="00513FD2" w:rsidRPr="003F3D71" w:rsidRDefault="00513FD2" w:rsidP="00513FD2">
      <w:pPr>
        <w:spacing w:before="120" w:after="120"/>
        <w:rPr>
          <w:rFonts w:cs="Arial"/>
          <w:sz w:val="20"/>
          <w:szCs w:val="20"/>
        </w:rPr>
      </w:pPr>
      <w:r w:rsidRPr="003F3D71">
        <w:rPr>
          <w:rFonts w:cs="Arial"/>
          <w:sz w:val="20"/>
          <w:szCs w:val="20"/>
        </w:rPr>
        <w:t xml:space="preserve">Housing and homelessness priorities are set out in bilateral schedules outlining how each state and territory proposes to implement the reforms, initiatives and policies to contribute to the outcomes and outputs under the NHHA. </w:t>
      </w:r>
    </w:p>
    <w:p w:rsidR="00513FD2" w:rsidRPr="003F3D71" w:rsidRDefault="00513FD2" w:rsidP="00762037">
      <w:pPr>
        <w:spacing w:before="0" w:after="0"/>
        <w:rPr>
          <w:rFonts w:cs="Arial"/>
          <w:sz w:val="20"/>
          <w:szCs w:val="20"/>
        </w:rPr>
      </w:pPr>
      <w:r w:rsidRPr="008554C7">
        <w:rPr>
          <w:rFonts w:cs="Arial"/>
          <w:b/>
          <w:sz w:val="20"/>
          <w:szCs w:val="20"/>
        </w:rPr>
        <w:t xml:space="preserve">The department </w:t>
      </w:r>
      <w:r w:rsidRPr="003F3D71">
        <w:rPr>
          <w:rFonts w:cs="Arial"/>
          <w:sz w:val="20"/>
          <w:szCs w:val="20"/>
        </w:rPr>
        <w:t xml:space="preserve">is responsible for managing the NHHA with states and territories. </w:t>
      </w:r>
      <w:r w:rsidRPr="008554C7">
        <w:rPr>
          <w:rFonts w:cs="Arial"/>
          <w:b/>
          <w:sz w:val="20"/>
          <w:szCs w:val="20"/>
        </w:rPr>
        <w:t>The department’s</w:t>
      </w:r>
      <w:r w:rsidRPr="003F3D71">
        <w:rPr>
          <w:rFonts w:cs="Arial"/>
          <w:sz w:val="20"/>
          <w:szCs w:val="20"/>
        </w:rPr>
        <w:t xml:space="preserve"> role is</w:t>
      </w:r>
      <w:r w:rsidR="0013448B">
        <w:rPr>
          <w:rFonts w:cs="Arial"/>
          <w:sz w:val="20"/>
          <w:szCs w:val="20"/>
        </w:rPr>
        <w:t> </w:t>
      </w:r>
      <w:r w:rsidRPr="003F3D71">
        <w:rPr>
          <w:rFonts w:cs="Arial"/>
          <w:sz w:val="20"/>
          <w:szCs w:val="20"/>
        </w:rPr>
        <w:t>to:</w:t>
      </w:r>
    </w:p>
    <w:p w:rsidR="00513FD2" w:rsidRPr="003F3D71" w:rsidRDefault="0013448B" w:rsidP="00762037">
      <w:pPr>
        <w:numPr>
          <w:ilvl w:val="0"/>
          <w:numId w:val="39"/>
        </w:numPr>
        <w:spacing w:before="0" w:after="0" w:line="240" w:lineRule="auto"/>
        <w:ind w:left="714" w:hanging="357"/>
        <w:rPr>
          <w:rFonts w:cs="Arial"/>
          <w:sz w:val="20"/>
          <w:szCs w:val="20"/>
        </w:rPr>
      </w:pPr>
      <w:r>
        <w:rPr>
          <w:rFonts w:cs="Arial"/>
          <w:sz w:val="20"/>
          <w:szCs w:val="20"/>
        </w:rPr>
        <w:t>c</w:t>
      </w:r>
      <w:r w:rsidRPr="003F3D71">
        <w:rPr>
          <w:rFonts w:cs="Arial"/>
          <w:sz w:val="20"/>
          <w:szCs w:val="20"/>
        </w:rPr>
        <w:t xml:space="preserve">onduct </w:t>
      </w:r>
      <w:r w:rsidR="00513FD2" w:rsidRPr="003F3D71">
        <w:rPr>
          <w:rFonts w:cs="Arial"/>
          <w:sz w:val="20"/>
          <w:szCs w:val="20"/>
        </w:rPr>
        <w:t>monitoring and compliance</w:t>
      </w:r>
    </w:p>
    <w:p w:rsidR="00513FD2" w:rsidRPr="003F3D71" w:rsidRDefault="0013448B" w:rsidP="00762037">
      <w:pPr>
        <w:numPr>
          <w:ilvl w:val="0"/>
          <w:numId w:val="39"/>
        </w:numPr>
        <w:spacing w:before="0" w:after="0" w:line="240" w:lineRule="auto"/>
        <w:ind w:left="714" w:hanging="357"/>
        <w:rPr>
          <w:rFonts w:cs="Arial"/>
          <w:sz w:val="20"/>
          <w:szCs w:val="20"/>
        </w:rPr>
      </w:pPr>
      <w:r>
        <w:rPr>
          <w:rFonts w:cs="Arial"/>
          <w:sz w:val="20"/>
          <w:szCs w:val="20"/>
        </w:rPr>
        <w:t>c</w:t>
      </w:r>
      <w:r w:rsidRPr="003F3D71">
        <w:rPr>
          <w:rFonts w:cs="Arial"/>
          <w:sz w:val="20"/>
          <w:szCs w:val="20"/>
        </w:rPr>
        <w:t xml:space="preserve">onduct </w:t>
      </w:r>
      <w:r w:rsidR="00513FD2" w:rsidRPr="003F3D71">
        <w:rPr>
          <w:rFonts w:cs="Arial"/>
          <w:sz w:val="20"/>
          <w:szCs w:val="20"/>
        </w:rPr>
        <w:t>payments assurance</w:t>
      </w:r>
    </w:p>
    <w:p w:rsidR="00513FD2" w:rsidRPr="003F3D71" w:rsidRDefault="0013448B" w:rsidP="00762037">
      <w:pPr>
        <w:numPr>
          <w:ilvl w:val="0"/>
          <w:numId w:val="39"/>
        </w:numPr>
        <w:spacing w:before="0" w:after="0" w:line="240" w:lineRule="auto"/>
        <w:ind w:left="714" w:hanging="357"/>
        <w:rPr>
          <w:rFonts w:cs="Arial"/>
          <w:sz w:val="20"/>
          <w:szCs w:val="20"/>
        </w:rPr>
      </w:pPr>
      <w:r>
        <w:rPr>
          <w:rFonts w:cs="Arial"/>
          <w:sz w:val="20"/>
          <w:szCs w:val="20"/>
        </w:rPr>
        <w:t>r</w:t>
      </w:r>
      <w:r w:rsidRPr="003F3D71">
        <w:rPr>
          <w:rFonts w:cs="Arial"/>
          <w:sz w:val="20"/>
          <w:szCs w:val="20"/>
        </w:rPr>
        <w:t xml:space="preserve">eview </w:t>
      </w:r>
      <w:r w:rsidR="00513FD2" w:rsidRPr="003F3D71">
        <w:rPr>
          <w:rFonts w:cs="Arial"/>
          <w:sz w:val="20"/>
          <w:szCs w:val="20"/>
        </w:rPr>
        <w:t>annual statements of assurance</w:t>
      </w:r>
    </w:p>
    <w:p w:rsidR="00513FD2" w:rsidRPr="003F3D71" w:rsidRDefault="0013448B" w:rsidP="00762037">
      <w:pPr>
        <w:numPr>
          <w:ilvl w:val="0"/>
          <w:numId w:val="39"/>
        </w:numPr>
        <w:spacing w:before="0" w:after="0" w:line="240" w:lineRule="auto"/>
        <w:ind w:left="714" w:hanging="357"/>
        <w:rPr>
          <w:rFonts w:cs="Arial"/>
          <w:sz w:val="20"/>
          <w:szCs w:val="20"/>
        </w:rPr>
      </w:pPr>
      <w:r>
        <w:rPr>
          <w:rFonts w:cs="Arial"/>
          <w:sz w:val="20"/>
          <w:szCs w:val="20"/>
        </w:rPr>
        <w:t>a</w:t>
      </w:r>
      <w:r w:rsidRPr="003F3D71">
        <w:rPr>
          <w:rFonts w:cs="Arial"/>
          <w:sz w:val="20"/>
          <w:szCs w:val="20"/>
        </w:rPr>
        <w:t xml:space="preserve">ctively </w:t>
      </w:r>
      <w:r w:rsidR="00513FD2" w:rsidRPr="003F3D71">
        <w:rPr>
          <w:rFonts w:cs="Arial"/>
          <w:sz w:val="20"/>
          <w:szCs w:val="20"/>
        </w:rPr>
        <w:t>engage with states and territories</w:t>
      </w:r>
    </w:p>
    <w:p w:rsidR="00513FD2" w:rsidRDefault="0013448B" w:rsidP="00762037">
      <w:pPr>
        <w:numPr>
          <w:ilvl w:val="0"/>
          <w:numId w:val="39"/>
        </w:numPr>
        <w:spacing w:before="0" w:after="0" w:line="240" w:lineRule="auto"/>
        <w:ind w:left="714" w:hanging="357"/>
        <w:rPr>
          <w:rFonts w:cs="Arial"/>
          <w:sz w:val="20"/>
          <w:szCs w:val="20"/>
        </w:rPr>
      </w:pPr>
      <w:r>
        <w:rPr>
          <w:rFonts w:cs="Arial"/>
          <w:sz w:val="20"/>
          <w:szCs w:val="20"/>
        </w:rPr>
        <w:t>l</w:t>
      </w:r>
      <w:r w:rsidRPr="003F3D71">
        <w:rPr>
          <w:rFonts w:cs="Arial"/>
          <w:sz w:val="20"/>
          <w:szCs w:val="20"/>
        </w:rPr>
        <w:t xml:space="preserve">ead </w:t>
      </w:r>
      <w:r w:rsidR="00513FD2" w:rsidRPr="003F3D71">
        <w:rPr>
          <w:rFonts w:cs="Arial"/>
          <w:sz w:val="20"/>
          <w:szCs w:val="20"/>
        </w:rPr>
        <w:t>the development of data improvement activities</w:t>
      </w:r>
      <w:r>
        <w:rPr>
          <w:rFonts w:cs="Arial"/>
          <w:sz w:val="20"/>
          <w:szCs w:val="20"/>
        </w:rPr>
        <w:t>.</w:t>
      </w:r>
    </w:p>
    <w:p w:rsidR="00AB52A4" w:rsidRPr="00762037" w:rsidRDefault="00AB52A4" w:rsidP="00762037">
      <w:pPr>
        <w:spacing w:before="0" w:after="0"/>
        <w:rPr>
          <w:rFonts w:cs="Arial"/>
          <w:sz w:val="2"/>
          <w:szCs w:val="20"/>
        </w:rPr>
      </w:pPr>
    </w:p>
    <w:p w:rsidR="00513FD2" w:rsidRPr="003F3D71" w:rsidRDefault="00513FD2" w:rsidP="00513FD2">
      <w:pPr>
        <w:spacing w:before="120" w:after="120"/>
        <w:rPr>
          <w:rFonts w:cs="Arial"/>
          <w:color w:val="000000" w:themeColor="text1"/>
          <w:sz w:val="20"/>
          <w:szCs w:val="20"/>
          <w:lang w:eastAsia="en-GB"/>
        </w:rPr>
      </w:pPr>
      <w:r w:rsidRPr="008554C7">
        <w:rPr>
          <w:rFonts w:cs="Arial"/>
          <w:b/>
          <w:sz w:val="20"/>
          <w:szCs w:val="20"/>
        </w:rPr>
        <w:t>The states and territories</w:t>
      </w:r>
      <w:r w:rsidRPr="003F3D71">
        <w:rPr>
          <w:rFonts w:cs="Arial"/>
          <w:sz w:val="20"/>
          <w:szCs w:val="20"/>
        </w:rPr>
        <w:t xml:space="preserve"> are responsible for delivering services in accordance with the terms and conditions of contracts and agreements with the Commonwealth</w:t>
      </w:r>
      <w:r w:rsidRPr="003F3D71">
        <w:rPr>
          <w:rFonts w:cs="Arial"/>
          <w:color w:val="000000" w:themeColor="text1"/>
          <w:sz w:val="20"/>
          <w:szCs w:val="20"/>
          <w:lang w:eastAsia="en-GB"/>
        </w:rPr>
        <w:t xml:space="preserve">. </w:t>
      </w:r>
    </w:p>
    <w:p w:rsidR="00513FD2" w:rsidRPr="003F3D71" w:rsidRDefault="00513FD2" w:rsidP="00762037">
      <w:pPr>
        <w:numPr>
          <w:ilvl w:val="0"/>
          <w:numId w:val="40"/>
        </w:numPr>
        <w:spacing w:before="0" w:after="0" w:line="240" w:lineRule="auto"/>
        <w:ind w:left="782" w:hanging="357"/>
        <w:rPr>
          <w:rFonts w:cs="Arial"/>
          <w:sz w:val="20"/>
          <w:szCs w:val="20"/>
        </w:rPr>
      </w:pPr>
      <w:r w:rsidRPr="003F3D71">
        <w:rPr>
          <w:rFonts w:cs="Arial"/>
          <w:sz w:val="20"/>
          <w:szCs w:val="20"/>
        </w:rPr>
        <w:t>Strategic planning: states identifying priorities and allocating resourcing</w:t>
      </w:r>
    </w:p>
    <w:p w:rsidR="00513FD2" w:rsidRPr="003F3D71" w:rsidRDefault="00513FD2" w:rsidP="00762037">
      <w:pPr>
        <w:numPr>
          <w:ilvl w:val="0"/>
          <w:numId w:val="40"/>
        </w:numPr>
        <w:spacing w:before="0" w:after="0" w:line="240" w:lineRule="auto"/>
        <w:ind w:left="782" w:hanging="357"/>
        <w:rPr>
          <w:rFonts w:cs="Arial"/>
          <w:sz w:val="20"/>
          <w:szCs w:val="20"/>
        </w:rPr>
      </w:pPr>
      <w:r w:rsidRPr="003F3D71">
        <w:rPr>
          <w:rFonts w:cs="Arial"/>
          <w:sz w:val="20"/>
          <w:szCs w:val="20"/>
        </w:rPr>
        <w:t>Service delivery</w:t>
      </w:r>
    </w:p>
    <w:p w:rsidR="00513FD2" w:rsidRPr="003F3D71" w:rsidRDefault="00513FD2" w:rsidP="00762037">
      <w:pPr>
        <w:numPr>
          <w:ilvl w:val="0"/>
          <w:numId w:val="40"/>
        </w:numPr>
        <w:spacing w:before="0" w:after="0" w:line="240" w:lineRule="auto"/>
        <w:ind w:left="782" w:hanging="357"/>
        <w:rPr>
          <w:rFonts w:cs="Arial"/>
          <w:sz w:val="20"/>
          <w:szCs w:val="20"/>
        </w:rPr>
      </w:pPr>
      <w:r w:rsidRPr="003F3D71">
        <w:rPr>
          <w:rFonts w:cs="Arial"/>
          <w:sz w:val="20"/>
          <w:szCs w:val="20"/>
        </w:rPr>
        <w:t>Reporting to the department</w:t>
      </w:r>
    </w:p>
    <w:p w:rsidR="00513FD2" w:rsidRPr="00611B04" w:rsidRDefault="00513FD2" w:rsidP="00611B04">
      <w:pPr>
        <w:numPr>
          <w:ilvl w:val="0"/>
          <w:numId w:val="40"/>
        </w:numPr>
        <w:spacing w:before="0" w:after="0" w:line="240" w:lineRule="auto"/>
        <w:ind w:left="782" w:hanging="357"/>
        <w:rPr>
          <w:rFonts w:cs="Arial"/>
          <w:sz w:val="20"/>
          <w:szCs w:val="20"/>
        </w:rPr>
      </w:pPr>
      <w:r w:rsidRPr="003F3D71">
        <w:rPr>
          <w:rFonts w:cs="Arial"/>
          <w:sz w:val="20"/>
          <w:szCs w:val="20"/>
        </w:rPr>
        <w:t>Active engagement with Commonwealth</w:t>
      </w:r>
      <w:r w:rsidR="0013448B">
        <w:rPr>
          <w:rFonts w:cs="Arial"/>
          <w:sz w:val="20"/>
          <w:szCs w:val="20"/>
        </w:rPr>
        <w:t>.</w:t>
      </w:r>
    </w:p>
    <w:tbl>
      <w:tblPr>
        <w:tblStyle w:val="TableGrid39"/>
        <w:tblW w:w="5000" w:type="pct"/>
        <w:jc w:val="center"/>
        <w:tblLook w:val="04A0" w:firstRow="1" w:lastRow="0" w:firstColumn="1" w:lastColumn="0" w:noHBand="0" w:noVBand="1"/>
        <w:tblCaption w:val="4.1.1 performance measure and target"/>
        <w:tblDescription w:val="Table outlines the targeted percentages of state and territory delivery of the national housing and homelessness agreement across 2022-23, 2023-24, 2024-25 and 2025-26"/>
      </w:tblPr>
      <w:tblGrid>
        <w:gridCol w:w="4232"/>
        <w:gridCol w:w="1336"/>
        <w:gridCol w:w="1354"/>
        <w:gridCol w:w="1354"/>
        <w:gridCol w:w="1352"/>
      </w:tblGrid>
      <w:tr w:rsidR="00513FD2" w:rsidRPr="003F3D71" w:rsidTr="005B200F">
        <w:trPr>
          <w:cantSplit/>
          <w:trHeight w:val="356"/>
          <w:tblHeader/>
          <w:jc w:val="center"/>
        </w:trPr>
        <w:tc>
          <w:tcPr>
            <w:tcW w:w="5000" w:type="pct"/>
            <w:gridSpan w:val="5"/>
            <w:shd w:val="clear" w:color="auto" w:fill="D9D9D6"/>
          </w:tcPr>
          <w:p w:rsidR="00513FD2" w:rsidRPr="003F3D71" w:rsidRDefault="00513FD2" w:rsidP="00513FD2">
            <w:pPr>
              <w:spacing w:before="120" w:after="120" w:line="259" w:lineRule="auto"/>
              <w:rPr>
                <w:rFonts w:cs="Arial"/>
                <w:b/>
                <w:sz w:val="20"/>
              </w:rPr>
            </w:pPr>
            <w:r w:rsidRPr="003F3D71">
              <w:rPr>
                <w:rFonts w:cs="Arial"/>
                <w:b/>
                <w:sz w:val="20"/>
              </w:rPr>
              <w:t>Performance Measure</w:t>
            </w:r>
          </w:p>
        </w:tc>
      </w:tr>
      <w:tr w:rsidR="00513FD2" w:rsidRPr="003F3D71" w:rsidTr="00513FD2">
        <w:trPr>
          <w:cantSplit/>
          <w:trHeight w:val="356"/>
          <w:jc w:val="center"/>
        </w:trPr>
        <w:tc>
          <w:tcPr>
            <w:tcW w:w="5000" w:type="pct"/>
            <w:gridSpan w:val="5"/>
            <w:shd w:val="clear" w:color="auto" w:fill="auto"/>
          </w:tcPr>
          <w:p w:rsidR="00513FD2" w:rsidRPr="003F3D71" w:rsidRDefault="00513FD2" w:rsidP="00513FD2">
            <w:pPr>
              <w:spacing w:before="120" w:after="120" w:line="259" w:lineRule="auto"/>
              <w:rPr>
                <w:rFonts w:cs="Arial"/>
                <w:sz w:val="20"/>
              </w:rPr>
            </w:pPr>
            <w:r w:rsidRPr="003F3D71">
              <w:rPr>
                <w:rFonts w:cs="Arial"/>
                <w:sz w:val="20"/>
              </w:rPr>
              <w:t>4.1.1-1 Standard of delivery by states and territories is in accordance with the terms and conditions of agreements with the Commonwealth.</w:t>
            </w:r>
          </w:p>
        </w:tc>
      </w:tr>
      <w:tr w:rsidR="00513FD2" w:rsidRPr="003F3D71" w:rsidTr="00513FD2">
        <w:trPr>
          <w:cantSplit/>
          <w:trHeight w:val="356"/>
          <w:jc w:val="center"/>
        </w:trPr>
        <w:tc>
          <w:tcPr>
            <w:tcW w:w="2198" w:type="pct"/>
            <w:shd w:val="clear" w:color="auto" w:fill="D9D9D6"/>
          </w:tcPr>
          <w:p w:rsidR="00513FD2" w:rsidRPr="003F3D71" w:rsidRDefault="00513FD2" w:rsidP="00513FD2">
            <w:pPr>
              <w:spacing w:before="120" w:after="120" w:line="259" w:lineRule="auto"/>
              <w:rPr>
                <w:rFonts w:cs="Arial"/>
                <w:sz w:val="20"/>
              </w:rPr>
            </w:pPr>
            <w:r w:rsidRPr="003F3D71">
              <w:rPr>
                <w:rFonts w:cs="Arial"/>
                <w:b/>
                <w:sz w:val="20"/>
              </w:rPr>
              <w:t>Target</w:t>
            </w:r>
          </w:p>
        </w:tc>
        <w:tc>
          <w:tcPr>
            <w:tcW w:w="694" w:type="pct"/>
            <w:shd w:val="clear" w:color="auto" w:fill="D9D9D6"/>
          </w:tcPr>
          <w:p w:rsidR="00513FD2" w:rsidRPr="003F3D71" w:rsidRDefault="00513FD2" w:rsidP="00513FD2">
            <w:pPr>
              <w:spacing w:before="120" w:after="120" w:line="259" w:lineRule="auto"/>
              <w:rPr>
                <w:rFonts w:cs="Arial"/>
                <w:b/>
                <w:sz w:val="20"/>
              </w:rPr>
            </w:pPr>
            <w:r w:rsidRPr="003F3D71">
              <w:rPr>
                <w:rFonts w:cs="Arial"/>
                <w:b/>
                <w:sz w:val="20"/>
              </w:rPr>
              <w:t>2022–23</w:t>
            </w:r>
          </w:p>
        </w:tc>
        <w:tc>
          <w:tcPr>
            <w:tcW w:w="703" w:type="pct"/>
            <w:shd w:val="clear" w:color="auto" w:fill="D9D9D6"/>
          </w:tcPr>
          <w:p w:rsidR="00513FD2" w:rsidRPr="003F3D71" w:rsidRDefault="00513FD2" w:rsidP="00513FD2">
            <w:pPr>
              <w:spacing w:before="120" w:after="120" w:line="259" w:lineRule="auto"/>
              <w:rPr>
                <w:rFonts w:cs="Arial"/>
                <w:b/>
                <w:sz w:val="20"/>
              </w:rPr>
            </w:pPr>
            <w:r w:rsidRPr="003F3D71">
              <w:rPr>
                <w:rFonts w:cs="Arial"/>
                <w:b/>
                <w:sz w:val="20"/>
              </w:rPr>
              <w:t>2023–24</w:t>
            </w:r>
          </w:p>
        </w:tc>
        <w:tc>
          <w:tcPr>
            <w:tcW w:w="703" w:type="pct"/>
            <w:shd w:val="clear" w:color="auto" w:fill="D9D9D6"/>
          </w:tcPr>
          <w:p w:rsidR="00513FD2" w:rsidRPr="003F3D71" w:rsidRDefault="00513FD2" w:rsidP="00513FD2">
            <w:pPr>
              <w:spacing w:before="120" w:after="120" w:line="259" w:lineRule="auto"/>
              <w:rPr>
                <w:rFonts w:cs="Arial"/>
                <w:b/>
                <w:sz w:val="20"/>
              </w:rPr>
            </w:pPr>
            <w:r w:rsidRPr="003F3D71">
              <w:rPr>
                <w:rFonts w:cs="Arial"/>
                <w:b/>
                <w:sz w:val="20"/>
              </w:rPr>
              <w:t>2024–25</w:t>
            </w:r>
          </w:p>
        </w:tc>
        <w:tc>
          <w:tcPr>
            <w:tcW w:w="702" w:type="pct"/>
            <w:shd w:val="clear" w:color="auto" w:fill="D9D9D6"/>
          </w:tcPr>
          <w:p w:rsidR="00513FD2" w:rsidRPr="003F3D71" w:rsidRDefault="00513FD2" w:rsidP="00513FD2">
            <w:pPr>
              <w:spacing w:before="120" w:after="120" w:line="259" w:lineRule="auto"/>
              <w:rPr>
                <w:rFonts w:cs="Arial"/>
                <w:b/>
                <w:sz w:val="20"/>
              </w:rPr>
            </w:pPr>
            <w:r w:rsidRPr="003F3D71">
              <w:rPr>
                <w:rFonts w:cs="Arial"/>
                <w:b/>
                <w:sz w:val="20"/>
              </w:rPr>
              <w:t>2025–26</w:t>
            </w:r>
          </w:p>
        </w:tc>
      </w:tr>
      <w:tr w:rsidR="00513FD2" w:rsidRPr="003F3D71" w:rsidTr="00513FD2">
        <w:trPr>
          <w:cantSplit/>
          <w:trHeight w:val="356"/>
          <w:jc w:val="center"/>
        </w:trPr>
        <w:tc>
          <w:tcPr>
            <w:tcW w:w="2198" w:type="pct"/>
            <w:shd w:val="clear" w:color="auto" w:fill="FFFFFF" w:themeFill="background1"/>
          </w:tcPr>
          <w:p w:rsidR="00513FD2" w:rsidRPr="003F3D71" w:rsidRDefault="00513FD2" w:rsidP="00513FD2">
            <w:pPr>
              <w:keepLines/>
              <w:pBdr>
                <w:top w:val="nil"/>
                <w:left w:val="nil"/>
                <w:bottom w:val="nil"/>
                <w:right w:val="nil"/>
                <w:between w:val="nil"/>
                <w:bar w:val="nil"/>
              </w:pBdr>
              <w:spacing w:before="120" w:after="120" w:line="259" w:lineRule="auto"/>
              <w:rPr>
                <w:rFonts w:cs="Arial"/>
                <w:sz w:val="20"/>
              </w:rPr>
            </w:pPr>
            <w:r w:rsidRPr="003F3D71">
              <w:rPr>
                <w:rFonts w:cs="Arial"/>
                <w:sz w:val="20"/>
              </w:rPr>
              <w:sym w:font="Wingdings" w:char="F074"/>
            </w:r>
            <w:r w:rsidRPr="003F3D71">
              <w:rPr>
                <w:rFonts w:cs="Arial"/>
                <w:sz w:val="20"/>
              </w:rPr>
              <w:t xml:space="preserve"> 4.1.1-1A </w:t>
            </w:r>
            <w:r w:rsidR="00181BA8">
              <w:rPr>
                <w:rFonts w:cs="Arial"/>
                <w:sz w:val="20"/>
              </w:rPr>
              <w:t>–</w:t>
            </w:r>
            <w:r w:rsidRPr="003F3D71">
              <w:rPr>
                <w:rFonts w:cs="Arial"/>
                <w:sz w:val="20"/>
              </w:rPr>
              <w:t xml:space="preserve"> 100</w:t>
            </w:r>
            <w:r w:rsidR="00181BA8">
              <w:rPr>
                <w:rFonts w:cs="Arial"/>
                <w:sz w:val="20"/>
              </w:rPr>
              <w:t>%</w:t>
            </w:r>
            <w:r w:rsidRPr="003F3D71">
              <w:rPr>
                <w:rFonts w:cs="Arial"/>
                <w:sz w:val="20"/>
              </w:rPr>
              <w:t xml:space="preserve"> of states and territories meet their requirements under the National Housing and Homelessness Agreement by:</w:t>
            </w:r>
          </w:p>
          <w:p w:rsidR="00513FD2" w:rsidRPr="003F3D71" w:rsidRDefault="00513FD2" w:rsidP="00513FD2">
            <w:pPr>
              <w:keepLines/>
              <w:pBdr>
                <w:top w:val="nil"/>
                <w:left w:val="nil"/>
                <w:bottom w:val="nil"/>
                <w:right w:val="nil"/>
                <w:between w:val="nil"/>
                <w:bar w:val="nil"/>
              </w:pBdr>
              <w:spacing w:before="120" w:after="120" w:line="259" w:lineRule="auto"/>
              <w:ind w:left="720" w:hanging="360"/>
              <w:rPr>
                <w:rFonts w:cs="Arial"/>
                <w:sz w:val="20"/>
              </w:rPr>
            </w:pPr>
            <w:r w:rsidRPr="003F3D71">
              <w:rPr>
                <w:rFonts w:cs="Arial"/>
                <w:sz w:val="20"/>
              </w:rPr>
              <w:t>having a publicly available housing strategy</w:t>
            </w:r>
          </w:p>
          <w:p w:rsidR="00513FD2" w:rsidRPr="003F3D71" w:rsidRDefault="00513FD2" w:rsidP="00513FD2">
            <w:pPr>
              <w:keepLines/>
              <w:pBdr>
                <w:top w:val="nil"/>
                <w:left w:val="nil"/>
                <w:bottom w:val="nil"/>
                <w:right w:val="nil"/>
                <w:between w:val="nil"/>
                <w:bar w:val="nil"/>
              </w:pBdr>
              <w:spacing w:before="120" w:after="120" w:line="259" w:lineRule="auto"/>
              <w:ind w:left="720" w:hanging="360"/>
              <w:rPr>
                <w:rFonts w:cs="Arial"/>
                <w:sz w:val="20"/>
              </w:rPr>
            </w:pPr>
            <w:r w:rsidRPr="003F3D71">
              <w:rPr>
                <w:rFonts w:cs="Arial"/>
                <w:sz w:val="20"/>
              </w:rPr>
              <w:t>having a publicly available homelessness strategy</w:t>
            </w:r>
          </w:p>
          <w:p w:rsidR="00513FD2" w:rsidRPr="003F3D71" w:rsidRDefault="00513FD2" w:rsidP="00513FD2">
            <w:pPr>
              <w:keepLines/>
              <w:pBdr>
                <w:top w:val="nil"/>
                <w:left w:val="nil"/>
                <w:bottom w:val="nil"/>
                <w:right w:val="nil"/>
                <w:between w:val="nil"/>
                <w:bar w:val="nil"/>
              </w:pBdr>
              <w:spacing w:before="120" w:after="120" w:line="259" w:lineRule="auto"/>
              <w:ind w:left="720" w:hanging="360"/>
              <w:rPr>
                <w:rFonts w:cs="Arial"/>
                <w:sz w:val="20"/>
              </w:rPr>
            </w:pPr>
            <w:r w:rsidRPr="003F3D71">
              <w:rPr>
                <w:rFonts w:cs="Arial"/>
                <w:sz w:val="20"/>
              </w:rPr>
              <w:t>contributing to the ongoing collection and transparent reporting of agreed data</w:t>
            </w:r>
          </w:p>
          <w:p w:rsidR="00513FD2" w:rsidRPr="003F3D71" w:rsidRDefault="00513FD2" w:rsidP="00513FD2">
            <w:pPr>
              <w:keepLines/>
              <w:pBdr>
                <w:top w:val="nil"/>
                <w:left w:val="nil"/>
                <w:bottom w:val="nil"/>
                <w:right w:val="nil"/>
                <w:between w:val="nil"/>
                <w:bar w:val="nil"/>
              </w:pBdr>
              <w:spacing w:before="120" w:after="120" w:line="259" w:lineRule="auto"/>
              <w:ind w:left="720" w:hanging="360"/>
              <w:rPr>
                <w:rFonts w:cs="Arial"/>
                <w:sz w:val="20"/>
              </w:rPr>
            </w:pPr>
            <w:r w:rsidRPr="003F3D71">
              <w:rPr>
                <w:rFonts w:cs="Arial"/>
                <w:sz w:val="20"/>
              </w:rPr>
              <w:t>providing annual statement of assurance reports outlining their housing and homelessness expenditure.</w:t>
            </w:r>
          </w:p>
          <w:p w:rsidR="00513FD2" w:rsidRPr="003F3D71" w:rsidRDefault="00513FD2" w:rsidP="00513FD2">
            <w:pPr>
              <w:keepLines/>
              <w:pBdr>
                <w:top w:val="nil"/>
                <w:left w:val="nil"/>
                <w:bottom w:val="nil"/>
                <w:right w:val="nil"/>
                <w:between w:val="nil"/>
                <w:bar w:val="nil"/>
              </w:pBdr>
              <w:spacing w:before="120" w:after="120" w:line="259" w:lineRule="auto"/>
              <w:rPr>
                <w:rFonts w:cs="Arial"/>
                <w:sz w:val="20"/>
              </w:rPr>
            </w:pPr>
            <w:r w:rsidRPr="003F3D71">
              <w:rPr>
                <w:rFonts w:cs="Arial"/>
                <w:sz w:val="20"/>
              </w:rPr>
              <w:t>*Bilateral agreements under the NHHA expire at the end of 2022-23, beyond which funding is subject to negotiation.</w:t>
            </w:r>
          </w:p>
        </w:tc>
        <w:tc>
          <w:tcPr>
            <w:tcW w:w="694" w:type="pct"/>
          </w:tcPr>
          <w:p w:rsidR="00513FD2" w:rsidRPr="003F3D71" w:rsidRDefault="00513FD2" w:rsidP="00513FD2">
            <w:pPr>
              <w:spacing w:before="120" w:after="120" w:line="259" w:lineRule="auto"/>
              <w:rPr>
                <w:rFonts w:cs="Arial"/>
                <w:sz w:val="20"/>
              </w:rPr>
            </w:pPr>
            <w:r w:rsidRPr="003F3D71">
              <w:rPr>
                <w:rFonts w:cs="Arial"/>
                <w:sz w:val="20"/>
              </w:rPr>
              <w:t>100%</w:t>
            </w:r>
          </w:p>
        </w:tc>
        <w:tc>
          <w:tcPr>
            <w:tcW w:w="703" w:type="pct"/>
          </w:tcPr>
          <w:p w:rsidR="00513FD2" w:rsidRPr="003F3D71" w:rsidRDefault="00513FD2" w:rsidP="00513FD2">
            <w:pPr>
              <w:spacing w:before="120" w:after="120" w:line="259" w:lineRule="auto"/>
              <w:rPr>
                <w:rFonts w:cs="Arial"/>
                <w:sz w:val="20"/>
              </w:rPr>
            </w:pPr>
            <w:r w:rsidRPr="003F3D71">
              <w:rPr>
                <w:rFonts w:cs="Arial"/>
                <w:sz w:val="20"/>
              </w:rPr>
              <w:t>To be developed*</w:t>
            </w:r>
          </w:p>
        </w:tc>
        <w:tc>
          <w:tcPr>
            <w:tcW w:w="703" w:type="pct"/>
          </w:tcPr>
          <w:p w:rsidR="00513FD2" w:rsidRPr="003F3D71" w:rsidRDefault="00513FD2" w:rsidP="00513FD2">
            <w:pPr>
              <w:spacing w:before="120" w:after="120" w:line="259" w:lineRule="auto"/>
              <w:rPr>
                <w:rFonts w:cs="Arial"/>
                <w:sz w:val="20"/>
              </w:rPr>
            </w:pPr>
            <w:r w:rsidRPr="003F3D71">
              <w:rPr>
                <w:rFonts w:cs="Arial"/>
                <w:sz w:val="20"/>
              </w:rPr>
              <w:t>To be developed*</w:t>
            </w:r>
          </w:p>
        </w:tc>
        <w:tc>
          <w:tcPr>
            <w:tcW w:w="702" w:type="pct"/>
            <w:shd w:val="clear" w:color="auto" w:fill="FFFFFF" w:themeFill="background1"/>
          </w:tcPr>
          <w:p w:rsidR="00513FD2" w:rsidRPr="003F3D71" w:rsidRDefault="00513FD2" w:rsidP="00513FD2">
            <w:pPr>
              <w:spacing w:before="120" w:after="120" w:line="259" w:lineRule="auto"/>
              <w:rPr>
                <w:rFonts w:cs="Arial"/>
                <w:sz w:val="20"/>
              </w:rPr>
            </w:pPr>
            <w:r w:rsidRPr="003F3D71">
              <w:rPr>
                <w:rFonts w:cs="Arial"/>
                <w:sz w:val="20"/>
              </w:rPr>
              <w:t>To be developed*</w:t>
            </w:r>
          </w:p>
        </w:tc>
      </w:tr>
    </w:tbl>
    <w:p w:rsidR="00AB52A4" w:rsidRDefault="00AB52A4" w:rsidP="00762037">
      <w:pPr>
        <w:spacing w:before="0" w:after="0"/>
        <w:rPr>
          <w:rFonts w:cs="Arial"/>
          <w:b/>
          <w:sz w:val="20"/>
          <w:szCs w:val="20"/>
        </w:rPr>
      </w:pPr>
    </w:p>
    <w:p w:rsidR="00001B01" w:rsidRDefault="00001B01">
      <w:pPr>
        <w:spacing w:before="0" w:after="160"/>
        <w:rPr>
          <w:rFonts w:cs="Arial"/>
          <w:b/>
          <w:sz w:val="20"/>
          <w:szCs w:val="20"/>
        </w:rPr>
      </w:pPr>
      <w:r>
        <w:rPr>
          <w:rFonts w:cs="Arial"/>
          <w:b/>
          <w:sz w:val="20"/>
          <w:szCs w:val="20"/>
        </w:rPr>
        <w:br w:type="page"/>
      </w:r>
    </w:p>
    <w:p w:rsidR="00513FD2" w:rsidRPr="003F3D71" w:rsidRDefault="00513FD2" w:rsidP="00513FD2">
      <w:pPr>
        <w:shd w:val="clear" w:color="auto" w:fill="FBD4B4" w:themeFill="accent6" w:themeFillTint="66"/>
        <w:spacing w:before="120" w:after="120"/>
        <w:rPr>
          <w:rFonts w:cs="Arial"/>
          <w:b/>
          <w:sz w:val="20"/>
          <w:szCs w:val="20"/>
        </w:rPr>
      </w:pPr>
      <w:r w:rsidRPr="003F3D71">
        <w:rPr>
          <w:rFonts w:cs="Arial"/>
          <w:b/>
          <w:sz w:val="20"/>
          <w:szCs w:val="20"/>
        </w:rPr>
        <w:lastRenderedPageBreak/>
        <w:t>Rationale</w:t>
      </w:r>
    </w:p>
    <w:p w:rsidR="00513FD2" w:rsidRPr="003F3D71" w:rsidRDefault="00513FD2" w:rsidP="00513FD2">
      <w:pPr>
        <w:spacing w:before="120" w:after="120"/>
        <w:rPr>
          <w:rFonts w:cs="Arial"/>
          <w:sz w:val="20"/>
          <w:szCs w:val="20"/>
        </w:rPr>
      </w:pPr>
      <w:r w:rsidRPr="003F3D71">
        <w:rPr>
          <w:rFonts w:cs="Arial"/>
          <w:sz w:val="20"/>
          <w:szCs w:val="20"/>
        </w:rPr>
        <w:t>Measuring the standard of delivery by states and territories is in accordance with the terms and conditions of</w:t>
      </w:r>
      <w:r w:rsidR="0013448B">
        <w:rPr>
          <w:rFonts w:cs="Arial"/>
          <w:sz w:val="20"/>
          <w:szCs w:val="20"/>
        </w:rPr>
        <w:t> </w:t>
      </w:r>
      <w:r w:rsidRPr="003F3D71">
        <w:rPr>
          <w:rFonts w:cs="Arial"/>
          <w:sz w:val="20"/>
          <w:szCs w:val="20"/>
        </w:rPr>
        <w:t>agreements with the Commonwealth, will demonstrate the department has effectively:</w:t>
      </w:r>
    </w:p>
    <w:p w:rsidR="00513FD2" w:rsidRPr="003F3D71" w:rsidRDefault="0013448B" w:rsidP="00762037">
      <w:pPr>
        <w:numPr>
          <w:ilvl w:val="0"/>
          <w:numId w:val="33"/>
        </w:numPr>
        <w:spacing w:before="0" w:after="0" w:line="240" w:lineRule="auto"/>
        <w:ind w:left="714" w:hanging="357"/>
        <w:rPr>
          <w:rFonts w:cs="Arial"/>
          <w:sz w:val="20"/>
          <w:szCs w:val="20"/>
        </w:rPr>
      </w:pPr>
      <w:r>
        <w:rPr>
          <w:rFonts w:cs="Arial"/>
          <w:sz w:val="20"/>
          <w:szCs w:val="20"/>
        </w:rPr>
        <w:t>c</w:t>
      </w:r>
      <w:r w:rsidRPr="003F3D71">
        <w:rPr>
          <w:rFonts w:cs="Arial"/>
          <w:sz w:val="20"/>
          <w:szCs w:val="20"/>
        </w:rPr>
        <w:t xml:space="preserve">onducted </w:t>
      </w:r>
      <w:r w:rsidR="00513FD2" w:rsidRPr="003F3D71">
        <w:rPr>
          <w:rFonts w:cs="Arial"/>
          <w:sz w:val="20"/>
          <w:szCs w:val="20"/>
        </w:rPr>
        <w:t>monitoring and compliance</w:t>
      </w:r>
    </w:p>
    <w:p w:rsidR="00513FD2" w:rsidRPr="003F3D71" w:rsidRDefault="0013448B" w:rsidP="00762037">
      <w:pPr>
        <w:numPr>
          <w:ilvl w:val="0"/>
          <w:numId w:val="33"/>
        </w:numPr>
        <w:spacing w:before="0" w:after="0" w:line="240" w:lineRule="auto"/>
        <w:ind w:left="714" w:hanging="357"/>
        <w:rPr>
          <w:rFonts w:cs="Arial"/>
          <w:sz w:val="20"/>
          <w:szCs w:val="20"/>
        </w:rPr>
      </w:pPr>
      <w:r>
        <w:rPr>
          <w:rFonts w:cs="Arial"/>
          <w:sz w:val="20"/>
          <w:szCs w:val="20"/>
        </w:rPr>
        <w:t>c</w:t>
      </w:r>
      <w:r w:rsidRPr="003F3D71">
        <w:rPr>
          <w:rFonts w:cs="Arial"/>
          <w:sz w:val="20"/>
          <w:szCs w:val="20"/>
        </w:rPr>
        <w:t xml:space="preserve">onducted </w:t>
      </w:r>
      <w:r w:rsidR="00513FD2" w:rsidRPr="003F3D71">
        <w:rPr>
          <w:rFonts w:cs="Arial"/>
          <w:sz w:val="20"/>
          <w:szCs w:val="20"/>
        </w:rPr>
        <w:t>payment assurance</w:t>
      </w:r>
    </w:p>
    <w:p w:rsidR="00513FD2" w:rsidRPr="003F3D71" w:rsidRDefault="0013448B" w:rsidP="00762037">
      <w:pPr>
        <w:numPr>
          <w:ilvl w:val="0"/>
          <w:numId w:val="33"/>
        </w:numPr>
        <w:spacing w:before="0" w:after="0" w:line="240" w:lineRule="auto"/>
        <w:ind w:left="714" w:hanging="357"/>
        <w:rPr>
          <w:rFonts w:cs="Arial"/>
          <w:sz w:val="20"/>
          <w:szCs w:val="20"/>
        </w:rPr>
      </w:pPr>
      <w:r>
        <w:rPr>
          <w:rFonts w:cs="Arial"/>
          <w:sz w:val="20"/>
          <w:szCs w:val="20"/>
        </w:rPr>
        <w:t>r</w:t>
      </w:r>
      <w:r w:rsidRPr="003F3D71">
        <w:rPr>
          <w:rFonts w:cs="Arial"/>
          <w:sz w:val="20"/>
          <w:szCs w:val="20"/>
        </w:rPr>
        <w:t xml:space="preserve">eviewed </w:t>
      </w:r>
      <w:r w:rsidR="00513FD2" w:rsidRPr="003F3D71">
        <w:rPr>
          <w:rFonts w:cs="Arial"/>
          <w:sz w:val="20"/>
          <w:szCs w:val="20"/>
        </w:rPr>
        <w:t>annual statements of assurance</w:t>
      </w:r>
    </w:p>
    <w:p w:rsidR="00513FD2" w:rsidRPr="003F3D71" w:rsidRDefault="0013448B" w:rsidP="00762037">
      <w:pPr>
        <w:numPr>
          <w:ilvl w:val="0"/>
          <w:numId w:val="33"/>
        </w:numPr>
        <w:spacing w:before="0" w:after="0" w:line="240" w:lineRule="auto"/>
        <w:ind w:left="714" w:hanging="357"/>
        <w:rPr>
          <w:rFonts w:cs="Arial"/>
          <w:sz w:val="20"/>
          <w:szCs w:val="20"/>
        </w:rPr>
      </w:pPr>
      <w:r>
        <w:rPr>
          <w:rFonts w:cs="Arial"/>
          <w:sz w:val="20"/>
          <w:szCs w:val="20"/>
        </w:rPr>
        <w:t>a</w:t>
      </w:r>
      <w:r w:rsidRPr="003F3D71">
        <w:rPr>
          <w:rFonts w:cs="Arial"/>
          <w:sz w:val="20"/>
          <w:szCs w:val="20"/>
        </w:rPr>
        <w:t xml:space="preserve">ctively </w:t>
      </w:r>
      <w:r w:rsidR="00513FD2" w:rsidRPr="003F3D71">
        <w:rPr>
          <w:rFonts w:cs="Arial"/>
          <w:sz w:val="20"/>
          <w:szCs w:val="20"/>
        </w:rPr>
        <w:t>engaged with states and territories.</w:t>
      </w:r>
    </w:p>
    <w:p w:rsidR="00513FD2" w:rsidRPr="003F3D71" w:rsidRDefault="00513FD2" w:rsidP="00513FD2">
      <w:pPr>
        <w:shd w:val="clear" w:color="auto" w:fill="FBD4B4" w:themeFill="accent6" w:themeFillTint="66"/>
        <w:spacing w:before="120" w:after="120"/>
        <w:rPr>
          <w:rFonts w:cs="Arial"/>
          <w:b/>
          <w:sz w:val="20"/>
          <w:szCs w:val="20"/>
        </w:rPr>
      </w:pPr>
      <w:r w:rsidRPr="003F3D71">
        <w:rPr>
          <w:rFonts w:cs="Arial"/>
          <w:b/>
          <w:sz w:val="20"/>
          <w:szCs w:val="20"/>
        </w:rPr>
        <w:t>Methodology</w:t>
      </w:r>
    </w:p>
    <w:p w:rsidR="00513FD2" w:rsidRPr="003F3D71" w:rsidRDefault="00513FD2" w:rsidP="00513FD2">
      <w:pPr>
        <w:spacing w:before="120" w:after="120"/>
        <w:rPr>
          <w:rFonts w:cs="Arial"/>
          <w:sz w:val="20"/>
          <w:szCs w:val="20"/>
        </w:rPr>
      </w:pPr>
      <w:r w:rsidRPr="003F3D71">
        <w:rPr>
          <w:rFonts w:cs="Arial"/>
          <w:sz w:val="20"/>
          <w:szCs w:val="20"/>
        </w:rPr>
        <w:t xml:space="preserve">The per cent of </w:t>
      </w:r>
      <w:r w:rsidRPr="003F3D71">
        <w:rPr>
          <w:rFonts w:cs="Arial"/>
          <w:i/>
          <w:sz w:val="20"/>
          <w:szCs w:val="20"/>
        </w:rPr>
        <w:t>states and territories who meet their requirements</w:t>
      </w:r>
      <w:r w:rsidRPr="003F3D71">
        <w:rPr>
          <w:rFonts w:cs="Arial"/>
          <w:sz w:val="20"/>
          <w:szCs w:val="20"/>
        </w:rPr>
        <w:t xml:space="preserve"> is based on the number of state and territories that have:</w:t>
      </w:r>
    </w:p>
    <w:p w:rsidR="00513FD2" w:rsidRPr="003F3D71" w:rsidRDefault="00513FD2" w:rsidP="00762037">
      <w:pPr>
        <w:numPr>
          <w:ilvl w:val="0"/>
          <w:numId w:val="34"/>
        </w:numPr>
        <w:spacing w:before="0" w:after="0" w:line="240" w:lineRule="auto"/>
        <w:ind w:left="714" w:hanging="357"/>
        <w:rPr>
          <w:rFonts w:cs="Arial"/>
          <w:sz w:val="20"/>
          <w:szCs w:val="20"/>
        </w:rPr>
      </w:pPr>
      <w:r w:rsidRPr="003F3D71">
        <w:rPr>
          <w:rFonts w:cs="Arial"/>
          <w:sz w:val="20"/>
          <w:szCs w:val="20"/>
        </w:rPr>
        <w:t>published a housing strategy</w:t>
      </w:r>
    </w:p>
    <w:p w:rsidR="00513FD2" w:rsidRPr="003F3D71" w:rsidRDefault="00513FD2" w:rsidP="00762037">
      <w:pPr>
        <w:numPr>
          <w:ilvl w:val="0"/>
          <w:numId w:val="34"/>
        </w:numPr>
        <w:spacing w:before="0" w:after="0" w:line="240" w:lineRule="auto"/>
        <w:ind w:left="714" w:hanging="357"/>
        <w:rPr>
          <w:rFonts w:cs="Arial"/>
          <w:sz w:val="20"/>
          <w:szCs w:val="20"/>
        </w:rPr>
      </w:pPr>
      <w:r w:rsidRPr="003F3D71">
        <w:rPr>
          <w:rFonts w:cs="Arial"/>
          <w:sz w:val="20"/>
          <w:szCs w:val="20"/>
        </w:rPr>
        <w:t>published a homelessness strategy</w:t>
      </w:r>
    </w:p>
    <w:p w:rsidR="00513FD2" w:rsidRPr="003F3D71" w:rsidRDefault="00513FD2" w:rsidP="00762037">
      <w:pPr>
        <w:numPr>
          <w:ilvl w:val="0"/>
          <w:numId w:val="34"/>
        </w:numPr>
        <w:spacing w:before="0" w:after="0" w:line="240" w:lineRule="auto"/>
        <w:ind w:left="714" w:hanging="357"/>
        <w:rPr>
          <w:rFonts w:cs="Arial"/>
          <w:sz w:val="20"/>
          <w:szCs w:val="20"/>
        </w:rPr>
      </w:pPr>
      <w:r w:rsidRPr="003F3D71">
        <w:rPr>
          <w:rFonts w:cs="Arial"/>
          <w:sz w:val="20"/>
          <w:szCs w:val="20"/>
        </w:rPr>
        <w:t>transparent reporting of agreed data and</w:t>
      </w:r>
    </w:p>
    <w:p w:rsidR="00513FD2" w:rsidRPr="003F3D71" w:rsidRDefault="00513FD2" w:rsidP="00762037">
      <w:pPr>
        <w:numPr>
          <w:ilvl w:val="0"/>
          <w:numId w:val="34"/>
        </w:numPr>
        <w:spacing w:before="0" w:after="0" w:line="240" w:lineRule="auto"/>
        <w:ind w:left="714" w:hanging="357"/>
        <w:rPr>
          <w:rFonts w:cs="Arial"/>
          <w:sz w:val="20"/>
          <w:szCs w:val="20"/>
        </w:rPr>
      </w:pPr>
      <w:r w:rsidRPr="003F3D71">
        <w:rPr>
          <w:rFonts w:cs="Arial"/>
          <w:sz w:val="20"/>
          <w:szCs w:val="20"/>
        </w:rPr>
        <w:t>annual statement of assurance reports outlining jurisdictional housing and homelessness expenditure.</w:t>
      </w:r>
    </w:p>
    <w:p w:rsidR="00513FD2" w:rsidRPr="003F3D71" w:rsidRDefault="00513FD2" w:rsidP="00513FD2">
      <w:pPr>
        <w:spacing w:before="120" w:after="120"/>
        <w:rPr>
          <w:rFonts w:cs="Arial"/>
          <w:sz w:val="20"/>
          <w:szCs w:val="20"/>
        </w:rPr>
      </w:pPr>
      <w:r w:rsidRPr="003F3D71">
        <w:rPr>
          <w:rFonts w:cs="Arial"/>
          <w:sz w:val="20"/>
          <w:szCs w:val="20"/>
        </w:rPr>
        <w:t xml:space="preserve">The </w:t>
      </w:r>
      <w:r w:rsidRPr="003F3D71">
        <w:rPr>
          <w:rFonts w:cs="Arial"/>
          <w:b/>
          <w:sz w:val="20"/>
          <w:szCs w:val="20"/>
        </w:rPr>
        <w:t>data sources</w:t>
      </w:r>
      <w:r w:rsidRPr="003F3D71">
        <w:rPr>
          <w:rFonts w:cs="Arial"/>
          <w:sz w:val="20"/>
          <w:szCs w:val="20"/>
        </w:rPr>
        <w:t xml:space="preserve"> used for this calculation are:</w:t>
      </w:r>
    </w:p>
    <w:p w:rsidR="00513FD2" w:rsidRPr="003F3D71" w:rsidRDefault="0013448B" w:rsidP="00762037">
      <w:pPr>
        <w:numPr>
          <w:ilvl w:val="0"/>
          <w:numId w:val="34"/>
        </w:numPr>
        <w:spacing w:before="0" w:after="0" w:line="240" w:lineRule="auto"/>
        <w:ind w:left="714" w:hanging="357"/>
        <w:rPr>
          <w:rFonts w:cs="Arial"/>
          <w:sz w:val="20"/>
          <w:szCs w:val="20"/>
        </w:rPr>
      </w:pPr>
      <w:r>
        <w:rPr>
          <w:rFonts w:cs="Arial"/>
          <w:sz w:val="20"/>
          <w:szCs w:val="20"/>
        </w:rPr>
        <w:t>r</w:t>
      </w:r>
      <w:r w:rsidRPr="003F3D71">
        <w:rPr>
          <w:rFonts w:cs="Arial"/>
          <w:sz w:val="20"/>
          <w:szCs w:val="20"/>
        </w:rPr>
        <w:t xml:space="preserve">elevant </w:t>
      </w:r>
      <w:r w:rsidR="00513FD2" w:rsidRPr="003F3D71">
        <w:rPr>
          <w:rFonts w:cs="Arial"/>
          <w:sz w:val="20"/>
          <w:szCs w:val="20"/>
        </w:rPr>
        <w:t>state and territory government departmental websites where housing and homelessness strategies are published</w:t>
      </w:r>
    </w:p>
    <w:p w:rsidR="00513FD2" w:rsidRPr="003F3D71" w:rsidRDefault="0013448B" w:rsidP="00762037">
      <w:pPr>
        <w:numPr>
          <w:ilvl w:val="0"/>
          <w:numId w:val="34"/>
        </w:numPr>
        <w:spacing w:before="0" w:after="0" w:line="240" w:lineRule="auto"/>
        <w:ind w:left="714" w:hanging="357"/>
        <w:rPr>
          <w:rFonts w:cs="Arial"/>
          <w:sz w:val="20"/>
          <w:szCs w:val="20"/>
        </w:rPr>
      </w:pPr>
      <w:r>
        <w:rPr>
          <w:rFonts w:cs="Arial"/>
          <w:sz w:val="20"/>
          <w:szCs w:val="20"/>
        </w:rPr>
        <w:t>t</w:t>
      </w:r>
      <w:r w:rsidRPr="003F3D71">
        <w:rPr>
          <w:rFonts w:cs="Arial"/>
          <w:sz w:val="20"/>
          <w:szCs w:val="20"/>
        </w:rPr>
        <w:t xml:space="preserve">he </w:t>
      </w:r>
      <w:r w:rsidR="00513FD2" w:rsidRPr="003F3D71">
        <w:rPr>
          <w:rFonts w:cs="Arial"/>
          <w:sz w:val="20"/>
          <w:szCs w:val="20"/>
        </w:rPr>
        <w:t>Productivity Commission’s annual Report on Government Services</w:t>
      </w:r>
    </w:p>
    <w:p w:rsidR="00513FD2" w:rsidRPr="00611B04" w:rsidRDefault="0013448B" w:rsidP="00611B04">
      <w:pPr>
        <w:numPr>
          <w:ilvl w:val="0"/>
          <w:numId w:val="34"/>
        </w:numPr>
        <w:spacing w:before="0" w:after="0" w:line="240" w:lineRule="auto"/>
        <w:ind w:left="714" w:hanging="357"/>
        <w:rPr>
          <w:rFonts w:cs="Arial"/>
          <w:sz w:val="20"/>
        </w:rPr>
      </w:pPr>
      <w:r>
        <w:rPr>
          <w:rFonts w:cs="Arial"/>
          <w:sz w:val="20"/>
          <w:szCs w:val="20"/>
        </w:rPr>
        <w:t>t</w:t>
      </w:r>
      <w:r w:rsidRPr="003F3D71">
        <w:rPr>
          <w:rFonts w:cs="Arial"/>
          <w:sz w:val="20"/>
          <w:szCs w:val="20"/>
        </w:rPr>
        <w:t xml:space="preserve">he </w:t>
      </w:r>
      <w:r w:rsidR="00513FD2" w:rsidRPr="003F3D71">
        <w:rPr>
          <w:rFonts w:cs="Arial"/>
          <w:sz w:val="20"/>
          <w:szCs w:val="20"/>
        </w:rPr>
        <w:t>Australian Institute of Health and Welfare’s Specialist Homelessness Services database; and</w:t>
      </w:r>
      <w:r w:rsidR="00513FD2" w:rsidRPr="002B19F4">
        <w:rPr>
          <w:rFonts w:cs="Arial"/>
          <w:sz w:val="20"/>
        </w:rPr>
        <w:t xml:space="preserve"> </w:t>
      </w:r>
      <w:r w:rsidR="00513FD2" w:rsidRPr="003F3D71">
        <w:rPr>
          <w:rFonts w:cs="Arial"/>
          <w:sz w:val="20"/>
        </w:rPr>
        <w:t>NHHA statements of assurance, submitted to the relevant state or territory minister.</w:t>
      </w:r>
    </w:p>
    <w:tbl>
      <w:tblPr>
        <w:tblStyle w:val="TableGrid39"/>
        <w:tblW w:w="5000" w:type="pct"/>
        <w:jc w:val="center"/>
        <w:tblLook w:val="04A0" w:firstRow="1" w:lastRow="0" w:firstColumn="1" w:lastColumn="0" w:noHBand="0" w:noVBand="1"/>
        <w:tblCaption w:val="4.1.1 performance measure and target"/>
        <w:tblDescription w:val="Table outlines the targeted number of social housing dwellings delivered across 2022-23, 2023-24, 2024-25 and 2025-26"/>
      </w:tblPr>
      <w:tblGrid>
        <w:gridCol w:w="4056"/>
        <w:gridCol w:w="1623"/>
        <w:gridCol w:w="1317"/>
        <w:gridCol w:w="1317"/>
        <w:gridCol w:w="1315"/>
      </w:tblGrid>
      <w:tr w:rsidR="00513FD2" w:rsidRPr="003F3D71" w:rsidTr="005B200F">
        <w:trPr>
          <w:cantSplit/>
          <w:trHeight w:val="356"/>
          <w:tblHeader/>
          <w:jc w:val="center"/>
        </w:trPr>
        <w:tc>
          <w:tcPr>
            <w:tcW w:w="5000" w:type="pct"/>
            <w:gridSpan w:val="5"/>
            <w:shd w:val="clear" w:color="auto" w:fill="D9D9D6"/>
          </w:tcPr>
          <w:p w:rsidR="00513FD2" w:rsidRPr="003F3D71" w:rsidRDefault="00513FD2" w:rsidP="00513FD2">
            <w:pPr>
              <w:spacing w:before="120" w:after="120" w:line="259" w:lineRule="auto"/>
              <w:rPr>
                <w:rFonts w:cs="Arial"/>
                <w:b/>
                <w:sz w:val="20"/>
              </w:rPr>
            </w:pPr>
            <w:r w:rsidRPr="003F3D71">
              <w:rPr>
                <w:rFonts w:cs="Arial"/>
                <w:b/>
                <w:sz w:val="20"/>
              </w:rPr>
              <w:t>Performance Measure</w:t>
            </w:r>
          </w:p>
        </w:tc>
      </w:tr>
      <w:tr w:rsidR="00513FD2" w:rsidRPr="003F3D71" w:rsidTr="00513FD2">
        <w:trPr>
          <w:cantSplit/>
          <w:trHeight w:val="356"/>
          <w:jc w:val="center"/>
        </w:trPr>
        <w:tc>
          <w:tcPr>
            <w:tcW w:w="5000" w:type="pct"/>
            <w:gridSpan w:val="5"/>
            <w:shd w:val="clear" w:color="auto" w:fill="auto"/>
          </w:tcPr>
          <w:p w:rsidR="00513FD2" w:rsidRPr="003F3D71" w:rsidRDefault="00513FD2" w:rsidP="00513FD2">
            <w:pPr>
              <w:spacing w:before="120" w:after="120" w:line="259" w:lineRule="auto"/>
              <w:rPr>
                <w:rFonts w:cs="Arial"/>
                <w:sz w:val="20"/>
              </w:rPr>
            </w:pPr>
            <w:r w:rsidRPr="003F3D71">
              <w:rPr>
                <w:rFonts w:cs="Arial"/>
                <w:sz w:val="20"/>
              </w:rPr>
              <w:t>4.1.1-2 National reporting by states and territories on the number of dwellings for social housing and the number of specialist homelessness services delivered.</w:t>
            </w:r>
          </w:p>
        </w:tc>
      </w:tr>
      <w:tr w:rsidR="00513FD2" w:rsidRPr="003F3D71" w:rsidTr="00513FD2">
        <w:trPr>
          <w:cantSplit/>
          <w:trHeight w:val="356"/>
          <w:jc w:val="center"/>
        </w:trPr>
        <w:tc>
          <w:tcPr>
            <w:tcW w:w="2106" w:type="pct"/>
            <w:shd w:val="clear" w:color="auto" w:fill="D9D9D6"/>
          </w:tcPr>
          <w:p w:rsidR="00513FD2" w:rsidRPr="003F3D71" w:rsidRDefault="00513FD2" w:rsidP="00513FD2">
            <w:pPr>
              <w:spacing w:before="120" w:after="120" w:line="259" w:lineRule="auto"/>
              <w:rPr>
                <w:rFonts w:cs="Arial"/>
                <w:sz w:val="20"/>
              </w:rPr>
            </w:pPr>
            <w:r w:rsidRPr="003F3D71">
              <w:rPr>
                <w:rFonts w:cs="Arial"/>
                <w:b/>
                <w:sz w:val="20"/>
              </w:rPr>
              <w:t>Target</w:t>
            </w:r>
          </w:p>
        </w:tc>
        <w:tc>
          <w:tcPr>
            <w:tcW w:w="843" w:type="pct"/>
            <w:shd w:val="clear" w:color="auto" w:fill="D9D9D6"/>
          </w:tcPr>
          <w:p w:rsidR="00513FD2" w:rsidRPr="003F3D71" w:rsidRDefault="00513FD2" w:rsidP="00513FD2">
            <w:pPr>
              <w:spacing w:before="120" w:after="120" w:line="259" w:lineRule="auto"/>
              <w:rPr>
                <w:rFonts w:cs="Arial"/>
                <w:b/>
                <w:sz w:val="20"/>
              </w:rPr>
            </w:pPr>
            <w:r w:rsidRPr="003F3D71">
              <w:rPr>
                <w:rFonts w:cs="Arial"/>
                <w:b/>
                <w:sz w:val="20"/>
              </w:rPr>
              <w:t>2022–23</w:t>
            </w:r>
          </w:p>
        </w:tc>
        <w:tc>
          <w:tcPr>
            <w:tcW w:w="684" w:type="pct"/>
            <w:shd w:val="clear" w:color="auto" w:fill="D9D9D6"/>
          </w:tcPr>
          <w:p w:rsidR="00513FD2" w:rsidRPr="003F3D71" w:rsidRDefault="00513FD2" w:rsidP="00513FD2">
            <w:pPr>
              <w:spacing w:before="120" w:after="120" w:line="259" w:lineRule="auto"/>
              <w:rPr>
                <w:rFonts w:cs="Arial"/>
                <w:b/>
                <w:sz w:val="20"/>
              </w:rPr>
            </w:pPr>
            <w:r w:rsidRPr="003F3D71">
              <w:rPr>
                <w:rFonts w:cs="Arial"/>
                <w:b/>
                <w:sz w:val="20"/>
              </w:rPr>
              <w:t>2023–24</w:t>
            </w:r>
          </w:p>
        </w:tc>
        <w:tc>
          <w:tcPr>
            <w:tcW w:w="684" w:type="pct"/>
            <w:shd w:val="clear" w:color="auto" w:fill="D9D9D6"/>
          </w:tcPr>
          <w:p w:rsidR="00513FD2" w:rsidRPr="003F3D71" w:rsidRDefault="00513FD2" w:rsidP="00513FD2">
            <w:pPr>
              <w:spacing w:before="120" w:after="120" w:line="259" w:lineRule="auto"/>
              <w:rPr>
                <w:rFonts w:cs="Arial"/>
                <w:b/>
                <w:sz w:val="20"/>
              </w:rPr>
            </w:pPr>
            <w:r w:rsidRPr="003F3D71">
              <w:rPr>
                <w:rFonts w:cs="Arial"/>
                <w:b/>
                <w:sz w:val="20"/>
              </w:rPr>
              <w:t>2024–25</w:t>
            </w:r>
          </w:p>
        </w:tc>
        <w:tc>
          <w:tcPr>
            <w:tcW w:w="684" w:type="pct"/>
            <w:shd w:val="clear" w:color="auto" w:fill="D9D9D6"/>
          </w:tcPr>
          <w:p w:rsidR="00513FD2" w:rsidRPr="003F3D71" w:rsidRDefault="00513FD2" w:rsidP="00513FD2">
            <w:pPr>
              <w:spacing w:before="120" w:after="120" w:line="259" w:lineRule="auto"/>
              <w:rPr>
                <w:rFonts w:cs="Arial"/>
                <w:b/>
                <w:sz w:val="20"/>
              </w:rPr>
            </w:pPr>
            <w:r w:rsidRPr="003F3D71">
              <w:rPr>
                <w:rFonts w:cs="Arial"/>
                <w:b/>
                <w:sz w:val="20"/>
              </w:rPr>
              <w:t>2025–26</w:t>
            </w:r>
          </w:p>
        </w:tc>
      </w:tr>
      <w:tr w:rsidR="00513FD2" w:rsidRPr="003F3D71" w:rsidTr="00513FD2">
        <w:trPr>
          <w:cantSplit/>
          <w:trHeight w:val="356"/>
          <w:jc w:val="center"/>
        </w:trPr>
        <w:tc>
          <w:tcPr>
            <w:tcW w:w="2106" w:type="pct"/>
            <w:shd w:val="clear" w:color="auto" w:fill="FFFFFF" w:themeFill="background1"/>
          </w:tcPr>
          <w:p w:rsidR="00513FD2" w:rsidRPr="003F3D71" w:rsidRDefault="00513FD2" w:rsidP="00513FD2">
            <w:pPr>
              <w:keepLines/>
              <w:pBdr>
                <w:top w:val="nil"/>
                <w:left w:val="nil"/>
                <w:bottom w:val="nil"/>
                <w:right w:val="nil"/>
                <w:between w:val="nil"/>
                <w:bar w:val="nil"/>
              </w:pBdr>
              <w:spacing w:before="120" w:after="120" w:line="259" w:lineRule="auto"/>
              <w:rPr>
                <w:rFonts w:cs="Arial"/>
                <w:sz w:val="20"/>
              </w:rPr>
            </w:pPr>
            <w:r w:rsidRPr="003F3D71">
              <w:rPr>
                <w:rFonts w:cs="Arial"/>
                <w:sz w:val="20"/>
              </w:rPr>
              <w:sym w:font="Wingdings" w:char="F074"/>
            </w:r>
            <w:r w:rsidRPr="003F3D71">
              <w:rPr>
                <w:rFonts w:cs="Arial"/>
                <w:sz w:val="20"/>
              </w:rPr>
              <w:t xml:space="preserve"> 4.1.1-2A - States and territories report on the number of dwellings for social housing and the number of specialist homelessness services delivered.</w:t>
            </w:r>
          </w:p>
          <w:p w:rsidR="00513FD2" w:rsidRPr="003F3D71" w:rsidRDefault="00513FD2" w:rsidP="00513FD2">
            <w:pPr>
              <w:keepLines/>
              <w:pBdr>
                <w:top w:val="nil"/>
                <w:left w:val="nil"/>
                <w:bottom w:val="nil"/>
                <w:right w:val="nil"/>
                <w:between w:val="nil"/>
                <w:bar w:val="nil"/>
              </w:pBdr>
              <w:spacing w:before="120" w:after="120" w:line="259" w:lineRule="auto"/>
              <w:rPr>
                <w:rFonts w:cs="Arial"/>
                <w:sz w:val="20"/>
              </w:rPr>
            </w:pPr>
          </w:p>
          <w:p w:rsidR="00513FD2" w:rsidRPr="003F3D71" w:rsidRDefault="00513FD2" w:rsidP="00513FD2">
            <w:pPr>
              <w:keepLines/>
              <w:pBdr>
                <w:top w:val="nil"/>
                <w:left w:val="nil"/>
                <w:bottom w:val="nil"/>
                <w:right w:val="nil"/>
                <w:between w:val="nil"/>
                <w:bar w:val="nil"/>
              </w:pBdr>
              <w:spacing w:before="120" w:after="120" w:line="259" w:lineRule="auto"/>
              <w:rPr>
                <w:rFonts w:cs="Arial"/>
                <w:sz w:val="20"/>
              </w:rPr>
            </w:pPr>
            <w:r w:rsidRPr="003F3D71">
              <w:rPr>
                <w:rFonts w:cs="Arial"/>
                <w:sz w:val="20"/>
              </w:rPr>
              <w:t>* Bilateral agreements under the NHHA expire at the end of 2022-23, beyond which funding is subject to negotiation.</w:t>
            </w:r>
          </w:p>
        </w:tc>
        <w:tc>
          <w:tcPr>
            <w:tcW w:w="843" w:type="pct"/>
          </w:tcPr>
          <w:p w:rsidR="00513FD2" w:rsidRPr="003F3D71" w:rsidRDefault="00513FD2" w:rsidP="00513FD2">
            <w:pPr>
              <w:spacing w:before="120" w:after="120" w:line="259" w:lineRule="auto"/>
              <w:rPr>
                <w:rFonts w:cs="Arial"/>
                <w:sz w:val="20"/>
              </w:rPr>
            </w:pPr>
            <w:r w:rsidRPr="003F3D71">
              <w:rPr>
                <w:rFonts w:cs="Arial"/>
                <w:sz w:val="20"/>
              </w:rPr>
              <w:t>States and territories report on the number of dwellings for social housing and the number of specialist homelessness services delivered</w:t>
            </w:r>
          </w:p>
        </w:tc>
        <w:tc>
          <w:tcPr>
            <w:tcW w:w="684" w:type="pct"/>
          </w:tcPr>
          <w:p w:rsidR="00513FD2" w:rsidRPr="003F3D71" w:rsidRDefault="00513FD2" w:rsidP="00513FD2">
            <w:pPr>
              <w:spacing w:before="120" w:after="120" w:line="259" w:lineRule="auto"/>
              <w:rPr>
                <w:rFonts w:cs="Arial"/>
                <w:sz w:val="20"/>
              </w:rPr>
            </w:pPr>
            <w:r w:rsidRPr="003F3D71">
              <w:rPr>
                <w:rFonts w:cs="Arial"/>
                <w:sz w:val="20"/>
              </w:rPr>
              <w:t>To be developed*</w:t>
            </w:r>
          </w:p>
        </w:tc>
        <w:tc>
          <w:tcPr>
            <w:tcW w:w="684" w:type="pct"/>
          </w:tcPr>
          <w:p w:rsidR="00513FD2" w:rsidRPr="003F3D71" w:rsidRDefault="00513FD2" w:rsidP="00513FD2">
            <w:pPr>
              <w:spacing w:before="120" w:after="120" w:line="259" w:lineRule="auto"/>
              <w:rPr>
                <w:rFonts w:cs="Arial"/>
                <w:sz w:val="20"/>
              </w:rPr>
            </w:pPr>
            <w:r w:rsidRPr="003F3D71">
              <w:rPr>
                <w:rFonts w:cs="Arial"/>
                <w:sz w:val="20"/>
              </w:rPr>
              <w:t>To be developed*</w:t>
            </w:r>
          </w:p>
        </w:tc>
        <w:tc>
          <w:tcPr>
            <w:tcW w:w="684" w:type="pct"/>
            <w:shd w:val="clear" w:color="auto" w:fill="FFFFFF" w:themeFill="background1"/>
          </w:tcPr>
          <w:p w:rsidR="00513FD2" w:rsidRPr="003F3D71" w:rsidRDefault="00513FD2" w:rsidP="00513FD2">
            <w:pPr>
              <w:spacing w:before="120" w:after="120" w:line="259" w:lineRule="auto"/>
              <w:rPr>
                <w:rFonts w:cs="Arial"/>
                <w:sz w:val="20"/>
              </w:rPr>
            </w:pPr>
            <w:r w:rsidRPr="003F3D71">
              <w:rPr>
                <w:rFonts w:cs="Arial"/>
                <w:sz w:val="20"/>
              </w:rPr>
              <w:t>To be developed*</w:t>
            </w:r>
          </w:p>
        </w:tc>
      </w:tr>
    </w:tbl>
    <w:p w:rsidR="00FE72E0" w:rsidRDefault="00FE72E0" w:rsidP="00762037">
      <w:pPr>
        <w:spacing w:before="120" w:after="120"/>
        <w:rPr>
          <w:rFonts w:cs="Arial"/>
          <w:b/>
          <w:sz w:val="20"/>
          <w:szCs w:val="20"/>
        </w:rPr>
      </w:pPr>
    </w:p>
    <w:p w:rsidR="00513FD2" w:rsidRPr="003F3D71" w:rsidRDefault="00513FD2" w:rsidP="00513FD2">
      <w:pPr>
        <w:shd w:val="clear" w:color="auto" w:fill="FBD4B4" w:themeFill="accent6" w:themeFillTint="66"/>
        <w:spacing w:before="120" w:after="120"/>
        <w:rPr>
          <w:rFonts w:cs="Arial"/>
          <w:b/>
          <w:sz w:val="20"/>
          <w:szCs w:val="20"/>
        </w:rPr>
      </w:pPr>
      <w:r w:rsidRPr="003F3D71">
        <w:rPr>
          <w:rFonts w:cs="Arial"/>
          <w:b/>
          <w:sz w:val="20"/>
          <w:szCs w:val="20"/>
        </w:rPr>
        <w:t>Rationale</w:t>
      </w:r>
    </w:p>
    <w:p w:rsidR="00513FD2" w:rsidRPr="003F3D71" w:rsidRDefault="00513FD2" w:rsidP="00513FD2">
      <w:pPr>
        <w:spacing w:before="120" w:after="120"/>
        <w:rPr>
          <w:rFonts w:cs="Arial"/>
          <w:sz w:val="20"/>
          <w:szCs w:val="20"/>
        </w:rPr>
      </w:pPr>
      <w:r w:rsidRPr="003F3D71">
        <w:rPr>
          <w:rFonts w:cs="Arial"/>
          <w:sz w:val="20"/>
          <w:szCs w:val="20"/>
        </w:rPr>
        <w:t>As a requirement under NHHA, states and territories report their expenditure (and the number of) on social housing dwellings and the number of specialist homelessness services.</w:t>
      </w:r>
      <w:r>
        <w:rPr>
          <w:rFonts w:cs="Arial"/>
          <w:sz w:val="20"/>
          <w:szCs w:val="20"/>
        </w:rPr>
        <w:t xml:space="preserve"> </w:t>
      </w:r>
    </w:p>
    <w:p w:rsidR="00513FD2" w:rsidRPr="003F3D71" w:rsidRDefault="00513FD2" w:rsidP="00513FD2">
      <w:pPr>
        <w:spacing w:before="120" w:after="120"/>
        <w:rPr>
          <w:rFonts w:cs="Arial"/>
          <w:sz w:val="20"/>
          <w:szCs w:val="20"/>
        </w:rPr>
      </w:pPr>
      <w:r w:rsidRPr="003F3D71">
        <w:rPr>
          <w:rFonts w:cs="Arial"/>
          <w:sz w:val="20"/>
          <w:szCs w:val="20"/>
          <w:lang w:eastAsia="en-GB"/>
        </w:rPr>
        <w:t xml:space="preserve">The output target </w:t>
      </w:r>
      <w:r w:rsidRPr="003F3D71">
        <w:rPr>
          <w:rFonts w:cs="Arial"/>
          <w:sz w:val="20"/>
          <w:szCs w:val="20"/>
        </w:rPr>
        <w:t xml:space="preserve">represents a strong demonstration of outputs achieved under the measure and complements the effectiveness measure under this key activity (4.1.1-1 Standard of delivery by states and territories is in accordance with the terms and conditions and objectives of the NHHA). </w:t>
      </w:r>
    </w:p>
    <w:p w:rsidR="00513FD2" w:rsidRDefault="00513FD2" w:rsidP="00513FD2">
      <w:pPr>
        <w:spacing w:before="120" w:after="120"/>
        <w:rPr>
          <w:rFonts w:cs="Arial"/>
          <w:sz w:val="20"/>
          <w:szCs w:val="20"/>
        </w:rPr>
      </w:pPr>
      <w:r w:rsidRPr="003F3D71">
        <w:rPr>
          <w:rFonts w:cs="Arial"/>
          <w:sz w:val="20"/>
          <w:szCs w:val="20"/>
        </w:rPr>
        <w:t>The target demonstrates the measurable result for the financial year as part of the larger strategy towards improving housing affordability, supporting social housing for individuals and preventing and addressing homelessness by providing targeted supports.</w:t>
      </w:r>
    </w:p>
    <w:p w:rsidR="00001B01" w:rsidRDefault="00001B01">
      <w:pPr>
        <w:spacing w:before="0" w:after="160"/>
        <w:rPr>
          <w:rFonts w:cs="Arial"/>
          <w:b/>
          <w:sz w:val="20"/>
          <w:szCs w:val="20"/>
        </w:rPr>
      </w:pPr>
      <w:r>
        <w:rPr>
          <w:rFonts w:cs="Arial"/>
          <w:b/>
          <w:sz w:val="20"/>
          <w:szCs w:val="20"/>
        </w:rPr>
        <w:br w:type="page"/>
      </w:r>
    </w:p>
    <w:p w:rsidR="00513FD2" w:rsidRPr="003F3D71" w:rsidRDefault="00513FD2" w:rsidP="00513FD2">
      <w:pPr>
        <w:shd w:val="clear" w:color="auto" w:fill="FBD4B4" w:themeFill="accent6" w:themeFillTint="66"/>
        <w:spacing w:before="120" w:after="120"/>
        <w:rPr>
          <w:rFonts w:cs="Arial"/>
          <w:b/>
          <w:sz w:val="20"/>
          <w:szCs w:val="20"/>
        </w:rPr>
      </w:pPr>
      <w:r w:rsidRPr="003F3D71">
        <w:rPr>
          <w:rFonts w:cs="Arial"/>
          <w:b/>
          <w:sz w:val="20"/>
          <w:szCs w:val="20"/>
        </w:rPr>
        <w:lastRenderedPageBreak/>
        <w:t>Methodology</w:t>
      </w:r>
    </w:p>
    <w:p w:rsidR="00513FD2" w:rsidRPr="003F3D71" w:rsidRDefault="00513FD2" w:rsidP="00513FD2">
      <w:pPr>
        <w:spacing w:before="120" w:after="120"/>
        <w:rPr>
          <w:rFonts w:cs="Arial"/>
          <w:sz w:val="20"/>
          <w:szCs w:val="20"/>
        </w:rPr>
      </w:pPr>
      <w:r w:rsidRPr="003F3D71">
        <w:rPr>
          <w:rFonts w:cs="Arial"/>
          <w:sz w:val="20"/>
          <w:szCs w:val="20"/>
        </w:rPr>
        <w:t>The number of social housing dwellings by category is based on the Australian Institute of</w:t>
      </w:r>
      <w:r>
        <w:rPr>
          <w:rFonts w:cs="Arial"/>
          <w:sz w:val="20"/>
          <w:szCs w:val="20"/>
        </w:rPr>
        <w:t xml:space="preserve"> </w:t>
      </w:r>
      <w:r w:rsidRPr="003F3D71">
        <w:rPr>
          <w:rFonts w:cs="Arial"/>
          <w:sz w:val="20"/>
          <w:szCs w:val="20"/>
        </w:rPr>
        <w:t>Health and Welfare Housing Assistance in Australia report 2020 (the report is published annually</w:t>
      </w:r>
      <w:r>
        <w:rPr>
          <w:rFonts w:cs="Arial"/>
          <w:sz w:val="20"/>
          <w:szCs w:val="20"/>
        </w:rPr>
        <w:t>).</w:t>
      </w:r>
    </w:p>
    <w:p w:rsidR="00513FD2" w:rsidRPr="003F3D71" w:rsidRDefault="00513FD2" w:rsidP="00513FD2">
      <w:pPr>
        <w:spacing w:before="120" w:after="120"/>
        <w:rPr>
          <w:rFonts w:cs="Arial"/>
          <w:sz w:val="20"/>
          <w:szCs w:val="20"/>
        </w:rPr>
      </w:pPr>
      <w:r w:rsidRPr="003F3D71">
        <w:rPr>
          <w:rFonts w:cs="Arial"/>
          <w:sz w:val="20"/>
          <w:szCs w:val="20"/>
        </w:rPr>
        <w:t>The number of specialist homelessness services clients by cohort is based on the Australian</w:t>
      </w:r>
      <w:r>
        <w:rPr>
          <w:rFonts w:cs="Arial"/>
          <w:sz w:val="20"/>
          <w:szCs w:val="20"/>
        </w:rPr>
        <w:t xml:space="preserve"> </w:t>
      </w:r>
      <w:r w:rsidRPr="003F3D71">
        <w:rPr>
          <w:rFonts w:cs="Arial"/>
          <w:sz w:val="20"/>
          <w:szCs w:val="20"/>
        </w:rPr>
        <w:t>Institute of</w:t>
      </w:r>
      <w:r w:rsidR="001202B1">
        <w:rPr>
          <w:rFonts w:cs="Arial"/>
          <w:sz w:val="20"/>
          <w:szCs w:val="20"/>
        </w:rPr>
        <w:t> </w:t>
      </w:r>
      <w:r w:rsidRPr="003F3D71">
        <w:rPr>
          <w:rFonts w:cs="Arial"/>
          <w:sz w:val="20"/>
          <w:szCs w:val="20"/>
        </w:rPr>
        <w:t>Health and Welfare Specialist Home</w:t>
      </w:r>
      <w:r>
        <w:rPr>
          <w:rFonts w:cs="Arial"/>
          <w:sz w:val="20"/>
          <w:szCs w:val="20"/>
        </w:rPr>
        <w:t>lessness Service annual report.</w:t>
      </w:r>
    </w:p>
    <w:p w:rsidR="00513FD2" w:rsidRPr="003F3D71" w:rsidRDefault="00513FD2" w:rsidP="00513FD2">
      <w:pPr>
        <w:spacing w:before="120" w:after="120"/>
        <w:rPr>
          <w:rFonts w:cs="Arial"/>
          <w:b/>
          <w:sz w:val="20"/>
          <w:szCs w:val="20"/>
        </w:rPr>
      </w:pPr>
      <w:r w:rsidRPr="003F3D71">
        <w:rPr>
          <w:rFonts w:cs="Arial"/>
          <w:b/>
          <w:sz w:val="20"/>
          <w:szCs w:val="20"/>
        </w:rPr>
        <w:t>The data sources used for this calculation are:</w:t>
      </w:r>
    </w:p>
    <w:p w:rsidR="00513FD2" w:rsidRPr="003F3D71" w:rsidRDefault="001202B1" w:rsidP="00762037">
      <w:pPr>
        <w:numPr>
          <w:ilvl w:val="0"/>
          <w:numId w:val="33"/>
        </w:numPr>
        <w:spacing w:before="0" w:after="0" w:line="240" w:lineRule="auto"/>
        <w:ind w:left="714" w:hanging="357"/>
        <w:rPr>
          <w:rFonts w:cs="Arial"/>
          <w:sz w:val="20"/>
          <w:szCs w:val="20"/>
        </w:rPr>
      </w:pPr>
      <w:r>
        <w:rPr>
          <w:rFonts w:cs="Arial"/>
          <w:sz w:val="20"/>
          <w:szCs w:val="20"/>
        </w:rPr>
        <w:t>s</w:t>
      </w:r>
      <w:r w:rsidRPr="003F3D71">
        <w:rPr>
          <w:rFonts w:cs="Arial"/>
          <w:sz w:val="20"/>
          <w:szCs w:val="20"/>
        </w:rPr>
        <w:t xml:space="preserve">tate </w:t>
      </w:r>
      <w:r w:rsidR="00513FD2" w:rsidRPr="003F3D71">
        <w:rPr>
          <w:rFonts w:cs="Arial"/>
          <w:sz w:val="20"/>
          <w:szCs w:val="20"/>
        </w:rPr>
        <w:t>and territory relevant government department website where housing and homelessness strategies are published</w:t>
      </w:r>
    </w:p>
    <w:p w:rsidR="00513FD2" w:rsidRPr="003F3D71" w:rsidRDefault="00513FD2" w:rsidP="00762037">
      <w:pPr>
        <w:numPr>
          <w:ilvl w:val="0"/>
          <w:numId w:val="33"/>
        </w:numPr>
        <w:spacing w:before="0" w:after="0" w:line="240" w:lineRule="auto"/>
        <w:ind w:left="714" w:hanging="357"/>
        <w:rPr>
          <w:rFonts w:cs="Arial"/>
          <w:sz w:val="20"/>
          <w:szCs w:val="20"/>
        </w:rPr>
      </w:pPr>
      <w:r w:rsidRPr="003F3D71">
        <w:rPr>
          <w:rFonts w:cs="Arial"/>
          <w:sz w:val="20"/>
          <w:szCs w:val="20"/>
        </w:rPr>
        <w:t>the Australian Institute of Health and Welfare Housing Assistance annual report</w:t>
      </w:r>
    </w:p>
    <w:p w:rsidR="00513FD2" w:rsidRPr="003F3D71" w:rsidRDefault="00513FD2" w:rsidP="00762037">
      <w:pPr>
        <w:numPr>
          <w:ilvl w:val="0"/>
          <w:numId w:val="33"/>
        </w:numPr>
        <w:spacing w:before="0" w:after="0" w:line="240" w:lineRule="auto"/>
        <w:ind w:left="714" w:hanging="357"/>
        <w:rPr>
          <w:rFonts w:cs="Arial"/>
          <w:sz w:val="20"/>
          <w:szCs w:val="20"/>
        </w:rPr>
      </w:pPr>
      <w:r w:rsidRPr="003F3D71">
        <w:rPr>
          <w:rFonts w:cs="Arial"/>
          <w:sz w:val="20"/>
          <w:szCs w:val="20"/>
        </w:rPr>
        <w:t>the Australian Institute of Health and Welfare Specialist Homelessness Services annual report</w:t>
      </w:r>
    </w:p>
    <w:p w:rsidR="00513FD2" w:rsidRPr="003F3D71" w:rsidRDefault="00513FD2" w:rsidP="00762037">
      <w:pPr>
        <w:numPr>
          <w:ilvl w:val="0"/>
          <w:numId w:val="33"/>
        </w:numPr>
        <w:spacing w:before="0" w:after="0" w:line="240" w:lineRule="auto"/>
        <w:ind w:left="714" w:hanging="357"/>
        <w:rPr>
          <w:rFonts w:cs="Arial"/>
          <w:sz w:val="20"/>
          <w:szCs w:val="20"/>
        </w:rPr>
      </w:pPr>
      <w:r w:rsidRPr="003F3D71">
        <w:rPr>
          <w:rFonts w:cs="Arial"/>
          <w:sz w:val="20"/>
          <w:szCs w:val="20"/>
        </w:rPr>
        <w:t>NHHA annual statements of assurance, submitted to the department by the states and territories.</w:t>
      </w:r>
    </w:p>
    <w:p w:rsidR="00513FD2" w:rsidRPr="003F3D71" w:rsidRDefault="00513FD2" w:rsidP="00513FD2">
      <w:pPr>
        <w:spacing w:before="120" w:after="120"/>
        <w:rPr>
          <w:rFonts w:cs="Arial"/>
          <w:sz w:val="20"/>
          <w:szCs w:val="20"/>
        </w:rPr>
      </w:pPr>
      <w:r w:rsidRPr="003F3D71">
        <w:rPr>
          <w:rFonts w:cs="Arial"/>
          <w:sz w:val="20"/>
          <w:szCs w:val="20"/>
        </w:rPr>
        <w:br w:type="page"/>
      </w:r>
    </w:p>
    <w:p w:rsidR="00513FD2" w:rsidRPr="003F3D71" w:rsidRDefault="00513FD2" w:rsidP="00513FD2">
      <w:pPr>
        <w:shd w:val="clear" w:color="auto" w:fill="A6192E"/>
        <w:spacing w:before="120" w:after="120"/>
        <w:rPr>
          <w:rFonts w:cs="Arial"/>
          <w:b/>
          <w:color w:val="FFFFFF" w:themeColor="background1"/>
          <w:sz w:val="20"/>
          <w:szCs w:val="20"/>
        </w:rPr>
      </w:pPr>
      <w:r w:rsidRPr="003F3D71">
        <w:rPr>
          <w:rFonts w:cs="Arial"/>
          <w:b/>
          <w:color w:val="FFFFFF" w:themeColor="background1"/>
          <w:sz w:val="20"/>
          <w:szCs w:val="20"/>
        </w:rPr>
        <w:lastRenderedPageBreak/>
        <w:t xml:space="preserve">Program 4.2 Affordable Housing </w:t>
      </w:r>
    </w:p>
    <w:p w:rsidR="00513FD2" w:rsidRPr="003F3D71" w:rsidRDefault="00513FD2" w:rsidP="00513FD2">
      <w:pPr>
        <w:shd w:val="clear" w:color="auto" w:fill="A6192E"/>
        <w:spacing w:before="120" w:after="120"/>
        <w:rPr>
          <w:rFonts w:cs="Arial"/>
          <w:sz w:val="20"/>
          <w:szCs w:val="20"/>
        </w:rPr>
      </w:pPr>
      <w:r w:rsidRPr="003F3D71">
        <w:rPr>
          <w:rFonts w:cs="Arial"/>
          <w:color w:val="FFFFFF" w:themeColor="background1"/>
          <w:sz w:val="20"/>
          <w:szCs w:val="20"/>
        </w:rPr>
        <w:t>This program aims to improve the supply of affordable rental housing to low and moderate income households</w:t>
      </w:r>
      <w:r w:rsidRPr="003F3D71">
        <w:rPr>
          <w:rFonts w:cs="Arial"/>
          <w:sz w:val="20"/>
          <w:szCs w:val="20"/>
        </w:rPr>
        <w:t>.</w:t>
      </w:r>
    </w:p>
    <w:p w:rsidR="00513FD2" w:rsidRPr="003F3D71" w:rsidRDefault="00513FD2" w:rsidP="00513FD2">
      <w:pPr>
        <w:shd w:val="clear" w:color="auto" w:fill="FBD4B4" w:themeFill="accent6" w:themeFillTint="66"/>
        <w:spacing w:before="120" w:after="120"/>
        <w:rPr>
          <w:rFonts w:cs="Arial"/>
          <w:b/>
          <w:sz w:val="20"/>
          <w:szCs w:val="20"/>
        </w:rPr>
      </w:pPr>
      <w:r w:rsidRPr="003F3D71">
        <w:rPr>
          <w:rFonts w:cs="Arial"/>
          <w:b/>
          <w:sz w:val="20"/>
          <w:szCs w:val="20"/>
        </w:rPr>
        <w:t>Key Activity — 4.2.1 National Rental Affordability Scheme (NRAS)</w:t>
      </w:r>
    </w:p>
    <w:p w:rsidR="00513FD2" w:rsidRPr="003F3D71" w:rsidRDefault="00513FD2" w:rsidP="00513FD2">
      <w:pPr>
        <w:spacing w:before="120" w:after="120"/>
        <w:rPr>
          <w:rFonts w:cs="Arial"/>
          <w:sz w:val="20"/>
          <w:szCs w:val="20"/>
        </w:rPr>
      </w:pPr>
      <w:r w:rsidRPr="003F3D71">
        <w:rPr>
          <w:rFonts w:cs="Arial"/>
          <w:sz w:val="20"/>
          <w:szCs w:val="20"/>
        </w:rPr>
        <w:t xml:space="preserve">The National Rental Affordability Scheme (NRAS, the Scheme) is a key activity of the Affordable Housing Program. The Scheme aims to provide support and services to increase the supply of affordable rental dwellings and encourage institutional investment in affordable and innovative housing. The Scheme, which commenced in 2008, provides an annual, retrospective financial incentive each year for up to 10 years for approved participants who rent dwellings to eligible </w:t>
      </w:r>
      <w:r w:rsidRPr="003F3D71">
        <w:rPr>
          <w:rFonts w:cs="Arial"/>
          <w:b/>
          <w:sz w:val="20"/>
          <w:szCs w:val="20"/>
        </w:rPr>
        <w:t>people on low to moderate incomes</w:t>
      </w:r>
      <w:r w:rsidRPr="003F3D71">
        <w:rPr>
          <w:rFonts w:cs="Arial"/>
          <w:sz w:val="20"/>
          <w:szCs w:val="20"/>
        </w:rPr>
        <w:t xml:space="preserve"> at a rate at least 20</w:t>
      </w:r>
      <w:r w:rsidR="00181BA8">
        <w:rPr>
          <w:rFonts w:cs="Arial"/>
          <w:sz w:val="20"/>
          <w:szCs w:val="20"/>
        </w:rPr>
        <w:t>%</w:t>
      </w:r>
      <w:r w:rsidRPr="003F3D71">
        <w:rPr>
          <w:rFonts w:cs="Arial"/>
          <w:sz w:val="20"/>
          <w:szCs w:val="20"/>
        </w:rPr>
        <w:t xml:space="preserve"> below market rent. </w:t>
      </w:r>
    </w:p>
    <w:p w:rsidR="00513FD2" w:rsidRPr="003F3D71" w:rsidRDefault="00513FD2" w:rsidP="00513FD2">
      <w:pPr>
        <w:spacing w:before="120" w:after="120"/>
        <w:rPr>
          <w:rFonts w:cs="Arial"/>
          <w:sz w:val="20"/>
          <w:szCs w:val="20"/>
        </w:rPr>
      </w:pPr>
      <w:r w:rsidRPr="003F3D71">
        <w:rPr>
          <w:rFonts w:cs="Arial"/>
          <w:sz w:val="20"/>
          <w:szCs w:val="20"/>
        </w:rPr>
        <w:t>Under NRAS, the Australian Government in conjunction with the states and territories is providing financial incentives to:</w:t>
      </w:r>
    </w:p>
    <w:p w:rsidR="00513FD2" w:rsidRPr="003F3D71" w:rsidRDefault="00513FD2" w:rsidP="00762037">
      <w:pPr>
        <w:numPr>
          <w:ilvl w:val="0"/>
          <w:numId w:val="36"/>
        </w:numPr>
        <w:spacing w:before="0" w:after="0" w:line="240" w:lineRule="auto"/>
        <w:ind w:left="641" w:hanging="284"/>
        <w:rPr>
          <w:rFonts w:cs="Arial"/>
          <w:sz w:val="20"/>
          <w:szCs w:val="20"/>
        </w:rPr>
      </w:pPr>
      <w:r w:rsidRPr="003F3D71">
        <w:rPr>
          <w:rFonts w:cs="Arial"/>
          <w:sz w:val="20"/>
          <w:szCs w:val="20"/>
        </w:rPr>
        <w:t>increase the supply of affordable rental housing</w:t>
      </w:r>
    </w:p>
    <w:p w:rsidR="00513FD2" w:rsidRPr="003F3D71" w:rsidRDefault="00513FD2" w:rsidP="00762037">
      <w:pPr>
        <w:numPr>
          <w:ilvl w:val="0"/>
          <w:numId w:val="36"/>
        </w:numPr>
        <w:spacing w:before="0" w:after="0" w:line="240" w:lineRule="auto"/>
        <w:ind w:left="641" w:hanging="284"/>
        <w:rPr>
          <w:rFonts w:cs="Arial"/>
          <w:sz w:val="20"/>
          <w:szCs w:val="20"/>
        </w:rPr>
      </w:pPr>
      <w:r w:rsidRPr="003F3D71">
        <w:rPr>
          <w:rFonts w:cs="Arial"/>
          <w:sz w:val="20"/>
          <w:szCs w:val="20"/>
        </w:rPr>
        <w:t>reduce the rental costs for low to moderate income households</w:t>
      </w:r>
    </w:p>
    <w:p w:rsidR="00513FD2" w:rsidRPr="003F3D71" w:rsidRDefault="00513FD2" w:rsidP="00762037">
      <w:pPr>
        <w:numPr>
          <w:ilvl w:val="0"/>
          <w:numId w:val="36"/>
        </w:numPr>
        <w:spacing w:before="0" w:after="0" w:line="240" w:lineRule="auto"/>
        <w:ind w:left="641" w:hanging="284"/>
        <w:rPr>
          <w:rFonts w:cs="Arial"/>
          <w:sz w:val="20"/>
          <w:szCs w:val="20"/>
        </w:rPr>
      </w:pPr>
      <w:r w:rsidRPr="003F3D71">
        <w:rPr>
          <w:rFonts w:cs="Arial"/>
          <w:sz w:val="20"/>
          <w:szCs w:val="20"/>
        </w:rPr>
        <w:t>encourage the large-scale investment and innovative delivery of affordable rental housing.</w:t>
      </w:r>
    </w:p>
    <w:p w:rsidR="00513FD2" w:rsidRPr="003F3D71" w:rsidRDefault="00513FD2" w:rsidP="00513FD2">
      <w:pPr>
        <w:spacing w:before="120" w:after="120"/>
        <w:rPr>
          <w:rFonts w:cs="Arial"/>
          <w:sz w:val="20"/>
          <w:szCs w:val="20"/>
        </w:rPr>
      </w:pPr>
      <w:r w:rsidRPr="003F3D71">
        <w:rPr>
          <w:rFonts w:cs="Arial"/>
          <w:sz w:val="20"/>
          <w:szCs w:val="20"/>
        </w:rPr>
        <w:t>As announced in the 2014–15 Budget, there will be no further funding rounds or new allocations of NRAS incentives beyond those allocated in the Scheme and held by approved participants.</w:t>
      </w:r>
    </w:p>
    <w:p w:rsidR="00513FD2" w:rsidRPr="003F3D71" w:rsidRDefault="00513FD2" w:rsidP="00513FD2">
      <w:pPr>
        <w:spacing w:before="120" w:after="120"/>
        <w:rPr>
          <w:rFonts w:cs="Arial"/>
          <w:sz w:val="20"/>
          <w:szCs w:val="20"/>
        </w:rPr>
      </w:pPr>
      <w:r w:rsidRPr="000071B1">
        <w:rPr>
          <w:rFonts w:cs="Arial"/>
          <w:b/>
          <w:sz w:val="20"/>
          <w:szCs w:val="20"/>
        </w:rPr>
        <w:t>The department’s</w:t>
      </w:r>
      <w:r w:rsidRPr="003F3D71">
        <w:rPr>
          <w:rFonts w:cs="Arial"/>
          <w:sz w:val="20"/>
          <w:szCs w:val="20"/>
        </w:rPr>
        <w:t xml:space="preserve"> role is to:</w:t>
      </w:r>
    </w:p>
    <w:p w:rsidR="00513FD2" w:rsidRPr="003F3D71" w:rsidRDefault="00513FD2" w:rsidP="00762037">
      <w:pPr>
        <w:numPr>
          <w:ilvl w:val="0"/>
          <w:numId w:val="37"/>
        </w:numPr>
        <w:spacing w:before="0" w:after="0" w:line="240" w:lineRule="auto"/>
        <w:ind w:left="641" w:hanging="284"/>
        <w:rPr>
          <w:rFonts w:cs="Arial"/>
          <w:sz w:val="20"/>
          <w:szCs w:val="20"/>
        </w:rPr>
      </w:pPr>
      <w:r w:rsidRPr="003F3D71">
        <w:rPr>
          <w:rFonts w:cs="Arial"/>
          <w:sz w:val="20"/>
          <w:szCs w:val="20"/>
        </w:rPr>
        <w:t>administer the NRAS legislative framework</w:t>
      </w:r>
    </w:p>
    <w:p w:rsidR="00513FD2" w:rsidRPr="003F3D71" w:rsidRDefault="00513FD2" w:rsidP="00762037">
      <w:pPr>
        <w:numPr>
          <w:ilvl w:val="0"/>
          <w:numId w:val="37"/>
        </w:numPr>
        <w:spacing w:before="0" w:after="0" w:line="240" w:lineRule="auto"/>
        <w:ind w:left="641" w:hanging="284"/>
        <w:rPr>
          <w:rFonts w:cs="Arial"/>
          <w:sz w:val="20"/>
          <w:szCs w:val="20"/>
        </w:rPr>
      </w:pPr>
      <w:r w:rsidRPr="003F3D71">
        <w:rPr>
          <w:rFonts w:cs="Arial"/>
          <w:sz w:val="20"/>
          <w:szCs w:val="20"/>
        </w:rPr>
        <w:t>process statements of compliance for rental dwellings and calculate and distribute financial incentives, including issuing cash incentives</w:t>
      </w:r>
    </w:p>
    <w:p w:rsidR="00513FD2" w:rsidRPr="003F3D71" w:rsidRDefault="00513FD2" w:rsidP="00762037">
      <w:pPr>
        <w:numPr>
          <w:ilvl w:val="0"/>
          <w:numId w:val="37"/>
        </w:numPr>
        <w:spacing w:before="0" w:after="0" w:line="240" w:lineRule="auto"/>
        <w:ind w:left="641" w:hanging="284"/>
        <w:rPr>
          <w:rFonts w:cs="Arial"/>
          <w:sz w:val="20"/>
          <w:szCs w:val="20"/>
        </w:rPr>
      </w:pPr>
      <w:r w:rsidRPr="003F3D71">
        <w:rPr>
          <w:rFonts w:cs="Arial"/>
          <w:sz w:val="20"/>
          <w:szCs w:val="20"/>
        </w:rPr>
        <w:t>make decisions on the transfer of NRAS dwellings between approved participants or to another rental dwelling</w:t>
      </w:r>
    </w:p>
    <w:p w:rsidR="00513FD2" w:rsidRPr="003F3D71" w:rsidRDefault="00513FD2" w:rsidP="00762037">
      <w:pPr>
        <w:numPr>
          <w:ilvl w:val="0"/>
          <w:numId w:val="37"/>
        </w:numPr>
        <w:spacing w:before="0" w:after="0" w:line="240" w:lineRule="auto"/>
        <w:ind w:left="641" w:hanging="284"/>
        <w:rPr>
          <w:rFonts w:cs="Arial"/>
          <w:sz w:val="20"/>
          <w:szCs w:val="20"/>
        </w:rPr>
      </w:pPr>
      <w:r w:rsidRPr="003F3D71">
        <w:rPr>
          <w:rFonts w:cs="Arial"/>
          <w:sz w:val="20"/>
          <w:szCs w:val="20"/>
        </w:rPr>
        <w:t>publish and maintain guidelines for NRAS stakeholders, including guidance on regulatory and administrative requirements.</w:t>
      </w:r>
    </w:p>
    <w:p w:rsidR="00513FD2" w:rsidRPr="003F3D71" w:rsidRDefault="00513FD2" w:rsidP="00513FD2">
      <w:pPr>
        <w:spacing w:before="120" w:after="120"/>
        <w:rPr>
          <w:rFonts w:cs="Arial"/>
          <w:sz w:val="20"/>
          <w:szCs w:val="20"/>
        </w:rPr>
      </w:pPr>
      <w:r w:rsidRPr="003F3D71">
        <w:rPr>
          <w:rFonts w:cs="Arial"/>
          <w:b/>
          <w:sz w:val="20"/>
          <w:szCs w:val="20"/>
        </w:rPr>
        <w:t>The states’ and territories’</w:t>
      </w:r>
      <w:r w:rsidRPr="003F3D71">
        <w:rPr>
          <w:rFonts w:cs="Arial"/>
          <w:sz w:val="20"/>
          <w:szCs w:val="20"/>
        </w:rPr>
        <w:t xml:space="preserve"> role is to:</w:t>
      </w:r>
    </w:p>
    <w:p w:rsidR="00513FD2" w:rsidRPr="003F3D71" w:rsidRDefault="00513FD2" w:rsidP="00E211B3">
      <w:pPr>
        <w:numPr>
          <w:ilvl w:val="0"/>
          <w:numId w:val="38"/>
        </w:numPr>
        <w:spacing w:before="120" w:after="120"/>
        <w:ind w:left="641" w:hanging="284"/>
        <w:rPr>
          <w:rFonts w:cs="Arial"/>
          <w:sz w:val="20"/>
          <w:szCs w:val="20"/>
        </w:rPr>
      </w:pPr>
      <w:r w:rsidRPr="003F3D71">
        <w:rPr>
          <w:rFonts w:cs="Arial"/>
          <w:sz w:val="20"/>
          <w:szCs w:val="20"/>
        </w:rPr>
        <w:t>promote investment in affordable housing via financial incentives.</w:t>
      </w:r>
    </w:p>
    <w:p w:rsidR="00513FD2" w:rsidRPr="003F3D71" w:rsidRDefault="00513FD2" w:rsidP="00513FD2">
      <w:pPr>
        <w:spacing w:before="120" w:after="120"/>
        <w:rPr>
          <w:rFonts w:cs="Arial"/>
          <w:sz w:val="20"/>
          <w:szCs w:val="20"/>
        </w:rPr>
      </w:pPr>
      <w:r w:rsidRPr="003F3D71">
        <w:rPr>
          <w:rFonts w:cs="Arial"/>
          <w:b/>
          <w:sz w:val="20"/>
          <w:szCs w:val="20"/>
        </w:rPr>
        <w:t xml:space="preserve">The Australian Taxation Office’s </w:t>
      </w:r>
      <w:r w:rsidRPr="003F3D71">
        <w:rPr>
          <w:rFonts w:cs="Arial"/>
          <w:sz w:val="20"/>
          <w:szCs w:val="20"/>
        </w:rPr>
        <w:t>role is to:</w:t>
      </w:r>
    </w:p>
    <w:p w:rsidR="00513FD2" w:rsidRPr="003F3D71" w:rsidRDefault="00513FD2" w:rsidP="00762037">
      <w:pPr>
        <w:numPr>
          <w:ilvl w:val="0"/>
          <w:numId w:val="38"/>
        </w:numPr>
        <w:spacing w:before="0" w:after="0"/>
        <w:ind w:left="641" w:hanging="284"/>
        <w:rPr>
          <w:rFonts w:cs="Arial"/>
          <w:sz w:val="20"/>
          <w:szCs w:val="20"/>
        </w:rPr>
      </w:pPr>
      <w:r w:rsidRPr="003F3D71">
        <w:rPr>
          <w:rFonts w:cs="Arial"/>
          <w:sz w:val="20"/>
          <w:szCs w:val="20"/>
        </w:rPr>
        <w:t>issue refundable tax offset certificates to approved participants</w:t>
      </w:r>
    </w:p>
    <w:p w:rsidR="00513FD2" w:rsidRPr="003F3D71" w:rsidRDefault="00513FD2" w:rsidP="00762037">
      <w:pPr>
        <w:numPr>
          <w:ilvl w:val="0"/>
          <w:numId w:val="38"/>
        </w:numPr>
        <w:spacing w:before="0" w:after="0"/>
        <w:ind w:left="641" w:hanging="284"/>
        <w:rPr>
          <w:rFonts w:cs="Arial"/>
          <w:sz w:val="20"/>
          <w:szCs w:val="20"/>
        </w:rPr>
      </w:pPr>
      <w:r w:rsidRPr="003F3D71">
        <w:rPr>
          <w:rFonts w:cs="Arial"/>
          <w:sz w:val="20"/>
          <w:szCs w:val="20"/>
        </w:rPr>
        <w:t>issue tax refunds to approved participants / investors.</w:t>
      </w:r>
    </w:p>
    <w:tbl>
      <w:tblPr>
        <w:tblStyle w:val="TableGrid39"/>
        <w:tblW w:w="5003" w:type="pct"/>
        <w:jc w:val="center"/>
        <w:tblLook w:val="04A0" w:firstRow="1" w:lastRow="0" w:firstColumn="1" w:lastColumn="0" w:noHBand="0" w:noVBand="1"/>
        <w:tblCaption w:val="4.2.1 performance measure and target"/>
        <w:tblDescription w:val="Table outlines the targeted delivery and legislation compliance percentages across 2022-23, 2023-24, 2024-25 and 2025-26"/>
      </w:tblPr>
      <w:tblGrid>
        <w:gridCol w:w="4688"/>
        <w:gridCol w:w="1362"/>
        <w:gridCol w:w="1212"/>
        <w:gridCol w:w="1210"/>
        <w:gridCol w:w="1162"/>
      </w:tblGrid>
      <w:tr w:rsidR="00513FD2" w:rsidRPr="003F3D71" w:rsidTr="005B200F">
        <w:trPr>
          <w:cantSplit/>
          <w:trHeight w:val="356"/>
          <w:tblHeader/>
          <w:jc w:val="center"/>
        </w:trPr>
        <w:tc>
          <w:tcPr>
            <w:tcW w:w="5000" w:type="pct"/>
            <w:gridSpan w:val="5"/>
            <w:shd w:val="clear" w:color="auto" w:fill="D9D9D6"/>
          </w:tcPr>
          <w:p w:rsidR="00513FD2" w:rsidRPr="003F3D71" w:rsidRDefault="00513FD2" w:rsidP="00513FD2">
            <w:pPr>
              <w:spacing w:before="120" w:after="120" w:line="259" w:lineRule="auto"/>
              <w:rPr>
                <w:rFonts w:cs="Arial"/>
                <w:sz w:val="20"/>
              </w:rPr>
            </w:pPr>
            <w:r w:rsidRPr="003F3D71">
              <w:rPr>
                <w:rFonts w:cs="Arial"/>
                <w:b/>
                <w:sz w:val="20"/>
              </w:rPr>
              <w:t>Performance Measure</w:t>
            </w:r>
          </w:p>
        </w:tc>
      </w:tr>
      <w:tr w:rsidR="00513FD2" w:rsidRPr="003F3D71" w:rsidTr="00513FD2">
        <w:trPr>
          <w:cantSplit/>
          <w:trHeight w:val="356"/>
          <w:jc w:val="center"/>
        </w:trPr>
        <w:tc>
          <w:tcPr>
            <w:tcW w:w="5000" w:type="pct"/>
            <w:gridSpan w:val="5"/>
            <w:shd w:val="clear" w:color="auto" w:fill="auto"/>
          </w:tcPr>
          <w:p w:rsidR="00513FD2" w:rsidRPr="003F3D71" w:rsidRDefault="00513FD2" w:rsidP="00513FD2">
            <w:pPr>
              <w:spacing w:before="120" w:after="120" w:line="259" w:lineRule="auto"/>
              <w:rPr>
                <w:rFonts w:cs="Arial"/>
                <w:sz w:val="20"/>
              </w:rPr>
            </w:pPr>
            <w:r w:rsidRPr="003F3D71">
              <w:rPr>
                <w:rFonts w:cs="Arial"/>
                <w:sz w:val="20"/>
              </w:rPr>
              <w:t>4.2.1-1 Delivery complies with relevant legislation to ensure that incentives are issued accurately to approved participants.</w:t>
            </w:r>
          </w:p>
        </w:tc>
      </w:tr>
      <w:tr w:rsidR="00513FD2" w:rsidRPr="003F3D71" w:rsidTr="00513FD2">
        <w:trPr>
          <w:cantSplit/>
          <w:trHeight w:val="356"/>
          <w:jc w:val="center"/>
        </w:trPr>
        <w:tc>
          <w:tcPr>
            <w:tcW w:w="2433" w:type="pct"/>
            <w:shd w:val="clear" w:color="auto" w:fill="D9D9D6"/>
          </w:tcPr>
          <w:p w:rsidR="00513FD2" w:rsidRPr="003F3D71" w:rsidRDefault="00513FD2" w:rsidP="00513FD2">
            <w:pPr>
              <w:spacing w:before="120" w:after="120" w:line="259" w:lineRule="auto"/>
              <w:rPr>
                <w:rFonts w:cs="Arial"/>
                <w:sz w:val="20"/>
              </w:rPr>
            </w:pPr>
            <w:r w:rsidRPr="003F3D71">
              <w:rPr>
                <w:rFonts w:cs="Arial"/>
                <w:b/>
                <w:sz w:val="20"/>
              </w:rPr>
              <w:t>Target</w:t>
            </w:r>
          </w:p>
        </w:tc>
        <w:tc>
          <w:tcPr>
            <w:tcW w:w="707" w:type="pct"/>
            <w:shd w:val="clear" w:color="auto" w:fill="D9D9D6"/>
          </w:tcPr>
          <w:p w:rsidR="00513FD2" w:rsidRPr="003F3D71" w:rsidRDefault="00513FD2" w:rsidP="00513FD2">
            <w:pPr>
              <w:spacing w:before="120" w:after="120" w:line="259" w:lineRule="auto"/>
              <w:rPr>
                <w:rFonts w:cs="Arial"/>
                <w:b/>
                <w:sz w:val="20"/>
              </w:rPr>
            </w:pPr>
            <w:r w:rsidRPr="003F3D71">
              <w:rPr>
                <w:rFonts w:cs="Arial"/>
                <w:b/>
                <w:sz w:val="20"/>
              </w:rPr>
              <w:t>2022–23</w:t>
            </w:r>
          </w:p>
        </w:tc>
        <w:tc>
          <w:tcPr>
            <w:tcW w:w="629" w:type="pct"/>
            <w:shd w:val="clear" w:color="auto" w:fill="D9D9D6"/>
          </w:tcPr>
          <w:p w:rsidR="00513FD2" w:rsidRPr="003F3D71" w:rsidRDefault="00513FD2" w:rsidP="00513FD2">
            <w:pPr>
              <w:spacing w:before="120" w:after="120" w:line="259" w:lineRule="auto"/>
              <w:rPr>
                <w:rFonts w:cs="Arial"/>
                <w:b/>
                <w:sz w:val="20"/>
              </w:rPr>
            </w:pPr>
            <w:r w:rsidRPr="003F3D71">
              <w:rPr>
                <w:rFonts w:cs="Arial"/>
                <w:b/>
                <w:sz w:val="20"/>
              </w:rPr>
              <w:t>2023–24</w:t>
            </w:r>
          </w:p>
        </w:tc>
        <w:tc>
          <w:tcPr>
            <w:tcW w:w="628" w:type="pct"/>
            <w:shd w:val="clear" w:color="auto" w:fill="D9D9D6"/>
          </w:tcPr>
          <w:p w:rsidR="00513FD2" w:rsidRPr="003F3D71" w:rsidRDefault="00513FD2" w:rsidP="00513FD2">
            <w:pPr>
              <w:spacing w:before="120" w:after="120" w:line="259" w:lineRule="auto"/>
              <w:rPr>
                <w:rFonts w:cs="Arial"/>
                <w:b/>
                <w:sz w:val="20"/>
              </w:rPr>
            </w:pPr>
            <w:r w:rsidRPr="003F3D71">
              <w:rPr>
                <w:rFonts w:cs="Arial"/>
                <w:b/>
                <w:sz w:val="20"/>
              </w:rPr>
              <w:t>2024–25</w:t>
            </w:r>
          </w:p>
        </w:tc>
        <w:tc>
          <w:tcPr>
            <w:tcW w:w="603" w:type="pct"/>
            <w:shd w:val="clear" w:color="auto" w:fill="D9D9D6"/>
          </w:tcPr>
          <w:p w:rsidR="00513FD2" w:rsidRPr="003F3D71" w:rsidRDefault="00513FD2" w:rsidP="00513FD2">
            <w:pPr>
              <w:spacing w:before="120" w:after="120" w:line="259" w:lineRule="auto"/>
              <w:rPr>
                <w:rFonts w:cs="Arial"/>
                <w:b/>
                <w:sz w:val="20"/>
              </w:rPr>
            </w:pPr>
            <w:r w:rsidRPr="003F3D71">
              <w:rPr>
                <w:rFonts w:cs="Arial"/>
                <w:b/>
                <w:sz w:val="20"/>
              </w:rPr>
              <w:t>2025–26</w:t>
            </w:r>
          </w:p>
        </w:tc>
      </w:tr>
      <w:tr w:rsidR="00513FD2" w:rsidRPr="003F3D71" w:rsidTr="00513FD2">
        <w:trPr>
          <w:cantSplit/>
          <w:trHeight w:val="356"/>
          <w:jc w:val="center"/>
        </w:trPr>
        <w:tc>
          <w:tcPr>
            <w:tcW w:w="2433" w:type="pct"/>
            <w:shd w:val="clear" w:color="auto" w:fill="FFFFFF" w:themeFill="background1"/>
          </w:tcPr>
          <w:p w:rsidR="00513FD2" w:rsidRPr="003F3D71" w:rsidRDefault="00513FD2" w:rsidP="00181BA8">
            <w:pPr>
              <w:spacing w:before="120" w:after="120" w:line="259" w:lineRule="auto"/>
              <w:rPr>
                <w:rFonts w:cs="Arial"/>
                <w:sz w:val="20"/>
              </w:rPr>
            </w:pPr>
            <w:r w:rsidRPr="003F3D71">
              <w:rPr>
                <w:rFonts w:cs="Arial"/>
                <w:sz w:val="20"/>
              </w:rPr>
              <w:t>4.2.1-1A - At least 90</w:t>
            </w:r>
            <w:r w:rsidR="00181BA8">
              <w:rPr>
                <w:rFonts w:cs="Arial"/>
                <w:sz w:val="20"/>
              </w:rPr>
              <w:t>%</w:t>
            </w:r>
            <w:r w:rsidRPr="003F3D71">
              <w:rPr>
                <w:rFonts w:cs="Arial"/>
                <w:sz w:val="20"/>
              </w:rPr>
              <w:t xml:space="preserve"> of statements of compliance are processed within 60 days.</w:t>
            </w:r>
          </w:p>
        </w:tc>
        <w:tc>
          <w:tcPr>
            <w:tcW w:w="707" w:type="pct"/>
          </w:tcPr>
          <w:p w:rsidR="00513FD2" w:rsidRPr="003F3D71" w:rsidRDefault="00513FD2" w:rsidP="00513FD2">
            <w:pPr>
              <w:spacing w:before="120" w:after="120" w:line="259" w:lineRule="auto"/>
              <w:rPr>
                <w:rFonts w:cs="Arial"/>
                <w:sz w:val="20"/>
              </w:rPr>
            </w:pPr>
            <w:r w:rsidRPr="003F3D71">
              <w:rPr>
                <w:rFonts w:cs="Arial"/>
                <w:sz w:val="20"/>
              </w:rPr>
              <w:t>≥ 90 %</w:t>
            </w:r>
          </w:p>
        </w:tc>
        <w:tc>
          <w:tcPr>
            <w:tcW w:w="629" w:type="pct"/>
          </w:tcPr>
          <w:p w:rsidR="00513FD2" w:rsidRPr="003F3D71" w:rsidRDefault="00513FD2" w:rsidP="00513FD2">
            <w:pPr>
              <w:spacing w:before="120" w:after="120" w:line="259" w:lineRule="auto"/>
              <w:rPr>
                <w:rFonts w:cs="Arial"/>
                <w:sz w:val="20"/>
              </w:rPr>
            </w:pPr>
            <w:r w:rsidRPr="003F3D71">
              <w:rPr>
                <w:rFonts w:cs="Arial"/>
                <w:sz w:val="20"/>
              </w:rPr>
              <w:t>≥ 90 %</w:t>
            </w:r>
          </w:p>
        </w:tc>
        <w:tc>
          <w:tcPr>
            <w:tcW w:w="628" w:type="pct"/>
          </w:tcPr>
          <w:p w:rsidR="00513FD2" w:rsidRPr="003F3D71" w:rsidRDefault="00513FD2" w:rsidP="00513FD2">
            <w:pPr>
              <w:spacing w:before="120" w:after="120" w:line="259" w:lineRule="auto"/>
              <w:rPr>
                <w:rFonts w:cs="Arial"/>
                <w:sz w:val="20"/>
              </w:rPr>
            </w:pPr>
            <w:r w:rsidRPr="003F3D71">
              <w:rPr>
                <w:rFonts w:cs="Arial"/>
                <w:sz w:val="20"/>
              </w:rPr>
              <w:t>≥ 90 %</w:t>
            </w:r>
          </w:p>
        </w:tc>
        <w:tc>
          <w:tcPr>
            <w:tcW w:w="603" w:type="pct"/>
            <w:shd w:val="clear" w:color="auto" w:fill="FFFFFF" w:themeFill="background1"/>
          </w:tcPr>
          <w:p w:rsidR="00513FD2" w:rsidRPr="003F3D71" w:rsidRDefault="00513FD2" w:rsidP="00513FD2">
            <w:pPr>
              <w:spacing w:before="120" w:after="120" w:line="259" w:lineRule="auto"/>
              <w:rPr>
                <w:rFonts w:cs="Arial"/>
                <w:sz w:val="20"/>
              </w:rPr>
            </w:pPr>
            <w:r w:rsidRPr="003F3D71">
              <w:rPr>
                <w:rFonts w:cs="Arial"/>
                <w:sz w:val="20"/>
              </w:rPr>
              <w:t>≥ 90 %</w:t>
            </w:r>
          </w:p>
        </w:tc>
      </w:tr>
    </w:tbl>
    <w:p w:rsidR="00513FD2" w:rsidRPr="003F3D71" w:rsidRDefault="00513FD2" w:rsidP="00513FD2">
      <w:pPr>
        <w:shd w:val="clear" w:color="auto" w:fill="FBD4B4" w:themeFill="accent6" w:themeFillTint="66"/>
        <w:spacing w:before="120" w:after="120"/>
        <w:rPr>
          <w:rFonts w:cs="Arial"/>
          <w:b/>
          <w:sz w:val="20"/>
          <w:szCs w:val="20"/>
        </w:rPr>
      </w:pPr>
      <w:r w:rsidRPr="003F3D71">
        <w:rPr>
          <w:rFonts w:cs="Arial"/>
          <w:b/>
          <w:sz w:val="20"/>
          <w:szCs w:val="20"/>
        </w:rPr>
        <w:t>Rationale</w:t>
      </w:r>
    </w:p>
    <w:p w:rsidR="00513FD2" w:rsidRPr="003F3D71" w:rsidRDefault="00513FD2" w:rsidP="00513FD2">
      <w:pPr>
        <w:spacing w:before="120" w:after="120"/>
        <w:rPr>
          <w:rFonts w:cs="Arial"/>
          <w:sz w:val="20"/>
          <w:szCs w:val="20"/>
        </w:rPr>
      </w:pPr>
      <w:r w:rsidRPr="003F3D71">
        <w:rPr>
          <w:rFonts w:cs="Arial"/>
          <w:sz w:val="20"/>
          <w:szCs w:val="20"/>
        </w:rPr>
        <w:t>Measuring that delivery complies with relevant legislation to ensure that incentives are issued accurately to</w:t>
      </w:r>
      <w:r w:rsidR="001202B1">
        <w:rPr>
          <w:rFonts w:cs="Arial"/>
          <w:sz w:val="20"/>
          <w:szCs w:val="20"/>
        </w:rPr>
        <w:t> </w:t>
      </w:r>
      <w:r w:rsidRPr="003F3D71">
        <w:rPr>
          <w:rFonts w:cs="Arial"/>
          <w:sz w:val="20"/>
          <w:szCs w:val="20"/>
        </w:rPr>
        <w:t>approved participants, and will demonstrate the department has effectively:</w:t>
      </w:r>
    </w:p>
    <w:p w:rsidR="00513FD2" w:rsidRPr="003F3D71" w:rsidRDefault="00513FD2" w:rsidP="00762037">
      <w:pPr>
        <w:numPr>
          <w:ilvl w:val="0"/>
          <w:numId w:val="35"/>
        </w:numPr>
        <w:spacing w:before="0" w:after="0" w:line="240" w:lineRule="auto"/>
        <w:ind w:left="714" w:hanging="357"/>
        <w:rPr>
          <w:rFonts w:cs="Arial"/>
          <w:sz w:val="20"/>
          <w:szCs w:val="20"/>
        </w:rPr>
      </w:pPr>
      <w:r w:rsidRPr="003F3D71">
        <w:rPr>
          <w:rFonts w:cs="Arial"/>
          <w:sz w:val="20"/>
          <w:szCs w:val="20"/>
        </w:rPr>
        <w:t>administered the NRAS legislative framework</w:t>
      </w:r>
    </w:p>
    <w:p w:rsidR="00513FD2" w:rsidRPr="003F3D71" w:rsidRDefault="00513FD2" w:rsidP="00762037">
      <w:pPr>
        <w:numPr>
          <w:ilvl w:val="0"/>
          <w:numId w:val="35"/>
        </w:numPr>
        <w:spacing w:before="0" w:after="0" w:line="240" w:lineRule="auto"/>
        <w:ind w:left="714" w:hanging="357"/>
        <w:rPr>
          <w:rFonts w:cs="Arial"/>
          <w:sz w:val="20"/>
          <w:szCs w:val="20"/>
        </w:rPr>
      </w:pPr>
      <w:r w:rsidRPr="003F3D71">
        <w:rPr>
          <w:rFonts w:cs="Arial"/>
          <w:sz w:val="20"/>
          <w:szCs w:val="20"/>
        </w:rPr>
        <w:t>processed statements of compliance for rental dwellings and calculated and communicated financial incentives</w:t>
      </w:r>
    </w:p>
    <w:p w:rsidR="00513FD2" w:rsidRPr="003F3D71" w:rsidRDefault="00513FD2" w:rsidP="00762037">
      <w:pPr>
        <w:numPr>
          <w:ilvl w:val="0"/>
          <w:numId w:val="35"/>
        </w:numPr>
        <w:spacing w:before="0" w:after="0" w:line="240" w:lineRule="auto"/>
        <w:ind w:left="714" w:hanging="357"/>
        <w:rPr>
          <w:rFonts w:cs="Arial"/>
          <w:sz w:val="20"/>
          <w:szCs w:val="20"/>
        </w:rPr>
      </w:pPr>
      <w:r w:rsidRPr="003F3D71">
        <w:rPr>
          <w:rFonts w:cs="Arial"/>
          <w:sz w:val="20"/>
          <w:szCs w:val="20"/>
        </w:rPr>
        <w:t>made decisions on the transfer of NRAS dwellings between approved participants or to another rental dwelling</w:t>
      </w:r>
    </w:p>
    <w:p w:rsidR="00513FD2" w:rsidRPr="003F3D71" w:rsidRDefault="00513FD2" w:rsidP="00762037">
      <w:pPr>
        <w:numPr>
          <w:ilvl w:val="0"/>
          <w:numId w:val="35"/>
        </w:numPr>
        <w:spacing w:before="0" w:after="0" w:line="240" w:lineRule="auto"/>
        <w:ind w:left="714" w:hanging="357"/>
        <w:rPr>
          <w:rFonts w:cs="Arial"/>
          <w:sz w:val="20"/>
          <w:szCs w:val="20"/>
        </w:rPr>
      </w:pPr>
      <w:r w:rsidRPr="003F3D71">
        <w:rPr>
          <w:rFonts w:cs="Arial"/>
          <w:sz w:val="20"/>
          <w:szCs w:val="20"/>
        </w:rPr>
        <w:t>published and maintained guidelines for NRAS stakeholders.</w:t>
      </w:r>
    </w:p>
    <w:p w:rsidR="00001B01" w:rsidRDefault="00001B01">
      <w:pPr>
        <w:spacing w:before="0" w:after="160"/>
        <w:rPr>
          <w:rFonts w:cs="Arial"/>
          <w:sz w:val="20"/>
          <w:szCs w:val="20"/>
        </w:rPr>
      </w:pPr>
      <w:r>
        <w:rPr>
          <w:rFonts w:cs="Arial"/>
          <w:sz w:val="20"/>
          <w:szCs w:val="20"/>
        </w:rPr>
        <w:br w:type="page"/>
      </w:r>
    </w:p>
    <w:p w:rsidR="00513FD2" w:rsidRPr="003F3D71" w:rsidRDefault="00513FD2" w:rsidP="00513FD2">
      <w:pPr>
        <w:spacing w:before="120" w:after="120"/>
        <w:rPr>
          <w:rFonts w:cs="Arial"/>
          <w:sz w:val="20"/>
          <w:szCs w:val="20"/>
        </w:rPr>
      </w:pPr>
      <w:r w:rsidRPr="003F3D71">
        <w:rPr>
          <w:rFonts w:cs="Arial"/>
          <w:sz w:val="20"/>
          <w:szCs w:val="20"/>
        </w:rPr>
        <w:lastRenderedPageBreak/>
        <w:t>Targeting 90</w:t>
      </w:r>
      <w:r w:rsidR="00181BA8">
        <w:rPr>
          <w:rFonts w:cs="Arial"/>
          <w:sz w:val="20"/>
          <w:szCs w:val="20"/>
        </w:rPr>
        <w:t>%</w:t>
      </w:r>
      <w:r w:rsidRPr="003F3D71">
        <w:rPr>
          <w:rFonts w:cs="Arial"/>
          <w:sz w:val="20"/>
          <w:szCs w:val="20"/>
        </w:rPr>
        <w:t xml:space="preserve"> of statements of compliance are processed within 60 days demonstrates the </w:t>
      </w:r>
      <w:r w:rsidRPr="003F3D71">
        <w:rPr>
          <w:rFonts w:cs="Arial"/>
          <w:b/>
          <w:sz w:val="20"/>
          <w:szCs w:val="20"/>
        </w:rPr>
        <w:t xml:space="preserve">efficient </w:t>
      </w:r>
      <w:r w:rsidRPr="003F3D71">
        <w:rPr>
          <w:rFonts w:cs="Arial"/>
          <w:sz w:val="20"/>
          <w:szCs w:val="20"/>
        </w:rPr>
        <w:t>achievement of a key output by showing that the department, in its role as the administrator of the Scheme, provided timely incentives for approved participants who rent dwellings to eligible tenants at a rate at least 20</w:t>
      </w:r>
      <w:r w:rsidR="00181BA8">
        <w:rPr>
          <w:rFonts w:cs="Arial"/>
          <w:sz w:val="20"/>
          <w:szCs w:val="20"/>
        </w:rPr>
        <w:t>%</w:t>
      </w:r>
      <w:r w:rsidRPr="003F3D71">
        <w:rPr>
          <w:rFonts w:cs="Arial"/>
          <w:sz w:val="20"/>
          <w:szCs w:val="20"/>
        </w:rPr>
        <w:t xml:space="preserve"> below market rent.</w:t>
      </w:r>
    </w:p>
    <w:p w:rsidR="00513FD2" w:rsidRPr="003F3D71" w:rsidRDefault="00513FD2" w:rsidP="00513FD2">
      <w:pPr>
        <w:shd w:val="clear" w:color="auto" w:fill="FBD4B4" w:themeFill="accent6" w:themeFillTint="66"/>
        <w:spacing w:before="120" w:after="120"/>
        <w:rPr>
          <w:rFonts w:cs="Arial"/>
          <w:b/>
          <w:sz w:val="20"/>
          <w:szCs w:val="20"/>
        </w:rPr>
      </w:pPr>
      <w:r w:rsidRPr="003F3D71">
        <w:rPr>
          <w:rFonts w:cs="Arial"/>
          <w:b/>
          <w:sz w:val="20"/>
          <w:szCs w:val="20"/>
        </w:rPr>
        <w:t>Methodology</w:t>
      </w:r>
    </w:p>
    <w:p w:rsidR="00513FD2" w:rsidRPr="003F3D71" w:rsidRDefault="00513FD2" w:rsidP="00513FD2">
      <w:pPr>
        <w:spacing w:before="120" w:after="120"/>
        <w:rPr>
          <w:rFonts w:cs="Arial"/>
          <w:sz w:val="20"/>
          <w:szCs w:val="20"/>
        </w:rPr>
      </w:pPr>
      <w:r w:rsidRPr="003F3D71">
        <w:rPr>
          <w:rFonts w:cs="Arial"/>
          <w:sz w:val="20"/>
          <w:szCs w:val="20"/>
        </w:rPr>
        <w:t>The per cent of statements of compliance processed within 60 days is based on the date:</w:t>
      </w:r>
    </w:p>
    <w:p w:rsidR="00513FD2" w:rsidRPr="003F3D71" w:rsidRDefault="00513FD2" w:rsidP="00762037">
      <w:pPr>
        <w:numPr>
          <w:ilvl w:val="0"/>
          <w:numId w:val="35"/>
        </w:numPr>
        <w:spacing w:before="0" w:after="0" w:line="240" w:lineRule="auto"/>
        <w:ind w:left="714" w:hanging="357"/>
        <w:rPr>
          <w:rFonts w:cs="Arial"/>
          <w:sz w:val="20"/>
          <w:szCs w:val="20"/>
        </w:rPr>
      </w:pPr>
      <w:r w:rsidRPr="003F3D71">
        <w:rPr>
          <w:rFonts w:cs="Arial"/>
          <w:sz w:val="20"/>
          <w:szCs w:val="20"/>
        </w:rPr>
        <w:t>an approved participant submits a statement of compliance</w:t>
      </w:r>
    </w:p>
    <w:p w:rsidR="00513FD2" w:rsidRPr="003F3D71" w:rsidRDefault="00513FD2" w:rsidP="00762037">
      <w:pPr>
        <w:numPr>
          <w:ilvl w:val="0"/>
          <w:numId w:val="35"/>
        </w:numPr>
        <w:spacing w:before="0" w:after="0" w:line="240" w:lineRule="auto"/>
        <w:ind w:left="714" w:hanging="357"/>
        <w:rPr>
          <w:rFonts w:cs="Arial"/>
          <w:sz w:val="20"/>
          <w:szCs w:val="20"/>
        </w:rPr>
      </w:pPr>
      <w:r w:rsidRPr="003F3D71">
        <w:rPr>
          <w:rFonts w:cs="Arial"/>
          <w:sz w:val="20"/>
          <w:szCs w:val="20"/>
        </w:rPr>
        <w:t>funds are released or the refundable tax offset certificate is issued for the relevant statement of</w:t>
      </w:r>
      <w:r w:rsidR="001202B1">
        <w:rPr>
          <w:rFonts w:cs="Arial"/>
          <w:sz w:val="20"/>
          <w:szCs w:val="20"/>
        </w:rPr>
        <w:t> </w:t>
      </w:r>
      <w:r w:rsidRPr="003F3D71">
        <w:rPr>
          <w:rFonts w:cs="Arial"/>
          <w:sz w:val="20"/>
          <w:szCs w:val="20"/>
        </w:rPr>
        <w:t>compliance.</w:t>
      </w:r>
    </w:p>
    <w:p w:rsidR="00513FD2" w:rsidRPr="003F3D71" w:rsidRDefault="00513FD2" w:rsidP="00513FD2">
      <w:pPr>
        <w:spacing w:before="120" w:after="120"/>
        <w:rPr>
          <w:rFonts w:cs="Arial"/>
          <w:sz w:val="20"/>
          <w:szCs w:val="20"/>
        </w:rPr>
      </w:pPr>
      <w:r w:rsidRPr="003F3D71">
        <w:rPr>
          <w:rFonts w:cs="Arial"/>
          <w:sz w:val="20"/>
          <w:szCs w:val="20"/>
        </w:rPr>
        <w:t xml:space="preserve">The </w:t>
      </w:r>
      <w:r w:rsidRPr="003F3D71">
        <w:rPr>
          <w:rFonts w:cs="Arial"/>
          <w:b/>
          <w:sz w:val="20"/>
          <w:szCs w:val="20"/>
        </w:rPr>
        <w:t>data source</w:t>
      </w:r>
      <w:r w:rsidRPr="003F3D71">
        <w:rPr>
          <w:rFonts w:cs="Arial"/>
          <w:sz w:val="20"/>
          <w:szCs w:val="20"/>
        </w:rPr>
        <w:t xml:space="preserve"> used for this calculation is the department of Social Services’ Grants Processing System.</w:t>
      </w:r>
    </w:p>
    <w:tbl>
      <w:tblPr>
        <w:tblStyle w:val="TableGrid"/>
        <w:tblW w:w="5000" w:type="pct"/>
        <w:tblLook w:val="04A0" w:firstRow="1" w:lastRow="0" w:firstColumn="1" w:lastColumn="0" w:noHBand="0" w:noVBand="1"/>
        <w:tblCaption w:val="4.2.1 performance measure and target"/>
        <w:tblDescription w:val="Table outlines the targeted national rental affordability scheme percentages across 2022-23, 2023-24, 2024-25 and 2025-26"/>
      </w:tblPr>
      <w:tblGrid>
        <w:gridCol w:w="4687"/>
        <w:gridCol w:w="1362"/>
        <w:gridCol w:w="1211"/>
        <w:gridCol w:w="1211"/>
        <w:gridCol w:w="1157"/>
      </w:tblGrid>
      <w:tr w:rsidR="00513FD2" w:rsidRPr="003F3D71" w:rsidTr="005B200F">
        <w:trPr>
          <w:trHeight w:val="390"/>
          <w:tblHeader/>
        </w:trPr>
        <w:tc>
          <w:tcPr>
            <w:tcW w:w="9016" w:type="dxa"/>
            <w:gridSpan w:val="5"/>
            <w:shd w:val="clear" w:color="auto" w:fill="D9D9D6"/>
          </w:tcPr>
          <w:p w:rsidR="00513FD2" w:rsidRPr="003F3D71" w:rsidRDefault="00513FD2" w:rsidP="00513FD2">
            <w:pPr>
              <w:spacing w:before="120" w:after="120" w:line="259" w:lineRule="auto"/>
              <w:rPr>
                <w:rFonts w:cs="Arial"/>
                <w:sz w:val="20"/>
              </w:rPr>
            </w:pPr>
            <w:r w:rsidRPr="003F3D71">
              <w:rPr>
                <w:rFonts w:cs="Arial"/>
                <w:b/>
                <w:sz w:val="20"/>
              </w:rPr>
              <w:t>Performance Measure</w:t>
            </w:r>
          </w:p>
        </w:tc>
      </w:tr>
      <w:tr w:rsidR="00513FD2" w:rsidRPr="003F3D71" w:rsidTr="008554C7">
        <w:trPr>
          <w:trHeight w:val="692"/>
        </w:trPr>
        <w:tc>
          <w:tcPr>
            <w:tcW w:w="9016" w:type="dxa"/>
            <w:gridSpan w:val="5"/>
            <w:shd w:val="clear" w:color="auto" w:fill="auto"/>
          </w:tcPr>
          <w:p w:rsidR="00513FD2" w:rsidRPr="003F3D71" w:rsidRDefault="00513FD2" w:rsidP="00513FD2">
            <w:pPr>
              <w:spacing w:before="120" w:after="120" w:line="259" w:lineRule="auto"/>
              <w:rPr>
                <w:rFonts w:cs="Arial"/>
                <w:sz w:val="20"/>
              </w:rPr>
            </w:pPr>
            <w:r w:rsidRPr="003F3D71">
              <w:rPr>
                <w:rFonts w:cs="Arial"/>
                <w:sz w:val="20"/>
              </w:rPr>
              <w:t>4.2.1-2 Incentives delivered through the N</w:t>
            </w:r>
            <w:bookmarkStart w:id="89" w:name="_GoBack"/>
            <w:bookmarkEnd w:id="89"/>
            <w:r w:rsidRPr="003F3D71">
              <w:rPr>
                <w:rFonts w:cs="Arial"/>
                <w:sz w:val="20"/>
              </w:rPr>
              <w:t>ational Rental Affordability Scheme are maximised to improve the supply of affordable rental housing to low and moderate income households.</w:t>
            </w:r>
          </w:p>
        </w:tc>
      </w:tr>
      <w:tr w:rsidR="00513FD2" w:rsidRPr="003F3D71" w:rsidTr="008554C7">
        <w:trPr>
          <w:trHeight w:val="433"/>
        </w:trPr>
        <w:tc>
          <w:tcPr>
            <w:tcW w:w="4390" w:type="dxa"/>
            <w:shd w:val="clear" w:color="auto" w:fill="D9D9D6"/>
          </w:tcPr>
          <w:p w:rsidR="00513FD2" w:rsidRPr="003F3D71" w:rsidRDefault="00513FD2" w:rsidP="00513FD2">
            <w:pPr>
              <w:spacing w:before="120" w:after="120" w:line="259" w:lineRule="auto"/>
              <w:rPr>
                <w:rFonts w:cs="Arial"/>
                <w:sz w:val="20"/>
              </w:rPr>
            </w:pPr>
            <w:r w:rsidRPr="003F3D71">
              <w:rPr>
                <w:rFonts w:cs="Arial"/>
                <w:b/>
                <w:sz w:val="20"/>
              </w:rPr>
              <w:t>Target</w:t>
            </w:r>
          </w:p>
        </w:tc>
        <w:tc>
          <w:tcPr>
            <w:tcW w:w="1275" w:type="dxa"/>
            <w:shd w:val="clear" w:color="auto" w:fill="D9D9D6"/>
          </w:tcPr>
          <w:p w:rsidR="00513FD2" w:rsidRPr="003F3D71" w:rsidRDefault="00513FD2" w:rsidP="00513FD2">
            <w:pPr>
              <w:spacing w:before="120" w:after="120" w:line="259" w:lineRule="auto"/>
              <w:jc w:val="both"/>
              <w:rPr>
                <w:rFonts w:cs="Arial"/>
                <w:b/>
                <w:sz w:val="20"/>
              </w:rPr>
            </w:pPr>
            <w:r w:rsidRPr="003F3D71">
              <w:rPr>
                <w:rFonts w:cs="Arial"/>
                <w:b/>
                <w:sz w:val="20"/>
              </w:rPr>
              <w:t>2022–23</w:t>
            </w:r>
          </w:p>
        </w:tc>
        <w:tc>
          <w:tcPr>
            <w:tcW w:w="1134" w:type="dxa"/>
            <w:shd w:val="clear" w:color="auto" w:fill="D9D9D6"/>
          </w:tcPr>
          <w:p w:rsidR="00513FD2" w:rsidRPr="003F3D71" w:rsidRDefault="00513FD2" w:rsidP="00513FD2">
            <w:pPr>
              <w:spacing w:before="120" w:after="120" w:line="259" w:lineRule="auto"/>
              <w:jc w:val="both"/>
              <w:rPr>
                <w:rFonts w:cs="Arial"/>
                <w:b/>
                <w:sz w:val="20"/>
              </w:rPr>
            </w:pPr>
            <w:r w:rsidRPr="003F3D71">
              <w:rPr>
                <w:rFonts w:cs="Arial"/>
                <w:b/>
                <w:sz w:val="20"/>
              </w:rPr>
              <w:t>2023–24</w:t>
            </w:r>
          </w:p>
        </w:tc>
        <w:tc>
          <w:tcPr>
            <w:tcW w:w="1134" w:type="dxa"/>
            <w:shd w:val="clear" w:color="auto" w:fill="D9D9D6"/>
          </w:tcPr>
          <w:p w:rsidR="00513FD2" w:rsidRPr="003F3D71" w:rsidRDefault="00513FD2" w:rsidP="00513FD2">
            <w:pPr>
              <w:spacing w:before="120" w:after="120" w:line="259" w:lineRule="auto"/>
              <w:jc w:val="both"/>
              <w:rPr>
                <w:rFonts w:cs="Arial"/>
                <w:b/>
                <w:sz w:val="20"/>
              </w:rPr>
            </w:pPr>
            <w:r w:rsidRPr="003F3D71">
              <w:rPr>
                <w:rFonts w:cs="Arial"/>
                <w:b/>
                <w:sz w:val="20"/>
              </w:rPr>
              <w:t>2024–25</w:t>
            </w:r>
          </w:p>
        </w:tc>
        <w:tc>
          <w:tcPr>
            <w:tcW w:w="1083" w:type="dxa"/>
            <w:shd w:val="clear" w:color="auto" w:fill="D9D9D6"/>
          </w:tcPr>
          <w:p w:rsidR="00513FD2" w:rsidRPr="003F3D71" w:rsidRDefault="00513FD2" w:rsidP="00513FD2">
            <w:pPr>
              <w:spacing w:before="120" w:after="120" w:line="259" w:lineRule="auto"/>
              <w:jc w:val="both"/>
              <w:rPr>
                <w:rFonts w:cs="Arial"/>
                <w:b/>
                <w:sz w:val="20"/>
              </w:rPr>
            </w:pPr>
            <w:r w:rsidRPr="003F3D71">
              <w:rPr>
                <w:rFonts w:cs="Arial"/>
                <w:b/>
                <w:sz w:val="20"/>
              </w:rPr>
              <w:t>2025–26</w:t>
            </w:r>
          </w:p>
        </w:tc>
      </w:tr>
      <w:tr w:rsidR="00513FD2" w:rsidRPr="003F3D71" w:rsidTr="008554C7">
        <w:tc>
          <w:tcPr>
            <w:tcW w:w="4390" w:type="dxa"/>
            <w:shd w:val="clear" w:color="auto" w:fill="FFFFFF" w:themeFill="background1"/>
          </w:tcPr>
          <w:p w:rsidR="00513FD2" w:rsidRPr="003F3D71" w:rsidRDefault="00513FD2" w:rsidP="00181BA8">
            <w:pPr>
              <w:spacing w:before="120" w:after="120" w:line="259" w:lineRule="auto"/>
              <w:rPr>
                <w:rFonts w:cs="Arial"/>
                <w:sz w:val="20"/>
              </w:rPr>
            </w:pPr>
            <w:r w:rsidRPr="003F3D71">
              <w:rPr>
                <w:rFonts w:cs="Arial"/>
                <w:sz w:val="20"/>
              </w:rPr>
              <w:t>4.2.1-2A - At least 90</w:t>
            </w:r>
            <w:r w:rsidR="00181BA8">
              <w:rPr>
                <w:rFonts w:cs="Arial"/>
                <w:sz w:val="20"/>
              </w:rPr>
              <w:t>%</w:t>
            </w:r>
            <w:r w:rsidRPr="003F3D71">
              <w:rPr>
                <w:rFonts w:cs="Arial"/>
                <w:sz w:val="20"/>
              </w:rPr>
              <w:t xml:space="preserve"> of allocations set under the National Rental Affordability Scheme are active and receiving incentive payments.</w:t>
            </w:r>
          </w:p>
        </w:tc>
        <w:tc>
          <w:tcPr>
            <w:tcW w:w="1275" w:type="dxa"/>
          </w:tcPr>
          <w:p w:rsidR="00513FD2" w:rsidRPr="003F3D71" w:rsidRDefault="00513FD2" w:rsidP="00513FD2">
            <w:pPr>
              <w:spacing w:before="120" w:after="120" w:line="259" w:lineRule="auto"/>
              <w:jc w:val="both"/>
              <w:rPr>
                <w:rFonts w:cs="Arial"/>
                <w:sz w:val="20"/>
              </w:rPr>
            </w:pPr>
            <w:r w:rsidRPr="003F3D71">
              <w:rPr>
                <w:rFonts w:cs="Arial"/>
                <w:sz w:val="20"/>
              </w:rPr>
              <w:t>≥ 90 %</w:t>
            </w:r>
          </w:p>
        </w:tc>
        <w:tc>
          <w:tcPr>
            <w:tcW w:w="1134" w:type="dxa"/>
          </w:tcPr>
          <w:p w:rsidR="00513FD2" w:rsidRPr="003F3D71" w:rsidRDefault="00513FD2" w:rsidP="00513FD2">
            <w:pPr>
              <w:spacing w:before="120" w:after="120" w:line="259" w:lineRule="auto"/>
              <w:jc w:val="both"/>
              <w:rPr>
                <w:rFonts w:cs="Arial"/>
                <w:sz w:val="20"/>
              </w:rPr>
            </w:pPr>
            <w:r w:rsidRPr="003F3D71">
              <w:rPr>
                <w:rFonts w:cs="Arial"/>
                <w:sz w:val="20"/>
              </w:rPr>
              <w:t>≥ 90 %</w:t>
            </w:r>
          </w:p>
        </w:tc>
        <w:tc>
          <w:tcPr>
            <w:tcW w:w="1134" w:type="dxa"/>
          </w:tcPr>
          <w:p w:rsidR="00513FD2" w:rsidRPr="003F3D71" w:rsidRDefault="00513FD2" w:rsidP="00513FD2">
            <w:pPr>
              <w:spacing w:before="120" w:after="120" w:line="259" w:lineRule="auto"/>
              <w:jc w:val="both"/>
              <w:rPr>
                <w:rFonts w:cs="Arial"/>
                <w:sz w:val="20"/>
              </w:rPr>
            </w:pPr>
            <w:r w:rsidRPr="003F3D71">
              <w:rPr>
                <w:rFonts w:cs="Arial"/>
                <w:sz w:val="20"/>
              </w:rPr>
              <w:t>≥ 90 %</w:t>
            </w:r>
          </w:p>
        </w:tc>
        <w:tc>
          <w:tcPr>
            <w:tcW w:w="1083" w:type="dxa"/>
          </w:tcPr>
          <w:p w:rsidR="00513FD2" w:rsidRPr="003F3D71" w:rsidRDefault="00513FD2" w:rsidP="00513FD2">
            <w:pPr>
              <w:spacing w:before="120" w:after="120" w:line="259" w:lineRule="auto"/>
              <w:jc w:val="both"/>
              <w:rPr>
                <w:rFonts w:cs="Arial"/>
                <w:sz w:val="20"/>
              </w:rPr>
            </w:pPr>
            <w:r w:rsidRPr="003F3D71">
              <w:rPr>
                <w:rFonts w:cs="Arial"/>
                <w:sz w:val="20"/>
              </w:rPr>
              <w:t>≥ 90 %</w:t>
            </w:r>
          </w:p>
        </w:tc>
      </w:tr>
    </w:tbl>
    <w:p w:rsidR="00513FD2" w:rsidRPr="007C55D9" w:rsidRDefault="00513FD2" w:rsidP="00513FD2">
      <w:pPr>
        <w:shd w:val="clear" w:color="auto" w:fill="FBD4B4" w:themeFill="accent6" w:themeFillTint="66"/>
        <w:autoSpaceDE w:val="0"/>
        <w:autoSpaceDN w:val="0"/>
        <w:adjustRightInd w:val="0"/>
        <w:spacing w:before="120" w:after="120"/>
        <w:rPr>
          <w:rFonts w:cs="Arial"/>
          <w:b/>
          <w:sz w:val="20"/>
          <w:szCs w:val="20"/>
        </w:rPr>
      </w:pPr>
      <w:r w:rsidRPr="007C55D9">
        <w:rPr>
          <w:rFonts w:cs="Arial"/>
          <w:b/>
          <w:sz w:val="20"/>
          <w:szCs w:val="20"/>
        </w:rPr>
        <w:t>Rational</w:t>
      </w:r>
      <w:r w:rsidR="00276CDD">
        <w:rPr>
          <w:rFonts w:cs="Arial"/>
          <w:b/>
          <w:sz w:val="20"/>
          <w:szCs w:val="20"/>
        </w:rPr>
        <w:t>e</w:t>
      </w:r>
    </w:p>
    <w:p w:rsidR="00513FD2" w:rsidRPr="003F3D71" w:rsidRDefault="00513FD2" w:rsidP="00513FD2">
      <w:pPr>
        <w:autoSpaceDE w:val="0"/>
        <w:autoSpaceDN w:val="0"/>
        <w:adjustRightInd w:val="0"/>
        <w:spacing w:before="120" w:after="120"/>
        <w:rPr>
          <w:rFonts w:cs="Arial"/>
          <w:sz w:val="20"/>
          <w:szCs w:val="20"/>
        </w:rPr>
      </w:pPr>
      <w:r w:rsidRPr="003F3D71">
        <w:rPr>
          <w:rFonts w:cs="Arial"/>
          <w:sz w:val="20"/>
          <w:szCs w:val="20"/>
        </w:rPr>
        <w:t>Measuring the allocations that received an incentive payment within the framework of the Scheme aims to</w:t>
      </w:r>
      <w:r w:rsidR="001202B1">
        <w:rPr>
          <w:rFonts w:cs="Arial"/>
          <w:sz w:val="20"/>
          <w:szCs w:val="20"/>
        </w:rPr>
        <w:t> </w:t>
      </w:r>
      <w:r w:rsidRPr="003F3D71">
        <w:rPr>
          <w:rFonts w:cs="Arial"/>
          <w:sz w:val="20"/>
          <w:szCs w:val="20"/>
        </w:rPr>
        <w:t>demonstrate the department is improving the supply of affordable rental housing to low and moderate income households. While the department does not control whether an approved participant of the Scheme will act in accordance with the regulations to receive an incentive payment, the department seeks to</w:t>
      </w:r>
      <w:r w:rsidR="001202B1">
        <w:rPr>
          <w:rFonts w:cs="Arial"/>
          <w:sz w:val="20"/>
          <w:szCs w:val="20"/>
        </w:rPr>
        <w:t> </w:t>
      </w:r>
      <w:r w:rsidRPr="003F3D71">
        <w:rPr>
          <w:rFonts w:cs="Arial"/>
          <w:sz w:val="20"/>
          <w:szCs w:val="20"/>
        </w:rPr>
        <w:t xml:space="preserve">maximise the proportion of active allocations and payments issued to maximise the supply of affordable rental housing to low and moderate income households. </w:t>
      </w:r>
    </w:p>
    <w:p w:rsidR="00513FD2" w:rsidRPr="003F3D71" w:rsidRDefault="00513FD2" w:rsidP="00513FD2">
      <w:pPr>
        <w:autoSpaceDE w:val="0"/>
        <w:autoSpaceDN w:val="0"/>
        <w:adjustRightInd w:val="0"/>
        <w:spacing w:before="120" w:after="120"/>
        <w:rPr>
          <w:rFonts w:cs="Arial"/>
          <w:sz w:val="20"/>
          <w:szCs w:val="20"/>
        </w:rPr>
      </w:pPr>
      <w:r w:rsidRPr="003F3D71">
        <w:rPr>
          <w:rFonts w:cs="Arial"/>
          <w:sz w:val="20"/>
          <w:szCs w:val="20"/>
        </w:rPr>
        <w:t>Targeting 90</w:t>
      </w:r>
      <w:r w:rsidR="00181BA8">
        <w:rPr>
          <w:rFonts w:cs="Arial"/>
          <w:sz w:val="20"/>
          <w:szCs w:val="20"/>
        </w:rPr>
        <w:t>%</w:t>
      </w:r>
      <w:r w:rsidRPr="003F3D71">
        <w:rPr>
          <w:rFonts w:cs="Arial"/>
          <w:sz w:val="20"/>
          <w:szCs w:val="20"/>
        </w:rPr>
        <w:t xml:space="preserve"> of allocations set under the Scheme being </w:t>
      </w:r>
      <w:r w:rsidRPr="003F3D71">
        <w:rPr>
          <w:rFonts w:cs="Arial"/>
          <w:b/>
          <w:sz w:val="20"/>
          <w:szCs w:val="20"/>
        </w:rPr>
        <w:t xml:space="preserve">active </w:t>
      </w:r>
      <w:r w:rsidRPr="003F3D71">
        <w:rPr>
          <w:rFonts w:cs="Arial"/>
          <w:sz w:val="20"/>
          <w:szCs w:val="20"/>
        </w:rPr>
        <w:t xml:space="preserve">and </w:t>
      </w:r>
      <w:r w:rsidRPr="003F3D71">
        <w:rPr>
          <w:rFonts w:cs="Arial"/>
          <w:b/>
          <w:sz w:val="20"/>
          <w:szCs w:val="20"/>
        </w:rPr>
        <w:t>receiving an incentive payment</w:t>
      </w:r>
      <w:r w:rsidRPr="003F3D71">
        <w:rPr>
          <w:rFonts w:cs="Arial"/>
          <w:sz w:val="20"/>
          <w:szCs w:val="20"/>
        </w:rPr>
        <w:t xml:space="preserve"> demonstrates the achievement of the key outcome of the Scheme, within the legislative allocation cap set by Government.</w:t>
      </w:r>
    </w:p>
    <w:p w:rsidR="00513FD2" w:rsidRPr="003F3D71" w:rsidRDefault="00513FD2" w:rsidP="00513FD2">
      <w:pPr>
        <w:shd w:val="clear" w:color="auto" w:fill="FBD4B4" w:themeFill="accent6" w:themeFillTint="66"/>
        <w:spacing w:before="120" w:after="120"/>
        <w:rPr>
          <w:rFonts w:cs="Arial"/>
          <w:b/>
          <w:sz w:val="20"/>
          <w:szCs w:val="20"/>
        </w:rPr>
      </w:pPr>
      <w:r w:rsidRPr="003F3D71">
        <w:rPr>
          <w:rFonts w:cs="Arial"/>
          <w:b/>
          <w:sz w:val="20"/>
          <w:szCs w:val="20"/>
        </w:rPr>
        <w:t>Methodology</w:t>
      </w:r>
    </w:p>
    <w:p w:rsidR="00513FD2" w:rsidRPr="003F3D71" w:rsidRDefault="00513FD2" w:rsidP="00513FD2">
      <w:pPr>
        <w:autoSpaceDE w:val="0"/>
        <w:autoSpaceDN w:val="0"/>
        <w:adjustRightInd w:val="0"/>
        <w:spacing w:before="120" w:after="120"/>
        <w:rPr>
          <w:rFonts w:cs="Arial"/>
          <w:sz w:val="20"/>
          <w:szCs w:val="20"/>
        </w:rPr>
      </w:pPr>
      <w:r w:rsidRPr="003F3D71">
        <w:rPr>
          <w:rFonts w:cs="Arial"/>
          <w:sz w:val="20"/>
          <w:szCs w:val="20"/>
        </w:rPr>
        <w:t>The active, provisional and total allocations under the Scheme are reported quarterly, while incentives are paid on a yearly basis. For the purposes of this measure, the maximum number of allocations in the year is</w:t>
      </w:r>
      <w:r w:rsidR="001202B1">
        <w:rPr>
          <w:rFonts w:cs="Arial"/>
          <w:sz w:val="20"/>
          <w:szCs w:val="20"/>
        </w:rPr>
        <w:t> </w:t>
      </w:r>
      <w:r w:rsidRPr="003F3D71">
        <w:rPr>
          <w:rFonts w:cs="Arial"/>
          <w:sz w:val="20"/>
          <w:szCs w:val="20"/>
        </w:rPr>
        <w:t xml:space="preserve">used. Please note: </w:t>
      </w:r>
    </w:p>
    <w:p w:rsidR="00513FD2" w:rsidRPr="003F3D71" w:rsidRDefault="001202B1" w:rsidP="00E211B3">
      <w:pPr>
        <w:numPr>
          <w:ilvl w:val="0"/>
          <w:numId w:val="35"/>
        </w:numPr>
        <w:spacing w:before="120" w:after="120"/>
        <w:rPr>
          <w:rFonts w:cs="Arial"/>
          <w:sz w:val="20"/>
          <w:szCs w:val="20"/>
        </w:rPr>
      </w:pPr>
      <w:r>
        <w:rPr>
          <w:rFonts w:cs="Arial"/>
          <w:sz w:val="20"/>
          <w:szCs w:val="20"/>
        </w:rPr>
        <w:t>r</w:t>
      </w:r>
      <w:r w:rsidRPr="003F3D71">
        <w:rPr>
          <w:rFonts w:cs="Arial"/>
          <w:sz w:val="20"/>
          <w:szCs w:val="20"/>
        </w:rPr>
        <w:t xml:space="preserve">esults </w:t>
      </w:r>
      <w:r w:rsidR="00513FD2" w:rsidRPr="003F3D71">
        <w:rPr>
          <w:rFonts w:cs="Arial"/>
          <w:sz w:val="20"/>
          <w:szCs w:val="20"/>
        </w:rPr>
        <w:t xml:space="preserve">for the 2020-21 National Rental Affordability Scheme year (1 May 2020 to 30 April 2021) and the correlated 2020–21 financial year are reported, as full payment data for the 2021–22 National Rental Affordability Scheme year was not available at time of publication. </w:t>
      </w:r>
    </w:p>
    <w:p w:rsidR="00513FD2" w:rsidRPr="003F3D71" w:rsidRDefault="00513FD2" w:rsidP="00513FD2">
      <w:pPr>
        <w:spacing w:before="120" w:after="120"/>
        <w:rPr>
          <w:rFonts w:cs="Arial"/>
          <w:sz w:val="20"/>
          <w:szCs w:val="20"/>
        </w:rPr>
      </w:pPr>
      <w:r w:rsidRPr="003F3D71">
        <w:rPr>
          <w:rFonts w:cs="Arial"/>
          <w:sz w:val="20"/>
          <w:szCs w:val="20"/>
        </w:rPr>
        <w:t xml:space="preserve">The </w:t>
      </w:r>
      <w:r w:rsidRPr="003F3D71">
        <w:rPr>
          <w:rFonts w:cs="Arial"/>
          <w:b/>
          <w:sz w:val="20"/>
          <w:szCs w:val="20"/>
        </w:rPr>
        <w:t>data source</w:t>
      </w:r>
      <w:r w:rsidRPr="003F3D71">
        <w:rPr>
          <w:rFonts w:cs="Arial"/>
          <w:sz w:val="20"/>
          <w:szCs w:val="20"/>
        </w:rPr>
        <w:t xml:space="preserve"> used for this calculation is the Department of Social Services’ Grants Processing System.</w:t>
      </w:r>
    </w:p>
    <w:p w:rsidR="00513FD2" w:rsidRPr="003F3D71" w:rsidRDefault="00513FD2" w:rsidP="00513FD2">
      <w:pPr>
        <w:shd w:val="clear" w:color="auto" w:fill="FBD4B4" w:themeFill="accent6" w:themeFillTint="66"/>
        <w:spacing w:before="120" w:after="120"/>
        <w:rPr>
          <w:rFonts w:cs="Arial"/>
          <w:b/>
          <w:sz w:val="20"/>
          <w:szCs w:val="20"/>
        </w:rPr>
      </w:pPr>
      <w:r w:rsidRPr="003F3D71">
        <w:rPr>
          <w:rFonts w:cs="Arial"/>
          <w:b/>
          <w:sz w:val="20"/>
          <w:szCs w:val="20"/>
        </w:rPr>
        <w:t>Program Output</w:t>
      </w:r>
    </w:p>
    <w:p w:rsidR="004A64F8" w:rsidRDefault="00513FD2" w:rsidP="00E211B3">
      <w:pPr>
        <w:numPr>
          <w:ilvl w:val="0"/>
          <w:numId w:val="41"/>
        </w:numPr>
        <w:spacing w:before="120" w:after="120"/>
        <w:rPr>
          <w:sz w:val="20"/>
        </w:rPr>
      </w:pPr>
      <w:r w:rsidRPr="003F3D71">
        <w:rPr>
          <w:rFonts w:cs="Arial"/>
          <w:sz w:val="20"/>
          <w:szCs w:val="20"/>
        </w:rPr>
        <w:t>Number of National Rental Affordability Scheme incentives issued for the relevant National Rental Affordability Scheme year (Cash a</w:t>
      </w:r>
      <w:r>
        <w:rPr>
          <w:rFonts w:cs="Arial"/>
          <w:sz w:val="20"/>
          <w:szCs w:val="20"/>
        </w:rPr>
        <w:t>nd Refundable Tax Offsets (RTO))</w:t>
      </w:r>
      <w:bookmarkEnd w:id="54"/>
      <w:r w:rsidRPr="004A64F8">
        <w:rPr>
          <w:sz w:val="20"/>
        </w:rPr>
        <w:t xml:space="preserve"> </w:t>
      </w:r>
    </w:p>
    <w:p w:rsidR="003452DB" w:rsidRDefault="003452DB" w:rsidP="003452DB">
      <w:pPr>
        <w:spacing w:before="120" w:after="120"/>
        <w:rPr>
          <w:sz w:val="20"/>
        </w:rPr>
      </w:pPr>
    </w:p>
    <w:p w:rsidR="003452DB" w:rsidRDefault="003452DB" w:rsidP="003452DB">
      <w:pPr>
        <w:spacing w:before="120" w:after="120"/>
        <w:rPr>
          <w:sz w:val="20"/>
        </w:rPr>
        <w:sectPr w:rsidR="003452DB" w:rsidSect="004734D5">
          <w:headerReference w:type="default" r:id="rId25"/>
          <w:footerReference w:type="default" r:id="rId26"/>
          <w:headerReference w:type="first" r:id="rId27"/>
          <w:pgSz w:w="11906" w:h="16838"/>
          <w:pgMar w:top="851" w:right="1134" w:bottom="709" w:left="1134" w:header="851" w:footer="567" w:gutter="0"/>
          <w:cols w:space="708"/>
          <w:titlePg/>
          <w:docGrid w:linePitch="360"/>
        </w:sectPr>
      </w:pPr>
    </w:p>
    <w:p w:rsidR="003452DB" w:rsidRPr="004A64F8" w:rsidRDefault="003452DB" w:rsidP="003452DB">
      <w:pPr>
        <w:spacing w:before="120" w:after="120"/>
        <w:ind w:right="-143"/>
        <w:rPr>
          <w:sz w:val="20"/>
        </w:rPr>
      </w:pPr>
    </w:p>
    <w:sectPr w:rsidR="003452DB" w:rsidRPr="004A64F8" w:rsidSect="003452DB">
      <w:headerReference w:type="first" r:id="rId28"/>
      <w:pgSz w:w="11906" w:h="16838"/>
      <w:pgMar w:top="851" w:right="0" w:bottom="851" w:left="0" w:header="0" w:footer="567" w:gutter="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5EA68848" w16cid:durableId="41E6DB00"/>
  <w16cid:commentId w16cid:paraId="5C5E1983" w16cid:durableId="10F1BA4D"/>
  <w16cid:commentId w16cid:paraId="6943EC87" w16cid:durableId="2F0E3F8A"/>
  <w16cid:commentId w16cid:paraId="02661BD5" w16cid:durableId="38A4F1F2"/>
  <w16cid:commentId w16cid:paraId="2813FA1B" w16cid:durableId="2D46308D"/>
  <w16cid:commentId w16cid:paraId="2D9D357C" w16cid:durableId="6EDB2B53"/>
  <w16cid:commentId w16cid:paraId="598C272B" w16cid:durableId="3959E674"/>
  <w16cid:commentId w16cid:paraId="60A957A3" w16cid:durableId="0F2556E0"/>
  <w16cid:commentId w16cid:paraId="3B02FCD7" w16cid:durableId="2749208E"/>
  <w16cid:commentId w16cid:paraId="1CBDA823" w16cid:durableId="7F12B1EF"/>
  <w16cid:commentId w16cid:paraId="2D145220" w16cid:durableId="07EF4E9E"/>
  <w16cid:commentId w16cid:paraId="13D78F91" w16cid:durableId="430E9031"/>
  <w16cid:commentId w16cid:paraId="573B8079" w16cid:durableId="477031B5"/>
  <w16cid:commentId w16cid:paraId="2315D29E" w16cid:durableId="14EC054A"/>
  <w16cid:commentId w16cid:paraId="00A821D2" w16cid:durableId="02A79C78"/>
  <w16cid:commentId w16cid:paraId="761CF3B5" w16cid:durableId="2BD75F35"/>
  <w16cid:commentId w16cid:paraId="0C570B58" w16cid:durableId="7355DF1A"/>
  <w16cid:commentId w16cid:paraId="029F3BB9" w16cid:durableId="7E41DE9D"/>
  <w16cid:commentId w16cid:paraId="62C4B4F7" w16cid:durableId="0EB5E85E"/>
  <w16cid:commentId w16cid:paraId="36EED647" w16cid:durableId="2F2EC2F0"/>
  <w16cid:commentId w16cid:paraId="2134E536" w16cid:durableId="72AB0B49"/>
  <w16cid:commentId w16cid:paraId="74AE73FF" w16cid:durableId="52640CC6"/>
  <w16cid:commentId w16cid:paraId="76261454" w16cid:durableId="1EA6B4FB"/>
  <w16cid:commentId w16cid:paraId="4A03F00B" w16cid:durableId="464F6C78"/>
  <w16cid:commentId w16cid:paraId="13062D15" w16cid:durableId="6F231AC3"/>
  <w16cid:commentId w16cid:paraId="2F046B60" w16cid:durableId="079740FA"/>
  <w16cid:commentId w16cid:paraId="398AD7F6" w16cid:durableId="5FF88D7B"/>
  <w16cid:commentId w16cid:paraId="33DA3D52" w16cid:durableId="68C565F7"/>
  <w16cid:commentId w16cid:paraId="3014C8BE" w16cid:durableId="5786BC14"/>
  <w16cid:commentId w16cid:paraId="7D4E15F0" w16cid:durableId="6A84AF6D"/>
  <w16cid:commentId w16cid:paraId="38C9B41D" w16cid:durableId="0F9F04A7"/>
  <w16cid:commentId w16cid:paraId="12FEA1D0" w16cid:durableId="48B48A66"/>
  <w16cid:commentId w16cid:paraId="225B735C" w16cid:durableId="1F29DB8F"/>
  <w16cid:commentId w16cid:paraId="193F8A1D" w16cid:durableId="5C6CD2AF"/>
  <w16cid:commentId w16cid:paraId="43537A2E" w16cid:durableId="115D92FF"/>
  <w16cid:commentId w16cid:paraId="38B3060E" w16cid:durableId="1E144DBA"/>
  <w16cid:commentId w16cid:paraId="65E799A0" w16cid:durableId="27458307"/>
  <w16cid:commentId w16cid:paraId="67183EED" w16cid:durableId="4597A7B0"/>
  <w16cid:commentId w16cid:paraId="452A5615" w16cid:durableId="6C1A9A1A"/>
  <w16cid:commentId w16cid:paraId="1EC2A5C7" w16cid:durableId="25D8A127"/>
  <w16cid:commentId w16cid:paraId="0CC040D0" w16cid:durableId="33DC4A6F"/>
  <w16cid:commentId w16cid:paraId="7837E8BF" w16cid:durableId="3ACD2A7B"/>
  <w16cid:commentId w16cid:paraId="7E76F7B1" w16cid:durableId="02C724A1"/>
  <w16cid:commentId w16cid:paraId="46F09F05" w16cid:durableId="56448B5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785" w:rsidRDefault="004A6785" w:rsidP="00B04ED8">
      <w:pPr>
        <w:spacing w:after="0" w:line="240" w:lineRule="auto"/>
      </w:pPr>
      <w:r>
        <w:separator/>
      </w:r>
    </w:p>
  </w:endnote>
  <w:endnote w:type="continuationSeparator" w:id="0">
    <w:p w:rsidR="004A6785" w:rsidRDefault="004A6785" w:rsidP="00B04ED8">
      <w:pPr>
        <w:spacing w:after="0" w:line="240" w:lineRule="auto"/>
      </w:pPr>
      <w:r>
        <w:continuationSeparator/>
      </w:r>
    </w:p>
  </w:endnote>
  <w:endnote w:type="continuationNotice" w:id="1">
    <w:p w:rsidR="004A6785" w:rsidRDefault="004A67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NeueLT Std Lt">
    <w:altName w:val="HelveticaNeueLT Std Lt"/>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DIN OT Light">
    <w:altName w:val="DIN OT Ligh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683986"/>
      <w:docPartObj>
        <w:docPartGallery w:val="Page Numbers (Bottom of Page)"/>
        <w:docPartUnique/>
      </w:docPartObj>
    </w:sdtPr>
    <w:sdtEndPr>
      <w:rPr>
        <w:color w:val="808080" w:themeColor="background1" w:themeShade="80"/>
        <w:szCs w:val="18"/>
      </w:rPr>
    </w:sdtEndPr>
    <w:sdtContent>
      <w:p w:rsidR="007C2218" w:rsidRPr="00E37EF7" w:rsidRDefault="007C2218" w:rsidP="00E37EF7">
        <w:pPr>
          <w:pStyle w:val="Footer"/>
          <w:rPr>
            <w:color w:val="808080" w:themeColor="background1" w:themeShade="80"/>
          </w:rPr>
        </w:pPr>
        <w:r w:rsidRPr="00E37EF7">
          <w:rPr>
            <w:color w:val="808080" w:themeColor="background1" w:themeShade="80"/>
          </w:rPr>
          <w:t xml:space="preserve">Page | </w:t>
        </w:r>
        <w:r w:rsidRPr="00E37EF7">
          <w:rPr>
            <w:color w:val="808080" w:themeColor="background1" w:themeShade="80"/>
          </w:rPr>
          <w:fldChar w:fldCharType="begin"/>
        </w:r>
        <w:r w:rsidRPr="006016AD">
          <w:rPr>
            <w:color w:val="808080" w:themeColor="background1" w:themeShade="80"/>
            <w:szCs w:val="18"/>
          </w:rPr>
          <w:instrText xml:space="preserve"> PAGE   \* MERGEFORMAT </w:instrText>
        </w:r>
        <w:r w:rsidRPr="00E37EF7">
          <w:rPr>
            <w:color w:val="808080" w:themeColor="background1" w:themeShade="80"/>
          </w:rPr>
          <w:fldChar w:fldCharType="separate"/>
        </w:r>
        <w:r w:rsidR="00CE1657">
          <w:rPr>
            <w:noProof/>
            <w:color w:val="808080" w:themeColor="background1" w:themeShade="80"/>
            <w:szCs w:val="18"/>
          </w:rPr>
          <w:t>61</w:t>
        </w:r>
        <w:r w:rsidRPr="00E37EF7">
          <w:rPr>
            <w:color w:val="808080" w:themeColor="background1"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785" w:rsidRDefault="004A6785" w:rsidP="00B04ED8">
      <w:pPr>
        <w:spacing w:after="0" w:line="240" w:lineRule="auto"/>
      </w:pPr>
      <w:r>
        <w:separator/>
      </w:r>
    </w:p>
  </w:footnote>
  <w:footnote w:type="continuationSeparator" w:id="0">
    <w:p w:rsidR="004A6785" w:rsidRDefault="004A6785" w:rsidP="00B04ED8">
      <w:pPr>
        <w:spacing w:after="0" w:line="240" w:lineRule="auto"/>
      </w:pPr>
      <w:r>
        <w:continuationSeparator/>
      </w:r>
    </w:p>
  </w:footnote>
  <w:footnote w:type="continuationNotice" w:id="1">
    <w:p w:rsidR="004A6785" w:rsidRDefault="004A6785">
      <w:pPr>
        <w:spacing w:after="0" w:line="240" w:lineRule="auto"/>
      </w:pPr>
    </w:p>
  </w:footnote>
  <w:footnote w:id="2">
    <w:p w:rsidR="007C2218" w:rsidRPr="002E2B8D" w:rsidRDefault="007C2218" w:rsidP="00513FD2">
      <w:pPr>
        <w:pStyle w:val="FootnoteText"/>
        <w:rPr>
          <w:sz w:val="16"/>
          <w:szCs w:val="16"/>
        </w:rPr>
      </w:pPr>
      <w:r>
        <w:rPr>
          <w:rStyle w:val="FootnoteReference"/>
        </w:rPr>
        <w:footnoteRef/>
      </w:r>
      <w:r>
        <w:t xml:space="preserve"> </w:t>
      </w:r>
      <w:r w:rsidRPr="002E2B8D">
        <w:rPr>
          <w:rFonts w:eastAsiaTheme="minorEastAsia"/>
          <w:sz w:val="16"/>
          <w:szCs w:val="16"/>
        </w:rPr>
        <w:t>A recipient household or ‘income unit’ comprises a single person (with or without dependent childre</w:t>
      </w:r>
      <w:r w:rsidRPr="00935531">
        <w:rPr>
          <w:rFonts w:eastAsiaTheme="minorEastAsia"/>
          <w:sz w:val="16"/>
          <w:szCs w:val="16"/>
        </w:rPr>
        <w:t xml:space="preserve">n) or a couple (with or without </w:t>
      </w:r>
      <w:r w:rsidRPr="002E2B8D">
        <w:rPr>
          <w:rFonts w:eastAsiaTheme="minorEastAsia"/>
          <w:sz w:val="16"/>
          <w:szCs w:val="16"/>
        </w:rPr>
        <w:t>dependent children) receiving a social security or family assistance payment and expected to share financial resources. Single social security recipients living together in the same dwelling are regarded as separate recipient households.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18" w:rsidRDefault="007C2218">
    <w:pPr>
      <w:pStyle w:val="Header"/>
    </w:pPr>
    <w:r>
      <w:rPr>
        <w:noProof/>
        <w:lang w:eastAsia="en-AU"/>
      </w:rPr>
      <mc:AlternateContent>
        <mc:Choice Requires="wps">
          <w:drawing>
            <wp:anchor distT="0" distB="0" distL="114300" distR="114300" simplePos="0" relativeHeight="251657216" behindDoc="0" locked="0" layoutInCell="1" allowOverlap="1" wp14:anchorId="13574819" wp14:editId="1675B47C">
              <wp:simplePos x="0" y="0"/>
              <wp:positionH relativeFrom="column">
                <wp:posOffset>-9525</wp:posOffset>
              </wp:positionH>
              <wp:positionV relativeFrom="paragraph">
                <wp:posOffset>-539750</wp:posOffset>
              </wp:positionV>
              <wp:extent cx="2736000" cy="246185"/>
              <wp:effectExtent l="0" t="0" r="7620" b="1905"/>
              <wp:wrapNone/>
              <wp:docPr id="9" name="Rectangle 9" descr="This is a banner at the top of each page that identifies the green theme for the document" title="green theme document banner"/>
              <wp:cNvGraphicFramePr/>
              <a:graphic xmlns:a="http://schemas.openxmlformats.org/drawingml/2006/main">
                <a:graphicData uri="http://schemas.microsoft.com/office/word/2010/wordprocessingShape">
                  <wps:wsp>
                    <wps:cNvSpPr/>
                    <wps:spPr>
                      <a:xfrm>
                        <a:off x="0" y="0"/>
                        <a:ext cx="2736000" cy="246185"/>
                      </a:xfrm>
                      <a:prstGeom prst="rect">
                        <a:avLst/>
                      </a:prstGeom>
                      <a:solidFill>
                        <a:srgbClr val="78BE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F7E9EC" id="Rectangle 9" o:spid="_x0000_s1026" alt="Title: green theme document banner - Description: This is a banner at the top of each page that identifies the green theme for the document" style="position:absolute;margin-left:-.75pt;margin-top:-42.5pt;width:215.45pt;height:19.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" fillcolor="#78be20"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18" w:rsidRDefault="007C2218">
    <w:pPr>
      <w:pStyle w:val="Header"/>
    </w:pPr>
    <w:r>
      <w:rPr>
        <w:noProof/>
        <w:lang w:eastAsia="en-AU"/>
      </w:rPr>
      <w:drawing>
        <wp:anchor distT="0" distB="0" distL="114300" distR="114300" simplePos="0" relativeHeight="251656192" behindDoc="1" locked="0" layoutInCell="1" allowOverlap="1" wp14:anchorId="3C99C4E0" wp14:editId="486A1494">
          <wp:simplePos x="0" y="0"/>
          <wp:positionH relativeFrom="column">
            <wp:posOffset>-720090</wp:posOffset>
          </wp:positionH>
          <wp:positionV relativeFrom="paragraph">
            <wp:posOffset>-487289</wp:posOffset>
          </wp:positionV>
          <wp:extent cx="7556400" cy="10688400"/>
          <wp:effectExtent l="0" t="0" r="6985" b="0"/>
          <wp:wrapNone/>
          <wp:docPr id="8" name="Picture 8" descr="This is the cover page of the Corporate Plan 2022 - 2023 featuring the images of Suzanne Allen (woman in the background), and Mehar Sehgal (left) and Varun Sehgal (right). These three people participated in our Screencraft photo shoot in December 2021 and we have the necessary consent forms." title="Corporate Plan 2022-23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porate Plan 2022-23_COVER CONCEPTS_V4_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18" w:rsidRDefault="007C2218">
    <w:pPr>
      <w:pStyle w:val="Header"/>
    </w:pPr>
    <w:r w:rsidRPr="003452DB">
      <w:rPr>
        <w:noProof/>
        <w:lang w:eastAsia="en-AU"/>
      </w:rPr>
      <w:drawing>
        <wp:anchor distT="0" distB="0" distL="114300" distR="114300" simplePos="0" relativeHeight="251658240" behindDoc="1" locked="0" layoutInCell="1" allowOverlap="1" wp14:anchorId="5A546694" wp14:editId="1872815F">
          <wp:simplePos x="0" y="0"/>
          <wp:positionH relativeFrom="column">
            <wp:posOffset>0</wp:posOffset>
          </wp:positionH>
          <wp:positionV relativeFrom="paragraph">
            <wp:posOffset>35626</wp:posOffset>
          </wp:positionV>
          <wp:extent cx="7552800" cy="10746000"/>
          <wp:effectExtent l="0" t="0" r="0" b="0"/>
          <wp:wrapNone/>
          <wp:docPr id="244" name="Picture 244" descr="You have reached the back cover of the department's Corporate Plan 2022-2023 - DSS2775.08.22"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0025\AppData\Local\Microsoft\Windows\INetCache\Content.Outlook\4Y5FG3G3\Corporate Plan 2022-23_COVER CONCEPTS_V5_B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800" cy="1074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int2:observations>
    <int2:textHash int2:hashCode="GAOkKYmyT+PflT" int2:id="0Oyxw5PY">
      <int2:state int2:type="LegacyProofing" int2:value="Rejected"/>
    </int2:textHash>
    <int2:textHash int2:hashCode="31YMmaecpD39sM" int2:id="KnYSz2DM">
      <int2:state int2:type="LegacyProofing" int2:value="Rejected"/>
    </int2:textHash>
    <int2:textHash int2:hashCode="FW0uW9DLfTjpdM" int2:id="DNLOFUbQ">
      <int2:state int2:type="LegacyProofing" int2:value="Rejected"/>
    </int2:textHash>
    <int2:textHash int2:hashCode="/wXpx3kruhcu7O" int2:id="aFfG13j6">
      <int2:state int2:type="LegacyProofing" int2:value="Rejected"/>
    </int2:textHash>
    <int2:textHash int2:hashCode="YXb5QAwsi+R4yP" int2:id="egTpv8UT">
      <int2:state int2:type="LegacyProofing" int2:value="Rejected"/>
    </int2:textHash>
    <int2:textHash int2:hashCode="0ycoOczezDNu3j" int2:id="POjER9Y9">
      <int2:state int2:type="LegacyProofing" int2:value="Rejected"/>
    </int2:textHash>
    <int2:textHash int2:hashCode="7jPidinZe42jz3" int2:id="QGSYljRc">
      <int2:state int2:type="LegacyProofing" int2:value="Rejected"/>
    </int2:textHash>
    <int2:textHash int2:hashCode="21kAbStRIOsfZI" int2:id="K8Hplzv5">
      <int2:state int2:type="LegacyProofing" int2:value="Rejected"/>
    </int2:textHash>
    <int2:textHash int2:hashCode="SbePuO83/Jy1bT" int2:id="zRp0yasC">
      <int2:state int2:type="LegacyProofing" int2:value="Rejected"/>
    </int2:textHash>
    <int2:textHash int2:hashCode="MqKi+oYQwIA1A3" int2:id="A63sljSd">
      <int2:state int2:type="LegacyProofing" int2:value="Rejected"/>
    </int2:textHash>
    <int2:bookmark int2:bookmarkName="_Int_jdjaPsff" int2:invalidationBookmarkName="" int2:hashCode="qD7XUiHodceJ94" int2:id="rem153Tx">
      <int2:state int2:type="LegacyProofing" int2:value="Rejected"/>
    </int2:bookmark>
    <int2:bookmark int2:bookmarkName="_Int_fB2DXRVR" int2:invalidationBookmarkName="" int2:hashCode="z/bu50oeAuX1HE" int2:id="B5XGt6xV">
      <int2:state int2:type="LegacyProofing" int2:value="Rejected"/>
    </int2:bookmark>
    <int2:bookmark int2:bookmarkName="_Int_gPJK4asV" int2:invalidationBookmarkName="" int2:hashCode="z/bu50oeAuX1HE" int2:id="PddU11ib">
      <int2:state int2:type="LegacyProofing" int2:value="Rejected"/>
    </int2:bookmark>
    <int2:bookmark int2:bookmarkName="_Int_qKJlw99f" int2:invalidationBookmarkName="" int2:hashCode="Vk+Mbnb71RK+Lj" int2:id="mXaFff1l">
      <int2:state int2:type="LegacyProofing" int2:value="Rejected"/>
    </int2:bookmark>
    <int2:bookmark int2:bookmarkName="_Int_VK4CY7vF" int2:invalidationBookmarkName="" int2:hashCode="f1OmjTJDRvyEV6" int2:id="3ziOGzmX">
      <int2:state int2:type="LegacyProofing" int2:value="Rejected"/>
    </int2:bookmark>
    <int2:bookmark int2:bookmarkName="_Int_BlziwBZw" int2:invalidationBookmarkName="" int2:hashCode="9KjiZW9/IIPDpY" int2:id="UcHbNoWj">
      <int2:state int2:type="LegacyProofing" int2:value="Rejected"/>
    </int2:bookmark>
    <int2:bookmark int2:bookmarkName="_Int_3Q3K8j57" int2:invalidationBookmarkName="" int2:hashCode="LDoO9u9DFubl0c" int2:id="Ky45OFjV">
      <int2:state int2:type="LegacyProofing" int2:value="Rejected"/>
    </int2:bookmark>
    <int2:bookmark int2:bookmarkName="_Int_sbEOJNTA" int2:invalidationBookmarkName="" int2:hashCode="cDkeu0xe4270md" int2:id="WsvVKQkB">
      <int2:state int2:type="LegacyProofing" int2:value="Rejected"/>
    </int2:bookmark>
    <int2:bookmark int2:bookmarkName="_Int_a7iEPJxX" int2:invalidationBookmarkName="" int2:hashCode="cDkeu0xe4270md" int2:id="qa8hp7Gz">
      <int2:state int2:type="LegacyProofing" int2:value="Rejected"/>
    </int2:bookmark>
    <int2:bookmark int2:bookmarkName="_Int_BcjCk21x" int2:invalidationBookmarkName="" int2:hashCode="cDkeu0xe4270md" int2:id="lj0gDuYm">
      <int2:state int2:type="LegacyProofing" int2:value="Rejected"/>
    </int2:bookmark>
    <int2:bookmark int2:bookmarkName="_Int_iqFv0pgt" int2:invalidationBookmarkName="" int2:hashCode="2jtakNqtS47Y2C" int2:id="BokZgImc">
      <int2:state int2:type="LegacyProofing" int2:value="Rejected"/>
    </int2:bookmark>
    <int2:bookmark int2:bookmarkName="_Int_UA8W28DS" int2:invalidationBookmarkName="" int2:hashCode="Vk+Mbnb71RK+Lj" int2:id="VUhmOLHt">
      <int2:state int2:type="LegacyProofing" int2:value="Rejected"/>
    </int2:bookmark>
    <int2:bookmark int2:bookmarkName="_Int_0rwFDbcJ" int2:invalidationBookmarkName="" int2:hashCode="kozYGFkw+Ty8oI" int2:id="SgG45ak8">
      <int2:state int2:type="LegacyProofing" int2:value="Rejected"/>
    </int2:bookmark>
    <int2:bookmark int2:bookmarkName="_Int_PZ2cDJTX" int2:invalidationBookmarkName="" int2:hashCode="Pnr2T4v3za4Lt1" int2:id="9DyUdoGh">
      <int2:state int2:type="LegacyProofing" int2:value="Rejected"/>
    </int2:bookmark>
    <int2:bookmark int2:bookmarkName="_Int_QI5MOSdW" int2:invalidationBookmarkName="" int2:hashCode="Pnr2T4v3za4Lt1" int2:id="udbDkWuj">
      <int2:state int2:type="LegacyProofing" int2:value="Rejected"/>
    </int2:bookmark>
    <int2:bookmark int2:bookmarkName="_Int_daDlPVay" int2:invalidationBookmarkName="" int2:hashCode="pmTxC15YDN3gym" int2:id="cHqI2MQI">
      <int2:state int2:type="LegacyProofing" int2:value="Rejected"/>
    </int2:bookmark>
    <int2:bookmark int2:bookmarkName="_Int_Q6RKR9r8" int2:invalidationBookmarkName="" int2:hashCode="LDoO9u9DFubl0c" int2:id="6FiWvPzr">
      <int2:state int2:type="LegacyProofing" int2:value="Rejected"/>
    </int2:bookmark>
    <int2:bookmark int2:bookmarkName="_Int_j4X4pOfo" int2:invalidationBookmarkName="" int2:hashCode="pmTxC15YDN3gym" int2:id="TJR34UDr">
      <int2:state int2:type="LegacyProofing" int2:value="Rejected"/>
    </int2:bookmark>
    <int2:bookmark int2:bookmarkName="_Int_HMvgs730" int2:invalidationBookmarkName="" int2:hashCode="pmTxC15YDN3gym" int2:id="oMmZOs8H">
      <int2:state int2:type="LegacyProofing" int2:value="Rejected"/>
    </int2:bookmark>
    <int2:bookmark int2:bookmarkName="_Int_JgvhUgn8" int2:invalidationBookmarkName="" int2:hashCode="xdYYPHgKkrVQsm" int2:id="EStOpWuL">
      <int2:state int2:type="LegacyProofing" int2:value="Rejected"/>
    </int2:bookmark>
    <int2:bookmark int2:bookmarkName="_Int_2cOR5P8J" int2:invalidationBookmarkName="" int2:hashCode="dnCYUwZlUII7V1" int2:id="9ZcsNpuT">
      <int2:state int2:type="LegacyProofing" int2:value="Rejected"/>
    </int2:bookmark>
    <int2:bookmark int2:bookmarkName="_Int_ZlV0643t" int2:invalidationBookmarkName="" int2:hashCode="p/B9oYxb6sRiqN" int2:id="ykgbJ6xu">
      <int2:state int2:type="LegacyProofing" int2:value="Rejected"/>
    </int2:bookmark>
    <int2:bookmark int2:bookmarkName="_Int_r2SZoTlT" int2:invalidationBookmarkName="" int2:hashCode="tH82PitDDAZH8U" int2:id="inhzbR4f">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301A"/>
    <w:multiLevelType w:val="hybridMultilevel"/>
    <w:tmpl w:val="10E2312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181992"/>
    <w:multiLevelType w:val="hybridMultilevel"/>
    <w:tmpl w:val="3C9C8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6580B"/>
    <w:multiLevelType w:val="hybridMultilevel"/>
    <w:tmpl w:val="0BAAF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ED6BE1"/>
    <w:multiLevelType w:val="hybridMultilevel"/>
    <w:tmpl w:val="D92AB004"/>
    <w:lvl w:ilvl="0" w:tplc="DCD8DFB6">
      <w:numFmt w:val="bullet"/>
      <w:lvlText w:val=""/>
      <w:lvlJc w:val="left"/>
      <w:pPr>
        <w:ind w:left="720" w:hanging="360"/>
      </w:pPr>
      <w:rPr>
        <w:rFonts w:ascii="Symbol" w:eastAsiaTheme="minorEastAsia" w:hAnsi="Symbol"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2C3A68"/>
    <w:multiLevelType w:val="hybridMultilevel"/>
    <w:tmpl w:val="C5EA47DC"/>
    <w:lvl w:ilvl="0" w:tplc="2A00CE54">
      <w:start w:val="1"/>
      <w:numFmt w:val="bullet"/>
      <w:lvlText w:val=""/>
      <w:lvlJc w:val="left"/>
      <w:pPr>
        <w:ind w:left="720" w:hanging="360"/>
      </w:pPr>
      <w:rPr>
        <w:rFonts w:ascii="Symbol" w:hAnsi="Symbol" w:hint="default"/>
      </w:rPr>
    </w:lvl>
    <w:lvl w:ilvl="1" w:tplc="05143372">
      <w:start w:val="1"/>
      <w:numFmt w:val="decimal"/>
      <w:lvlText w:val="%2."/>
      <w:lvlJc w:val="left"/>
      <w:pPr>
        <w:ind w:left="1440" w:hanging="360"/>
      </w:pPr>
    </w:lvl>
    <w:lvl w:ilvl="2" w:tplc="F93C1BE2">
      <w:start w:val="1"/>
      <w:numFmt w:val="bullet"/>
      <w:lvlText w:val=""/>
      <w:lvlJc w:val="left"/>
      <w:pPr>
        <w:ind w:left="2160" w:hanging="360"/>
      </w:pPr>
      <w:rPr>
        <w:rFonts w:ascii="Wingdings" w:hAnsi="Wingdings" w:hint="default"/>
      </w:rPr>
    </w:lvl>
    <w:lvl w:ilvl="3" w:tplc="065C66F0">
      <w:start w:val="1"/>
      <w:numFmt w:val="bullet"/>
      <w:lvlText w:val=""/>
      <w:lvlJc w:val="left"/>
      <w:pPr>
        <w:ind w:left="2880" w:hanging="360"/>
      </w:pPr>
      <w:rPr>
        <w:rFonts w:ascii="Symbol" w:hAnsi="Symbol" w:hint="default"/>
      </w:rPr>
    </w:lvl>
    <w:lvl w:ilvl="4" w:tplc="A2426D6E">
      <w:start w:val="1"/>
      <w:numFmt w:val="bullet"/>
      <w:lvlText w:val="o"/>
      <w:lvlJc w:val="left"/>
      <w:pPr>
        <w:ind w:left="3600" w:hanging="360"/>
      </w:pPr>
      <w:rPr>
        <w:rFonts w:ascii="Courier New" w:hAnsi="Courier New" w:hint="default"/>
      </w:rPr>
    </w:lvl>
    <w:lvl w:ilvl="5" w:tplc="9FCCCA38">
      <w:start w:val="1"/>
      <w:numFmt w:val="bullet"/>
      <w:lvlText w:val=""/>
      <w:lvlJc w:val="left"/>
      <w:pPr>
        <w:ind w:left="4320" w:hanging="360"/>
      </w:pPr>
      <w:rPr>
        <w:rFonts w:ascii="Wingdings" w:hAnsi="Wingdings" w:hint="default"/>
      </w:rPr>
    </w:lvl>
    <w:lvl w:ilvl="6" w:tplc="7CF437FC">
      <w:start w:val="1"/>
      <w:numFmt w:val="bullet"/>
      <w:lvlText w:val=""/>
      <w:lvlJc w:val="left"/>
      <w:pPr>
        <w:ind w:left="5040" w:hanging="360"/>
      </w:pPr>
      <w:rPr>
        <w:rFonts w:ascii="Symbol" w:hAnsi="Symbol" w:hint="default"/>
      </w:rPr>
    </w:lvl>
    <w:lvl w:ilvl="7" w:tplc="330CB290">
      <w:start w:val="1"/>
      <w:numFmt w:val="bullet"/>
      <w:lvlText w:val="o"/>
      <w:lvlJc w:val="left"/>
      <w:pPr>
        <w:ind w:left="5760" w:hanging="360"/>
      </w:pPr>
      <w:rPr>
        <w:rFonts w:ascii="Courier New" w:hAnsi="Courier New" w:hint="default"/>
      </w:rPr>
    </w:lvl>
    <w:lvl w:ilvl="8" w:tplc="D744DC26">
      <w:start w:val="1"/>
      <w:numFmt w:val="bullet"/>
      <w:lvlText w:val=""/>
      <w:lvlJc w:val="left"/>
      <w:pPr>
        <w:ind w:left="6480" w:hanging="360"/>
      </w:pPr>
      <w:rPr>
        <w:rFonts w:ascii="Wingdings" w:hAnsi="Wingdings" w:hint="default"/>
      </w:rPr>
    </w:lvl>
  </w:abstractNum>
  <w:abstractNum w:abstractNumId="5" w15:restartNumberingAfterBreak="0">
    <w:nsid w:val="072C5E9F"/>
    <w:multiLevelType w:val="hybridMultilevel"/>
    <w:tmpl w:val="A2FC3D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154D25"/>
    <w:multiLevelType w:val="hybridMultilevel"/>
    <w:tmpl w:val="A9D6F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9132AF"/>
    <w:multiLevelType w:val="hybridMultilevel"/>
    <w:tmpl w:val="60566142"/>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8" w15:restartNumberingAfterBreak="0">
    <w:nsid w:val="0AB44625"/>
    <w:multiLevelType w:val="hybridMultilevel"/>
    <w:tmpl w:val="8E0A93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075BFA"/>
    <w:multiLevelType w:val="hybridMultilevel"/>
    <w:tmpl w:val="C5527012"/>
    <w:lvl w:ilvl="0" w:tplc="45A42F1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496A66"/>
    <w:multiLevelType w:val="hybridMultilevel"/>
    <w:tmpl w:val="2F24070E"/>
    <w:lvl w:ilvl="0" w:tplc="BC489644">
      <w:start w:val="1"/>
      <w:numFmt w:val="bullet"/>
      <w:pStyle w:val="PBSTextbullet"/>
      <w:lvlText w:val=""/>
      <w:lvlJc w:val="left"/>
      <w:pPr>
        <w:ind w:left="360" w:hanging="360"/>
      </w:pPr>
      <w:rPr>
        <w:rFonts w:ascii="Symbol" w:hAnsi="Symbol" w:hint="default"/>
      </w:rPr>
    </w:lvl>
    <w:lvl w:ilvl="1" w:tplc="49CCAC20">
      <w:start w:val="1"/>
      <w:numFmt w:val="bullet"/>
      <w:lvlText w:val=""/>
      <w:lvlJc w:val="left"/>
      <w:pPr>
        <w:ind w:left="1080" w:hanging="360"/>
      </w:pPr>
      <w:rPr>
        <w:rFonts w:ascii="Symbol" w:hAnsi="Symbol" w:hint="default"/>
      </w:rPr>
    </w:lvl>
    <w:lvl w:ilvl="2" w:tplc="E9FCEFFE">
      <w:start w:val="1"/>
      <w:numFmt w:val="bullet"/>
      <w:lvlText w:val=""/>
      <w:lvlJc w:val="left"/>
      <w:pPr>
        <w:ind w:left="1800" w:hanging="360"/>
      </w:pPr>
      <w:rPr>
        <w:rFonts w:ascii="Wingdings" w:hAnsi="Wingdings" w:hint="default"/>
      </w:rPr>
    </w:lvl>
    <w:lvl w:ilvl="3" w:tplc="7C66DD6A">
      <w:start w:val="1"/>
      <w:numFmt w:val="bullet"/>
      <w:lvlText w:val=""/>
      <w:lvlJc w:val="left"/>
      <w:pPr>
        <w:ind w:left="2520" w:hanging="360"/>
      </w:pPr>
      <w:rPr>
        <w:rFonts w:ascii="Symbol" w:hAnsi="Symbol" w:hint="default"/>
      </w:rPr>
    </w:lvl>
    <w:lvl w:ilvl="4" w:tplc="B002ED24">
      <w:start w:val="1"/>
      <w:numFmt w:val="bullet"/>
      <w:lvlText w:val="o"/>
      <w:lvlJc w:val="left"/>
      <w:pPr>
        <w:ind w:left="3240" w:hanging="360"/>
      </w:pPr>
      <w:rPr>
        <w:rFonts w:ascii="Courier New" w:hAnsi="Courier New" w:cs="Courier New" w:hint="default"/>
      </w:rPr>
    </w:lvl>
    <w:lvl w:ilvl="5" w:tplc="43E4ED6A">
      <w:start w:val="1"/>
      <w:numFmt w:val="bullet"/>
      <w:lvlText w:val=""/>
      <w:lvlJc w:val="left"/>
      <w:pPr>
        <w:ind w:left="3960" w:hanging="360"/>
      </w:pPr>
      <w:rPr>
        <w:rFonts w:ascii="Wingdings" w:hAnsi="Wingdings" w:hint="default"/>
      </w:rPr>
    </w:lvl>
    <w:lvl w:ilvl="6" w:tplc="BFA24026">
      <w:start w:val="1"/>
      <w:numFmt w:val="bullet"/>
      <w:lvlText w:val=""/>
      <w:lvlJc w:val="left"/>
      <w:pPr>
        <w:ind w:left="4680" w:hanging="360"/>
      </w:pPr>
      <w:rPr>
        <w:rFonts w:ascii="Symbol" w:hAnsi="Symbol" w:hint="default"/>
      </w:rPr>
    </w:lvl>
    <w:lvl w:ilvl="7" w:tplc="846467CA">
      <w:start w:val="1"/>
      <w:numFmt w:val="bullet"/>
      <w:lvlText w:val="o"/>
      <w:lvlJc w:val="left"/>
      <w:pPr>
        <w:ind w:left="5400" w:hanging="360"/>
      </w:pPr>
      <w:rPr>
        <w:rFonts w:ascii="Courier New" w:hAnsi="Courier New" w:cs="Courier New" w:hint="default"/>
      </w:rPr>
    </w:lvl>
    <w:lvl w:ilvl="8" w:tplc="2E362FA2">
      <w:start w:val="1"/>
      <w:numFmt w:val="bullet"/>
      <w:lvlText w:val=""/>
      <w:lvlJc w:val="left"/>
      <w:pPr>
        <w:ind w:left="6120" w:hanging="360"/>
      </w:pPr>
      <w:rPr>
        <w:rFonts w:ascii="Wingdings" w:hAnsi="Wingdings" w:hint="default"/>
      </w:rPr>
    </w:lvl>
  </w:abstractNum>
  <w:abstractNum w:abstractNumId="11" w15:restartNumberingAfterBreak="0">
    <w:nsid w:val="14152EF5"/>
    <w:multiLevelType w:val="hybridMultilevel"/>
    <w:tmpl w:val="3984F4F4"/>
    <w:lvl w:ilvl="0" w:tplc="0C090001">
      <w:start w:val="1"/>
      <w:numFmt w:val="bullet"/>
      <w:lvlText w:val=""/>
      <w:lvlJc w:val="left"/>
      <w:pPr>
        <w:ind w:left="786" w:hanging="360"/>
      </w:pPr>
      <w:rPr>
        <w:rFonts w:ascii="Symbol" w:hAnsi="Symbol"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2" w15:restartNumberingAfterBreak="0">
    <w:nsid w:val="184D01AB"/>
    <w:multiLevelType w:val="hybridMultilevel"/>
    <w:tmpl w:val="DD242B5E"/>
    <w:lvl w:ilvl="0" w:tplc="D33AE182">
      <w:start w:val="1"/>
      <w:numFmt w:val="bullet"/>
      <w:pStyle w:val="TABLEBullets"/>
      <w:lvlText w:val=""/>
      <w:lvlJc w:val="left"/>
      <w:pPr>
        <w:ind w:left="360" w:hanging="360"/>
      </w:pPr>
      <w:rPr>
        <w:rFonts w:ascii="Wingdings" w:hAnsi="Wingdings" w:hint="default"/>
        <w:color w:val="78BE20"/>
        <w:sz w:val="18"/>
        <w:szCs w:val="18"/>
      </w:rPr>
    </w:lvl>
    <w:lvl w:ilvl="1" w:tplc="5B02EE0E">
      <w:start w:val="1"/>
      <w:numFmt w:val="bullet"/>
      <w:lvlText w:val="•"/>
      <w:lvlJc w:val="left"/>
      <w:pPr>
        <w:tabs>
          <w:tab w:val="num" w:pos="1440"/>
        </w:tabs>
        <w:ind w:left="1440" w:hanging="360"/>
      </w:pPr>
      <w:rPr>
        <w:rFonts w:ascii="Arial" w:hAnsi="Arial" w:hint="default"/>
      </w:rPr>
    </w:lvl>
    <w:lvl w:ilvl="2" w:tplc="D3365278" w:tentative="1">
      <w:start w:val="1"/>
      <w:numFmt w:val="bullet"/>
      <w:lvlText w:val="•"/>
      <w:lvlJc w:val="left"/>
      <w:pPr>
        <w:tabs>
          <w:tab w:val="num" w:pos="2160"/>
        </w:tabs>
        <w:ind w:left="2160" w:hanging="360"/>
      </w:pPr>
      <w:rPr>
        <w:rFonts w:ascii="Arial" w:hAnsi="Arial" w:hint="default"/>
      </w:rPr>
    </w:lvl>
    <w:lvl w:ilvl="3" w:tplc="23A248B6" w:tentative="1">
      <w:start w:val="1"/>
      <w:numFmt w:val="bullet"/>
      <w:lvlText w:val="•"/>
      <w:lvlJc w:val="left"/>
      <w:pPr>
        <w:tabs>
          <w:tab w:val="num" w:pos="2880"/>
        </w:tabs>
        <w:ind w:left="2880" w:hanging="360"/>
      </w:pPr>
      <w:rPr>
        <w:rFonts w:ascii="Arial" w:hAnsi="Arial" w:hint="default"/>
      </w:rPr>
    </w:lvl>
    <w:lvl w:ilvl="4" w:tplc="EF9CC59E" w:tentative="1">
      <w:start w:val="1"/>
      <w:numFmt w:val="bullet"/>
      <w:lvlText w:val="•"/>
      <w:lvlJc w:val="left"/>
      <w:pPr>
        <w:tabs>
          <w:tab w:val="num" w:pos="3600"/>
        </w:tabs>
        <w:ind w:left="3600" w:hanging="360"/>
      </w:pPr>
      <w:rPr>
        <w:rFonts w:ascii="Arial" w:hAnsi="Arial" w:hint="default"/>
      </w:rPr>
    </w:lvl>
    <w:lvl w:ilvl="5" w:tplc="ECB44080" w:tentative="1">
      <w:start w:val="1"/>
      <w:numFmt w:val="bullet"/>
      <w:lvlText w:val="•"/>
      <w:lvlJc w:val="left"/>
      <w:pPr>
        <w:tabs>
          <w:tab w:val="num" w:pos="4320"/>
        </w:tabs>
        <w:ind w:left="4320" w:hanging="360"/>
      </w:pPr>
      <w:rPr>
        <w:rFonts w:ascii="Arial" w:hAnsi="Arial" w:hint="default"/>
      </w:rPr>
    </w:lvl>
    <w:lvl w:ilvl="6" w:tplc="F41EC3FC" w:tentative="1">
      <w:start w:val="1"/>
      <w:numFmt w:val="bullet"/>
      <w:lvlText w:val="•"/>
      <w:lvlJc w:val="left"/>
      <w:pPr>
        <w:tabs>
          <w:tab w:val="num" w:pos="5040"/>
        </w:tabs>
        <w:ind w:left="5040" w:hanging="360"/>
      </w:pPr>
      <w:rPr>
        <w:rFonts w:ascii="Arial" w:hAnsi="Arial" w:hint="default"/>
      </w:rPr>
    </w:lvl>
    <w:lvl w:ilvl="7" w:tplc="1F58DDDE" w:tentative="1">
      <w:start w:val="1"/>
      <w:numFmt w:val="bullet"/>
      <w:lvlText w:val="•"/>
      <w:lvlJc w:val="left"/>
      <w:pPr>
        <w:tabs>
          <w:tab w:val="num" w:pos="5760"/>
        </w:tabs>
        <w:ind w:left="5760" w:hanging="360"/>
      </w:pPr>
      <w:rPr>
        <w:rFonts w:ascii="Arial" w:hAnsi="Arial" w:hint="default"/>
      </w:rPr>
    </w:lvl>
    <w:lvl w:ilvl="8" w:tplc="0E7E69B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8745AD5"/>
    <w:multiLevelType w:val="hybridMultilevel"/>
    <w:tmpl w:val="79B8EDEE"/>
    <w:lvl w:ilvl="0" w:tplc="0088D8D6">
      <w:start w:val="1"/>
      <w:numFmt w:val="bullet"/>
      <w:pStyle w:val="PBSTaabullet"/>
      <w:lvlText w:val=""/>
      <w:lvlJc w:val="left"/>
      <w:pPr>
        <w:ind w:left="360" w:hanging="360"/>
      </w:pPr>
      <w:rPr>
        <w:rFonts w:ascii="Symbol" w:hAnsi="Symbol" w:hint="default"/>
      </w:rPr>
    </w:lvl>
    <w:lvl w:ilvl="1" w:tplc="3C201DD6">
      <w:start w:val="1"/>
      <w:numFmt w:val="bullet"/>
      <w:lvlText w:val="o"/>
      <w:lvlJc w:val="left"/>
      <w:pPr>
        <w:ind w:left="1080" w:hanging="360"/>
      </w:pPr>
      <w:rPr>
        <w:rFonts w:ascii="Courier New" w:hAnsi="Courier New" w:cs="Courier New" w:hint="default"/>
      </w:rPr>
    </w:lvl>
    <w:lvl w:ilvl="2" w:tplc="EC563FDA">
      <w:start w:val="1"/>
      <w:numFmt w:val="bullet"/>
      <w:lvlText w:val=""/>
      <w:lvlJc w:val="left"/>
      <w:pPr>
        <w:ind w:left="1800" w:hanging="360"/>
      </w:pPr>
      <w:rPr>
        <w:rFonts w:ascii="Wingdings" w:hAnsi="Wingdings" w:hint="default"/>
      </w:rPr>
    </w:lvl>
    <w:lvl w:ilvl="3" w:tplc="02C6AC68">
      <w:start w:val="1"/>
      <w:numFmt w:val="bullet"/>
      <w:lvlText w:val=""/>
      <w:lvlJc w:val="left"/>
      <w:pPr>
        <w:ind w:left="2520" w:hanging="360"/>
      </w:pPr>
      <w:rPr>
        <w:rFonts w:ascii="Symbol" w:hAnsi="Symbol" w:hint="default"/>
      </w:rPr>
    </w:lvl>
    <w:lvl w:ilvl="4" w:tplc="B7E091AA">
      <w:start w:val="1"/>
      <w:numFmt w:val="bullet"/>
      <w:lvlText w:val="o"/>
      <w:lvlJc w:val="left"/>
      <w:pPr>
        <w:ind w:left="3240" w:hanging="360"/>
      </w:pPr>
      <w:rPr>
        <w:rFonts w:ascii="Courier New" w:hAnsi="Courier New" w:cs="Courier New" w:hint="default"/>
      </w:rPr>
    </w:lvl>
    <w:lvl w:ilvl="5" w:tplc="CEA66844">
      <w:start w:val="1"/>
      <w:numFmt w:val="bullet"/>
      <w:lvlText w:val=""/>
      <w:lvlJc w:val="left"/>
      <w:pPr>
        <w:ind w:left="3960" w:hanging="360"/>
      </w:pPr>
      <w:rPr>
        <w:rFonts w:ascii="Wingdings" w:hAnsi="Wingdings" w:hint="default"/>
      </w:rPr>
    </w:lvl>
    <w:lvl w:ilvl="6" w:tplc="5B48439E">
      <w:start w:val="1"/>
      <w:numFmt w:val="bullet"/>
      <w:lvlText w:val=""/>
      <w:lvlJc w:val="left"/>
      <w:pPr>
        <w:ind w:left="4680" w:hanging="360"/>
      </w:pPr>
      <w:rPr>
        <w:rFonts w:ascii="Symbol" w:hAnsi="Symbol" w:hint="default"/>
      </w:rPr>
    </w:lvl>
    <w:lvl w:ilvl="7" w:tplc="84CE5B12">
      <w:start w:val="1"/>
      <w:numFmt w:val="bullet"/>
      <w:lvlText w:val="o"/>
      <w:lvlJc w:val="left"/>
      <w:pPr>
        <w:ind w:left="5400" w:hanging="360"/>
      </w:pPr>
      <w:rPr>
        <w:rFonts w:ascii="Courier New" w:hAnsi="Courier New" w:cs="Courier New" w:hint="default"/>
      </w:rPr>
    </w:lvl>
    <w:lvl w:ilvl="8" w:tplc="539AA352">
      <w:start w:val="1"/>
      <w:numFmt w:val="bullet"/>
      <w:lvlText w:val=""/>
      <w:lvlJc w:val="left"/>
      <w:pPr>
        <w:ind w:left="6120" w:hanging="360"/>
      </w:pPr>
      <w:rPr>
        <w:rFonts w:ascii="Wingdings" w:hAnsi="Wingdings" w:hint="default"/>
      </w:rPr>
    </w:lvl>
  </w:abstractNum>
  <w:abstractNum w:abstractNumId="14" w15:restartNumberingAfterBreak="0">
    <w:nsid w:val="1DF85DE9"/>
    <w:multiLevelType w:val="hybridMultilevel"/>
    <w:tmpl w:val="1090AFE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6D153ED"/>
    <w:multiLevelType w:val="hybridMultilevel"/>
    <w:tmpl w:val="C5306E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7134AC5"/>
    <w:multiLevelType w:val="hybridMultilevel"/>
    <w:tmpl w:val="F4784926"/>
    <w:lvl w:ilvl="0" w:tplc="64882BB4">
      <w:start w:val="1"/>
      <w:numFmt w:val="bullet"/>
      <w:pStyle w:val="ListParagraph"/>
      <w:lvlText w:val=""/>
      <w:lvlJc w:val="left"/>
      <w:pPr>
        <w:ind w:left="644" w:hanging="360"/>
      </w:pPr>
      <w:rPr>
        <w:rFonts w:ascii="Wingdings" w:hAnsi="Wingdings" w:hint="default"/>
        <w:color w:val="78BE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2A70518D"/>
    <w:multiLevelType w:val="hybridMultilevel"/>
    <w:tmpl w:val="6B5C28AA"/>
    <w:lvl w:ilvl="0" w:tplc="0C090001">
      <w:start w:val="1"/>
      <w:numFmt w:val="bullet"/>
      <w:lvlText w:val=""/>
      <w:lvlJc w:val="left"/>
      <w:pPr>
        <w:ind w:left="720" w:hanging="360"/>
      </w:pPr>
      <w:rPr>
        <w:rFonts w:ascii="Symbol" w:hAnsi="Symbol" w:hint="default"/>
      </w:rPr>
    </w:lvl>
    <w:lvl w:ilvl="1" w:tplc="4C12D812">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5854DA"/>
    <w:multiLevelType w:val="hybridMultilevel"/>
    <w:tmpl w:val="F96C2AE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 w15:restartNumberingAfterBreak="0">
    <w:nsid w:val="2DB22F8D"/>
    <w:multiLevelType w:val="hybridMultilevel"/>
    <w:tmpl w:val="B0844616"/>
    <w:lvl w:ilvl="0" w:tplc="1B4C8588">
      <w:start w:val="1"/>
      <w:numFmt w:val="decimal"/>
      <w:lvlText w:val="%1."/>
      <w:lvlJc w:val="left"/>
      <w:pPr>
        <w:ind w:left="360" w:hanging="360"/>
      </w:pPr>
      <w:rPr>
        <w:rFonts w:ascii="Arial" w:hAnsi="Arial" w:cs="Arial" w:hint="default"/>
        <w:sz w:val="20"/>
        <w:szCs w:val="2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0" w15:restartNumberingAfterBreak="0">
    <w:nsid w:val="2E7160F4"/>
    <w:multiLevelType w:val="multilevel"/>
    <w:tmpl w:val="82602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6E0DF4"/>
    <w:multiLevelType w:val="hybridMultilevel"/>
    <w:tmpl w:val="F18041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35386DF8"/>
    <w:multiLevelType w:val="hybridMultilevel"/>
    <w:tmpl w:val="FF807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290D7D"/>
    <w:multiLevelType w:val="hybridMultilevel"/>
    <w:tmpl w:val="6704969C"/>
    <w:lvl w:ilvl="0" w:tplc="05143372">
      <w:start w:val="1"/>
      <w:numFmt w:val="decimal"/>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2234B8"/>
    <w:multiLevelType w:val="hybridMultilevel"/>
    <w:tmpl w:val="25BE2BE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826F72"/>
    <w:multiLevelType w:val="hybridMultilevel"/>
    <w:tmpl w:val="76484AD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4BA542F1"/>
    <w:multiLevelType w:val="hybridMultilevel"/>
    <w:tmpl w:val="930E0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FA07A9"/>
    <w:multiLevelType w:val="hybridMultilevel"/>
    <w:tmpl w:val="F834A3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5FD0088"/>
    <w:multiLevelType w:val="hybridMultilevel"/>
    <w:tmpl w:val="56D0F518"/>
    <w:lvl w:ilvl="0" w:tplc="440625D2">
      <w:start w:val="1"/>
      <w:numFmt w:val="bullet"/>
      <w:lvlText w:val=""/>
      <w:lvlJc w:val="left"/>
      <w:pPr>
        <w:ind w:left="1740" w:hanging="720"/>
      </w:pPr>
      <w:rPr>
        <w:rFonts w:ascii="Symbol" w:hAnsi="Symbol" w:hint="default"/>
        <w:sz w:val="20"/>
        <w:szCs w:val="20"/>
      </w:rPr>
    </w:lvl>
    <w:lvl w:ilvl="1" w:tplc="0C090003">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29" w15:restartNumberingAfterBreak="0">
    <w:nsid w:val="5D67709D"/>
    <w:multiLevelType w:val="hybridMultilevel"/>
    <w:tmpl w:val="6F7A2F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A66C19"/>
    <w:multiLevelType w:val="hybridMultilevel"/>
    <w:tmpl w:val="8FFC2C18"/>
    <w:lvl w:ilvl="0" w:tplc="E36C6BAA">
      <w:start w:val="1"/>
      <w:numFmt w:val="bullet"/>
      <w:pStyle w:val="Style2"/>
      <w:lvlText w:val=""/>
      <w:lvlJc w:val="left"/>
      <w:pPr>
        <w:ind w:left="360" w:hanging="360"/>
      </w:pPr>
      <w:rPr>
        <w:rFonts w:ascii="Symbol" w:hAnsi="Symbol" w:hint="default"/>
        <w:color w:val="auto"/>
      </w:rPr>
    </w:lvl>
    <w:lvl w:ilvl="1" w:tplc="BF6041EA">
      <w:start w:val="1"/>
      <w:numFmt w:val="bullet"/>
      <w:lvlText w:val="o"/>
      <w:lvlJc w:val="left"/>
      <w:pPr>
        <w:ind w:left="1080" w:hanging="360"/>
      </w:pPr>
      <w:rPr>
        <w:rFonts w:ascii="Courier New" w:hAnsi="Courier New" w:cs="Courier New" w:hint="default"/>
      </w:rPr>
    </w:lvl>
    <w:lvl w:ilvl="2" w:tplc="12CEA4DE">
      <w:start w:val="1"/>
      <w:numFmt w:val="bullet"/>
      <w:lvlText w:val=""/>
      <w:lvlJc w:val="left"/>
      <w:pPr>
        <w:ind w:left="1800" w:hanging="360"/>
      </w:pPr>
      <w:rPr>
        <w:rFonts w:ascii="Wingdings" w:hAnsi="Wingdings" w:hint="default"/>
      </w:rPr>
    </w:lvl>
    <w:lvl w:ilvl="3" w:tplc="580A1222">
      <w:start w:val="1"/>
      <w:numFmt w:val="bullet"/>
      <w:lvlText w:val=""/>
      <w:lvlJc w:val="left"/>
      <w:pPr>
        <w:ind w:left="2520" w:hanging="360"/>
      </w:pPr>
      <w:rPr>
        <w:rFonts w:ascii="Symbol" w:hAnsi="Symbol" w:hint="default"/>
      </w:rPr>
    </w:lvl>
    <w:lvl w:ilvl="4" w:tplc="EEDE615A">
      <w:start w:val="1"/>
      <w:numFmt w:val="bullet"/>
      <w:lvlText w:val="o"/>
      <w:lvlJc w:val="left"/>
      <w:pPr>
        <w:ind w:left="3240" w:hanging="360"/>
      </w:pPr>
      <w:rPr>
        <w:rFonts w:ascii="Courier New" w:hAnsi="Courier New" w:cs="Courier New" w:hint="default"/>
      </w:rPr>
    </w:lvl>
    <w:lvl w:ilvl="5" w:tplc="1242EC58">
      <w:start w:val="1"/>
      <w:numFmt w:val="bullet"/>
      <w:lvlText w:val=""/>
      <w:lvlJc w:val="left"/>
      <w:pPr>
        <w:ind w:left="3960" w:hanging="360"/>
      </w:pPr>
      <w:rPr>
        <w:rFonts w:ascii="Wingdings" w:hAnsi="Wingdings" w:hint="default"/>
      </w:rPr>
    </w:lvl>
    <w:lvl w:ilvl="6" w:tplc="9E7C7C82">
      <w:start w:val="1"/>
      <w:numFmt w:val="bullet"/>
      <w:lvlText w:val=""/>
      <w:lvlJc w:val="left"/>
      <w:pPr>
        <w:ind w:left="4680" w:hanging="360"/>
      </w:pPr>
      <w:rPr>
        <w:rFonts w:ascii="Symbol" w:hAnsi="Symbol" w:hint="default"/>
      </w:rPr>
    </w:lvl>
    <w:lvl w:ilvl="7" w:tplc="18CE0E78">
      <w:start w:val="1"/>
      <w:numFmt w:val="bullet"/>
      <w:lvlText w:val="o"/>
      <w:lvlJc w:val="left"/>
      <w:pPr>
        <w:ind w:left="5400" w:hanging="360"/>
      </w:pPr>
      <w:rPr>
        <w:rFonts w:ascii="Courier New" w:hAnsi="Courier New" w:cs="Courier New" w:hint="default"/>
      </w:rPr>
    </w:lvl>
    <w:lvl w:ilvl="8" w:tplc="615C5A32">
      <w:start w:val="1"/>
      <w:numFmt w:val="bullet"/>
      <w:lvlText w:val=""/>
      <w:lvlJc w:val="left"/>
      <w:pPr>
        <w:ind w:left="6120" w:hanging="360"/>
      </w:pPr>
      <w:rPr>
        <w:rFonts w:ascii="Wingdings" w:hAnsi="Wingdings" w:hint="default"/>
      </w:rPr>
    </w:lvl>
  </w:abstractNum>
  <w:abstractNum w:abstractNumId="31" w15:restartNumberingAfterBreak="0">
    <w:nsid w:val="61582DD0"/>
    <w:multiLevelType w:val="hybridMultilevel"/>
    <w:tmpl w:val="7450B074"/>
    <w:lvl w:ilvl="0" w:tplc="632285DC">
      <w:start w:val="1"/>
      <w:numFmt w:val="bullet"/>
      <w:pStyle w:val="TABLESUBBullets"/>
      <w:lvlText w:val="̶"/>
      <w:lvlJc w:val="left"/>
      <w:pPr>
        <w:ind w:left="1004" w:hanging="360"/>
      </w:pPr>
      <w:rPr>
        <w:rFonts w:ascii="Arial" w:hAnsi="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62092D8E"/>
    <w:multiLevelType w:val="hybridMultilevel"/>
    <w:tmpl w:val="AC62A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177DD9"/>
    <w:multiLevelType w:val="hybridMultilevel"/>
    <w:tmpl w:val="8C2E4AC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5D863ED"/>
    <w:multiLevelType w:val="hybridMultilevel"/>
    <w:tmpl w:val="79680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FC1BE0"/>
    <w:multiLevelType w:val="hybridMultilevel"/>
    <w:tmpl w:val="2EC0C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682A8C"/>
    <w:multiLevelType w:val="hybridMultilevel"/>
    <w:tmpl w:val="D5047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FF4AB3"/>
    <w:multiLevelType w:val="hybridMultilevel"/>
    <w:tmpl w:val="54E40EEA"/>
    <w:lvl w:ilvl="0" w:tplc="229048DE">
      <w:start w:val="1"/>
      <w:numFmt w:val="decimal"/>
      <w:pStyle w:val="TABLE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A764B6"/>
    <w:multiLevelType w:val="hybridMultilevel"/>
    <w:tmpl w:val="F2EABA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71460726">
      <w:numFmt w:val="bullet"/>
      <w:lvlText w:val="•"/>
      <w:lvlJc w:val="left"/>
      <w:pPr>
        <w:ind w:left="2160" w:hanging="360"/>
      </w:pPr>
      <w:rPr>
        <w:rFonts w:ascii="Calibri" w:eastAsiaTheme="minorEastAsia"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F61FDD"/>
    <w:multiLevelType w:val="hybridMultilevel"/>
    <w:tmpl w:val="26B0846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37E6972"/>
    <w:multiLevelType w:val="hybridMultilevel"/>
    <w:tmpl w:val="2FB49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2C3137"/>
    <w:multiLevelType w:val="hybridMultilevel"/>
    <w:tmpl w:val="0EF092C8"/>
    <w:lvl w:ilvl="0" w:tplc="8ECE144C">
      <w:start w:val="1"/>
      <w:numFmt w:val="bullet"/>
      <w:pStyle w:val="PBSbullet"/>
      <w:lvlText w:val=""/>
      <w:lvlJc w:val="left"/>
      <w:pPr>
        <w:ind w:left="720" w:hanging="360"/>
      </w:pPr>
      <w:rPr>
        <w:rFonts w:ascii="Symbol" w:hAnsi="Symbol" w:hint="default"/>
      </w:rPr>
    </w:lvl>
    <w:lvl w:ilvl="1" w:tplc="20E2EA32">
      <w:start w:val="1"/>
      <w:numFmt w:val="bullet"/>
      <w:lvlText w:val="o"/>
      <w:lvlJc w:val="left"/>
      <w:pPr>
        <w:ind w:left="1440" w:hanging="360"/>
      </w:pPr>
      <w:rPr>
        <w:rFonts w:ascii="Courier New" w:hAnsi="Courier New" w:cs="Courier New" w:hint="default"/>
      </w:rPr>
    </w:lvl>
    <w:lvl w:ilvl="2" w:tplc="3FA029CC">
      <w:start w:val="1"/>
      <w:numFmt w:val="bullet"/>
      <w:lvlText w:val=""/>
      <w:lvlJc w:val="left"/>
      <w:pPr>
        <w:ind w:left="2160" w:hanging="360"/>
      </w:pPr>
      <w:rPr>
        <w:rFonts w:ascii="Wingdings" w:hAnsi="Wingdings" w:hint="default"/>
      </w:rPr>
    </w:lvl>
    <w:lvl w:ilvl="3" w:tplc="F2B0EB64">
      <w:start w:val="1"/>
      <w:numFmt w:val="bullet"/>
      <w:lvlText w:val=""/>
      <w:lvlJc w:val="left"/>
      <w:pPr>
        <w:ind w:left="2880" w:hanging="360"/>
      </w:pPr>
      <w:rPr>
        <w:rFonts w:ascii="Symbol" w:hAnsi="Symbol" w:hint="default"/>
      </w:rPr>
    </w:lvl>
    <w:lvl w:ilvl="4" w:tplc="F4E44FA6">
      <w:start w:val="1"/>
      <w:numFmt w:val="bullet"/>
      <w:lvlText w:val="o"/>
      <w:lvlJc w:val="left"/>
      <w:pPr>
        <w:ind w:left="3600" w:hanging="360"/>
      </w:pPr>
      <w:rPr>
        <w:rFonts w:ascii="Courier New" w:hAnsi="Courier New" w:cs="Courier New" w:hint="default"/>
      </w:rPr>
    </w:lvl>
    <w:lvl w:ilvl="5" w:tplc="2C0E6F9C">
      <w:start w:val="1"/>
      <w:numFmt w:val="bullet"/>
      <w:lvlText w:val=""/>
      <w:lvlJc w:val="left"/>
      <w:pPr>
        <w:ind w:left="4320" w:hanging="360"/>
      </w:pPr>
      <w:rPr>
        <w:rFonts w:ascii="Wingdings" w:hAnsi="Wingdings" w:hint="default"/>
      </w:rPr>
    </w:lvl>
    <w:lvl w:ilvl="6" w:tplc="1BB08D4C">
      <w:start w:val="1"/>
      <w:numFmt w:val="bullet"/>
      <w:lvlText w:val=""/>
      <w:lvlJc w:val="left"/>
      <w:pPr>
        <w:ind w:left="5040" w:hanging="360"/>
      </w:pPr>
      <w:rPr>
        <w:rFonts w:ascii="Symbol" w:hAnsi="Symbol" w:hint="default"/>
      </w:rPr>
    </w:lvl>
    <w:lvl w:ilvl="7" w:tplc="25082D06">
      <w:start w:val="1"/>
      <w:numFmt w:val="bullet"/>
      <w:lvlText w:val="o"/>
      <w:lvlJc w:val="left"/>
      <w:pPr>
        <w:ind w:left="5760" w:hanging="360"/>
      </w:pPr>
      <w:rPr>
        <w:rFonts w:ascii="Courier New" w:hAnsi="Courier New" w:cs="Courier New" w:hint="default"/>
      </w:rPr>
    </w:lvl>
    <w:lvl w:ilvl="8" w:tplc="967827C0">
      <w:start w:val="1"/>
      <w:numFmt w:val="bullet"/>
      <w:lvlText w:val=""/>
      <w:lvlJc w:val="left"/>
      <w:pPr>
        <w:ind w:left="6480" w:hanging="360"/>
      </w:pPr>
      <w:rPr>
        <w:rFonts w:ascii="Wingdings" w:hAnsi="Wingdings" w:hint="default"/>
      </w:rPr>
    </w:lvl>
  </w:abstractNum>
  <w:abstractNum w:abstractNumId="42" w15:restartNumberingAfterBreak="0">
    <w:nsid w:val="788A0C73"/>
    <w:multiLevelType w:val="hybridMultilevel"/>
    <w:tmpl w:val="AB44F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180"/>
      </w:pPr>
      <w:rPr>
        <w:rFonts w:ascii="Wingdings" w:hAnsi="Wingdings" w:hint="default"/>
      </w:rPr>
    </w:lvl>
    <w:lvl w:ilvl="3" w:tplc="6B74B56A">
      <w:numFmt w:val="bullet"/>
      <w:lvlText w:val="•"/>
      <w:lvlJc w:val="left"/>
      <w:pPr>
        <w:ind w:left="3240" w:hanging="720"/>
      </w:pPr>
      <w:rPr>
        <w:rFonts w:ascii="Arial" w:eastAsia="Times New Roman" w:hAnsi="Arial" w:cs="Aria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91E1424"/>
    <w:multiLevelType w:val="hybridMultilevel"/>
    <w:tmpl w:val="FEFA4B90"/>
    <w:lvl w:ilvl="0" w:tplc="16DE914C">
      <w:start w:val="1"/>
      <w:numFmt w:val="bullet"/>
      <w:pStyle w:val="PBSbullet0"/>
      <w:lvlText w:val=""/>
      <w:lvlJc w:val="left"/>
      <w:pPr>
        <w:ind w:left="360" w:hanging="360"/>
      </w:pPr>
      <w:rPr>
        <w:rFonts w:ascii="Symbol" w:hAnsi="Symbol" w:hint="default"/>
      </w:rPr>
    </w:lvl>
    <w:lvl w:ilvl="1" w:tplc="AE823040">
      <w:start w:val="1"/>
      <w:numFmt w:val="bullet"/>
      <w:lvlText w:val="o"/>
      <w:lvlJc w:val="left"/>
      <w:pPr>
        <w:ind w:left="1080" w:hanging="360"/>
      </w:pPr>
      <w:rPr>
        <w:rFonts w:ascii="Courier New" w:hAnsi="Courier New" w:cs="Courier New" w:hint="default"/>
      </w:rPr>
    </w:lvl>
    <w:lvl w:ilvl="2" w:tplc="78B2E15E">
      <w:start w:val="1"/>
      <w:numFmt w:val="bullet"/>
      <w:lvlText w:val=""/>
      <w:lvlJc w:val="left"/>
      <w:pPr>
        <w:ind w:left="1800" w:hanging="360"/>
      </w:pPr>
      <w:rPr>
        <w:rFonts w:ascii="Wingdings" w:hAnsi="Wingdings" w:hint="default"/>
      </w:rPr>
    </w:lvl>
    <w:lvl w:ilvl="3" w:tplc="90FA61A8">
      <w:start w:val="1"/>
      <w:numFmt w:val="bullet"/>
      <w:lvlText w:val=""/>
      <w:lvlJc w:val="left"/>
      <w:pPr>
        <w:ind w:left="2520" w:hanging="360"/>
      </w:pPr>
      <w:rPr>
        <w:rFonts w:ascii="Symbol" w:hAnsi="Symbol" w:hint="default"/>
      </w:rPr>
    </w:lvl>
    <w:lvl w:ilvl="4" w:tplc="C6E03C50">
      <w:start w:val="1"/>
      <w:numFmt w:val="bullet"/>
      <w:lvlText w:val="o"/>
      <w:lvlJc w:val="left"/>
      <w:pPr>
        <w:ind w:left="3240" w:hanging="360"/>
      </w:pPr>
      <w:rPr>
        <w:rFonts w:ascii="Courier New" w:hAnsi="Courier New" w:cs="Courier New" w:hint="default"/>
      </w:rPr>
    </w:lvl>
    <w:lvl w:ilvl="5" w:tplc="4B68402A">
      <w:start w:val="1"/>
      <w:numFmt w:val="bullet"/>
      <w:lvlText w:val=""/>
      <w:lvlJc w:val="left"/>
      <w:pPr>
        <w:ind w:left="3960" w:hanging="360"/>
      </w:pPr>
      <w:rPr>
        <w:rFonts w:ascii="Wingdings" w:hAnsi="Wingdings" w:hint="default"/>
      </w:rPr>
    </w:lvl>
    <w:lvl w:ilvl="6" w:tplc="FECC7CE2">
      <w:start w:val="1"/>
      <w:numFmt w:val="bullet"/>
      <w:lvlText w:val=""/>
      <w:lvlJc w:val="left"/>
      <w:pPr>
        <w:ind w:left="4680" w:hanging="360"/>
      </w:pPr>
      <w:rPr>
        <w:rFonts w:ascii="Symbol" w:hAnsi="Symbol" w:hint="default"/>
      </w:rPr>
    </w:lvl>
    <w:lvl w:ilvl="7" w:tplc="6E88BF7A">
      <w:start w:val="1"/>
      <w:numFmt w:val="bullet"/>
      <w:lvlText w:val="o"/>
      <w:lvlJc w:val="left"/>
      <w:pPr>
        <w:ind w:left="5400" w:hanging="360"/>
      </w:pPr>
      <w:rPr>
        <w:rFonts w:ascii="Courier New" w:hAnsi="Courier New" w:cs="Courier New" w:hint="default"/>
      </w:rPr>
    </w:lvl>
    <w:lvl w:ilvl="8" w:tplc="4D9016F6">
      <w:start w:val="1"/>
      <w:numFmt w:val="bullet"/>
      <w:lvlText w:val=""/>
      <w:lvlJc w:val="left"/>
      <w:pPr>
        <w:ind w:left="6120" w:hanging="360"/>
      </w:pPr>
      <w:rPr>
        <w:rFonts w:ascii="Wingdings" w:hAnsi="Wingdings" w:hint="default"/>
      </w:rPr>
    </w:lvl>
  </w:abstractNum>
  <w:abstractNum w:abstractNumId="44" w15:restartNumberingAfterBreak="0">
    <w:nsid w:val="7D9E62C2"/>
    <w:multiLevelType w:val="hybridMultilevel"/>
    <w:tmpl w:val="F4C48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9"/>
  </w:num>
  <w:num w:numId="4">
    <w:abstractNumId w:val="43"/>
  </w:num>
  <w:num w:numId="5">
    <w:abstractNumId w:val="13"/>
  </w:num>
  <w:num w:numId="6">
    <w:abstractNumId w:val="41"/>
  </w:num>
  <w:num w:numId="7">
    <w:abstractNumId w:val="10"/>
  </w:num>
  <w:num w:numId="8">
    <w:abstractNumId w:val="30"/>
  </w:num>
  <w:num w:numId="9">
    <w:abstractNumId w:val="16"/>
  </w:num>
  <w:num w:numId="10">
    <w:abstractNumId w:val="37"/>
  </w:num>
  <w:num w:numId="11">
    <w:abstractNumId w:val="31"/>
  </w:num>
  <w:num w:numId="12">
    <w:abstractNumId w:val="16"/>
  </w:num>
  <w:num w:numId="13">
    <w:abstractNumId w:val="20"/>
  </w:num>
  <w:num w:numId="14">
    <w:abstractNumId w:val="23"/>
  </w:num>
  <w:num w:numId="15">
    <w:abstractNumId w:val="28"/>
  </w:num>
  <w:num w:numId="16">
    <w:abstractNumId w:val="8"/>
  </w:num>
  <w:num w:numId="17">
    <w:abstractNumId w:val="26"/>
  </w:num>
  <w:num w:numId="18">
    <w:abstractNumId w:val="36"/>
  </w:num>
  <w:num w:numId="19">
    <w:abstractNumId w:val="6"/>
  </w:num>
  <w:num w:numId="20">
    <w:abstractNumId w:val="34"/>
  </w:num>
  <w:num w:numId="21">
    <w:abstractNumId w:val="17"/>
  </w:num>
  <w:num w:numId="22">
    <w:abstractNumId w:val="42"/>
  </w:num>
  <w:num w:numId="23">
    <w:abstractNumId w:val="5"/>
  </w:num>
  <w:num w:numId="24">
    <w:abstractNumId w:val="15"/>
  </w:num>
  <w:num w:numId="25">
    <w:abstractNumId w:val="33"/>
  </w:num>
  <w:num w:numId="26">
    <w:abstractNumId w:val="25"/>
  </w:num>
  <w:num w:numId="27">
    <w:abstractNumId w:val="0"/>
  </w:num>
  <w:num w:numId="28">
    <w:abstractNumId w:val="7"/>
  </w:num>
  <w:num w:numId="29">
    <w:abstractNumId w:val="18"/>
  </w:num>
  <w:num w:numId="30">
    <w:abstractNumId w:val="44"/>
  </w:num>
  <w:num w:numId="31">
    <w:abstractNumId w:val="24"/>
  </w:num>
  <w:num w:numId="32">
    <w:abstractNumId w:val="9"/>
  </w:num>
  <w:num w:numId="33">
    <w:abstractNumId w:val="38"/>
  </w:num>
  <w:num w:numId="34">
    <w:abstractNumId w:val="14"/>
  </w:num>
  <w:num w:numId="35">
    <w:abstractNumId w:val="40"/>
  </w:num>
  <w:num w:numId="36">
    <w:abstractNumId w:val="32"/>
  </w:num>
  <w:num w:numId="37">
    <w:abstractNumId w:val="1"/>
  </w:num>
  <w:num w:numId="38">
    <w:abstractNumId w:val="2"/>
  </w:num>
  <w:num w:numId="39">
    <w:abstractNumId w:val="39"/>
  </w:num>
  <w:num w:numId="40">
    <w:abstractNumId w:val="11"/>
  </w:num>
  <w:num w:numId="41">
    <w:abstractNumId w:val="35"/>
  </w:num>
  <w:num w:numId="42">
    <w:abstractNumId w:val="3"/>
  </w:num>
  <w:num w:numId="43">
    <w:abstractNumId w:val="29"/>
  </w:num>
  <w:num w:numId="44">
    <w:abstractNumId w:val="22"/>
  </w:num>
  <w:num w:numId="45">
    <w:abstractNumId w:val="27"/>
  </w:num>
  <w:num w:numId="46">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D99"/>
    <w:rsid w:val="000008F2"/>
    <w:rsid w:val="000017BC"/>
    <w:rsid w:val="00001B01"/>
    <w:rsid w:val="0000208F"/>
    <w:rsid w:val="00003A17"/>
    <w:rsid w:val="00004947"/>
    <w:rsid w:val="00004F06"/>
    <w:rsid w:val="000052D1"/>
    <w:rsid w:val="0000539A"/>
    <w:rsid w:val="00005633"/>
    <w:rsid w:val="00006D66"/>
    <w:rsid w:val="000071B1"/>
    <w:rsid w:val="00007383"/>
    <w:rsid w:val="00007426"/>
    <w:rsid w:val="0000758C"/>
    <w:rsid w:val="0000787E"/>
    <w:rsid w:val="00007BCF"/>
    <w:rsid w:val="00010379"/>
    <w:rsid w:val="00012211"/>
    <w:rsid w:val="00012A4B"/>
    <w:rsid w:val="00012C35"/>
    <w:rsid w:val="00012FC0"/>
    <w:rsid w:val="000135BE"/>
    <w:rsid w:val="00014834"/>
    <w:rsid w:val="00014C1C"/>
    <w:rsid w:val="00014C60"/>
    <w:rsid w:val="00015636"/>
    <w:rsid w:val="00015709"/>
    <w:rsid w:val="00016145"/>
    <w:rsid w:val="000166EB"/>
    <w:rsid w:val="000172C0"/>
    <w:rsid w:val="00020094"/>
    <w:rsid w:val="0002040F"/>
    <w:rsid w:val="00020471"/>
    <w:rsid w:val="00020818"/>
    <w:rsid w:val="00020862"/>
    <w:rsid w:val="00020C9A"/>
    <w:rsid w:val="00020F87"/>
    <w:rsid w:val="000213D9"/>
    <w:rsid w:val="00021807"/>
    <w:rsid w:val="00021CCA"/>
    <w:rsid w:val="000256C8"/>
    <w:rsid w:val="000264C2"/>
    <w:rsid w:val="000267DD"/>
    <w:rsid w:val="00027DE4"/>
    <w:rsid w:val="00027E63"/>
    <w:rsid w:val="00030171"/>
    <w:rsid w:val="00030543"/>
    <w:rsid w:val="00030908"/>
    <w:rsid w:val="00030C49"/>
    <w:rsid w:val="00030DF4"/>
    <w:rsid w:val="0003127C"/>
    <w:rsid w:val="00032199"/>
    <w:rsid w:val="000324C6"/>
    <w:rsid w:val="0003264A"/>
    <w:rsid w:val="00033E24"/>
    <w:rsid w:val="00033EE3"/>
    <w:rsid w:val="000346CB"/>
    <w:rsid w:val="00034776"/>
    <w:rsid w:val="00034EE0"/>
    <w:rsid w:val="00035B6F"/>
    <w:rsid w:val="00035DCA"/>
    <w:rsid w:val="000365BD"/>
    <w:rsid w:val="000367B9"/>
    <w:rsid w:val="00037795"/>
    <w:rsid w:val="00037E9F"/>
    <w:rsid w:val="00040312"/>
    <w:rsid w:val="00040E00"/>
    <w:rsid w:val="00040F6B"/>
    <w:rsid w:val="00042155"/>
    <w:rsid w:val="00042C4C"/>
    <w:rsid w:val="00042DD3"/>
    <w:rsid w:val="00043C14"/>
    <w:rsid w:val="00044A69"/>
    <w:rsid w:val="000457B1"/>
    <w:rsid w:val="00045890"/>
    <w:rsid w:val="00045972"/>
    <w:rsid w:val="00045DDF"/>
    <w:rsid w:val="0004616C"/>
    <w:rsid w:val="000463D5"/>
    <w:rsid w:val="00047A91"/>
    <w:rsid w:val="00047AF8"/>
    <w:rsid w:val="00050089"/>
    <w:rsid w:val="000502D1"/>
    <w:rsid w:val="00051A99"/>
    <w:rsid w:val="00051B58"/>
    <w:rsid w:val="000526C5"/>
    <w:rsid w:val="000530A4"/>
    <w:rsid w:val="000537D6"/>
    <w:rsid w:val="00056759"/>
    <w:rsid w:val="00057101"/>
    <w:rsid w:val="0006061C"/>
    <w:rsid w:val="00060A7D"/>
    <w:rsid w:val="000630F0"/>
    <w:rsid w:val="00065065"/>
    <w:rsid w:val="0006572F"/>
    <w:rsid w:val="00065827"/>
    <w:rsid w:val="000662E4"/>
    <w:rsid w:val="000663E9"/>
    <w:rsid w:val="00066D85"/>
    <w:rsid w:val="00066F27"/>
    <w:rsid w:val="000678D8"/>
    <w:rsid w:val="0007037B"/>
    <w:rsid w:val="00070C17"/>
    <w:rsid w:val="0007106C"/>
    <w:rsid w:val="00071414"/>
    <w:rsid w:val="0007195A"/>
    <w:rsid w:val="000731A5"/>
    <w:rsid w:val="000732D5"/>
    <w:rsid w:val="00074B82"/>
    <w:rsid w:val="00074F05"/>
    <w:rsid w:val="000752C7"/>
    <w:rsid w:val="00075320"/>
    <w:rsid w:val="00075511"/>
    <w:rsid w:val="000757D0"/>
    <w:rsid w:val="00076425"/>
    <w:rsid w:val="00077D95"/>
    <w:rsid w:val="00077FA5"/>
    <w:rsid w:val="0008120A"/>
    <w:rsid w:val="00081D40"/>
    <w:rsid w:val="00082463"/>
    <w:rsid w:val="0008354B"/>
    <w:rsid w:val="00083A5B"/>
    <w:rsid w:val="0008419B"/>
    <w:rsid w:val="0008467C"/>
    <w:rsid w:val="00084A1B"/>
    <w:rsid w:val="0008606E"/>
    <w:rsid w:val="00086523"/>
    <w:rsid w:val="00086830"/>
    <w:rsid w:val="00086DAE"/>
    <w:rsid w:val="00087229"/>
    <w:rsid w:val="00087612"/>
    <w:rsid w:val="00092F43"/>
    <w:rsid w:val="00094249"/>
    <w:rsid w:val="0009437C"/>
    <w:rsid w:val="00095727"/>
    <w:rsid w:val="00096419"/>
    <w:rsid w:val="000971AD"/>
    <w:rsid w:val="000976A8"/>
    <w:rsid w:val="00097988"/>
    <w:rsid w:val="00097B3D"/>
    <w:rsid w:val="00097BBE"/>
    <w:rsid w:val="000A02AB"/>
    <w:rsid w:val="000A04FB"/>
    <w:rsid w:val="000A0F14"/>
    <w:rsid w:val="000A1AFD"/>
    <w:rsid w:val="000A2291"/>
    <w:rsid w:val="000A2F03"/>
    <w:rsid w:val="000A46C9"/>
    <w:rsid w:val="000A5E4D"/>
    <w:rsid w:val="000A7219"/>
    <w:rsid w:val="000A7C34"/>
    <w:rsid w:val="000B04C7"/>
    <w:rsid w:val="000B0B83"/>
    <w:rsid w:val="000B10F2"/>
    <w:rsid w:val="000B1330"/>
    <w:rsid w:val="000B1923"/>
    <w:rsid w:val="000B2E7B"/>
    <w:rsid w:val="000B37FA"/>
    <w:rsid w:val="000B43AE"/>
    <w:rsid w:val="000B46AA"/>
    <w:rsid w:val="000B4ED7"/>
    <w:rsid w:val="000B5234"/>
    <w:rsid w:val="000B5554"/>
    <w:rsid w:val="000B6FA8"/>
    <w:rsid w:val="000C0384"/>
    <w:rsid w:val="000C093A"/>
    <w:rsid w:val="000C3686"/>
    <w:rsid w:val="000C3AE7"/>
    <w:rsid w:val="000C4B4F"/>
    <w:rsid w:val="000C53CF"/>
    <w:rsid w:val="000C56AC"/>
    <w:rsid w:val="000C5F24"/>
    <w:rsid w:val="000C6C31"/>
    <w:rsid w:val="000C73BE"/>
    <w:rsid w:val="000C75C6"/>
    <w:rsid w:val="000D0D34"/>
    <w:rsid w:val="000D210C"/>
    <w:rsid w:val="000D22C9"/>
    <w:rsid w:val="000D3347"/>
    <w:rsid w:val="000D39A2"/>
    <w:rsid w:val="000D43CE"/>
    <w:rsid w:val="000D4869"/>
    <w:rsid w:val="000D5155"/>
    <w:rsid w:val="000D6C2B"/>
    <w:rsid w:val="000D6D13"/>
    <w:rsid w:val="000E0BA5"/>
    <w:rsid w:val="000E0DEE"/>
    <w:rsid w:val="000E17CB"/>
    <w:rsid w:val="000E2632"/>
    <w:rsid w:val="000E267F"/>
    <w:rsid w:val="000E27BE"/>
    <w:rsid w:val="000E3546"/>
    <w:rsid w:val="000E4866"/>
    <w:rsid w:val="000E4A21"/>
    <w:rsid w:val="000E4E39"/>
    <w:rsid w:val="000E5B7D"/>
    <w:rsid w:val="000E5F43"/>
    <w:rsid w:val="000E63D0"/>
    <w:rsid w:val="000E684C"/>
    <w:rsid w:val="000E6946"/>
    <w:rsid w:val="000E7741"/>
    <w:rsid w:val="000F2F6A"/>
    <w:rsid w:val="000F3C38"/>
    <w:rsid w:val="000F47BE"/>
    <w:rsid w:val="000F5694"/>
    <w:rsid w:val="000F57C2"/>
    <w:rsid w:val="000F6195"/>
    <w:rsid w:val="000F6413"/>
    <w:rsid w:val="000F7A9A"/>
    <w:rsid w:val="00100908"/>
    <w:rsid w:val="00102BFA"/>
    <w:rsid w:val="00103656"/>
    <w:rsid w:val="001039A6"/>
    <w:rsid w:val="00103F33"/>
    <w:rsid w:val="001041C5"/>
    <w:rsid w:val="001052B3"/>
    <w:rsid w:val="00106428"/>
    <w:rsid w:val="00106967"/>
    <w:rsid w:val="00107752"/>
    <w:rsid w:val="001108CC"/>
    <w:rsid w:val="00111333"/>
    <w:rsid w:val="00111CEC"/>
    <w:rsid w:val="00111D60"/>
    <w:rsid w:val="00111D82"/>
    <w:rsid w:val="0011298C"/>
    <w:rsid w:val="00112AE0"/>
    <w:rsid w:val="00112C02"/>
    <w:rsid w:val="001134E9"/>
    <w:rsid w:val="001147F4"/>
    <w:rsid w:val="001156E5"/>
    <w:rsid w:val="00115AFE"/>
    <w:rsid w:val="00115C0A"/>
    <w:rsid w:val="001202B1"/>
    <w:rsid w:val="00120310"/>
    <w:rsid w:val="00120778"/>
    <w:rsid w:val="00121607"/>
    <w:rsid w:val="00122495"/>
    <w:rsid w:val="001238EA"/>
    <w:rsid w:val="00123F4C"/>
    <w:rsid w:val="00124780"/>
    <w:rsid w:val="001257D3"/>
    <w:rsid w:val="00125F1B"/>
    <w:rsid w:val="00126286"/>
    <w:rsid w:val="001273DD"/>
    <w:rsid w:val="00127C2D"/>
    <w:rsid w:val="00127EF9"/>
    <w:rsid w:val="00130107"/>
    <w:rsid w:val="00130197"/>
    <w:rsid w:val="00130879"/>
    <w:rsid w:val="00130992"/>
    <w:rsid w:val="001313F1"/>
    <w:rsid w:val="0013158E"/>
    <w:rsid w:val="001320CA"/>
    <w:rsid w:val="0013230A"/>
    <w:rsid w:val="001329C4"/>
    <w:rsid w:val="00132B7A"/>
    <w:rsid w:val="00132C9F"/>
    <w:rsid w:val="00132DE9"/>
    <w:rsid w:val="0013448B"/>
    <w:rsid w:val="00134DAD"/>
    <w:rsid w:val="00135AF6"/>
    <w:rsid w:val="00136C18"/>
    <w:rsid w:val="0013720F"/>
    <w:rsid w:val="00137231"/>
    <w:rsid w:val="0014184D"/>
    <w:rsid w:val="00142D80"/>
    <w:rsid w:val="00143A4B"/>
    <w:rsid w:val="00143E7A"/>
    <w:rsid w:val="00144319"/>
    <w:rsid w:val="00144830"/>
    <w:rsid w:val="00145ADC"/>
    <w:rsid w:val="00146DD1"/>
    <w:rsid w:val="00147356"/>
    <w:rsid w:val="001474D3"/>
    <w:rsid w:val="00151EB5"/>
    <w:rsid w:val="001526DF"/>
    <w:rsid w:val="00154413"/>
    <w:rsid w:val="00154B9E"/>
    <w:rsid w:val="00155256"/>
    <w:rsid w:val="00155FC6"/>
    <w:rsid w:val="0015690A"/>
    <w:rsid w:val="00157473"/>
    <w:rsid w:val="00157800"/>
    <w:rsid w:val="00161257"/>
    <w:rsid w:val="00161C8B"/>
    <w:rsid w:val="00162353"/>
    <w:rsid w:val="0016240B"/>
    <w:rsid w:val="00163230"/>
    <w:rsid w:val="00163F6E"/>
    <w:rsid w:val="0016412A"/>
    <w:rsid w:val="001646C9"/>
    <w:rsid w:val="001658AC"/>
    <w:rsid w:val="00166547"/>
    <w:rsid w:val="001678B3"/>
    <w:rsid w:val="001700A4"/>
    <w:rsid w:val="001716B8"/>
    <w:rsid w:val="00171E81"/>
    <w:rsid w:val="0017220F"/>
    <w:rsid w:val="0017225C"/>
    <w:rsid w:val="001722FD"/>
    <w:rsid w:val="00172FAE"/>
    <w:rsid w:val="0017433F"/>
    <w:rsid w:val="001745BA"/>
    <w:rsid w:val="00174DC2"/>
    <w:rsid w:val="001756FE"/>
    <w:rsid w:val="001757D0"/>
    <w:rsid w:val="0017613E"/>
    <w:rsid w:val="0017750E"/>
    <w:rsid w:val="00177895"/>
    <w:rsid w:val="00177E2C"/>
    <w:rsid w:val="00180109"/>
    <w:rsid w:val="00180A48"/>
    <w:rsid w:val="00180B86"/>
    <w:rsid w:val="00180EAA"/>
    <w:rsid w:val="00180F07"/>
    <w:rsid w:val="0018156C"/>
    <w:rsid w:val="00181BA8"/>
    <w:rsid w:val="00181D18"/>
    <w:rsid w:val="00181DC6"/>
    <w:rsid w:val="0018234E"/>
    <w:rsid w:val="0018378C"/>
    <w:rsid w:val="001837DE"/>
    <w:rsid w:val="001848B6"/>
    <w:rsid w:val="00184CE5"/>
    <w:rsid w:val="00186F6B"/>
    <w:rsid w:val="00186F71"/>
    <w:rsid w:val="00186FC0"/>
    <w:rsid w:val="00187794"/>
    <w:rsid w:val="00187864"/>
    <w:rsid w:val="00187E5E"/>
    <w:rsid w:val="00190A3B"/>
    <w:rsid w:val="00191B18"/>
    <w:rsid w:val="00192517"/>
    <w:rsid w:val="0019278C"/>
    <w:rsid w:val="00193089"/>
    <w:rsid w:val="00193208"/>
    <w:rsid w:val="001932EE"/>
    <w:rsid w:val="00193414"/>
    <w:rsid w:val="001948CA"/>
    <w:rsid w:val="00194CC8"/>
    <w:rsid w:val="00194DC5"/>
    <w:rsid w:val="00195751"/>
    <w:rsid w:val="001968CD"/>
    <w:rsid w:val="00197D01"/>
    <w:rsid w:val="00197E72"/>
    <w:rsid w:val="001A24FF"/>
    <w:rsid w:val="001A2AC7"/>
    <w:rsid w:val="001A3AED"/>
    <w:rsid w:val="001A48DA"/>
    <w:rsid w:val="001A57F4"/>
    <w:rsid w:val="001A5DF8"/>
    <w:rsid w:val="001A6026"/>
    <w:rsid w:val="001A72F9"/>
    <w:rsid w:val="001A7372"/>
    <w:rsid w:val="001A7383"/>
    <w:rsid w:val="001A7F9C"/>
    <w:rsid w:val="001B02F3"/>
    <w:rsid w:val="001B0473"/>
    <w:rsid w:val="001B1796"/>
    <w:rsid w:val="001B1E5D"/>
    <w:rsid w:val="001B23D7"/>
    <w:rsid w:val="001B3DA1"/>
    <w:rsid w:val="001B476A"/>
    <w:rsid w:val="001B47CC"/>
    <w:rsid w:val="001B4D75"/>
    <w:rsid w:val="001B5E4B"/>
    <w:rsid w:val="001B779D"/>
    <w:rsid w:val="001B790B"/>
    <w:rsid w:val="001B7F3E"/>
    <w:rsid w:val="001C0688"/>
    <w:rsid w:val="001C0C51"/>
    <w:rsid w:val="001C0E4D"/>
    <w:rsid w:val="001C208F"/>
    <w:rsid w:val="001C2C18"/>
    <w:rsid w:val="001C2E58"/>
    <w:rsid w:val="001C3606"/>
    <w:rsid w:val="001C36C3"/>
    <w:rsid w:val="001C37B7"/>
    <w:rsid w:val="001C3BE5"/>
    <w:rsid w:val="001C4780"/>
    <w:rsid w:val="001C4A38"/>
    <w:rsid w:val="001C4DBF"/>
    <w:rsid w:val="001C5FEA"/>
    <w:rsid w:val="001C62EA"/>
    <w:rsid w:val="001C6390"/>
    <w:rsid w:val="001C7269"/>
    <w:rsid w:val="001D0514"/>
    <w:rsid w:val="001D0DFC"/>
    <w:rsid w:val="001D17EB"/>
    <w:rsid w:val="001D1D9A"/>
    <w:rsid w:val="001D260F"/>
    <w:rsid w:val="001D2C44"/>
    <w:rsid w:val="001D3101"/>
    <w:rsid w:val="001D3B80"/>
    <w:rsid w:val="001D3E06"/>
    <w:rsid w:val="001D44C4"/>
    <w:rsid w:val="001D4A50"/>
    <w:rsid w:val="001D4DD3"/>
    <w:rsid w:val="001D55F8"/>
    <w:rsid w:val="001D627D"/>
    <w:rsid w:val="001E0457"/>
    <w:rsid w:val="001E1149"/>
    <w:rsid w:val="001E1714"/>
    <w:rsid w:val="001E19A8"/>
    <w:rsid w:val="001E19C2"/>
    <w:rsid w:val="001E2C00"/>
    <w:rsid w:val="001E3202"/>
    <w:rsid w:val="001E355F"/>
    <w:rsid w:val="001E4152"/>
    <w:rsid w:val="001E483C"/>
    <w:rsid w:val="001E630D"/>
    <w:rsid w:val="001E6A4F"/>
    <w:rsid w:val="001E6B8F"/>
    <w:rsid w:val="001E6E53"/>
    <w:rsid w:val="001E7BD7"/>
    <w:rsid w:val="001E7CFA"/>
    <w:rsid w:val="001F0E02"/>
    <w:rsid w:val="001F2AAF"/>
    <w:rsid w:val="001F30C4"/>
    <w:rsid w:val="001F4DA9"/>
    <w:rsid w:val="001F4FEA"/>
    <w:rsid w:val="001F580E"/>
    <w:rsid w:val="001F64C0"/>
    <w:rsid w:val="001F6DA3"/>
    <w:rsid w:val="001F6E99"/>
    <w:rsid w:val="001F6EA4"/>
    <w:rsid w:val="001F6F38"/>
    <w:rsid w:val="002000FA"/>
    <w:rsid w:val="00200D77"/>
    <w:rsid w:val="00201575"/>
    <w:rsid w:val="00201D23"/>
    <w:rsid w:val="0020294F"/>
    <w:rsid w:val="00202986"/>
    <w:rsid w:val="002038BB"/>
    <w:rsid w:val="00203F03"/>
    <w:rsid w:val="00204128"/>
    <w:rsid w:val="0020429D"/>
    <w:rsid w:val="002045A6"/>
    <w:rsid w:val="00204692"/>
    <w:rsid w:val="00205549"/>
    <w:rsid w:val="00205A4A"/>
    <w:rsid w:val="00205DB1"/>
    <w:rsid w:val="0021049F"/>
    <w:rsid w:val="00211465"/>
    <w:rsid w:val="00211B61"/>
    <w:rsid w:val="00213203"/>
    <w:rsid w:val="00214212"/>
    <w:rsid w:val="002151B0"/>
    <w:rsid w:val="00216698"/>
    <w:rsid w:val="00217E3E"/>
    <w:rsid w:val="0022057F"/>
    <w:rsid w:val="00220B8B"/>
    <w:rsid w:val="00222B47"/>
    <w:rsid w:val="00223747"/>
    <w:rsid w:val="00224279"/>
    <w:rsid w:val="00226287"/>
    <w:rsid w:val="0022750E"/>
    <w:rsid w:val="002278C5"/>
    <w:rsid w:val="002308F6"/>
    <w:rsid w:val="00231DCD"/>
    <w:rsid w:val="0023207A"/>
    <w:rsid w:val="002326A5"/>
    <w:rsid w:val="00232E5B"/>
    <w:rsid w:val="00233022"/>
    <w:rsid w:val="002351E4"/>
    <w:rsid w:val="00235A4C"/>
    <w:rsid w:val="002360EC"/>
    <w:rsid w:val="00237F1F"/>
    <w:rsid w:val="0024090C"/>
    <w:rsid w:val="002409AE"/>
    <w:rsid w:val="00240DE6"/>
    <w:rsid w:val="00241712"/>
    <w:rsid w:val="00241B57"/>
    <w:rsid w:val="00241ED4"/>
    <w:rsid w:val="00241FC4"/>
    <w:rsid w:val="00242B6F"/>
    <w:rsid w:val="002440B0"/>
    <w:rsid w:val="00247342"/>
    <w:rsid w:val="00250D04"/>
    <w:rsid w:val="00251046"/>
    <w:rsid w:val="00251A79"/>
    <w:rsid w:val="00251E43"/>
    <w:rsid w:val="00254174"/>
    <w:rsid w:val="00255410"/>
    <w:rsid w:val="002557E6"/>
    <w:rsid w:val="0025756F"/>
    <w:rsid w:val="00257B32"/>
    <w:rsid w:val="00260202"/>
    <w:rsid w:val="00261D60"/>
    <w:rsid w:val="002629C6"/>
    <w:rsid w:val="002637A6"/>
    <w:rsid w:val="0026411E"/>
    <w:rsid w:val="002650A6"/>
    <w:rsid w:val="002665AB"/>
    <w:rsid w:val="00267223"/>
    <w:rsid w:val="00270472"/>
    <w:rsid w:val="00270BD1"/>
    <w:rsid w:val="00272A25"/>
    <w:rsid w:val="002742CB"/>
    <w:rsid w:val="002751E2"/>
    <w:rsid w:val="00276781"/>
    <w:rsid w:val="002767BF"/>
    <w:rsid w:val="00276AB7"/>
    <w:rsid w:val="00276CDD"/>
    <w:rsid w:val="00277AFC"/>
    <w:rsid w:val="002805E9"/>
    <w:rsid w:val="0028112F"/>
    <w:rsid w:val="00281199"/>
    <w:rsid w:val="00281748"/>
    <w:rsid w:val="00282107"/>
    <w:rsid w:val="00283610"/>
    <w:rsid w:val="00283DDA"/>
    <w:rsid w:val="00284DC9"/>
    <w:rsid w:val="00284F1C"/>
    <w:rsid w:val="00285ADF"/>
    <w:rsid w:val="00285EDD"/>
    <w:rsid w:val="00286041"/>
    <w:rsid w:val="00286512"/>
    <w:rsid w:val="00287323"/>
    <w:rsid w:val="0028755B"/>
    <w:rsid w:val="00287E2A"/>
    <w:rsid w:val="0029070F"/>
    <w:rsid w:val="00290B8C"/>
    <w:rsid w:val="00290D11"/>
    <w:rsid w:val="00290DF2"/>
    <w:rsid w:val="00291C4B"/>
    <w:rsid w:val="0029278C"/>
    <w:rsid w:val="00292947"/>
    <w:rsid w:val="00293136"/>
    <w:rsid w:val="00294397"/>
    <w:rsid w:val="00294AF4"/>
    <w:rsid w:val="00294CA2"/>
    <w:rsid w:val="00294F6F"/>
    <w:rsid w:val="00295530"/>
    <w:rsid w:val="002964CA"/>
    <w:rsid w:val="00296EB2"/>
    <w:rsid w:val="00297B9E"/>
    <w:rsid w:val="00297E53"/>
    <w:rsid w:val="002A01F6"/>
    <w:rsid w:val="002A0A41"/>
    <w:rsid w:val="002A0D5D"/>
    <w:rsid w:val="002A2879"/>
    <w:rsid w:val="002A2B20"/>
    <w:rsid w:val="002A3645"/>
    <w:rsid w:val="002A373C"/>
    <w:rsid w:val="002A38B8"/>
    <w:rsid w:val="002A476A"/>
    <w:rsid w:val="002A4C5F"/>
    <w:rsid w:val="002A5BF4"/>
    <w:rsid w:val="002A5DD3"/>
    <w:rsid w:val="002A5DFA"/>
    <w:rsid w:val="002A6B11"/>
    <w:rsid w:val="002A78BD"/>
    <w:rsid w:val="002B0179"/>
    <w:rsid w:val="002B0FBE"/>
    <w:rsid w:val="002B114C"/>
    <w:rsid w:val="002B2DF5"/>
    <w:rsid w:val="002B4897"/>
    <w:rsid w:val="002B4A89"/>
    <w:rsid w:val="002B56C0"/>
    <w:rsid w:val="002B65ED"/>
    <w:rsid w:val="002B7335"/>
    <w:rsid w:val="002B7ABA"/>
    <w:rsid w:val="002C15DD"/>
    <w:rsid w:val="002C1868"/>
    <w:rsid w:val="002C2B49"/>
    <w:rsid w:val="002C2E00"/>
    <w:rsid w:val="002C2FB3"/>
    <w:rsid w:val="002C3F65"/>
    <w:rsid w:val="002C3FD6"/>
    <w:rsid w:val="002C4FBA"/>
    <w:rsid w:val="002C569B"/>
    <w:rsid w:val="002C5F65"/>
    <w:rsid w:val="002C7288"/>
    <w:rsid w:val="002C75A2"/>
    <w:rsid w:val="002D0880"/>
    <w:rsid w:val="002D0ABF"/>
    <w:rsid w:val="002D1DD5"/>
    <w:rsid w:val="002D21E3"/>
    <w:rsid w:val="002D250D"/>
    <w:rsid w:val="002D3DB6"/>
    <w:rsid w:val="002D5047"/>
    <w:rsid w:val="002D5310"/>
    <w:rsid w:val="002D5CD9"/>
    <w:rsid w:val="002D6950"/>
    <w:rsid w:val="002D6ADC"/>
    <w:rsid w:val="002E0177"/>
    <w:rsid w:val="002E0E10"/>
    <w:rsid w:val="002E0F60"/>
    <w:rsid w:val="002E19CF"/>
    <w:rsid w:val="002E22B8"/>
    <w:rsid w:val="002E2357"/>
    <w:rsid w:val="002E244E"/>
    <w:rsid w:val="002E2AB2"/>
    <w:rsid w:val="002E2DBA"/>
    <w:rsid w:val="002E39AC"/>
    <w:rsid w:val="002E3EE9"/>
    <w:rsid w:val="002E4144"/>
    <w:rsid w:val="002E4BB4"/>
    <w:rsid w:val="002E5675"/>
    <w:rsid w:val="002E5FDC"/>
    <w:rsid w:val="002E623C"/>
    <w:rsid w:val="002E6E13"/>
    <w:rsid w:val="002E725C"/>
    <w:rsid w:val="002E74C5"/>
    <w:rsid w:val="002E7D58"/>
    <w:rsid w:val="002F0B99"/>
    <w:rsid w:val="002F1A1B"/>
    <w:rsid w:val="002F1F91"/>
    <w:rsid w:val="002F30D6"/>
    <w:rsid w:val="002F43DB"/>
    <w:rsid w:val="002F4794"/>
    <w:rsid w:val="002F56A6"/>
    <w:rsid w:val="002F5B00"/>
    <w:rsid w:val="002F5E49"/>
    <w:rsid w:val="002F6409"/>
    <w:rsid w:val="002F6F00"/>
    <w:rsid w:val="002F77D3"/>
    <w:rsid w:val="00300846"/>
    <w:rsid w:val="00301713"/>
    <w:rsid w:val="00301C26"/>
    <w:rsid w:val="00302384"/>
    <w:rsid w:val="00302F36"/>
    <w:rsid w:val="00303F75"/>
    <w:rsid w:val="00304043"/>
    <w:rsid w:val="00304CF0"/>
    <w:rsid w:val="0031049B"/>
    <w:rsid w:val="0031066E"/>
    <w:rsid w:val="003119D7"/>
    <w:rsid w:val="0031245F"/>
    <w:rsid w:val="00312CA2"/>
    <w:rsid w:val="00313F89"/>
    <w:rsid w:val="00314440"/>
    <w:rsid w:val="003153E6"/>
    <w:rsid w:val="00315A4C"/>
    <w:rsid w:val="00315EFA"/>
    <w:rsid w:val="0031640D"/>
    <w:rsid w:val="00317F2C"/>
    <w:rsid w:val="003218FB"/>
    <w:rsid w:val="00321E4F"/>
    <w:rsid w:val="0032211C"/>
    <w:rsid w:val="003222D1"/>
    <w:rsid w:val="0032264D"/>
    <w:rsid w:val="00323339"/>
    <w:rsid w:val="003233FD"/>
    <w:rsid w:val="00323B63"/>
    <w:rsid w:val="00323BEB"/>
    <w:rsid w:val="00323CA1"/>
    <w:rsid w:val="0032425B"/>
    <w:rsid w:val="003247AB"/>
    <w:rsid w:val="00324D5E"/>
    <w:rsid w:val="003306EC"/>
    <w:rsid w:val="00330B05"/>
    <w:rsid w:val="00331995"/>
    <w:rsid w:val="00331A7F"/>
    <w:rsid w:val="00331B57"/>
    <w:rsid w:val="00331E93"/>
    <w:rsid w:val="00331F62"/>
    <w:rsid w:val="00332857"/>
    <w:rsid w:val="00332E0F"/>
    <w:rsid w:val="003333F3"/>
    <w:rsid w:val="00333481"/>
    <w:rsid w:val="00333B80"/>
    <w:rsid w:val="0033499D"/>
    <w:rsid w:val="00335960"/>
    <w:rsid w:val="0033609A"/>
    <w:rsid w:val="0033612D"/>
    <w:rsid w:val="00336149"/>
    <w:rsid w:val="00336169"/>
    <w:rsid w:val="00336A3A"/>
    <w:rsid w:val="00336E30"/>
    <w:rsid w:val="00336F58"/>
    <w:rsid w:val="00337004"/>
    <w:rsid w:val="00343FB0"/>
    <w:rsid w:val="003447F7"/>
    <w:rsid w:val="00344828"/>
    <w:rsid w:val="00344C73"/>
    <w:rsid w:val="00344C96"/>
    <w:rsid w:val="0034519B"/>
    <w:rsid w:val="003452DB"/>
    <w:rsid w:val="0034599F"/>
    <w:rsid w:val="00345BD5"/>
    <w:rsid w:val="00346325"/>
    <w:rsid w:val="003466B0"/>
    <w:rsid w:val="00346D85"/>
    <w:rsid w:val="0034737E"/>
    <w:rsid w:val="00347F6E"/>
    <w:rsid w:val="003500A3"/>
    <w:rsid w:val="0035080A"/>
    <w:rsid w:val="00350D93"/>
    <w:rsid w:val="00351340"/>
    <w:rsid w:val="00352200"/>
    <w:rsid w:val="003541D2"/>
    <w:rsid w:val="003545F7"/>
    <w:rsid w:val="00354F7E"/>
    <w:rsid w:val="00355001"/>
    <w:rsid w:val="003550BF"/>
    <w:rsid w:val="003604C8"/>
    <w:rsid w:val="00360647"/>
    <w:rsid w:val="003607F6"/>
    <w:rsid w:val="0036095A"/>
    <w:rsid w:val="00361070"/>
    <w:rsid w:val="003613FF"/>
    <w:rsid w:val="00361D25"/>
    <w:rsid w:val="003636E6"/>
    <w:rsid w:val="00363CE8"/>
    <w:rsid w:val="00364329"/>
    <w:rsid w:val="00364B5F"/>
    <w:rsid w:val="0036517E"/>
    <w:rsid w:val="003655E2"/>
    <w:rsid w:val="0036584D"/>
    <w:rsid w:val="00371865"/>
    <w:rsid w:val="00371C85"/>
    <w:rsid w:val="003723A8"/>
    <w:rsid w:val="00374831"/>
    <w:rsid w:val="00374B03"/>
    <w:rsid w:val="003758D2"/>
    <w:rsid w:val="0037698A"/>
    <w:rsid w:val="00376F0C"/>
    <w:rsid w:val="003771FA"/>
    <w:rsid w:val="0037752E"/>
    <w:rsid w:val="00377F04"/>
    <w:rsid w:val="003802DF"/>
    <w:rsid w:val="00380686"/>
    <w:rsid w:val="00380DA7"/>
    <w:rsid w:val="0038125B"/>
    <w:rsid w:val="00382611"/>
    <w:rsid w:val="00383F3F"/>
    <w:rsid w:val="00384913"/>
    <w:rsid w:val="00384D16"/>
    <w:rsid w:val="00384EB1"/>
    <w:rsid w:val="0038565C"/>
    <w:rsid w:val="00386DCA"/>
    <w:rsid w:val="00387521"/>
    <w:rsid w:val="00390150"/>
    <w:rsid w:val="003904D5"/>
    <w:rsid w:val="00391210"/>
    <w:rsid w:val="003912B3"/>
    <w:rsid w:val="003914FC"/>
    <w:rsid w:val="00391C70"/>
    <w:rsid w:val="00391C92"/>
    <w:rsid w:val="003925EF"/>
    <w:rsid w:val="003935A4"/>
    <w:rsid w:val="00394694"/>
    <w:rsid w:val="003949AF"/>
    <w:rsid w:val="00394AB7"/>
    <w:rsid w:val="00394BAD"/>
    <w:rsid w:val="00394C28"/>
    <w:rsid w:val="00394C81"/>
    <w:rsid w:val="003955B5"/>
    <w:rsid w:val="00395B64"/>
    <w:rsid w:val="00396878"/>
    <w:rsid w:val="00397D0C"/>
    <w:rsid w:val="003A038C"/>
    <w:rsid w:val="003A0ED5"/>
    <w:rsid w:val="003A179F"/>
    <w:rsid w:val="003A1E76"/>
    <w:rsid w:val="003A22A6"/>
    <w:rsid w:val="003A2A7C"/>
    <w:rsid w:val="003A2A85"/>
    <w:rsid w:val="003A3048"/>
    <w:rsid w:val="003A3254"/>
    <w:rsid w:val="003A37CD"/>
    <w:rsid w:val="003A37E5"/>
    <w:rsid w:val="003A4EC5"/>
    <w:rsid w:val="003A50A8"/>
    <w:rsid w:val="003A6B71"/>
    <w:rsid w:val="003A7ACC"/>
    <w:rsid w:val="003B0365"/>
    <w:rsid w:val="003B06B6"/>
    <w:rsid w:val="003B0D1C"/>
    <w:rsid w:val="003B1D45"/>
    <w:rsid w:val="003B1E52"/>
    <w:rsid w:val="003B2BB8"/>
    <w:rsid w:val="003B390C"/>
    <w:rsid w:val="003B3B49"/>
    <w:rsid w:val="003B41FC"/>
    <w:rsid w:val="003B4E29"/>
    <w:rsid w:val="003B57E1"/>
    <w:rsid w:val="003B73B8"/>
    <w:rsid w:val="003B7A6C"/>
    <w:rsid w:val="003C0AB1"/>
    <w:rsid w:val="003C2636"/>
    <w:rsid w:val="003C3372"/>
    <w:rsid w:val="003C3CF4"/>
    <w:rsid w:val="003C3DA3"/>
    <w:rsid w:val="003C4ECF"/>
    <w:rsid w:val="003C587B"/>
    <w:rsid w:val="003C63BA"/>
    <w:rsid w:val="003C6917"/>
    <w:rsid w:val="003C72CD"/>
    <w:rsid w:val="003C7499"/>
    <w:rsid w:val="003C7923"/>
    <w:rsid w:val="003D080D"/>
    <w:rsid w:val="003D0CEC"/>
    <w:rsid w:val="003D127B"/>
    <w:rsid w:val="003D1F14"/>
    <w:rsid w:val="003D26E7"/>
    <w:rsid w:val="003D2AAA"/>
    <w:rsid w:val="003D34FF"/>
    <w:rsid w:val="003D355D"/>
    <w:rsid w:val="003D3CEC"/>
    <w:rsid w:val="003D49C4"/>
    <w:rsid w:val="003D5EF3"/>
    <w:rsid w:val="003D715D"/>
    <w:rsid w:val="003D7402"/>
    <w:rsid w:val="003D75FF"/>
    <w:rsid w:val="003D7867"/>
    <w:rsid w:val="003D787F"/>
    <w:rsid w:val="003E0F46"/>
    <w:rsid w:val="003E1204"/>
    <w:rsid w:val="003E13EB"/>
    <w:rsid w:val="003E209A"/>
    <w:rsid w:val="003E258D"/>
    <w:rsid w:val="003E4472"/>
    <w:rsid w:val="003E62A8"/>
    <w:rsid w:val="003E62B0"/>
    <w:rsid w:val="003E6302"/>
    <w:rsid w:val="003E6A43"/>
    <w:rsid w:val="003E7B06"/>
    <w:rsid w:val="003F0C8D"/>
    <w:rsid w:val="003F1839"/>
    <w:rsid w:val="003F18ED"/>
    <w:rsid w:val="003F1C89"/>
    <w:rsid w:val="003F28F0"/>
    <w:rsid w:val="003F49D1"/>
    <w:rsid w:val="003F4F2C"/>
    <w:rsid w:val="003F550A"/>
    <w:rsid w:val="003F55FA"/>
    <w:rsid w:val="003F5DD9"/>
    <w:rsid w:val="003F6366"/>
    <w:rsid w:val="003F6DDD"/>
    <w:rsid w:val="003F7CB0"/>
    <w:rsid w:val="0040005E"/>
    <w:rsid w:val="00400091"/>
    <w:rsid w:val="00400AB7"/>
    <w:rsid w:val="00401D81"/>
    <w:rsid w:val="00402DFF"/>
    <w:rsid w:val="0040374D"/>
    <w:rsid w:val="00404459"/>
    <w:rsid w:val="00404720"/>
    <w:rsid w:val="00404769"/>
    <w:rsid w:val="00405030"/>
    <w:rsid w:val="004055F1"/>
    <w:rsid w:val="00405B89"/>
    <w:rsid w:val="0040720D"/>
    <w:rsid w:val="00407A54"/>
    <w:rsid w:val="00410DC4"/>
    <w:rsid w:val="0041123D"/>
    <w:rsid w:val="00412140"/>
    <w:rsid w:val="004129B5"/>
    <w:rsid w:val="00412A4F"/>
    <w:rsid w:val="00412A9B"/>
    <w:rsid w:val="00412B78"/>
    <w:rsid w:val="00412C0F"/>
    <w:rsid w:val="004137B4"/>
    <w:rsid w:val="00414A38"/>
    <w:rsid w:val="00415AA5"/>
    <w:rsid w:val="00416A70"/>
    <w:rsid w:val="00416C29"/>
    <w:rsid w:val="004177B8"/>
    <w:rsid w:val="00420F22"/>
    <w:rsid w:val="004213F3"/>
    <w:rsid w:val="004215F3"/>
    <w:rsid w:val="00421857"/>
    <w:rsid w:val="004220E1"/>
    <w:rsid w:val="00422315"/>
    <w:rsid w:val="00422A2B"/>
    <w:rsid w:val="00422FAC"/>
    <w:rsid w:val="0042309A"/>
    <w:rsid w:val="00423105"/>
    <w:rsid w:val="004234BF"/>
    <w:rsid w:val="00423840"/>
    <w:rsid w:val="00424098"/>
    <w:rsid w:val="004240FD"/>
    <w:rsid w:val="00424656"/>
    <w:rsid w:val="00424865"/>
    <w:rsid w:val="00425BDB"/>
    <w:rsid w:val="00426EE7"/>
    <w:rsid w:val="0042700F"/>
    <w:rsid w:val="00427C41"/>
    <w:rsid w:val="00427EA8"/>
    <w:rsid w:val="00430903"/>
    <w:rsid w:val="00430C42"/>
    <w:rsid w:val="004311EF"/>
    <w:rsid w:val="0043221D"/>
    <w:rsid w:val="00432EE2"/>
    <w:rsid w:val="00433832"/>
    <w:rsid w:val="00434502"/>
    <w:rsid w:val="0043481B"/>
    <w:rsid w:val="0043481E"/>
    <w:rsid w:val="00436465"/>
    <w:rsid w:val="00436515"/>
    <w:rsid w:val="00437321"/>
    <w:rsid w:val="00437963"/>
    <w:rsid w:val="00437D60"/>
    <w:rsid w:val="0044012D"/>
    <w:rsid w:val="004408E4"/>
    <w:rsid w:val="004422B8"/>
    <w:rsid w:val="004427E4"/>
    <w:rsid w:val="00443155"/>
    <w:rsid w:val="00443BAA"/>
    <w:rsid w:val="00443F5D"/>
    <w:rsid w:val="00444CEF"/>
    <w:rsid w:val="0044631A"/>
    <w:rsid w:val="00446508"/>
    <w:rsid w:val="00447005"/>
    <w:rsid w:val="004470D7"/>
    <w:rsid w:val="00447163"/>
    <w:rsid w:val="0044777A"/>
    <w:rsid w:val="00447BCF"/>
    <w:rsid w:val="004519B5"/>
    <w:rsid w:val="00451DEC"/>
    <w:rsid w:val="00451E39"/>
    <w:rsid w:val="00452332"/>
    <w:rsid w:val="00452CB9"/>
    <w:rsid w:val="004534E1"/>
    <w:rsid w:val="00453DA5"/>
    <w:rsid w:val="004541CF"/>
    <w:rsid w:val="00454821"/>
    <w:rsid w:val="00454B69"/>
    <w:rsid w:val="00454B6F"/>
    <w:rsid w:val="00454CE3"/>
    <w:rsid w:val="004553CF"/>
    <w:rsid w:val="00455EB6"/>
    <w:rsid w:val="00456412"/>
    <w:rsid w:val="004571B5"/>
    <w:rsid w:val="00457861"/>
    <w:rsid w:val="00457A78"/>
    <w:rsid w:val="00460240"/>
    <w:rsid w:val="0046062D"/>
    <w:rsid w:val="00460E13"/>
    <w:rsid w:val="00460EC7"/>
    <w:rsid w:val="004616BB"/>
    <w:rsid w:val="0046178E"/>
    <w:rsid w:val="00462020"/>
    <w:rsid w:val="004628F4"/>
    <w:rsid w:val="00462F9C"/>
    <w:rsid w:val="004636EA"/>
    <w:rsid w:val="00463ED6"/>
    <w:rsid w:val="00463F00"/>
    <w:rsid w:val="004656F8"/>
    <w:rsid w:val="00465953"/>
    <w:rsid w:val="00466147"/>
    <w:rsid w:val="0046615C"/>
    <w:rsid w:val="00466D96"/>
    <w:rsid w:val="00467B3B"/>
    <w:rsid w:val="00467C22"/>
    <w:rsid w:val="00470D7B"/>
    <w:rsid w:val="00471164"/>
    <w:rsid w:val="0047213E"/>
    <w:rsid w:val="00472E3F"/>
    <w:rsid w:val="004734D5"/>
    <w:rsid w:val="00473A21"/>
    <w:rsid w:val="00473E51"/>
    <w:rsid w:val="00474505"/>
    <w:rsid w:val="00474F21"/>
    <w:rsid w:val="00475E87"/>
    <w:rsid w:val="004768DC"/>
    <w:rsid w:val="004805F9"/>
    <w:rsid w:val="00481022"/>
    <w:rsid w:val="004825C7"/>
    <w:rsid w:val="00483040"/>
    <w:rsid w:val="0048390A"/>
    <w:rsid w:val="00483AF4"/>
    <w:rsid w:val="00483D6A"/>
    <w:rsid w:val="0048789B"/>
    <w:rsid w:val="00487E1E"/>
    <w:rsid w:val="00490160"/>
    <w:rsid w:val="00490CCF"/>
    <w:rsid w:val="00492654"/>
    <w:rsid w:val="00492D52"/>
    <w:rsid w:val="00493981"/>
    <w:rsid w:val="004950F3"/>
    <w:rsid w:val="00495D4D"/>
    <w:rsid w:val="004965DC"/>
    <w:rsid w:val="004967E8"/>
    <w:rsid w:val="00497795"/>
    <w:rsid w:val="00497858"/>
    <w:rsid w:val="00497D94"/>
    <w:rsid w:val="00497E4E"/>
    <w:rsid w:val="00497E70"/>
    <w:rsid w:val="004A0844"/>
    <w:rsid w:val="004A0848"/>
    <w:rsid w:val="004A190B"/>
    <w:rsid w:val="004A2266"/>
    <w:rsid w:val="004A2A58"/>
    <w:rsid w:val="004A317C"/>
    <w:rsid w:val="004A3658"/>
    <w:rsid w:val="004A426D"/>
    <w:rsid w:val="004A493B"/>
    <w:rsid w:val="004A64F8"/>
    <w:rsid w:val="004A6785"/>
    <w:rsid w:val="004A69E0"/>
    <w:rsid w:val="004A6CA2"/>
    <w:rsid w:val="004A7635"/>
    <w:rsid w:val="004B09EF"/>
    <w:rsid w:val="004B0F4E"/>
    <w:rsid w:val="004B2062"/>
    <w:rsid w:val="004B367F"/>
    <w:rsid w:val="004B39ED"/>
    <w:rsid w:val="004B3A6A"/>
    <w:rsid w:val="004B42AF"/>
    <w:rsid w:val="004B4EAF"/>
    <w:rsid w:val="004B4F3E"/>
    <w:rsid w:val="004B54CA"/>
    <w:rsid w:val="004B5FC4"/>
    <w:rsid w:val="004C00FF"/>
    <w:rsid w:val="004C10C1"/>
    <w:rsid w:val="004C1124"/>
    <w:rsid w:val="004C14D0"/>
    <w:rsid w:val="004C3579"/>
    <w:rsid w:val="004C5110"/>
    <w:rsid w:val="004C5B09"/>
    <w:rsid w:val="004C5CC6"/>
    <w:rsid w:val="004C5FF6"/>
    <w:rsid w:val="004C629B"/>
    <w:rsid w:val="004C7446"/>
    <w:rsid w:val="004C7F16"/>
    <w:rsid w:val="004D003E"/>
    <w:rsid w:val="004D1344"/>
    <w:rsid w:val="004D13F5"/>
    <w:rsid w:val="004D1DC3"/>
    <w:rsid w:val="004D1DFD"/>
    <w:rsid w:val="004D26BA"/>
    <w:rsid w:val="004D2FE3"/>
    <w:rsid w:val="004D358C"/>
    <w:rsid w:val="004D3CF0"/>
    <w:rsid w:val="004D3ED6"/>
    <w:rsid w:val="004D4EBE"/>
    <w:rsid w:val="004D5251"/>
    <w:rsid w:val="004D5A01"/>
    <w:rsid w:val="004D689D"/>
    <w:rsid w:val="004D6913"/>
    <w:rsid w:val="004D7605"/>
    <w:rsid w:val="004E074B"/>
    <w:rsid w:val="004E143B"/>
    <w:rsid w:val="004E29A4"/>
    <w:rsid w:val="004E2DCB"/>
    <w:rsid w:val="004E3601"/>
    <w:rsid w:val="004E445C"/>
    <w:rsid w:val="004E48EF"/>
    <w:rsid w:val="004E4A00"/>
    <w:rsid w:val="004E4CF8"/>
    <w:rsid w:val="004E4CFC"/>
    <w:rsid w:val="004E528D"/>
    <w:rsid w:val="004E54D2"/>
    <w:rsid w:val="004E5CBF"/>
    <w:rsid w:val="004E651A"/>
    <w:rsid w:val="004E786D"/>
    <w:rsid w:val="004E78BE"/>
    <w:rsid w:val="004F0FAE"/>
    <w:rsid w:val="004F38E3"/>
    <w:rsid w:val="004F42C0"/>
    <w:rsid w:val="004F641B"/>
    <w:rsid w:val="004F654B"/>
    <w:rsid w:val="004F6A99"/>
    <w:rsid w:val="004F783C"/>
    <w:rsid w:val="00500091"/>
    <w:rsid w:val="0050110A"/>
    <w:rsid w:val="0050121A"/>
    <w:rsid w:val="0050259F"/>
    <w:rsid w:val="00502F03"/>
    <w:rsid w:val="005049B6"/>
    <w:rsid w:val="00504BC9"/>
    <w:rsid w:val="005051D0"/>
    <w:rsid w:val="0050575C"/>
    <w:rsid w:val="005065D8"/>
    <w:rsid w:val="00506896"/>
    <w:rsid w:val="005069A3"/>
    <w:rsid w:val="00506AFF"/>
    <w:rsid w:val="00506CE8"/>
    <w:rsid w:val="005074D1"/>
    <w:rsid w:val="005076FD"/>
    <w:rsid w:val="0050776A"/>
    <w:rsid w:val="00507F05"/>
    <w:rsid w:val="005105D9"/>
    <w:rsid w:val="00510CDA"/>
    <w:rsid w:val="00511B9F"/>
    <w:rsid w:val="0051347F"/>
    <w:rsid w:val="00513C9D"/>
    <w:rsid w:val="00513FD2"/>
    <w:rsid w:val="00515996"/>
    <w:rsid w:val="00515A31"/>
    <w:rsid w:val="005163F5"/>
    <w:rsid w:val="00516409"/>
    <w:rsid w:val="00517677"/>
    <w:rsid w:val="00517D88"/>
    <w:rsid w:val="00521B3A"/>
    <w:rsid w:val="0052209F"/>
    <w:rsid w:val="005221B6"/>
    <w:rsid w:val="005221E5"/>
    <w:rsid w:val="00522CC5"/>
    <w:rsid w:val="00522DA1"/>
    <w:rsid w:val="00523300"/>
    <w:rsid w:val="005233F6"/>
    <w:rsid w:val="00523A59"/>
    <w:rsid w:val="00523A7C"/>
    <w:rsid w:val="005251E4"/>
    <w:rsid w:val="0052526D"/>
    <w:rsid w:val="0052544F"/>
    <w:rsid w:val="00525838"/>
    <w:rsid w:val="0052615D"/>
    <w:rsid w:val="005261D3"/>
    <w:rsid w:val="005271FF"/>
    <w:rsid w:val="00527383"/>
    <w:rsid w:val="005276B5"/>
    <w:rsid w:val="00527ACB"/>
    <w:rsid w:val="00527B1E"/>
    <w:rsid w:val="00527E6F"/>
    <w:rsid w:val="0053011A"/>
    <w:rsid w:val="00531116"/>
    <w:rsid w:val="0053134E"/>
    <w:rsid w:val="00531996"/>
    <w:rsid w:val="00532A88"/>
    <w:rsid w:val="0053319A"/>
    <w:rsid w:val="00533ABB"/>
    <w:rsid w:val="0053429A"/>
    <w:rsid w:val="005347BD"/>
    <w:rsid w:val="00534BF0"/>
    <w:rsid w:val="005356E3"/>
    <w:rsid w:val="0053573D"/>
    <w:rsid w:val="005365CC"/>
    <w:rsid w:val="0053724B"/>
    <w:rsid w:val="00540A40"/>
    <w:rsid w:val="00541019"/>
    <w:rsid w:val="005413D2"/>
    <w:rsid w:val="00542264"/>
    <w:rsid w:val="005426A3"/>
    <w:rsid w:val="00542837"/>
    <w:rsid w:val="0054295E"/>
    <w:rsid w:val="00542F5B"/>
    <w:rsid w:val="00544153"/>
    <w:rsid w:val="00544C11"/>
    <w:rsid w:val="00544C33"/>
    <w:rsid w:val="00545941"/>
    <w:rsid w:val="005466B0"/>
    <w:rsid w:val="0054715C"/>
    <w:rsid w:val="00547345"/>
    <w:rsid w:val="00552DE6"/>
    <w:rsid w:val="00552E28"/>
    <w:rsid w:val="00553169"/>
    <w:rsid w:val="00553401"/>
    <w:rsid w:val="0055389E"/>
    <w:rsid w:val="00554A45"/>
    <w:rsid w:val="00554F19"/>
    <w:rsid w:val="00554F20"/>
    <w:rsid w:val="005554B8"/>
    <w:rsid w:val="005555C1"/>
    <w:rsid w:val="00555689"/>
    <w:rsid w:val="0055633F"/>
    <w:rsid w:val="00556449"/>
    <w:rsid w:val="00556611"/>
    <w:rsid w:val="00556614"/>
    <w:rsid w:val="00560A38"/>
    <w:rsid w:val="00560B73"/>
    <w:rsid w:val="00561EC9"/>
    <w:rsid w:val="005621DB"/>
    <w:rsid w:val="00562320"/>
    <w:rsid w:val="00562501"/>
    <w:rsid w:val="00562B07"/>
    <w:rsid w:val="00563528"/>
    <w:rsid w:val="00563551"/>
    <w:rsid w:val="0056379B"/>
    <w:rsid w:val="00564044"/>
    <w:rsid w:val="00565954"/>
    <w:rsid w:val="00566326"/>
    <w:rsid w:val="00567210"/>
    <w:rsid w:val="00567DF1"/>
    <w:rsid w:val="005710AA"/>
    <w:rsid w:val="005715DC"/>
    <w:rsid w:val="005721D5"/>
    <w:rsid w:val="005725AB"/>
    <w:rsid w:val="005728A0"/>
    <w:rsid w:val="00573002"/>
    <w:rsid w:val="0057440C"/>
    <w:rsid w:val="0057451B"/>
    <w:rsid w:val="0057472B"/>
    <w:rsid w:val="005761DB"/>
    <w:rsid w:val="00576561"/>
    <w:rsid w:val="00577147"/>
    <w:rsid w:val="00577847"/>
    <w:rsid w:val="00577F82"/>
    <w:rsid w:val="00581D21"/>
    <w:rsid w:val="00581F07"/>
    <w:rsid w:val="00582013"/>
    <w:rsid w:val="00582919"/>
    <w:rsid w:val="0058355C"/>
    <w:rsid w:val="00583A72"/>
    <w:rsid w:val="00584749"/>
    <w:rsid w:val="00584B4F"/>
    <w:rsid w:val="00586B44"/>
    <w:rsid w:val="00586FEB"/>
    <w:rsid w:val="00587BF0"/>
    <w:rsid w:val="00591589"/>
    <w:rsid w:val="00591F1D"/>
    <w:rsid w:val="00592345"/>
    <w:rsid w:val="005929B9"/>
    <w:rsid w:val="00593638"/>
    <w:rsid w:val="00594BAF"/>
    <w:rsid w:val="005952C3"/>
    <w:rsid w:val="005956EA"/>
    <w:rsid w:val="005957BC"/>
    <w:rsid w:val="00596112"/>
    <w:rsid w:val="00596FFB"/>
    <w:rsid w:val="005970B7"/>
    <w:rsid w:val="00597FFD"/>
    <w:rsid w:val="005A0157"/>
    <w:rsid w:val="005A1166"/>
    <w:rsid w:val="005A16A1"/>
    <w:rsid w:val="005A186B"/>
    <w:rsid w:val="005A3134"/>
    <w:rsid w:val="005A36C9"/>
    <w:rsid w:val="005A3E86"/>
    <w:rsid w:val="005A4E9B"/>
    <w:rsid w:val="005A4F33"/>
    <w:rsid w:val="005A75AD"/>
    <w:rsid w:val="005B17C8"/>
    <w:rsid w:val="005B198E"/>
    <w:rsid w:val="005B200F"/>
    <w:rsid w:val="005B3042"/>
    <w:rsid w:val="005B4545"/>
    <w:rsid w:val="005B6BFD"/>
    <w:rsid w:val="005B6FC5"/>
    <w:rsid w:val="005B7431"/>
    <w:rsid w:val="005C0E3B"/>
    <w:rsid w:val="005C1381"/>
    <w:rsid w:val="005C38C3"/>
    <w:rsid w:val="005C3A5C"/>
    <w:rsid w:val="005C3AA9"/>
    <w:rsid w:val="005C656D"/>
    <w:rsid w:val="005C6B95"/>
    <w:rsid w:val="005D0099"/>
    <w:rsid w:val="005D03C6"/>
    <w:rsid w:val="005D0D36"/>
    <w:rsid w:val="005D1EA2"/>
    <w:rsid w:val="005D2262"/>
    <w:rsid w:val="005D33BB"/>
    <w:rsid w:val="005D3C74"/>
    <w:rsid w:val="005D663D"/>
    <w:rsid w:val="005D6CD8"/>
    <w:rsid w:val="005D6E47"/>
    <w:rsid w:val="005D6EFB"/>
    <w:rsid w:val="005D7167"/>
    <w:rsid w:val="005E0886"/>
    <w:rsid w:val="005E17C6"/>
    <w:rsid w:val="005E25D8"/>
    <w:rsid w:val="005E2780"/>
    <w:rsid w:val="005E2F70"/>
    <w:rsid w:val="005E34B3"/>
    <w:rsid w:val="005E36F2"/>
    <w:rsid w:val="005E4E12"/>
    <w:rsid w:val="005E52F4"/>
    <w:rsid w:val="005E79AC"/>
    <w:rsid w:val="005E7BB2"/>
    <w:rsid w:val="005F2A02"/>
    <w:rsid w:val="005F351C"/>
    <w:rsid w:val="005F40E8"/>
    <w:rsid w:val="005F474F"/>
    <w:rsid w:val="005F5898"/>
    <w:rsid w:val="005F635B"/>
    <w:rsid w:val="005F6A1C"/>
    <w:rsid w:val="005F7225"/>
    <w:rsid w:val="005F7742"/>
    <w:rsid w:val="005F7F52"/>
    <w:rsid w:val="006012D3"/>
    <w:rsid w:val="006016AD"/>
    <w:rsid w:val="00601EFD"/>
    <w:rsid w:val="00602765"/>
    <w:rsid w:val="00602F78"/>
    <w:rsid w:val="00603361"/>
    <w:rsid w:val="006037D8"/>
    <w:rsid w:val="00603EFB"/>
    <w:rsid w:val="00604F00"/>
    <w:rsid w:val="0060586A"/>
    <w:rsid w:val="00605950"/>
    <w:rsid w:val="0060746E"/>
    <w:rsid w:val="00607A81"/>
    <w:rsid w:val="00607CD0"/>
    <w:rsid w:val="00607DC5"/>
    <w:rsid w:val="00610215"/>
    <w:rsid w:val="0061091D"/>
    <w:rsid w:val="00610C1D"/>
    <w:rsid w:val="00610C48"/>
    <w:rsid w:val="00611B04"/>
    <w:rsid w:val="00611F12"/>
    <w:rsid w:val="006126FF"/>
    <w:rsid w:val="006129BE"/>
    <w:rsid w:val="00614040"/>
    <w:rsid w:val="00615737"/>
    <w:rsid w:val="006168EA"/>
    <w:rsid w:val="00616A59"/>
    <w:rsid w:val="00620576"/>
    <w:rsid w:val="00621EDE"/>
    <w:rsid w:val="00621FC5"/>
    <w:rsid w:val="00622C74"/>
    <w:rsid w:val="00622EEC"/>
    <w:rsid w:val="00623454"/>
    <w:rsid w:val="006236F6"/>
    <w:rsid w:val="00623804"/>
    <w:rsid w:val="00624B6A"/>
    <w:rsid w:val="00624C65"/>
    <w:rsid w:val="0062531F"/>
    <w:rsid w:val="006262D1"/>
    <w:rsid w:val="006266B8"/>
    <w:rsid w:val="00626B9F"/>
    <w:rsid w:val="00626F41"/>
    <w:rsid w:val="006270FA"/>
    <w:rsid w:val="0062782E"/>
    <w:rsid w:val="00627908"/>
    <w:rsid w:val="00627CF4"/>
    <w:rsid w:val="006303DD"/>
    <w:rsid w:val="006303E8"/>
    <w:rsid w:val="00631303"/>
    <w:rsid w:val="00632511"/>
    <w:rsid w:val="00633CFD"/>
    <w:rsid w:val="00633D6C"/>
    <w:rsid w:val="00633DB5"/>
    <w:rsid w:val="006343BD"/>
    <w:rsid w:val="0063508F"/>
    <w:rsid w:val="00635439"/>
    <w:rsid w:val="00636816"/>
    <w:rsid w:val="00636CD9"/>
    <w:rsid w:val="00637B02"/>
    <w:rsid w:val="00640532"/>
    <w:rsid w:val="00640DDF"/>
    <w:rsid w:val="00642290"/>
    <w:rsid w:val="00642447"/>
    <w:rsid w:val="006427A9"/>
    <w:rsid w:val="0064343C"/>
    <w:rsid w:val="00644F6F"/>
    <w:rsid w:val="00646A9E"/>
    <w:rsid w:val="00650919"/>
    <w:rsid w:val="00651082"/>
    <w:rsid w:val="006515FF"/>
    <w:rsid w:val="00651819"/>
    <w:rsid w:val="00652716"/>
    <w:rsid w:val="00654118"/>
    <w:rsid w:val="00654ABD"/>
    <w:rsid w:val="00654D85"/>
    <w:rsid w:val="006568A6"/>
    <w:rsid w:val="00657396"/>
    <w:rsid w:val="00661660"/>
    <w:rsid w:val="00663786"/>
    <w:rsid w:val="00664E4B"/>
    <w:rsid w:val="00665686"/>
    <w:rsid w:val="00665833"/>
    <w:rsid w:val="00666244"/>
    <w:rsid w:val="0066758E"/>
    <w:rsid w:val="00671407"/>
    <w:rsid w:val="006714D7"/>
    <w:rsid w:val="00672B9E"/>
    <w:rsid w:val="006731EB"/>
    <w:rsid w:val="00673944"/>
    <w:rsid w:val="006740A0"/>
    <w:rsid w:val="0067438D"/>
    <w:rsid w:val="00674CF1"/>
    <w:rsid w:val="00675781"/>
    <w:rsid w:val="006757B4"/>
    <w:rsid w:val="00676063"/>
    <w:rsid w:val="00677EC1"/>
    <w:rsid w:val="0068008E"/>
    <w:rsid w:val="00680346"/>
    <w:rsid w:val="00680842"/>
    <w:rsid w:val="006831A9"/>
    <w:rsid w:val="00683998"/>
    <w:rsid w:val="00683A84"/>
    <w:rsid w:val="00683C56"/>
    <w:rsid w:val="00683EF9"/>
    <w:rsid w:val="00686C8F"/>
    <w:rsid w:val="00686FF2"/>
    <w:rsid w:val="00687722"/>
    <w:rsid w:val="00687B81"/>
    <w:rsid w:val="00691096"/>
    <w:rsid w:val="006919E4"/>
    <w:rsid w:val="006922A3"/>
    <w:rsid w:val="006926DA"/>
    <w:rsid w:val="00693117"/>
    <w:rsid w:val="0069332C"/>
    <w:rsid w:val="0069371A"/>
    <w:rsid w:val="00693ADA"/>
    <w:rsid w:val="00694883"/>
    <w:rsid w:val="00694AA7"/>
    <w:rsid w:val="00694DD2"/>
    <w:rsid w:val="0069570C"/>
    <w:rsid w:val="00695B2C"/>
    <w:rsid w:val="0069600E"/>
    <w:rsid w:val="00697859"/>
    <w:rsid w:val="00697B5B"/>
    <w:rsid w:val="006A0184"/>
    <w:rsid w:val="006A06AB"/>
    <w:rsid w:val="006A09C4"/>
    <w:rsid w:val="006A0C04"/>
    <w:rsid w:val="006A124B"/>
    <w:rsid w:val="006A2344"/>
    <w:rsid w:val="006A2493"/>
    <w:rsid w:val="006A331A"/>
    <w:rsid w:val="006A3A8E"/>
    <w:rsid w:val="006A3ABC"/>
    <w:rsid w:val="006A4B06"/>
    <w:rsid w:val="006A4BCD"/>
    <w:rsid w:val="006A4CE7"/>
    <w:rsid w:val="006A5143"/>
    <w:rsid w:val="006A572C"/>
    <w:rsid w:val="006A6997"/>
    <w:rsid w:val="006B02D0"/>
    <w:rsid w:val="006B0372"/>
    <w:rsid w:val="006B0DF7"/>
    <w:rsid w:val="006B25E7"/>
    <w:rsid w:val="006B2CF0"/>
    <w:rsid w:val="006B3040"/>
    <w:rsid w:val="006B30DE"/>
    <w:rsid w:val="006B30FA"/>
    <w:rsid w:val="006B3DB9"/>
    <w:rsid w:val="006B416B"/>
    <w:rsid w:val="006B52C1"/>
    <w:rsid w:val="006B53F1"/>
    <w:rsid w:val="006B53F3"/>
    <w:rsid w:val="006B56FD"/>
    <w:rsid w:val="006B58F1"/>
    <w:rsid w:val="006B5E24"/>
    <w:rsid w:val="006B5FBA"/>
    <w:rsid w:val="006B6F4F"/>
    <w:rsid w:val="006B7467"/>
    <w:rsid w:val="006C0D8F"/>
    <w:rsid w:val="006C2B1E"/>
    <w:rsid w:val="006C2BEC"/>
    <w:rsid w:val="006C2D99"/>
    <w:rsid w:val="006C30C8"/>
    <w:rsid w:val="006C4233"/>
    <w:rsid w:val="006C4E9B"/>
    <w:rsid w:val="006C4F34"/>
    <w:rsid w:val="006C6300"/>
    <w:rsid w:val="006C69C7"/>
    <w:rsid w:val="006C747A"/>
    <w:rsid w:val="006C7B30"/>
    <w:rsid w:val="006D0136"/>
    <w:rsid w:val="006D159C"/>
    <w:rsid w:val="006D1B89"/>
    <w:rsid w:val="006D2F60"/>
    <w:rsid w:val="006D3A6F"/>
    <w:rsid w:val="006D549C"/>
    <w:rsid w:val="006D54A1"/>
    <w:rsid w:val="006D5CB1"/>
    <w:rsid w:val="006E228B"/>
    <w:rsid w:val="006E292F"/>
    <w:rsid w:val="006E5527"/>
    <w:rsid w:val="006E6150"/>
    <w:rsid w:val="006E72E9"/>
    <w:rsid w:val="006E73E3"/>
    <w:rsid w:val="006E7CD3"/>
    <w:rsid w:val="006E7F5C"/>
    <w:rsid w:val="006F06A4"/>
    <w:rsid w:val="006F0D13"/>
    <w:rsid w:val="006F11A0"/>
    <w:rsid w:val="006F20C7"/>
    <w:rsid w:val="006F3282"/>
    <w:rsid w:val="006F4696"/>
    <w:rsid w:val="006F46A3"/>
    <w:rsid w:val="006F4880"/>
    <w:rsid w:val="006F7174"/>
    <w:rsid w:val="00700EDC"/>
    <w:rsid w:val="00701E86"/>
    <w:rsid w:val="00701FC9"/>
    <w:rsid w:val="00702C84"/>
    <w:rsid w:val="007046E1"/>
    <w:rsid w:val="00704E1B"/>
    <w:rsid w:val="00704F42"/>
    <w:rsid w:val="00704FFE"/>
    <w:rsid w:val="00705295"/>
    <w:rsid w:val="007053A8"/>
    <w:rsid w:val="00705B8E"/>
    <w:rsid w:val="00705C12"/>
    <w:rsid w:val="00706D7A"/>
    <w:rsid w:val="00707247"/>
    <w:rsid w:val="00707DE7"/>
    <w:rsid w:val="0071002F"/>
    <w:rsid w:val="007100BB"/>
    <w:rsid w:val="00710B8D"/>
    <w:rsid w:val="00711D15"/>
    <w:rsid w:val="00712185"/>
    <w:rsid w:val="00712AB1"/>
    <w:rsid w:val="0071315A"/>
    <w:rsid w:val="007159A4"/>
    <w:rsid w:val="00715A38"/>
    <w:rsid w:val="00715C02"/>
    <w:rsid w:val="0071661B"/>
    <w:rsid w:val="00716BFA"/>
    <w:rsid w:val="00717409"/>
    <w:rsid w:val="007210F6"/>
    <w:rsid w:val="00721379"/>
    <w:rsid w:val="00721772"/>
    <w:rsid w:val="00722636"/>
    <w:rsid w:val="007229D3"/>
    <w:rsid w:val="00723AFC"/>
    <w:rsid w:val="00723DD0"/>
    <w:rsid w:val="00723E37"/>
    <w:rsid w:val="00724A9C"/>
    <w:rsid w:val="00725539"/>
    <w:rsid w:val="00725BF1"/>
    <w:rsid w:val="00725C63"/>
    <w:rsid w:val="00726A68"/>
    <w:rsid w:val="00727C25"/>
    <w:rsid w:val="0073076D"/>
    <w:rsid w:val="00731262"/>
    <w:rsid w:val="007324C9"/>
    <w:rsid w:val="0073256F"/>
    <w:rsid w:val="0073534A"/>
    <w:rsid w:val="0073634F"/>
    <w:rsid w:val="00736616"/>
    <w:rsid w:val="007366C5"/>
    <w:rsid w:val="00736B23"/>
    <w:rsid w:val="00736D68"/>
    <w:rsid w:val="00737967"/>
    <w:rsid w:val="00737EBA"/>
    <w:rsid w:val="00740172"/>
    <w:rsid w:val="00740B1D"/>
    <w:rsid w:val="00740E6A"/>
    <w:rsid w:val="00741003"/>
    <w:rsid w:val="00741AE7"/>
    <w:rsid w:val="00741C6E"/>
    <w:rsid w:val="00742504"/>
    <w:rsid w:val="00743419"/>
    <w:rsid w:val="00743FB6"/>
    <w:rsid w:val="00744468"/>
    <w:rsid w:val="0074528E"/>
    <w:rsid w:val="007453FB"/>
    <w:rsid w:val="00745E6B"/>
    <w:rsid w:val="007466A1"/>
    <w:rsid w:val="00746B72"/>
    <w:rsid w:val="00747285"/>
    <w:rsid w:val="00747443"/>
    <w:rsid w:val="007504A8"/>
    <w:rsid w:val="00750A3E"/>
    <w:rsid w:val="00750ECC"/>
    <w:rsid w:val="00751D17"/>
    <w:rsid w:val="00752662"/>
    <w:rsid w:val="0075273A"/>
    <w:rsid w:val="007534B0"/>
    <w:rsid w:val="00753EED"/>
    <w:rsid w:val="00754E1F"/>
    <w:rsid w:val="00757F0B"/>
    <w:rsid w:val="00760200"/>
    <w:rsid w:val="007604E3"/>
    <w:rsid w:val="00760728"/>
    <w:rsid w:val="007607FD"/>
    <w:rsid w:val="00762037"/>
    <w:rsid w:val="007624D7"/>
    <w:rsid w:val="007630FA"/>
    <w:rsid w:val="00763B97"/>
    <w:rsid w:val="00764698"/>
    <w:rsid w:val="007646BB"/>
    <w:rsid w:val="00764F97"/>
    <w:rsid w:val="0076684D"/>
    <w:rsid w:val="00767E11"/>
    <w:rsid w:val="0077022B"/>
    <w:rsid w:val="00771AA4"/>
    <w:rsid w:val="00771F2F"/>
    <w:rsid w:val="0077380E"/>
    <w:rsid w:val="00773873"/>
    <w:rsid w:val="00773EDC"/>
    <w:rsid w:val="0077408D"/>
    <w:rsid w:val="007743FA"/>
    <w:rsid w:val="00775318"/>
    <w:rsid w:val="00775ED3"/>
    <w:rsid w:val="00776BD4"/>
    <w:rsid w:val="00777EAB"/>
    <w:rsid w:val="007807C2"/>
    <w:rsid w:val="00782ED2"/>
    <w:rsid w:val="007839A3"/>
    <w:rsid w:val="007845FF"/>
    <w:rsid w:val="00785261"/>
    <w:rsid w:val="00786467"/>
    <w:rsid w:val="00787017"/>
    <w:rsid w:val="0078719D"/>
    <w:rsid w:val="00787983"/>
    <w:rsid w:val="00787B47"/>
    <w:rsid w:val="00790D8D"/>
    <w:rsid w:val="007921A4"/>
    <w:rsid w:val="007926D7"/>
    <w:rsid w:val="00792D49"/>
    <w:rsid w:val="00792ED8"/>
    <w:rsid w:val="00792F4E"/>
    <w:rsid w:val="00793673"/>
    <w:rsid w:val="007936D6"/>
    <w:rsid w:val="00793A90"/>
    <w:rsid w:val="007942FB"/>
    <w:rsid w:val="00795032"/>
    <w:rsid w:val="00795104"/>
    <w:rsid w:val="007952FB"/>
    <w:rsid w:val="007958F4"/>
    <w:rsid w:val="00795BFA"/>
    <w:rsid w:val="00795C89"/>
    <w:rsid w:val="007972F8"/>
    <w:rsid w:val="007A00C2"/>
    <w:rsid w:val="007A086C"/>
    <w:rsid w:val="007A10D4"/>
    <w:rsid w:val="007A1A05"/>
    <w:rsid w:val="007A1F13"/>
    <w:rsid w:val="007A4275"/>
    <w:rsid w:val="007A4F81"/>
    <w:rsid w:val="007A4FCC"/>
    <w:rsid w:val="007A4FE6"/>
    <w:rsid w:val="007A7381"/>
    <w:rsid w:val="007A742D"/>
    <w:rsid w:val="007A79CF"/>
    <w:rsid w:val="007B0178"/>
    <w:rsid w:val="007B0256"/>
    <w:rsid w:val="007B0C13"/>
    <w:rsid w:val="007B2360"/>
    <w:rsid w:val="007B2892"/>
    <w:rsid w:val="007B28A6"/>
    <w:rsid w:val="007B3ED5"/>
    <w:rsid w:val="007B5173"/>
    <w:rsid w:val="007B5AC5"/>
    <w:rsid w:val="007B65AA"/>
    <w:rsid w:val="007B679B"/>
    <w:rsid w:val="007B6BBF"/>
    <w:rsid w:val="007B7052"/>
    <w:rsid w:val="007B7367"/>
    <w:rsid w:val="007C0372"/>
    <w:rsid w:val="007C115A"/>
    <w:rsid w:val="007C1E90"/>
    <w:rsid w:val="007C2218"/>
    <w:rsid w:val="007C2FEB"/>
    <w:rsid w:val="007C3380"/>
    <w:rsid w:val="007C3398"/>
    <w:rsid w:val="007C3B1D"/>
    <w:rsid w:val="007C74B7"/>
    <w:rsid w:val="007C7E03"/>
    <w:rsid w:val="007D1755"/>
    <w:rsid w:val="007D25A6"/>
    <w:rsid w:val="007D286B"/>
    <w:rsid w:val="007D2ACB"/>
    <w:rsid w:val="007D2DB3"/>
    <w:rsid w:val="007D50E4"/>
    <w:rsid w:val="007D53AB"/>
    <w:rsid w:val="007D5905"/>
    <w:rsid w:val="007D63E1"/>
    <w:rsid w:val="007D6F81"/>
    <w:rsid w:val="007D73B3"/>
    <w:rsid w:val="007D73BB"/>
    <w:rsid w:val="007D74FA"/>
    <w:rsid w:val="007E075E"/>
    <w:rsid w:val="007E08F5"/>
    <w:rsid w:val="007E0F70"/>
    <w:rsid w:val="007E152A"/>
    <w:rsid w:val="007E159E"/>
    <w:rsid w:val="007E2E17"/>
    <w:rsid w:val="007E2F76"/>
    <w:rsid w:val="007E3946"/>
    <w:rsid w:val="007E398C"/>
    <w:rsid w:val="007E3C2F"/>
    <w:rsid w:val="007E3C66"/>
    <w:rsid w:val="007E4183"/>
    <w:rsid w:val="007E444A"/>
    <w:rsid w:val="007E4763"/>
    <w:rsid w:val="007E555E"/>
    <w:rsid w:val="007E5837"/>
    <w:rsid w:val="007E63B0"/>
    <w:rsid w:val="007E654B"/>
    <w:rsid w:val="007E763F"/>
    <w:rsid w:val="007F063F"/>
    <w:rsid w:val="007F0711"/>
    <w:rsid w:val="007F1369"/>
    <w:rsid w:val="007F21A1"/>
    <w:rsid w:val="007F33BE"/>
    <w:rsid w:val="007F50B8"/>
    <w:rsid w:val="007F6176"/>
    <w:rsid w:val="007F61D9"/>
    <w:rsid w:val="007F6677"/>
    <w:rsid w:val="007F66E3"/>
    <w:rsid w:val="008030F9"/>
    <w:rsid w:val="00803353"/>
    <w:rsid w:val="00803E54"/>
    <w:rsid w:val="008047DD"/>
    <w:rsid w:val="00804B07"/>
    <w:rsid w:val="00804E68"/>
    <w:rsid w:val="0080603A"/>
    <w:rsid w:val="0080709F"/>
    <w:rsid w:val="00807D58"/>
    <w:rsid w:val="00812D16"/>
    <w:rsid w:val="00813E58"/>
    <w:rsid w:val="008149C7"/>
    <w:rsid w:val="00814C29"/>
    <w:rsid w:val="00815910"/>
    <w:rsid w:val="00815EBB"/>
    <w:rsid w:val="008165A0"/>
    <w:rsid w:val="00820E24"/>
    <w:rsid w:val="00821854"/>
    <w:rsid w:val="0082187F"/>
    <w:rsid w:val="008220EB"/>
    <w:rsid w:val="00822378"/>
    <w:rsid w:val="00822CD3"/>
    <w:rsid w:val="00824418"/>
    <w:rsid w:val="008249AB"/>
    <w:rsid w:val="00824DA1"/>
    <w:rsid w:val="00825BC9"/>
    <w:rsid w:val="0082659B"/>
    <w:rsid w:val="00826BCB"/>
    <w:rsid w:val="00826E2C"/>
    <w:rsid w:val="008274DC"/>
    <w:rsid w:val="00827A0A"/>
    <w:rsid w:val="00830969"/>
    <w:rsid w:val="0083101D"/>
    <w:rsid w:val="0083116A"/>
    <w:rsid w:val="0083177B"/>
    <w:rsid w:val="00831C34"/>
    <w:rsid w:val="00832D94"/>
    <w:rsid w:val="00833AC1"/>
    <w:rsid w:val="00835697"/>
    <w:rsid w:val="00835907"/>
    <w:rsid w:val="00836C05"/>
    <w:rsid w:val="00837041"/>
    <w:rsid w:val="00837B18"/>
    <w:rsid w:val="00837B78"/>
    <w:rsid w:val="008407CE"/>
    <w:rsid w:val="0084287C"/>
    <w:rsid w:val="00843DDB"/>
    <w:rsid w:val="008456E9"/>
    <w:rsid w:val="008459C5"/>
    <w:rsid w:val="00845AAE"/>
    <w:rsid w:val="00845BA0"/>
    <w:rsid w:val="00845CC9"/>
    <w:rsid w:val="00846B51"/>
    <w:rsid w:val="008470E9"/>
    <w:rsid w:val="008475DD"/>
    <w:rsid w:val="008503C8"/>
    <w:rsid w:val="00850CA4"/>
    <w:rsid w:val="0085124E"/>
    <w:rsid w:val="0085200C"/>
    <w:rsid w:val="00852097"/>
    <w:rsid w:val="008524A8"/>
    <w:rsid w:val="00853A34"/>
    <w:rsid w:val="00853DCA"/>
    <w:rsid w:val="00853E03"/>
    <w:rsid w:val="008554C7"/>
    <w:rsid w:val="008555DD"/>
    <w:rsid w:val="008570B2"/>
    <w:rsid w:val="00857173"/>
    <w:rsid w:val="008573F7"/>
    <w:rsid w:val="00860797"/>
    <w:rsid w:val="00860984"/>
    <w:rsid w:val="0086151B"/>
    <w:rsid w:val="00863499"/>
    <w:rsid w:val="00863817"/>
    <w:rsid w:val="00863F4D"/>
    <w:rsid w:val="008645BD"/>
    <w:rsid w:val="00864990"/>
    <w:rsid w:val="00864C2A"/>
    <w:rsid w:val="00864F88"/>
    <w:rsid w:val="00864FD2"/>
    <w:rsid w:val="00866592"/>
    <w:rsid w:val="00872ED2"/>
    <w:rsid w:val="00873A61"/>
    <w:rsid w:val="00873D03"/>
    <w:rsid w:val="00875D3A"/>
    <w:rsid w:val="0087624D"/>
    <w:rsid w:val="00877003"/>
    <w:rsid w:val="00877502"/>
    <w:rsid w:val="008775E3"/>
    <w:rsid w:val="008775F7"/>
    <w:rsid w:val="00877663"/>
    <w:rsid w:val="008814F3"/>
    <w:rsid w:val="0088156B"/>
    <w:rsid w:val="00881CAD"/>
    <w:rsid w:val="008820F7"/>
    <w:rsid w:val="00882AE5"/>
    <w:rsid w:val="0088303E"/>
    <w:rsid w:val="0088308D"/>
    <w:rsid w:val="008835A8"/>
    <w:rsid w:val="008846C3"/>
    <w:rsid w:val="00884795"/>
    <w:rsid w:val="008849A9"/>
    <w:rsid w:val="00885D02"/>
    <w:rsid w:val="008867C5"/>
    <w:rsid w:val="00886A80"/>
    <w:rsid w:val="00887805"/>
    <w:rsid w:val="00887A08"/>
    <w:rsid w:val="00887B47"/>
    <w:rsid w:val="0089038B"/>
    <w:rsid w:val="00890D98"/>
    <w:rsid w:val="00890FAC"/>
    <w:rsid w:val="008918FF"/>
    <w:rsid w:val="00893AD3"/>
    <w:rsid w:val="00894C1A"/>
    <w:rsid w:val="00894EF3"/>
    <w:rsid w:val="0089680E"/>
    <w:rsid w:val="00896817"/>
    <w:rsid w:val="00896DA5"/>
    <w:rsid w:val="00897696"/>
    <w:rsid w:val="008A0E09"/>
    <w:rsid w:val="008A12C9"/>
    <w:rsid w:val="008A1C22"/>
    <w:rsid w:val="008A21E3"/>
    <w:rsid w:val="008A3EB6"/>
    <w:rsid w:val="008A5763"/>
    <w:rsid w:val="008A5CE8"/>
    <w:rsid w:val="008A6A57"/>
    <w:rsid w:val="008A6D46"/>
    <w:rsid w:val="008B0252"/>
    <w:rsid w:val="008B096E"/>
    <w:rsid w:val="008B09E3"/>
    <w:rsid w:val="008B0F77"/>
    <w:rsid w:val="008B189C"/>
    <w:rsid w:val="008B1D88"/>
    <w:rsid w:val="008B3055"/>
    <w:rsid w:val="008B3D98"/>
    <w:rsid w:val="008B6378"/>
    <w:rsid w:val="008B6CCA"/>
    <w:rsid w:val="008B7419"/>
    <w:rsid w:val="008B74FA"/>
    <w:rsid w:val="008C0154"/>
    <w:rsid w:val="008C34FD"/>
    <w:rsid w:val="008C4FD0"/>
    <w:rsid w:val="008C6637"/>
    <w:rsid w:val="008C7553"/>
    <w:rsid w:val="008C77E8"/>
    <w:rsid w:val="008C78FA"/>
    <w:rsid w:val="008D0FF0"/>
    <w:rsid w:val="008D195F"/>
    <w:rsid w:val="008D31F3"/>
    <w:rsid w:val="008D3BB9"/>
    <w:rsid w:val="008D3D61"/>
    <w:rsid w:val="008D4ED8"/>
    <w:rsid w:val="008D6254"/>
    <w:rsid w:val="008D7165"/>
    <w:rsid w:val="008D76C0"/>
    <w:rsid w:val="008E0A78"/>
    <w:rsid w:val="008E19B3"/>
    <w:rsid w:val="008E3DCE"/>
    <w:rsid w:val="008E43CE"/>
    <w:rsid w:val="008E4865"/>
    <w:rsid w:val="008E4A06"/>
    <w:rsid w:val="008E4CB1"/>
    <w:rsid w:val="008E5A2B"/>
    <w:rsid w:val="008E635A"/>
    <w:rsid w:val="008E6ED4"/>
    <w:rsid w:val="008E7275"/>
    <w:rsid w:val="008F036B"/>
    <w:rsid w:val="008F0927"/>
    <w:rsid w:val="008F1888"/>
    <w:rsid w:val="008F1EF4"/>
    <w:rsid w:val="008F4E3B"/>
    <w:rsid w:val="008F6628"/>
    <w:rsid w:val="00901186"/>
    <w:rsid w:val="0090132E"/>
    <w:rsid w:val="0090182F"/>
    <w:rsid w:val="0090238A"/>
    <w:rsid w:val="0090469A"/>
    <w:rsid w:val="00904E44"/>
    <w:rsid w:val="00905115"/>
    <w:rsid w:val="00905AE3"/>
    <w:rsid w:val="00906C0E"/>
    <w:rsid w:val="00907724"/>
    <w:rsid w:val="009104B1"/>
    <w:rsid w:val="00910E40"/>
    <w:rsid w:val="009126DA"/>
    <w:rsid w:val="009140B3"/>
    <w:rsid w:val="009143B9"/>
    <w:rsid w:val="00914946"/>
    <w:rsid w:val="00914C5D"/>
    <w:rsid w:val="00914C73"/>
    <w:rsid w:val="009151FF"/>
    <w:rsid w:val="009156AA"/>
    <w:rsid w:val="00916DCB"/>
    <w:rsid w:val="00917FBA"/>
    <w:rsid w:val="009206F0"/>
    <w:rsid w:val="00920FA2"/>
    <w:rsid w:val="009217E3"/>
    <w:rsid w:val="009221D7"/>
    <w:rsid w:val="009225F0"/>
    <w:rsid w:val="0092348C"/>
    <w:rsid w:val="0092385C"/>
    <w:rsid w:val="00923925"/>
    <w:rsid w:val="00923952"/>
    <w:rsid w:val="00924B64"/>
    <w:rsid w:val="00924EFF"/>
    <w:rsid w:val="009256D1"/>
    <w:rsid w:val="009259D7"/>
    <w:rsid w:val="00926103"/>
    <w:rsid w:val="009266EA"/>
    <w:rsid w:val="00927566"/>
    <w:rsid w:val="0093024B"/>
    <w:rsid w:val="00930B01"/>
    <w:rsid w:val="00932960"/>
    <w:rsid w:val="00932DBA"/>
    <w:rsid w:val="00933838"/>
    <w:rsid w:val="0093462C"/>
    <w:rsid w:val="00934652"/>
    <w:rsid w:val="00934AB7"/>
    <w:rsid w:val="00934CD7"/>
    <w:rsid w:val="00935126"/>
    <w:rsid w:val="009354BA"/>
    <w:rsid w:val="00935C91"/>
    <w:rsid w:val="00936398"/>
    <w:rsid w:val="009368B8"/>
    <w:rsid w:val="00936B20"/>
    <w:rsid w:val="00936DAC"/>
    <w:rsid w:val="0093719B"/>
    <w:rsid w:val="00937298"/>
    <w:rsid w:val="00937354"/>
    <w:rsid w:val="00937664"/>
    <w:rsid w:val="0093778A"/>
    <w:rsid w:val="009410C2"/>
    <w:rsid w:val="009413CB"/>
    <w:rsid w:val="009426BD"/>
    <w:rsid w:val="00944245"/>
    <w:rsid w:val="009448FD"/>
    <w:rsid w:val="009455F7"/>
    <w:rsid w:val="00945AD1"/>
    <w:rsid w:val="00945DF1"/>
    <w:rsid w:val="00946737"/>
    <w:rsid w:val="0094687E"/>
    <w:rsid w:val="00946936"/>
    <w:rsid w:val="009469C3"/>
    <w:rsid w:val="00946BF2"/>
    <w:rsid w:val="00946DCD"/>
    <w:rsid w:val="009473E9"/>
    <w:rsid w:val="00947AB1"/>
    <w:rsid w:val="009510D0"/>
    <w:rsid w:val="00951C53"/>
    <w:rsid w:val="00951D5B"/>
    <w:rsid w:val="00952E43"/>
    <w:rsid w:val="009531FD"/>
    <w:rsid w:val="00953795"/>
    <w:rsid w:val="00953FBD"/>
    <w:rsid w:val="00954285"/>
    <w:rsid w:val="00954F76"/>
    <w:rsid w:val="009552C8"/>
    <w:rsid w:val="00955DCA"/>
    <w:rsid w:val="0095647D"/>
    <w:rsid w:val="00957218"/>
    <w:rsid w:val="009605FF"/>
    <w:rsid w:val="0096098D"/>
    <w:rsid w:val="00960CF8"/>
    <w:rsid w:val="00960D51"/>
    <w:rsid w:val="00961455"/>
    <w:rsid w:val="00961979"/>
    <w:rsid w:val="00961CDF"/>
    <w:rsid w:val="0096240E"/>
    <w:rsid w:val="009624D4"/>
    <w:rsid w:val="009628F7"/>
    <w:rsid w:val="00962CF4"/>
    <w:rsid w:val="00962FC1"/>
    <w:rsid w:val="00963149"/>
    <w:rsid w:val="00963884"/>
    <w:rsid w:val="00965CC0"/>
    <w:rsid w:val="009674DA"/>
    <w:rsid w:val="0097093E"/>
    <w:rsid w:val="009710BF"/>
    <w:rsid w:val="00971A9B"/>
    <w:rsid w:val="00971CED"/>
    <w:rsid w:val="00973822"/>
    <w:rsid w:val="00973A3C"/>
    <w:rsid w:val="00973D38"/>
    <w:rsid w:val="00974189"/>
    <w:rsid w:val="009746F1"/>
    <w:rsid w:val="0097550E"/>
    <w:rsid w:val="009755CA"/>
    <w:rsid w:val="00976515"/>
    <w:rsid w:val="009772D5"/>
    <w:rsid w:val="00977D4C"/>
    <w:rsid w:val="00977F56"/>
    <w:rsid w:val="009807AC"/>
    <w:rsid w:val="00982800"/>
    <w:rsid w:val="009828C9"/>
    <w:rsid w:val="00983BED"/>
    <w:rsid w:val="0098487E"/>
    <w:rsid w:val="00984D07"/>
    <w:rsid w:val="0098581B"/>
    <w:rsid w:val="00985F9D"/>
    <w:rsid w:val="009861D4"/>
    <w:rsid w:val="00987007"/>
    <w:rsid w:val="009874CF"/>
    <w:rsid w:val="00987EF0"/>
    <w:rsid w:val="00990066"/>
    <w:rsid w:val="00990ED3"/>
    <w:rsid w:val="00991BDC"/>
    <w:rsid w:val="0099369D"/>
    <w:rsid w:val="009938B4"/>
    <w:rsid w:val="00993F11"/>
    <w:rsid w:val="00994833"/>
    <w:rsid w:val="00995330"/>
    <w:rsid w:val="00995E49"/>
    <w:rsid w:val="00996444"/>
    <w:rsid w:val="00996A7A"/>
    <w:rsid w:val="00997A02"/>
    <w:rsid w:val="00997C7A"/>
    <w:rsid w:val="009A0256"/>
    <w:rsid w:val="009A037B"/>
    <w:rsid w:val="009A2A36"/>
    <w:rsid w:val="009A2BDE"/>
    <w:rsid w:val="009A3534"/>
    <w:rsid w:val="009A3562"/>
    <w:rsid w:val="009A49AD"/>
    <w:rsid w:val="009A5026"/>
    <w:rsid w:val="009A55A9"/>
    <w:rsid w:val="009A571E"/>
    <w:rsid w:val="009A576A"/>
    <w:rsid w:val="009A58D5"/>
    <w:rsid w:val="009A7406"/>
    <w:rsid w:val="009A790F"/>
    <w:rsid w:val="009A7FF8"/>
    <w:rsid w:val="009B0B06"/>
    <w:rsid w:val="009B0CAE"/>
    <w:rsid w:val="009B1359"/>
    <w:rsid w:val="009B1CD6"/>
    <w:rsid w:val="009B2898"/>
    <w:rsid w:val="009B29D7"/>
    <w:rsid w:val="009B3149"/>
    <w:rsid w:val="009B39B0"/>
    <w:rsid w:val="009B3D16"/>
    <w:rsid w:val="009B3DAA"/>
    <w:rsid w:val="009B483C"/>
    <w:rsid w:val="009B5817"/>
    <w:rsid w:val="009B5A48"/>
    <w:rsid w:val="009B5DB5"/>
    <w:rsid w:val="009B6FAE"/>
    <w:rsid w:val="009B7A33"/>
    <w:rsid w:val="009C109E"/>
    <w:rsid w:val="009C130D"/>
    <w:rsid w:val="009C141D"/>
    <w:rsid w:val="009C150C"/>
    <w:rsid w:val="009C22E8"/>
    <w:rsid w:val="009C2645"/>
    <w:rsid w:val="009C284A"/>
    <w:rsid w:val="009C3129"/>
    <w:rsid w:val="009C4672"/>
    <w:rsid w:val="009C49C7"/>
    <w:rsid w:val="009C4BD8"/>
    <w:rsid w:val="009C5A01"/>
    <w:rsid w:val="009C608A"/>
    <w:rsid w:val="009C614E"/>
    <w:rsid w:val="009C6404"/>
    <w:rsid w:val="009C641A"/>
    <w:rsid w:val="009C7071"/>
    <w:rsid w:val="009C7118"/>
    <w:rsid w:val="009C735E"/>
    <w:rsid w:val="009D05F6"/>
    <w:rsid w:val="009D0C96"/>
    <w:rsid w:val="009D16F9"/>
    <w:rsid w:val="009D17DA"/>
    <w:rsid w:val="009D2EB9"/>
    <w:rsid w:val="009D3DEC"/>
    <w:rsid w:val="009D4A0B"/>
    <w:rsid w:val="009D4E98"/>
    <w:rsid w:val="009D5E21"/>
    <w:rsid w:val="009D6BB6"/>
    <w:rsid w:val="009D7603"/>
    <w:rsid w:val="009E0829"/>
    <w:rsid w:val="009E1A59"/>
    <w:rsid w:val="009E1AB3"/>
    <w:rsid w:val="009E2A32"/>
    <w:rsid w:val="009E2A8C"/>
    <w:rsid w:val="009E2AA1"/>
    <w:rsid w:val="009E578F"/>
    <w:rsid w:val="009E7390"/>
    <w:rsid w:val="009E7C37"/>
    <w:rsid w:val="009F038D"/>
    <w:rsid w:val="009F1184"/>
    <w:rsid w:val="009F1F98"/>
    <w:rsid w:val="009F24BE"/>
    <w:rsid w:val="009F3065"/>
    <w:rsid w:val="009F389A"/>
    <w:rsid w:val="009F58D1"/>
    <w:rsid w:val="009F6FB3"/>
    <w:rsid w:val="009F73B4"/>
    <w:rsid w:val="009F7C2F"/>
    <w:rsid w:val="00A00B11"/>
    <w:rsid w:val="00A00B30"/>
    <w:rsid w:val="00A010B1"/>
    <w:rsid w:val="00A02453"/>
    <w:rsid w:val="00A02660"/>
    <w:rsid w:val="00A028E5"/>
    <w:rsid w:val="00A03BAA"/>
    <w:rsid w:val="00A03C78"/>
    <w:rsid w:val="00A04150"/>
    <w:rsid w:val="00A046B4"/>
    <w:rsid w:val="00A04A41"/>
    <w:rsid w:val="00A0602C"/>
    <w:rsid w:val="00A076C6"/>
    <w:rsid w:val="00A107CD"/>
    <w:rsid w:val="00A10C22"/>
    <w:rsid w:val="00A11665"/>
    <w:rsid w:val="00A11D7E"/>
    <w:rsid w:val="00A12C66"/>
    <w:rsid w:val="00A12EAC"/>
    <w:rsid w:val="00A13CFF"/>
    <w:rsid w:val="00A140A8"/>
    <w:rsid w:val="00A14C7A"/>
    <w:rsid w:val="00A15E9E"/>
    <w:rsid w:val="00A16E07"/>
    <w:rsid w:val="00A21183"/>
    <w:rsid w:val="00A21E76"/>
    <w:rsid w:val="00A22308"/>
    <w:rsid w:val="00A2230E"/>
    <w:rsid w:val="00A22909"/>
    <w:rsid w:val="00A22CFB"/>
    <w:rsid w:val="00A23258"/>
    <w:rsid w:val="00A23B2E"/>
    <w:rsid w:val="00A24A9F"/>
    <w:rsid w:val="00A25D05"/>
    <w:rsid w:val="00A27E87"/>
    <w:rsid w:val="00A300A3"/>
    <w:rsid w:val="00A3235E"/>
    <w:rsid w:val="00A32401"/>
    <w:rsid w:val="00A33E5A"/>
    <w:rsid w:val="00A3451B"/>
    <w:rsid w:val="00A35315"/>
    <w:rsid w:val="00A3594C"/>
    <w:rsid w:val="00A35C18"/>
    <w:rsid w:val="00A362D2"/>
    <w:rsid w:val="00A364F3"/>
    <w:rsid w:val="00A36DD1"/>
    <w:rsid w:val="00A37663"/>
    <w:rsid w:val="00A42301"/>
    <w:rsid w:val="00A443DC"/>
    <w:rsid w:val="00A44DBD"/>
    <w:rsid w:val="00A44DD4"/>
    <w:rsid w:val="00A44F70"/>
    <w:rsid w:val="00A45120"/>
    <w:rsid w:val="00A455A2"/>
    <w:rsid w:val="00A4714A"/>
    <w:rsid w:val="00A507FB"/>
    <w:rsid w:val="00A50838"/>
    <w:rsid w:val="00A5100F"/>
    <w:rsid w:val="00A51213"/>
    <w:rsid w:val="00A521DF"/>
    <w:rsid w:val="00A52541"/>
    <w:rsid w:val="00A52B15"/>
    <w:rsid w:val="00A52F36"/>
    <w:rsid w:val="00A54C8F"/>
    <w:rsid w:val="00A556AB"/>
    <w:rsid w:val="00A56027"/>
    <w:rsid w:val="00A5621B"/>
    <w:rsid w:val="00A56623"/>
    <w:rsid w:val="00A56EA1"/>
    <w:rsid w:val="00A60A0F"/>
    <w:rsid w:val="00A6154B"/>
    <w:rsid w:val="00A6220C"/>
    <w:rsid w:val="00A633F2"/>
    <w:rsid w:val="00A63BCC"/>
    <w:rsid w:val="00A640B4"/>
    <w:rsid w:val="00A652F3"/>
    <w:rsid w:val="00A65500"/>
    <w:rsid w:val="00A65C4C"/>
    <w:rsid w:val="00A65D0A"/>
    <w:rsid w:val="00A667BD"/>
    <w:rsid w:val="00A66958"/>
    <w:rsid w:val="00A675A6"/>
    <w:rsid w:val="00A7174A"/>
    <w:rsid w:val="00A71A17"/>
    <w:rsid w:val="00A71A8E"/>
    <w:rsid w:val="00A7253C"/>
    <w:rsid w:val="00A72B38"/>
    <w:rsid w:val="00A72FF6"/>
    <w:rsid w:val="00A7363F"/>
    <w:rsid w:val="00A75507"/>
    <w:rsid w:val="00A755D5"/>
    <w:rsid w:val="00A75A64"/>
    <w:rsid w:val="00A75B51"/>
    <w:rsid w:val="00A76256"/>
    <w:rsid w:val="00A77D94"/>
    <w:rsid w:val="00A81542"/>
    <w:rsid w:val="00A81683"/>
    <w:rsid w:val="00A82E58"/>
    <w:rsid w:val="00A83EC9"/>
    <w:rsid w:val="00A85357"/>
    <w:rsid w:val="00A85B48"/>
    <w:rsid w:val="00A85EEE"/>
    <w:rsid w:val="00A8607B"/>
    <w:rsid w:val="00A8663B"/>
    <w:rsid w:val="00A878A3"/>
    <w:rsid w:val="00A916DE"/>
    <w:rsid w:val="00A93C01"/>
    <w:rsid w:val="00A945A8"/>
    <w:rsid w:val="00A94D49"/>
    <w:rsid w:val="00A95FA5"/>
    <w:rsid w:val="00A96011"/>
    <w:rsid w:val="00A96265"/>
    <w:rsid w:val="00A96F7A"/>
    <w:rsid w:val="00A9713A"/>
    <w:rsid w:val="00A974BD"/>
    <w:rsid w:val="00A97B9B"/>
    <w:rsid w:val="00AA0053"/>
    <w:rsid w:val="00AA264F"/>
    <w:rsid w:val="00AA37A2"/>
    <w:rsid w:val="00AA4E9F"/>
    <w:rsid w:val="00AA519F"/>
    <w:rsid w:val="00AA52A8"/>
    <w:rsid w:val="00AA54F4"/>
    <w:rsid w:val="00AA54FA"/>
    <w:rsid w:val="00AA5D8C"/>
    <w:rsid w:val="00AA7232"/>
    <w:rsid w:val="00AA77E7"/>
    <w:rsid w:val="00AB070A"/>
    <w:rsid w:val="00AB15D2"/>
    <w:rsid w:val="00AB19A1"/>
    <w:rsid w:val="00AB345D"/>
    <w:rsid w:val="00AB40E2"/>
    <w:rsid w:val="00AB4F57"/>
    <w:rsid w:val="00AB52A4"/>
    <w:rsid w:val="00AB54D7"/>
    <w:rsid w:val="00AB609C"/>
    <w:rsid w:val="00AB6CBD"/>
    <w:rsid w:val="00AB71C3"/>
    <w:rsid w:val="00AB7B28"/>
    <w:rsid w:val="00AB7DBD"/>
    <w:rsid w:val="00AC0676"/>
    <w:rsid w:val="00AC0762"/>
    <w:rsid w:val="00AC15CA"/>
    <w:rsid w:val="00AC19FA"/>
    <w:rsid w:val="00AC1C7C"/>
    <w:rsid w:val="00AC1DFE"/>
    <w:rsid w:val="00AC20A5"/>
    <w:rsid w:val="00AC309D"/>
    <w:rsid w:val="00AC30AD"/>
    <w:rsid w:val="00AC36D3"/>
    <w:rsid w:val="00AC3982"/>
    <w:rsid w:val="00AC4E4D"/>
    <w:rsid w:val="00AC6B1D"/>
    <w:rsid w:val="00AC7986"/>
    <w:rsid w:val="00AC7B03"/>
    <w:rsid w:val="00AD076B"/>
    <w:rsid w:val="00AD0D9F"/>
    <w:rsid w:val="00AD23DD"/>
    <w:rsid w:val="00AD24E8"/>
    <w:rsid w:val="00AD3B79"/>
    <w:rsid w:val="00AD41A2"/>
    <w:rsid w:val="00AD4618"/>
    <w:rsid w:val="00AD52A3"/>
    <w:rsid w:val="00AD68D6"/>
    <w:rsid w:val="00AD7FF8"/>
    <w:rsid w:val="00AE0782"/>
    <w:rsid w:val="00AE0E0D"/>
    <w:rsid w:val="00AE1319"/>
    <w:rsid w:val="00AE174E"/>
    <w:rsid w:val="00AE2550"/>
    <w:rsid w:val="00AE2CF1"/>
    <w:rsid w:val="00AE2DEF"/>
    <w:rsid w:val="00AE3D80"/>
    <w:rsid w:val="00AE4521"/>
    <w:rsid w:val="00AE55DA"/>
    <w:rsid w:val="00AE5C41"/>
    <w:rsid w:val="00AE5F46"/>
    <w:rsid w:val="00AE60DC"/>
    <w:rsid w:val="00AE61B0"/>
    <w:rsid w:val="00AE67AA"/>
    <w:rsid w:val="00AE78B4"/>
    <w:rsid w:val="00AF000D"/>
    <w:rsid w:val="00AF0514"/>
    <w:rsid w:val="00AF137B"/>
    <w:rsid w:val="00AF24C4"/>
    <w:rsid w:val="00AF3381"/>
    <w:rsid w:val="00AF487C"/>
    <w:rsid w:val="00AF5E9F"/>
    <w:rsid w:val="00AF692F"/>
    <w:rsid w:val="00AF6DEE"/>
    <w:rsid w:val="00AF714B"/>
    <w:rsid w:val="00B001B0"/>
    <w:rsid w:val="00B014D6"/>
    <w:rsid w:val="00B01B1A"/>
    <w:rsid w:val="00B024D1"/>
    <w:rsid w:val="00B02A9B"/>
    <w:rsid w:val="00B04472"/>
    <w:rsid w:val="00B04ED8"/>
    <w:rsid w:val="00B054EA"/>
    <w:rsid w:val="00B05646"/>
    <w:rsid w:val="00B059C5"/>
    <w:rsid w:val="00B076DB"/>
    <w:rsid w:val="00B07A5B"/>
    <w:rsid w:val="00B11337"/>
    <w:rsid w:val="00B1192B"/>
    <w:rsid w:val="00B1198C"/>
    <w:rsid w:val="00B119DF"/>
    <w:rsid w:val="00B11E4C"/>
    <w:rsid w:val="00B140FD"/>
    <w:rsid w:val="00B15009"/>
    <w:rsid w:val="00B15DD3"/>
    <w:rsid w:val="00B16163"/>
    <w:rsid w:val="00B171C5"/>
    <w:rsid w:val="00B20A88"/>
    <w:rsid w:val="00B21386"/>
    <w:rsid w:val="00B219E7"/>
    <w:rsid w:val="00B22501"/>
    <w:rsid w:val="00B2322C"/>
    <w:rsid w:val="00B232A8"/>
    <w:rsid w:val="00B249F2"/>
    <w:rsid w:val="00B24C6D"/>
    <w:rsid w:val="00B24FE6"/>
    <w:rsid w:val="00B25FF9"/>
    <w:rsid w:val="00B26160"/>
    <w:rsid w:val="00B26209"/>
    <w:rsid w:val="00B2793B"/>
    <w:rsid w:val="00B2793E"/>
    <w:rsid w:val="00B2799D"/>
    <w:rsid w:val="00B3177D"/>
    <w:rsid w:val="00B31E28"/>
    <w:rsid w:val="00B3226F"/>
    <w:rsid w:val="00B32D5A"/>
    <w:rsid w:val="00B34902"/>
    <w:rsid w:val="00B35513"/>
    <w:rsid w:val="00B37010"/>
    <w:rsid w:val="00B37777"/>
    <w:rsid w:val="00B4010C"/>
    <w:rsid w:val="00B40E50"/>
    <w:rsid w:val="00B413C2"/>
    <w:rsid w:val="00B445A6"/>
    <w:rsid w:val="00B458E1"/>
    <w:rsid w:val="00B45C54"/>
    <w:rsid w:val="00B45E16"/>
    <w:rsid w:val="00B46045"/>
    <w:rsid w:val="00B460A4"/>
    <w:rsid w:val="00B46F98"/>
    <w:rsid w:val="00B475A7"/>
    <w:rsid w:val="00B502F6"/>
    <w:rsid w:val="00B5030E"/>
    <w:rsid w:val="00B50635"/>
    <w:rsid w:val="00B513C3"/>
    <w:rsid w:val="00B51C92"/>
    <w:rsid w:val="00B51CA5"/>
    <w:rsid w:val="00B521E3"/>
    <w:rsid w:val="00B52437"/>
    <w:rsid w:val="00B52697"/>
    <w:rsid w:val="00B5337C"/>
    <w:rsid w:val="00B54B99"/>
    <w:rsid w:val="00B54E2D"/>
    <w:rsid w:val="00B56378"/>
    <w:rsid w:val="00B57905"/>
    <w:rsid w:val="00B57A56"/>
    <w:rsid w:val="00B60C13"/>
    <w:rsid w:val="00B61835"/>
    <w:rsid w:val="00B64920"/>
    <w:rsid w:val="00B6521A"/>
    <w:rsid w:val="00B65B2F"/>
    <w:rsid w:val="00B6658A"/>
    <w:rsid w:val="00B67DB8"/>
    <w:rsid w:val="00B701F2"/>
    <w:rsid w:val="00B712FB"/>
    <w:rsid w:val="00B71ED2"/>
    <w:rsid w:val="00B72989"/>
    <w:rsid w:val="00B74313"/>
    <w:rsid w:val="00B759C4"/>
    <w:rsid w:val="00B759E9"/>
    <w:rsid w:val="00B75B4A"/>
    <w:rsid w:val="00B76867"/>
    <w:rsid w:val="00B76894"/>
    <w:rsid w:val="00B77992"/>
    <w:rsid w:val="00B80BB3"/>
    <w:rsid w:val="00B812FC"/>
    <w:rsid w:val="00B817D1"/>
    <w:rsid w:val="00B81C98"/>
    <w:rsid w:val="00B827B0"/>
    <w:rsid w:val="00B82B3D"/>
    <w:rsid w:val="00B82BB4"/>
    <w:rsid w:val="00B8355F"/>
    <w:rsid w:val="00B85302"/>
    <w:rsid w:val="00B85396"/>
    <w:rsid w:val="00B87A67"/>
    <w:rsid w:val="00B91B83"/>
    <w:rsid w:val="00B91BD6"/>
    <w:rsid w:val="00B91E3E"/>
    <w:rsid w:val="00B92E9B"/>
    <w:rsid w:val="00B930C5"/>
    <w:rsid w:val="00B93752"/>
    <w:rsid w:val="00B93E39"/>
    <w:rsid w:val="00B940AF"/>
    <w:rsid w:val="00B95315"/>
    <w:rsid w:val="00B95E6B"/>
    <w:rsid w:val="00B96040"/>
    <w:rsid w:val="00B9724F"/>
    <w:rsid w:val="00B975CB"/>
    <w:rsid w:val="00B97AD4"/>
    <w:rsid w:val="00BA033D"/>
    <w:rsid w:val="00BA0E30"/>
    <w:rsid w:val="00BA16C7"/>
    <w:rsid w:val="00BA2DB9"/>
    <w:rsid w:val="00BA2EDA"/>
    <w:rsid w:val="00BA3912"/>
    <w:rsid w:val="00BA53F1"/>
    <w:rsid w:val="00BA5C47"/>
    <w:rsid w:val="00BA76EE"/>
    <w:rsid w:val="00BA7A78"/>
    <w:rsid w:val="00BB029B"/>
    <w:rsid w:val="00BB02D5"/>
    <w:rsid w:val="00BB052D"/>
    <w:rsid w:val="00BB0A83"/>
    <w:rsid w:val="00BB18F9"/>
    <w:rsid w:val="00BB320F"/>
    <w:rsid w:val="00BB4863"/>
    <w:rsid w:val="00BB4DED"/>
    <w:rsid w:val="00BB5379"/>
    <w:rsid w:val="00BB53B6"/>
    <w:rsid w:val="00BB5D71"/>
    <w:rsid w:val="00BB5FE1"/>
    <w:rsid w:val="00BB631D"/>
    <w:rsid w:val="00BB635F"/>
    <w:rsid w:val="00BB67EF"/>
    <w:rsid w:val="00BB6D06"/>
    <w:rsid w:val="00BBE6E0"/>
    <w:rsid w:val="00BC0CF1"/>
    <w:rsid w:val="00BC0F1E"/>
    <w:rsid w:val="00BC1C18"/>
    <w:rsid w:val="00BC1FFB"/>
    <w:rsid w:val="00BC247C"/>
    <w:rsid w:val="00BC292C"/>
    <w:rsid w:val="00BC2A90"/>
    <w:rsid w:val="00BC3C1B"/>
    <w:rsid w:val="00BC4017"/>
    <w:rsid w:val="00BC5C98"/>
    <w:rsid w:val="00BC6DFE"/>
    <w:rsid w:val="00BC7858"/>
    <w:rsid w:val="00BC7C70"/>
    <w:rsid w:val="00BC7FB5"/>
    <w:rsid w:val="00BD219C"/>
    <w:rsid w:val="00BD255A"/>
    <w:rsid w:val="00BD27CF"/>
    <w:rsid w:val="00BD36DA"/>
    <w:rsid w:val="00BD3A83"/>
    <w:rsid w:val="00BD41E8"/>
    <w:rsid w:val="00BD4398"/>
    <w:rsid w:val="00BD4AFF"/>
    <w:rsid w:val="00BD527F"/>
    <w:rsid w:val="00BD5C24"/>
    <w:rsid w:val="00BD5D3F"/>
    <w:rsid w:val="00BD6B54"/>
    <w:rsid w:val="00BD7A9B"/>
    <w:rsid w:val="00BE055B"/>
    <w:rsid w:val="00BE2B75"/>
    <w:rsid w:val="00BE40ED"/>
    <w:rsid w:val="00BE4134"/>
    <w:rsid w:val="00BE416B"/>
    <w:rsid w:val="00BE42C6"/>
    <w:rsid w:val="00BE43D8"/>
    <w:rsid w:val="00BE531F"/>
    <w:rsid w:val="00BE650C"/>
    <w:rsid w:val="00BE683F"/>
    <w:rsid w:val="00BE7148"/>
    <w:rsid w:val="00BE759F"/>
    <w:rsid w:val="00BE7AD8"/>
    <w:rsid w:val="00BF0514"/>
    <w:rsid w:val="00BF05FB"/>
    <w:rsid w:val="00BF1BDC"/>
    <w:rsid w:val="00BF2427"/>
    <w:rsid w:val="00BF3288"/>
    <w:rsid w:val="00BF44AA"/>
    <w:rsid w:val="00BF48D0"/>
    <w:rsid w:val="00BF556D"/>
    <w:rsid w:val="00BF5C61"/>
    <w:rsid w:val="00BF5DAD"/>
    <w:rsid w:val="00BF7902"/>
    <w:rsid w:val="00C029FE"/>
    <w:rsid w:val="00C03364"/>
    <w:rsid w:val="00C033F2"/>
    <w:rsid w:val="00C0343E"/>
    <w:rsid w:val="00C043AA"/>
    <w:rsid w:val="00C05DC2"/>
    <w:rsid w:val="00C07A7E"/>
    <w:rsid w:val="00C105C4"/>
    <w:rsid w:val="00C10A42"/>
    <w:rsid w:val="00C10ABF"/>
    <w:rsid w:val="00C11EE2"/>
    <w:rsid w:val="00C1240E"/>
    <w:rsid w:val="00C131B9"/>
    <w:rsid w:val="00C139C7"/>
    <w:rsid w:val="00C13C60"/>
    <w:rsid w:val="00C141E6"/>
    <w:rsid w:val="00C14C7E"/>
    <w:rsid w:val="00C15445"/>
    <w:rsid w:val="00C16292"/>
    <w:rsid w:val="00C16327"/>
    <w:rsid w:val="00C169D0"/>
    <w:rsid w:val="00C16A72"/>
    <w:rsid w:val="00C16D94"/>
    <w:rsid w:val="00C17CA5"/>
    <w:rsid w:val="00C20909"/>
    <w:rsid w:val="00C22245"/>
    <w:rsid w:val="00C23527"/>
    <w:rsid w:val="00C23A06"/>
    <w:rsid w:val="00C24F8E"/>
    <w:rsid w:val="00C25D68"/>
    <w:rsid w:val="00C267FF"/>
    <w:rsid w:val="00C26CC4"/>
    <w:rsid w:val="00C27EFB"/>
    <w:rsid w:val="00C27F63"/>
    <w:rsid w:val="00C3080F"/>
    <w:rsid w:val="00C31B57"/>
    <w:rsid w:val="00C31BA6"/>
    <w:rsid w:val="00C31FA5"/>
    <w:rsid w:val="00C330BD"/>
    <w:rsid w:val="00C334B1"/>
    <w:rsid w:val="00C35282"/>
    <w:rsid w:val="00C35F48"/>
    <w:rsid w:val="00C36313"/>
    <w:rsid w:val="00C3688F"/>
    <w:rsid w:val="00C37B5D"/>
    <w:rsid w:val="00C400CE"/>
    <w:rsid w:val="00C40D38"/>
    <w:rsid w:val="00C414D9"/>
    <w:rsid w:val="00C43479"/>
    <w:rsid w:val="00C44D15"/>
    <w:rsid w:val="00C44EE0"/>
    <w:rsid w:val="00C451D1"/>
    <w:rsid w:val="00C45967"/>
    <w:rsid w:val="00C46192"/>
    <w:rsid w:val="00C465EB"/>
    <w:rsid w:val="00C46AEF"/>
    <w:rsid w:val="00C46D9C"/>
    <w:rsid w:val="00C47326"/>
    <w:rsid w:val="00C47BC6"/>
    <w:rsid w:val="00C51487"/>
    <w:rsid w:val="00C51DC6"/>
    <w:rsid w:val="00C522D5"/>
    <w:rsid w:val="00C52E24"/>
    <w:rsid w:val="00C5450A"/>
    <w:rsid w:val="00C54538"/>
    <w:rsid w:val="00C553E3"/>
    <w:rsid w:val="00C5739A"/>
    <w:rsid w:val="00C5745F"/>
    <w:rsid w:val="00C605D9"/>
    <w:rsid w:val="00C6110A"/>
    <w:rsid w:val="00C62C0B"/>
    <w:rsid w:val="00C62C44"/>
    <w:rsid w:val="00C632EF"/>
    <w:rsid w:val="00C6389D"/>
    <w:rsid w:val="00C639A2"/>
    <w:rsid w:val="00C65404"/>
    <w:rsid w:val="00C66326"/>
    <w:rsid w:val="00C700D1"/>
    <w:rsid w:val="00C72EBC"/>
    <w:rsid w:val="00C73076"/>
    <w:rsid w:val="00C7326E"/>
    <w:rsid w:val="00C735B5"/>
    <w:rsid w:val="00C73C32"/>
    <w:rsid w:val="00C7644F"/>
    <w:rsid w:val="00C766DC"/>
    <w:rsid w:val="00C7698B"/>
    <w:rsid w:val="00C76EA7"/>
    <w:rsid w:val="00C77526"/>
    <w:rsid w:val="00C7779B"/>
    <w:rsid w:val="00C7796D"/>
    <w:rsid w:val="00C77D69"/>
    <w:rsid w:val="00C809A1"/>
    <w:rsid w:val="00C80DA7"/>
    <w:rsid w:val="00C81004"/>
    <w:rsid w:val="00C81135"/>
    <w:rsid w:val="00C81766"/>
    <w:rsid w:val="00C818C7"/>
    <w:rsid w:val="00C82100"/>
    <w:rsid w:val="00C82904"/>
    <w:rsid w:val="00C82982"/>
    <w:rsid w:val="00C8315D"/>
    <w:rsid w:val="00C834C7"/>
    <w:rsid w:val="00C8365B"/>
    <w:rsid w:val="00C83D3F"/>
    <w:rsid w:val="00C8452F"/>
    <w:rsid w:val="00C847BE"/>
    <w:rsid w:val="00C84B15"/>
    <w:rsid w:val="00C84DD7"/>
    <w:rsid w:val="00C84EB1"/>
    <w:rsid w:val="00C853AE"/>
    <w:rsid w:val="00C87B72"/>
    <w:rsid w:val="00C912B6"/>
    <w:rsid w:val="00C91519"/>
    <w:rsid w:val="00C915EF"/>
    <w:rsid w:val="00C924F4"/>
    <w:rsid w:val="00C93454"/>
    <w:rsid w:val="00C94EE0"/>
    <w:rsid w:val="00C957F3"/>
    <w:rsid w:val="00C96564"/>
    <w:rsid w:val="00C978CE"/>
    <w:rsid w:val="00C97A4C"/>
    <w:rsid w:val="00CA01A5"/>
    <w:rsid w:val="00CA027C"/>
    <w:rsid w:val="00CA06AB"/>
    <w:rsid w:val="00CA0A48"/>
    <w:rsid w:val="00CA0C7C"/>
    <w:rsid w:val="00CA1980"/>
    <w:rsid w:val="00CA1E09"/>
    <w:rsid w:val="00CA2140"/>
    <w:rsid w:val="00CA21D8"/>
    <w:rsid w:val="00CA2B6C"/>
    <w:rsid w:val="00CA3346"/>
    <w:rsid w:val="00CA3BB0"/>
    <w:rsid w:val="00CA3C5C"/>
    <w:rsid w:val="00CA4FA0"/>
    <w:rsid w:val="00CA6E77"/>
    <w:rsid w:val="00CA709B"/>
    <w:rsid w:val="00CA73A9"/>
    <w:rsid w:val="00CA782F"/>
    <w:rsid w:val="00CA7974"/>
    <w:rsid w:val="00CA7FB9"/>
    <w:rsid w:val="00CB052A"/>
    <w:rsid w:val="00CB0598"/>
    <w:rsid w:val="00CB18A8"/>
    <w:rsid w:val="00CB1FC8"/>
    <w:rsid w:val="00CB2296"/>
    <w:rsid w:val="00CB2AB0"/>
    <w:rsid w:val="00CB3DF0"/>
    <w:rsid w:val="00CB554E"/>
    <w:rsid w:val="00CB5863"/>
    <w:rsid w:val="00CB586C"/>
    <w:rsid w:val="00CB5AAE"/>
    <w:rsid w:val="00CB5B85"/>
    <w:rsid w:val="00CB65BF"/>
    <w:rsid w:val="00CB7F3E"/>
    <w:rsid w:val="00CC11D9"/>
    <w:rsid w:val="00CC1A21"/>
    <w:rsid w:val="00CC1F90"/>
    <w:rsid w:val="00CC3034"/>
    <w:rsid w:val="00CC3735"/>
    <w:rsid w:val="00CC3AB7"/>
    <w:rsid w:val="00CC4026"/>
    <w:rsid w:val="00CC4535"/>
    <w:rsid w:val="00CC483B"/>
    <w:rsid w:val="00CC4EC8"/>
    <w:rsid w:val="00CC4F30"/>
    <w:rsid w:val="00CC51A6"/>
    <w:rsid w:val="00CC5A20"/>
    <w:rsid w:val="00CC61F5"/>
    <w:rsid w:val="00CC6388"/>
    <w:rsid w:val="00CC6E93"/>
    <w:rsid w:val="00CC70B5"/>
    <w:rsid w:val="00CC75B3"/>
    <w:rsid w:val="00CC7F5D"/>
    <w:rsid w:val="00CD0590"/>
    <w:rsid w:val="00CD0676"/>
    <w:rsid w:val="00CD10AD"/>
    <w:rsid w:val="00CD11C7"/>
    <w:rsid w:val="00CD1665"/>
    <w:rsid w:val="00CD1DD7"/>
    <w:rsid w:val="00CD35B5"/>
    <w:rsid w:val="00CD46FE"/>
    <w:rsid w:val="00CD5EF0"/>
    <w:rsid w:val="00CD68D8"/>
    <w:rsid w:val="00CD7CB1"/>
    <w:rsid w:val="00CE0B00"/>
    <w:rsid w:val="00CE0ED3"/>
    <w:rsid w:val="00CE1657"/>
    <w:rsid w:val="00CE2B33"/>
    <w:rsid w:val="00CE2F65"/>
    <w:rsid w:val="00CE3272"/>
    <w:rsid w:val="00CE4532"/>
    <w:rsid w:val="00CE5004"/>
    <w:rsid w:val="00CE520A"/>
    <w:rsid w:val="00CE52EE"/>
    <w:rsid w:val="00CE54BB"/>
    <w:rsid w:val="00CE6C39"/>
    <w:rsid w:val="00CE7256"/>
    <w:rsid w:val="00CE7AA8"/>
    <w:rsid w:val="00CF01C8"/>
    <w:rsid w:val="00CF0E68"/>
    <w:rsid w:val="00CF11AC"/>
    <w:rsid w:val="00CF165D"/>
    <w:rsid w:val="00CF1A93"/>
    <w:rsid w:val="00CF1C2C"/>
    <w:rsid w:val="00CF1D64"/>
    <w:rsid w:val="00CF2731"/>
    <w:rsid w:val="00CF3789"/>
    <w:rsid w:val="00CF4DAC"/>
    <w:rsid w:val="00CF5CF6"/>
    <w:rsid w:val="00CF711F"/>
    <w:rsid w:val="00CF7270"/>
    <w:rsid w:val="00CF7486"/>
    <w:rsid w:val="00CF7992"/>
    <w:rsid w:val="00D00AEF"/>
    <w:rsid w:val="00D00EE3"/>
    <w:rsid w:val="00D01462"/>
    <w:rsid w:val="00D0199B"/>
    <w:rsid w:val="00D02889"/>
    <w:rsid w:val="00D033B6"/>
    <w:rsid w:val="00D037DA"/>
    <w:rsid w:val="00D039D6"/>
    <w:rsid w:val="00D04D30"/>
    <w:rsid w:val="00D057E2"/>
    <w:rsid w:val="00D060FE"/>
    <w:rsid w:val="00D068A6"/>
    <w:rsid w:val="00D107DB"/>
    <w:rsid w:val="00D11576"/>
    <w:rsid w:val="00D116D5"/>
    <w:rsid w:val="00D11C7E"/>
    <w:rsid w:val="00D12281"/>
    <w:rsid w:val="00D12366"/>
    <w:rsid w:val="00D12D93"/>
    <w:rsid w:val="00D139F6"/>
    <w:rsid w:val="00D14258"/>
    <w:rsid w:val="00D145DE"/>
    <w:rsid w:val="00D14A07"/>
    <w:rsid w:val="00D14BE9"/>
    <w:rsid w:val="00D16621"/>
    <w:rsid w:val="00D16D9B"/>
    <w:rsid w:val="00D17571"/>
    <w:rsid w:val="00D208C9"/>
    <w:rsid w:val="00D21231"/>
    <w:rsid w:val="00D21541"/>
    <w:rsid w:val="00D22025"/>
    <w:rsid w:val="00D22EDC"/>
    <w:rsid w:val="00D23097"/>
    <w:rsid w:val="00D2516B"/>
    <w:rsid w:val="00D253CE"/>
    <w:rsid w:val="00D267BC"/>
    <w:rsid w:val="00D2710F"/>
    <w:rsid w:val="00D2711E"/>
    <w:rsid w:val="00D31747"/>
    <w:rsid w:val="00D31B2B"/>
    <w:rsid w:val="00D32734"/>
    <w:rsid w:val="00D32A19"/>
    <w:rsid w:val="00D3354A"/>
    <w:rsid w:val="00D37FFA"/>
    <w:rsid w:val="00D40381"/>
    <w:rsid w:val="00D4142A"/>
    <w:rsid w:val="00D424AE"/>
    <w:rsid w:val="00D434C8"/>
    <w:rsid w:val="00D44128"/>
    <w:rsid w:val="00D442EB"/>
    <w:rsid w:val="00D4472C"/>
    <w:rsid w:val="00D451E5"/>
    <w:rsid w:val="00D45F98"/>
    <w:rsid w:val="00D4628C"/>
    <w:rsid w:val="00D46E9F"/>
    <w:rsid w:val="00D47224"/>
    <w:rsid w:val="00D47AC7"/>
    <w:rsid w:val="00D47C89"/>
    <w:rsid w:val="00D47EDA"/>
    <w:rsid w:val="00D505F2"/>
    <w:rsid w:val="00D50ED1"/>
    <w:rsid w:val="00D513CA"/>
    <w:rsid w:val="00D5206E"/>
    <w:rsid w:val="00D52290"/>
    <w:rsid w:val="00D526B3"/>
    <w:rsid w:val="00D52951"/>
    <w:rsid w:val="00D5297B"/>
    <w:rsid w:val="00D52DF3"/>
    <w:rsid w:val="00D53324"/>
    <w:rsid w:val="00D53852"/>
    <w:rsid w:val="00D54B31"/>
    <w:rsid w:val="00D55EE4"/>
    <w:rsid w:val="00D568A2"/>
    <w:rsid w:val="00D573FE"/>
    <w:rsid w:val="00D5761C"/>
    <w:rsid w:val="00D6100E"/>
    <w:rsid w:val="00D6143F"/>
    <w:rsid w:val="00D620A9"/>
    <w:rsid w:val="00D6334F"/>
    <w:rsid w:val="00D6338F"/>
    <w:rsid w:val="00D63D68"/>
    <w:rsid w:val="00D64148"/>
    <w:rsid w:val="00D66035"/>
    <w:rsid w:val="00D662BF"/>
    <w:rsid w:val="00D67866"/>
    <w:rsid w:val="00D67C96"/>
    <w:rsid w:val="00D67E01"/>
    <w:rsid w:val="00D71800"/>
    <w:rsid w:val="00D71A17"/>
    <w:rsid w:val="00D723E4"/>
    <w:rsid w:val="00D732A2"/>
    <w:rsid w:val="00D73373"/>
    <w:rsid w:val="00D7459C"/>
    <w:rsid w:val="00D747A5"/>
    <w:rsid w:val="00D74E15"/>
    <w:rsid w:val="00D75B09"/>
    <w:rsid w:val="00D766B4"/>
    <w:rsid w:val="00D76B47"/>
    <w:rsid w:val="00D7781E"/>
    <w:rsid w:val="00D800BE"/>
    <w:rsid w:val="00D80AA0"/>
    <w:rsid w:val="00D8212A"/>
    <w:rsid w:val="00D8252C"/>
    <w:rsid w:val="00D83D9B"/>
    <w:rsid w:val="00D84875"/>
    <w:rsid w:val="00D84D85"/>
    <w:rsid w:val="00D858F6"/>
    <w:rsid w:val="00D86158"/>
    <w:rsid w:val="00D86728"/>
    <w:rsid w:val="00D867A2"/>
    <w:rsid w:val="00D867CA"/>
    <w:rsid w:val="00D87AFF"/>
    <w:rsid w:val="00D87CE1"/>
    <w:rsid w:val="00D90151"/>
    <w:rsid w:val="00D906A9"/>
    <w:rsid w:val="00D91925"/>
    <w:rsid w:val="00D92866"/>
    <w:rsid w:val="00D92E0F"/>
    <w:rsid w:val="00D936FD"/>
    <w:rsid w:val="00D93ECB"/>
    <w:rsid w:val="00D94052"/>
    <w:rsid w:val="00D9488A"/>
    <w:rsid w:val="00D967A5"/>
    <w:rsid w:val="00D96E97"/>
    <w:rsid w:val="00D97121"/>
    <w:rsid w:val="00DA1664"/>
    <w:rsid w:val="00DA1886"/>
    <w:rsid w:val="00DA1906"/>
    <w:rsid w:val="00DA208E"/>
    <w:rsid w:val="00DA243A"/>
    <w:rsid w:val="00DA2556"/>
    <w:rsid w:val="00DA3F6B"/>
    <w:rsid w:val="00DA42DE"/>
    <w:rsid w:val="00DA4E80"/>
    <w:rsid w:val="00DA5442"/>
    <w:rsid w:val="00DA577A"/>
    <w:rsid w:val="00DA6615"/>
    <w:rsid w:val="00DA6F93"/>
    <w:rsid w:val="00DA703C"/>
    <w:rsid w:val="00DB0305"/>
    <w:rsid w:val="00DB032D"/>
    <w:rsid w:val="00DB0402"/>
    <w:rsid w:val="00DB0618"/>
    <w:rsid w:val="00DB08DA"/>
    <w:rsid w:val="00DB0ACF"/>
    <w:rsid w:val="00DB173C"/>
    <w:rsid w:val="00DB24A6"/>
    <w:rsid w:val="00DB3FAA"/>
    <w:rsid w:val="00DB4538"/>
    <w:rsid w:val="00DB595F"/>
    <w:rsid w:val="00DB5DD7"/>
    <w:rsid w:val="00DB6356"/>
    <w:rsid w:val="00DB686F"/>
    <w:rsid w:val="00DB6CF4"/>
    <w:rsid w:val="00DB6DC8"/>
    <w:rsid w:val="00DC054A"/>
    <w:rsid w:val="00DC0817"/>
    <w:rsid w:val="00DC1683"/>
    <w:rsid w:val="00DC234F"/>
    <w:rsid w:val="00DC27C4"/>
    <w:rsid w:val="00DC310E"/>
    <w:rsid w:val="00DC3859"/>
    <w:rsid w:val="00DC5AB1"/>
    <w:rsid w:val="00DC5E26"/>
    <w:rsid w:val="00DC5E86"/>
    <w:rsid w:val="00DC617F"/>
    <w:rsid w:val="00DC79EE"/>
    <w:rsid w:val="00DD0285"/>
    <w:rsid w:val="00DD1FF2"/>
    <w:rsid w:val="00DD6AA6"/>
    <w:rsid w:val="00DD7FE1"/>
    <w:rsid w:val="00DE066D"/>
    <w:rsid w:val="00DE0670"/>
    <w:rsid w:val="00DE0BDC"/>
    <w:rsid w:val="00DE0CBB"/>
    <w:rsid w:val="00DE0ECC"/>
    <w:rsid w:val="00DE0FB4"/>
    <w:rsid w:val="00DE1026"/>
    <w:rsid w:val="00DE12D6"/>
    <w:rsid w:val="00DE13AE"/>
    <w:rsid w:val="00DE3007"/>
    <w:rsid w:val="00DE3013"/>
    <w:rsid w:val="00DE33E3"/>
    <w:rsid w:val="00DE4A1E"/>
    <w:rsid w:val="00DE4FDB"/>
    <w:rsid w:val="00DE4FE4"/>
    <w:rsid w:val="00DE5D8D"/>
    <w:rsid w:val="00DE7941"/>
    <w:rsid w:val="00DE798A"/>
    <w:rsid w:val="00DF0339"/>
    <w:rsid w:val="00DF0368"/>
    <w:rsid w:val="00DF0FF4"/>
    <w:rsid w:val="00DF1F7E"/>
    <w:rsid w:val="00DF2ABF"/>
    <w:rsid w:val="00DF2F94"/>
    <w:rsid w:val="00DF3BCF"/>
    <w:rsid w:val="00DF47BF"/>
    <w:rsid w:val="00DF48A2"/>
    <w:rsid w:val="00DF5168"/>
    <w:rsid w:val="00DF5528"/>
    <w:rsid w:val="00DF5ABA"/>
    <w:rsid w:val="00DF5DAB"/>
    <w:rsid w:val="00DF5EE2"/>
    <w:rsid w:val="00DF6C2C"/>
    <w:rsid w:val="00DF7674"/>
    <w:rsid w:val="00E030D8"/>
    <w:rsid w:val="00E032A1"/>
    <w:rsid w:val="00E0344B"/>
    <w:rsid w:val="00E0393B"/>
    <w:rsid w:val="00E05965"/>
    <w:rsid w:val="00E05A71"/>
    <w:rsid w:val="00E05B4B"/>
    <w:rsid w:val="00E05D7E"/>
    <w:rsid w:val="00E05F30"/>
    <w:rsid w:val="00E06324"/>
    <w:rsid w:val="00E0747E"/>
    <w:rsid w:val="00E07616"/>
    <w:rsid w:val="00E07A67"/>
    <w:rsid w:val="00E07BE1"/>
    <w:rsid w:val="00E110F5"/>
    <w:rsid w:val="00E11379"/>
    <w:rsid w:val="00E11A95"/>
    <w:rsid w:val="00E130F8"/>
    <w:rsid w:val="00E13275"/>
    <w:rsid w:val="00E134D4"/>
    <w:rsid w:val="00E137FC"/>
    <w:rsid w:val="00E1414A"/>
    <w:rsid w:val="00E14328"/>
    <w:rsid w:val="00E15645"/>
    <w:rsid w:val="00E1754E"/>
    <w:rsid w:val="00E176DD"/>
    <w:rsid w:val="00E1778E"/>
    <w:rsid w:val="00E17AC7"/>
    <w:rsid w:val="00E20802"/>
    <w:rsid w:val="00E211B3"/>
    <w:rsid w:val="00E2167A"/>
    <w:rsid w:val="00E21F43"/>
    <w:rsid w:val="00E22025"/>
    <w:rsid w:val="00E227A0"/>
    <w:rsid w:val="00E238D3"/>
    <w:rsid w:val="00E23CFA"/>
    <w:rsid w:val="00E241EB"/>
    <w:rsid w:val="00E24292"/>
    <w:rsid w:val="00E244D4"/>
    <w:rsid w:val="00E2457D"/>
    <w:rsid w:val="00E24BB9"/>
    <w:rsid w:val="00E25C87"/>
    <w:rsid w:val="00E262DC"/>
    <w:rsid w:val="00E26C8E"/>
    <w:rsid w:val="00E273E4"/>
    <w:rsid w:val="00E306A8"/>
    <w:rsid w:val="00E30EF3"/>
    <w:rsid w:val="00E3143C"/>
    <w:rsid w:val="00E31F6F"/>
    <w:rsid w:val="00E32440"/>
    <w:rsid w:val="00E344B9"/>
    <w:rsid w:val="00E360D7"/>
    <w:rsid w:val="00E36E42"/>
    <w:rsid w:val="00E3750A"/>
    <w:rsid w:val="00E37EF7"/>
    <w:rsid w:val="00E402B0"/>
    <w:rsid w:val="00E40727"/>
    <w:rsid w:val="00E40A0A"/>
    <w:rsid w:val="00E40EC1"/>
    <w:rsid w:val="00E42042"/>
    <w:rsid w:val="00E42157"/>
    <w:rsid w:val="00E42539"/>
    <w:rsid w:val="00E428A3"/>
    <w:rsid w:val="00E4320A"/>
    <w:rsid w:val="00E444A7"/>
    <w:rsid w:val="00E46238"/>
    <w:rsid w:val="00E46693"/>
    <w:rsid w:val="00E468A4"/>
    <w:rsid w:val="00E474E9"/>
    <w:rsid w:val="00E47E39"/>
    <w:rsid w:val="00E50C10"/>
    <w:rsid w:val="00E50DEA"/>
    <w:rsid w:val="00E50E6F"/>
    <w:rsid w:val="00E50F6B"/>
    <w:rsid w:val="00E51485"/>
    <w:rsid w:val="00E52743"/>
    <w:rsid w:val="00E52A40"/>
    <w:rsid w:val="00E536F6"/>
    <w:rsid w:val="00E53B0D"/>
    <w:rsid w:val="00E54405"/>
    <w:rsid w:val="00E5452E"/>
    <w:rsid w:val="00E54534"/>
    <w:rsid w:val="00E55B0F"/>
    <w:rsid w:val="00E55E90"/>
    <w:rsid w:val="00E55F6F"/>
    <w:rsid w:val="00E56564"/>
    <w:rsid w:val="00E57849"/>
    <w:rsid w:val="00E62F63"/>
    <w:rsid w:val="00E63209"/>
    <w:rsid w:val="00E63504"/>
    <w:rsid w:val="00E63973"/>
    <w:rsid w:val="00E63B09"/>
    <w:rsid w:val="00E649A6"/>
    <w:rsid w:val="00E64B36"/>
    <w:rsid w:val="00E64C2E"/>
    <w:rsid w:val="00E654D6"/>
    <w:rsid w:val="00E657A2"/>
    <w:rsid w:val="00E65EB9"/>
    <w:rsid w:val="00E66BFC"/>
    <w:rsid w:val="00E66C3E"/>
    <w:rsid w:val="00E675CF"/>
    <w:rsid w:val="00E70772"/>
    <w:rsid w:val="00E707EA"/>
    <w:rsid w:val="00E7086A"/>
    <w:rsid w:val="00E708B1"/>
    <w:rsid w:val="00E70A6D"/>
    <w:rsid w:val="00E71036"/>
    <w:rsid w:val="00E72229"/>
    <w:rsid w:val="00E75CC7"/>
    <w:rsid w:val="00E760F5"/>
    <w:rsid w:val="00E761A1"/>
    <w:rsid w:val="00E76A98"/>
    <w:rsid w:val="00E76ABB"/>
    <w:rsid w:val="00E774C1"/>
    <w:rsid w:val="00E77CCA"/>
    <w:rsid w:val="00E8034C"/>
    <w:rsid w:val="00E80B6C"/>
    <w:rsid w:val="00E816DA"/>
    <w:rsid w:val="00E81F23"/>
    <w:rsid w:val="00E81F50"/>
    <w:rsid w:val="00E82803"/>
    <w:rsid w:val="00E82903"/>
    <w:rsid w:val="00E83C0B"/>
    <w:rsid w:val="00E84499"/>
    <w:rsid w:val="00E855FA"/>
    <w:rsid w:val="00E85B56"/>
    <w:rsid w:val="00E85E2B"/>
    <w:rsid w:val="00E8685A"/>
    <w:rsid w:val="00E87562"/>
    <w:rsid w:val="00E917C5"/>
    <w:rsid w:val="00E920DC"/>
    <w:rsid w:val="00E92DAB"/>
    <w:rsid w:val="00E935FF"/>
    <w:rsid w:val="00E943C9"/>
    <w:rsid w:val="00E951F6"/>
    <w:rsid w:val="00E95808"/>
    <w:rsid w:val="00E95A27"/>
    <w:rsid w:val="00E95B1B"/>
    <w:rsid w:val="00E95DB0"/>
    <w:rsid w:val="00E96D8C"/>
    <w:rsid w:val="00E978BA"/>
    <w:rsid w:val="00EA14C0"/>
    <w:rsid w:val="00EA189F"/>
    <w:rsid w:val="00EA2A09"/>
    <w:rsid w:val="00EA4223"/>
    <w:rsid w:val="00EA6757"/>
    <w:rsid w:val="00EB0484"/>
    <w:rsid w:val="00EB0FAB"/>
    <w:rsid w:val="00EB23F3"/>
    <w:rsid w:val="00EB3800"/>
    <w:rsid w:val="00EB3D2C"/>
    <w:rsid w:val="00EB5AF2"/>
    <w:rsid w:val="00EB752F"/>
    <w:rsid w:val="00EB756F"/>
    <w:rsid w:val="00EB7C51"/>
    <w:rsid w:val="00EC06F9"/>
    <w:rsid w:val="00EC079D"/>
    <w:rsid w:val="00EC07A9"/>
    <w:rsid w:val="00EC091E"/>
    <w:rsid w:val="00EC0B89"/>
    <w:rsid w:val="00EC1B2E"/>
    <w:rsid w:val="00EC26DF"/>
    <w:rsid w:val="00EC338C"/>
    <w:rsid w:val="00EC36B0"/>
    <w:rsid w:val="00EC3FD4"/>
    <w:rsid w:val="00EC4475"/>
    <w:rsid w:val="00EC4860"/>
    <w:rsid w:val="00EC4F22"/>
    <w:rsid w:val="00EC5752"/>
    <w:rsid w:val="00EC5B95"/>
    <w:rsid w:val="00EC698B"/>
    <w:rsid w:val="00EC6F87"/>
    <w:rsid w:val="00EC729A"/>
    <w:rsid w:val="00ED0C2D"/>
    <w:rsid w:val="00ED1685"/>
    <w:rsid w:val="00ED1C60"/>
    <w:rsid w:val="00ED212D"/>
    <w:rsid w:val="00ED2168"/>
    <w:rsid w:val="00ED30AC"/>
    <w:rsid w:val="00ED3179"/>
    <w:rsid w:val="00ED3DC6"/>
    <w:rsid w:val="00ED425D"/>
    <w:rsid w:val="00ED60A5"/>
    <w:rsid w:val="00ED6BB9"/>
    <w:rsid w:val="00ED6F83"/>
    <w:rsid w:val="00EE138D"/>
    <w:rsid w:val="00EE1E95"/>
    <w:rsid w:val="00EE280C"/>
    <w:rsid w:val="00EE2B52"/>
    <w:rsid w:val="00EE32C4"/>
    <w:rsid w:val="00EE34AB"/>
    <w:rsid w:val="00EE3788"/>
    <w:rsid w:val="00EE3F38"/>
    <w:rsid w:val="00EE6474"/>
    <w:rsid w:val="00EE69AE"/>
    <w:rsid w:val="00EE6AB1"/>
    <w:rsid w:val="00EE7872"/>
    <w:rsid w:val="00EF21F0"/>
    <w:rsid w:val="00EF3930"/>
    <w:rsid w:val="00EF3B8B"/>
    <w:rsid w:val="00EF3E6B"/>
    <w:rsid w:val="00EF4886"/>
    <w:rsid w:val="00EF5735"/>
    <w:rsid w:val="00EF5D2D"/>
    <w:rsid w:val="00EF6CB0"/>
    <w:rsid w:val="00EF72D7"/>
    <w:rsid w:val="00EF735D"/>
    <w:rsid w:val="00F0040B"/>
    <w:rsid w:val="00F0081E"/>
    <w:rsid w:val="00F01A87"/>
    <w:rsid w:val="00F022FD"/>
    <w:rsid w:val="00F02537"/>
    <w:rsid w:val="00F02932"/>
    <w:rsid w:val="00F02F73"/>
    <w:rsid w:val="00F032EB"/>
    <w:rsid w:val="00F03707"/>
    <w:rsid w:val="00F03AF9"/>
    <w:rsid w:val="00F04ED1"/>
    <w:rsid w:val="00F04F2D"/>
    <w:rsid w:val="00F050D0"/>
    <w:rsid w:val="00F053E0"/>
    <w:rsid w:val="00F06596"/>
    <w:rsid w:val="00F077BF"/>
    <w:rsid w:val="00F101F9"/>
    <w:rsid w:val="00F10CE7"/>
    <w:rsid w:val="00F118BF"/>
    <w:rsid w:val="00F12522"/>
    <w:rsid w:val="00F128D8"/>
    <w:rsid w:val="00F13113"/>
    <w:rsid w:val="00F136BF"/>
    <w:rsid w:val="00F145A8"/>
    <w:rsid w:val="00F14782"/>
    <w:rsid w:val="00F14DB5"/>
    <w:rsid w:val="00F16891"/>
    <w:rsid w:val="00F16FF6"/>
    <w:rsid w:val="00F17C62"/>
    <w:rsid w:val="00F17DEA"/>
    <w:rsid w:val="00F203F0"/>
    <w:rsid w:val="00F20B05"/>
    <w:rsid w:val="00F21574"/>
    <w:rsid w:val="00F216F2"/>
    <w:rsid w:val="00F22326"/>
    <w:rsid w:val="00F2383E"/>
    <w:rsid w:val="00F24765"/>
    <w:rsid w:val="00F30AFE"/>
    <w:rsid w:val="00F310B0"/>
    <w:rsid w:val="00F31760"/>
    <w:rsid w:val="00F31CF1"/>
    <w:rsid w:val="00F323BE"/>
    <w:rsid w:val="00F32F13"/>
    <w:rsid w:val="00F346D5"/>
    <w:rsid w:val="00F34901"/>
    <w:rsid w:val="00F355DC"/>
    <w:rsid w:val="00F35972"/>
    <w:rsid w:val="00F36305"/>
    <w:rsid w:val="00F3630B"/>
    <w:rsid w:val="00F363E7"/>
    <w:rsid w:val="00F367C5"/>
    <w:rsid w:val="00F3771D"/>
    <w:rsid w:val="00F378F2"/>
    <w:rsid w:val="00F37ECC"/>
    <w:rsid w:val="00F401ED"/>
    <w:rsid w:val="00F40FBF"/>
    <w:rsid w:val="00F41763"/>
    <w:rsid w:val="00F42E8D"/>
    <w:rsid w:val="00F436E0"/>
    <w:rsid w:val="00F43EF7"/>
    <w:rsid w:val="00F44A11"/>
    <w:rsid w:val="00F45674"/>
    <w:rsid w:val="00F456E7"/>
    <w:rsid w:val="00F45ECD"/>
    <w:rsid w:val="00F466F2"/>
    <w:rsid w:val="00F47353"/>
    <w:rsid w:val="00F47714"/>
    <w:rsid w:val="00F47F75"/>
    <w:rsid w:val="00F50447"/>
    <w:rsid w:val="00F50F36"/>
    <w:rsid w:val="00F511FF"/>
    <w:rsid w:val="00F52463"/>
    <w:rsid w:val="00F527A6"/>
    <w:rsid w:val="00F52DB4"/>
    <w:rsid w:val="00F5342C"/>
    <w:rsid w:val="00F546B3"/>
    <w:rsid w:val="00F54B22"/>
    <w:rsid w:val="00F54DAE"/>
    <w:rsid w:val="00F564AB"/>
    <w:rsid w:val="00F56CFF"/>
    <w:rsid w:val="00F56E47"/>
    <w:rsid w:val="00F57648"/>
    <w:rsid w:val="00F57B71"/>
    <w:rsid w:val="00F60173"/>
    <w:rsid w:val="00F60982"/>
    <w:rsid w:val="00F60FD5"/>
    <w:rsid w:val="00F6128C"/>
    <w:rsid w:val="00F63692"/>
    <w:rsid w:val="00F641BF"/>
    <w:rsid w:val="00F649C4"/>
    <w:rsid w:val="00F65433"/>
    <w:rsid w:val="00F661CB"/>
    <w:rsid w:val="00F66302"/>
    <w:rsid w:val="00F66B94"/>
    <w:rsid w:val="00F70C24"/>
    <w:rsid w:val="00F711CE"/>
    <w:rsid w:val="00F71484"/>
    <w:rsid w:val="00F72255"/>
    <w:rsid w:val="00F7256F"/>
    <w:rsid w:val="00F72CA3"/>
    <w:rsid w:val="00F72DF7"/>
    <w:rsid w:val="00F73076"/>
    <w:rsid w:val="00F74AC8"/>
    <w:rsid w:val="00F74CCD"/>
    <w:rsid w:val="00F74F3E"/>
    <w:rsid w:val="00F75DDA"/>
    <w:rsid w:val="00F75FE9"/>
    <w:rsid w:val="00F7626E"/>
    <w:rsid w:val="00F7642B"/>
    <w:rsid w:val="00F775E8"/>
    <w:rsid w:val="00F801DC"/>
    <w:rsid w:val="00F802F1"/>
    <w:rsid w:val="00F80E76"/>
    <w:rsid w:val="00F80E9D"/>
    <w:rsid w:val="00F811A6"/>
    <w:rsid w:val="00F81790"/>
    <w:rsid w:val="00F83345"/>
    <w:rsid w:val="00F848BF"/>
    <w:rsid w:val="00F8525A"/>
    <w:rsid w:val="00F85D55"/>
    <w:rsid w:val="00F86EF5"/>
    <w:rsid w:val="00F92BEC"/>
    <w:rsid w:val="00F92D89"/>
    <w:rsid w:val="00F9352D"/>
    <w:rsid w:val="00F9363E"/>
    <w:rsid w:val="00F93BDB"/>
    <w:rsid w:val="00F94E25"/>
    <w:rsid w:val="00F95E2B"/>
    <w:rsid w:val="00F960A8"/>
    <w:rsid w:val="00F969A5"/>
    <w:rsid w:val="00F977CD"/>
    <w:rsid w:val="00F97BBC"/>
    <w:rsid w:val="00FA0AC6"/>
    <w:rsid w:val="00FA0C15"/>
    <w:rsid w:val="00FA2D70"/>
    <w:rsid w:val="00FA336D"/>
    <w:rsid w:val="00FA3374"/>
    <w:rsid w:val="00FA4FA4"/>
    <w:rsid w:val="00FA5010"/>
    <w:rsid w:val="00FA5ABF"/>
    <w:rsid w:val="00FA5B66"/>
    <w:rsid w:val="00FA6E6E"/>
    <w:rsid w:val="00FA722C"/>
    <w:rsid w:val="00FA7C93"/>
    <w:rsid w:val="00FB090D"/>
    <w:rsid w:val="00FB144F"/>
    <w:rsid w:val="00FB1B4F"/>
    <w:rsid w:val="00FB27A8"/>
    <w:rsid w:val="00FB27BB"/>
    <w:rsid w:val="00FB296F"/>
    <w:rsid w:val="00FB2F28"/>
    <w:rsid w:val="00FB50CA"/>
    <w:rsid w:val="00FB5A11"/>
    <w:rsid w:val="00FB7320"/>
    <w:rsid w:val="00FB7F42"/>
    <w:rsid w:val="00FC07FA"/>
    <w:rsid w:val="00FC12CE"/>
    <w:rsid w:val="00FC135F"/>
    <w:rsid w:val="00FC2272"/>
    <w:rsid w:val="00FC296A"/>
    <w:rsid w:val="00FC5132"/>
    <w:rsid w:val="00FC5AEC"/>
    <w:rsid w:val="00FC6447"/>
    <w:rsid w:val="00FC6764"/>
    <w:rsid w:val="00FC6A36"/>
    <w:rsid w:val="00FC7A97"/>
    <w:rsid w:val="00FC7CC4"/>
    <w:rsid w:val="00FD00AE"/>
    <w:rsid w:val="00FD1B3A"/>
    <w:rsid w:val="00FD1B5F"/>
    <w:rsid w:val="00FD1C29"/>
    <w:rsid w:val="00FD1FFD"/>
    <w:rsid w:val="00FD27DF"/>
    <w:rsid w:val="00FD33FF"/>
    <w:rsid w:val="00FD431E"/>
    <w:rsid w:val="00FD47D5"/>
    <w:rsid w:val="00FD4BC1"/>
    <w:rsid w:val="00FD7254"/>
    <w:rsid w:val="00FE0440"/>
    <w:rsid w:val="00FE2A6C"/>
    <w:rsid w:val="00FE317A"/>
    <w:rsid w:val="00FE3C67"/>
    <w:rsid w:val="00FE4386"/>
    <w:rsid w:val="00FE44D4"/>
    <w:rsid w:val="00FE4AD4"/>
    <w:rsid w:val="00FE4D80"/>
    <w:rsid w:val="00FE69E3"/>
    <w:rsid w:val="00FE72E0"/>
    <w:rsid w:val="00FF0528"/>
    <w:rsid w:val="00FF0EA5"/>
    <w:rsid w:val="00FF0EF9"/>
    <w:rsid w:val="00FF0F00"/>
    <w:rsid w:val="00FF2E14"/>
    <w:rsid w:val="00FF30D6"/>
    <w:rsid w:val="00FF488F"/>
    <w:rsid w:val="00FF5F4C"/>
    <w:rsid w:val="00FF69B0"/>
    <w:rsid w:val="00FF6F71"/>
    <w:rsid w:val="00FF7ED4"/>
    <w:rsid w:val="011208F3"/>
    <w:rsid w:val="01538647"/>
    <w:rsid w:val="0163CE19"/>
    <w:rsid w:val="018A2221"/>
    <w:rsid w:val="01AC371B"/>
    <w:rsid w:val="01B11ACF"/>
    <w:rsid w:val="01C78CF9"/>
    <w:rsid w:val="01D782D1"/>
    <w:rsid w:val="01E4A265"/>
    <w:rsid w:val="02431047"/>
    <w:rsid w:val="02F86730"/>
    <w:rsid w:val="0325F282"/>
    <w:rsid w:val="034C5D9A"/>
    <w:rsid w:val="0354D949"/>
    <w:rsid w:val="03696D6E"/>
    <w:rsid w:val="03735332"/>
    <w:rsid w:val="03B6BE04"/>
    <w:rsid w:val="045ABEDF"/>
    <w:rsid w:val="05053DCF"/>
    <w:rsid w:val="050D251E"/>
    <w:rsid w:val="050F2393"/>
    <w:rsid w:val="059D876A"/>
    <w:rsid w:val="05C716DB"/>
    <w:rsid w:val="05FAD81E"/>
    <w:rsid w:val="0639BAE5"/>
    <w:rsid w:val="06B4D406"/>
    <w:rsid w:val="06EC92A0"/>
    <w:rsid w:val="06F463DC"/>
    <w:rsid w:val="07B69569"/>
    <w:rsid w:val="083A9576"/>
    <w:rsid w:val="08888A5A"/>
    <w:rsid w:val="09235177"/>
    <w:rsid w:val="09BF1808"/>
    <w:rsid w:val="09D04441"/>
    <w:rsid w:val="09D665D7"/>
    <w:rsid w:val="0A0D9F20"/>
    <w:rsid w:val="0A6A8BAB"/>
    <w:rsid w:val="0AAACBA9"/>
    <w:rsid w:val="0B1B9FA6"/>
    <w:rsid w:val="0B3BDEAA"/>
    <w:rsid w:val="0B576F7F"/>
    <w:rsid w:val="0BA96F81"/>
    <w:rsid w:val="0BAE00AD"/>
    <w:rsid w:val="0BDC0433"/>
    <w:rsid w:val="0BE66997"/>
    <w:rsid w:val="0C684246"/>
    <w:rsid w:val="0CA382EB"/>
    <w:rsid w:val="0CFE5995"/>
    <w:rsid w:val="0CFEC078"/>
    <w:rsid w:val="0D1C7424"/>
    <w:rsid w:val="0D2E10BE"/>
    <w:rsid w:val="0D94D1D6"/>
    <w:rsid w:val="0D98E4D6"/>
    <w:rsid w:val="0D98F9AB"/>
    <w:rsid w:val="0E0685CA"/>
    <w:rsid w:val="0EB2945C"/>
    <w:rsid w:val="0EFF75C1"/>
    <w:rsid w:val="0F18CDEF"/>
    <w:rsid w:val="0F34B537"/>
    <w:rsid w:val="0F834C2E"/>
    <w:rsid w:val="1011B845"/>
    <w:rsid w:val="10D4601E"/>
    <w:rsid w:val="10EFD8DE"/>
    <w:rsid w:val="11440CDA"/>
    <w:rsid w:val="11AD88A6"/>
    <w:rsid w:val="11B4B9A8"/>
    <w:rsid w:val="11DC73D4"/>
    <w:rsid w:val="1224474E"/>
    <w:rsid w:val="1236D4A1"/>
    <w:rsid w:val="126C55F9"/>
    <w:rsid w:val="12754A63"/>
    <w:rsid w:val="12CF1919"/>
    <w:rsid w:val="1301B4E0"/>
    <w:rsid w:val="1303E359"/>
    <w:rsid w:val="133B7BD1"/>
    <w:rsid w:val="13A386DC"/>
    <w:rsid w:val="13C636FB"/>
    <w:rsid w:val="13F05CDA"/>
    <w:rsid w:val="144CD965"/>
    <w:rsid w:val="14B55952"/>
    <w:rsid w:val="14EAAE76"/>
    <w:rsid w:val="1563D671"/>
    <w:rsid w:val="15ACEB25"/>
    <w:rsid w:val="15D8EC5B"/>
    <w:rsid w:val="16843B5D"/>
    <w:rsid w:val="16A70980"/>
    <w:rsid w:val="16EE41D5"/>
    <w:rsid w:val="16F2DB9D"/>
    <w:rsid w:val="16FFA6D2"/>
    <w:rsid w:val="172E8C45"/>
    <w:rsid w:val="173433F9"/>
    <w:rsid w:val="1793E4F2"/>
    <w:rsid w:val="18182616"/>
    <w:rsid w:val="18B8EEBB"/>
    <w:rsid w:val="19274D02"/>
    <w:rsid w:val="19314664"/>
    <w:rsid w:val="193E5A9D"/>
    <w:rsid w:val="198EB59D"/>
    <w:rsid w:val="199A1AFA"/>
    <w:rsid w:val="19A67C8A"/>
    <w:rsid w:val="19F9FA12"/>
    <w:rsid w:val="19FC628A"/>
    <w:rsid w:val="1ACD16C5"/>
    <w:rsid w:val="1BB9EF98"/>
    <w:rsid w:val="1C46154C"/>
    <w:rsid w:val="1C865396"/>
    <w:rsid w:val="1C894D16"/>
    <w:rsid w:val="1CE309A1"/>
    <w:rsid w:val="1EB4B27B"/>
    <w:rsid w:val="1ECA3165"/>
    <w:rsid w:val="1EF4D107"/>
    <w:rsid w:val="1F4A3152"/>
    <w:rsid w:val="1F927C76"/>
    <w:rsid w:val="201D5372"/>
    <w:rsid w:val="202FC995"/>
    <w:rsid w:val="20A15B05"/>
    <w:rsid w:val="20A6D3E8"/>
    <w:rsid w:val="20C7A898"/>
    <w:rsid w:val="20D15B8B"/>
    <w:rsid w:val="20D5474D"/>
    <w:rsid w:val="214C74AC"/>
    <w:rsid w:val="219BF16F"/>
    <w:rsid w:val="21B651FD"/>
    <w:rsid w:val="223D2B66"/>
    <w:rsid w:val="226378F9"/>
    <w:rsid w:val="22A2524E"/>
    <w:rsid w:val="2354F434"/>
    <w:rsid w:val="23967BCE"/>
    <w:rsid w:val="23E0AED9"/>
    <w:rsid w:val="258BD722"/>
    <w:rsid w:val="25E3F582"/>
    <w:rsid w:val="268C94F6"/>
    <w:rsid w:val="26988FA1"/>
    <w:rsid w:val="27409D0F"/>
    <w:rsid w:val="27CC5C7F"/>
    <w:rsid w:val="28034919"/>
    <w:rsid w:val="28D2C8D7"/>
    <w:rsid w:val="28D7FBA4"/>
    <w:rsid w:val="28E1884F"/>
    <w:rsid w:val="29029D37"/>
    <w:rsid w:val="295C270E"/>
    <w:rsid w:val="29A55DF0"/>
    <w:rsid w:val="29D6ABDB"/>
    <w:rsid w:val="2A0B6948"/>
    <w:rsid w:val="2ABF6534"/>
    <w:rsid w:val="2B181912"/>
    <w:rsid w:val="2B4FB9A5"/>
    <w:rsid w:val="2C26A9BB"/>
    <w:rsid w:val="2D0BE425"/>
    <w:rsid w:val="2D0C9EEE"/>
    <w:rsid w:val="2D980A4B"/>
    <w:rsid w:val="2E960135"/>
    <w:rsid w:val="2EA8E96B"/>
    <w:rsid w:val="2F0AF4D1"/>
    <w:rsid w:val="2F2462A1"/>
    <w:rsid w:val="2F367259"/>
    <w:rsid w:val="2F3FEDD8"/>
    <w:rsid w:val="2F5E4A7D"/>
    <w:rsid w:val="2F6D6EFC"/>
    <w:rsid w:val="2FC242E7"/>
    <w:rsid w:val="301951A3"/>
    <w:rsid w:val="301C9697"/>
    <w:rsid w:val="316A2B32"/>
    <w:rsid w:val="31702DF6"/>
    <w:rsid w:val="31A64994"/>
    <w:rsid w:val="31EDF389"/>
    <w:rsid w:val="31FEA3E4"/>
    <w:rsid w:val="320CD65C"/>
    <w:rsid w:val="324EBA03"/>
    <w:rsid w:val="32882AE0"/>
    <w:rsid w:val="32CB695A"/>
    <w:rsid w:val="32CB6CC0"/>
    <w:rsid w:val="32DD9F14"/>
    <w:rsid w:val="32F0476C"/>
    <w:rsid w:val="337B25A9"/>
    <w:rsid w:val="341D5AAA"/>
    <w:rsid w:val="3453924F"/>
    <w:rsid w:val="3455C03F"/>
    <w:rsid w:val="345828B7"/>
    <w:rsid w:val="34697C68"/>
    <w:rsid w:val="349D1809"/>
    <w:rsid w:val="34DDEA56"/>
    <w:rsid w:val="34E644A7"/>
    <w:rsid w:val="35973122"/>
    <w:rsid w:val="35A739F8"/>
    <w:rsid w:val="35CBC120"/>
    <w:rsid w:val="35EB9584"/>
    <w:rsid w:val="361AEEB0"/>
    <w:rsid w:val="365C180B"/>
    <w:rsid w:val="36633758"/>
    <w:rsid w:val="36AAA646"/>
    <w:rsid w:val="37137954"/>
    <w:rsid w:val="3761540A"/>
    <w:rsid w:val="37679181"/>
    <w:rsid w:val="3781DA75"/>
    <w:rsid w:val="378E6FDB"/>
    <w:rsid w:val="37D7EF83"/>
    <w:rsid w:val="387748C8"/>
    <w:rsid w:val="38F0CBCD"/>
    <w:rsid w:val="3929BF8E"/>
    <w:rsid w:val="39528F72"/>
    <w:rsid w:val="39971EF7"/>
    <w:rsid w:val="39E24708"/>
    <w:rsid w:val="3A17B07C"/>
    <w:rsid w:val="3A1CF455"/>
    <w:rsid w:val="3A3D20D7"/>
    <w:rsid w:val="3AC6A11A"/>
    <w:rsid w:val="3B345F85"/>
    <w:rsid w:val="3B7C5F03"/>
    <w:rsid w:val="3B91F6A8"/>
    <w:rsid w:val="3C23A528"/>
    <w:rsid w:val="3C60D224"/>
    <w:rsid w:val="3C85F4E6"/>
    <w:rsid w:val="3C8B936E"/>
    <w:rsid w:val="3CAE8F25"/>
    <w:rsid w:val="3CFF907D"/>
    <w:rsid w:val="3D097F1B"/>
    <w:rsid w:val="3D10CD18"/>
    <w:rsid w:val="3D4A6BF5"/>
    <w:rsid w:val="3DCDEFE3"/>
    <w:rsid w:val="3DE37A28"/>
    <w:rsid w:val="3DFAB4DF"/>
    <w:rsid w:val="3E0C162B"/>
    <w:rsid w:val="3E4A5F86"/>
    <w:rsid w:val="3E540513"/>
    <w:rsid w:val="3E71216D"/>
    <w:rsid w:val="3EA09CF3"/>
    <w:rsid w:val="3EBA2062"/>
    <w:rsid w:val="3F05A723"/>
    <w:rsid w:val="3F5483A9"/>
    <w:rsid w:val="3F7CABD3"/>
    <w:rsid w:val="402DD32F"/>
    <w:rsid w:val="40F25A34"/>
    <w:rsid w:val="4113E928"/>
    <w:rsid w:val="413A24A9"/>
    <w:rsid w:val="413FA5B1"/>
    <w:rsid w:val="41510B86"/>
    <w:rsid w:val="419EDC72"/>
    <w:rsid w:val="41B0F162"/>
    <w:rsid w:val="42959711"/>
    <w:rsid w:val="42E098CF"/>
    <w:rsid w:val="43BF128C"/>
    <w:rsid w:val="43C937E3"/>
    <w:rsid w:val="43EA4764"/>
    <w:rsid w:val="442EB70D"/>
    <w:rsid w:val="44A40AAA"/>
    <w:rsid w:val="45062B84"/>
    <w:rsid w:val="45891980"/>
    <w:rsid w:val="45EE8C0D"/>
    <w:rsid w:val="4673F498"/>
    <w:rsid w:val="46EDA909"/>
    <w:rsid w:val="472EB99C"/>
    <w:rsid w:val="4760C4AB"/>
    <w:rsid w:val="477F4686"/>
    <w:rsid w:val="47903DD0"/>
    <w:rsid w:val="4799D0DE"/>
    <w:rsid w:val="47A1FBEF"/>
    <w:rsid w:val="481610E1"/>
    <w:rsid w:val="4833C8B9"/>
    <w:rsid w:val="48B6C00A"/>
    <w:rsid w:val="48D9471F"/>
    <w:rsid w:val="4904D895"/>
    <w:rsid w:val="4938FBFB"/>
    <w:rsid w:val="49391BAB"/>
    <w:rsid w:val="49CB7B52"/>
    <w:rsid w:val="4A2D1A78"/>
    <w:rsid w:val="4A312A79"/>
    <w:rsid w:val="4B5C3B0E"/>
    <w:rsid w:val="4C07CE9C"/>
    <w:rsid w:val="4C161707"/>
    <w:rsid w:val="4C3DEA3A"/>
    <w:rsid w:val="4C51E540"/>
    <w:rsid w:val="4CA84184"/>
    <w:rsid w:val="4D3A8373"/>
    <w:rsid w:val="4D6B95CC"/>
    <w:rsid w:val="4D741656"/>
    <w:rsid w:val="4D813D08"/>
    <w:rsid w:val="4DB28E45"/>
    <w:rsid w:val="4DB5AEB5"/>
    <w:rsid w:val="4E0CF28B"/>
    <w:rsid w:val="4E376F2B"/>
    <w:rsid w:val="4E6087B0"/>
    <w:rsid w:val="4E93DBD0"/>
    <w:rsid w:val="4E9663AB"/>
    <w:rsid w:val="4F1D96DD"/>
    <w:rsid w:val="4F8D0DA1"/>
    <w:rsid w:val="4F90B4B6"/>
    <w:rsid w:val="4FA0D0BD"/>
    <w:rsid w:val="4FB952FB"/>
    <w:rsid w:val="501663ED"/>
    <w:rsid w:val="502AD4C3"/>
    <w:rsid w:val="502FAC31"/>
    <w:rsid w:val="5163FB1B"/>
    <w:rsid w:val="517D7C31"/>
    <w:rsid w:val="518A9364"/>
    <w:rsid w:val="51F64F05"/>
    <w:rsid w:val="52CD0F15"/>
    <w:rsid w:val="52FAFEE8"/>
    <w:rsid w:val="534969D1"/>
    <w:rsid w:val="534A85DE"/>
    <w:rsid w:val="539E2A89"/>
    <w:rsid w:val="53C33A80"/>
    <w:rsid w:val="53C6B36A"/>
    <w:rsid w:val="53E572D3"/>
    <w:rsid w:val="53F10800"/>
    <w:rsid w:val="5425105C"/>
    <w:rsid w:val="5468DF76"/>
    <w:rsid w:val="546A145B"/>
    <w:rsid w:val="54904548"/>
    <w:rsid w:val="54984E1F"/>
    <w:rsid w:val="54A96DA5"/>
    <w:rsid w:val="54AC3B47"/>
    <w:rsid w:val="54B7B240"/>
    <w:rsid w:val="54D51FA4"/>
    <w:rsid w:val="553A3A59"/>
    <w:rsid w:val="5579323F"/>
    <w:rsid w:val="55851A98"/>
    <w:rsid w:val="558EEB97"/>
    <w:rsid w:val="55AEC245"/>
    <w:rsid w:val="5604AFD7"/>
    <w:rsid w:val="569A44A2"/>
    <w:rsid w:val="569D21C5"/>
    <w:rsid w:val="56CDD328"/>
    <w:rsid w:val="56F3B92D"/>
    <w:rsid w:val="5739D978"/>
    <w:rsid w:val="5783467C"/>
    <w:rsid w:val="5784691F"/>
    <w:rsid w:val="57A86DBE"/>
    <w:rsid w:val="57FD7094"/>
    <w:rsid w:val="5823C735"/>
    <w:rsid w:val="582F67DC"/>
    <w:rsid w:val="588F765B"/>
    <w:rsid w:val="589A248D"/>
    <w:rsid w:val="58D713B1"/>
    <w:rsid w:val="591E6E9F"/>
    <w:rsid w:val="596ABF1A"/>
    <w:rsid w:val="5A1D0F6C"/>
    <w:rsid w:val="5B60CCFD"/>
    <w:rsid w:val="5B65B796"/>
    <w:rsid w:val="5B858937"/>
    <w:rsid w:val="5BA03F27"/>
    <w:rsid w:val="5C3275D2"/>
    <w:rsid w:val="5C3CE7FF"/>
    <w:rsid w:val="5D2D37B7"/>
    <w:rsid w:val="5D41CB84"/>
    <w:rsid w:val="5D80301E"/>
    <w:rsid w:val="5E0243C1"/>
    <w:rsid w:val="5E0FC1BC"/>
    <w:rsid w:val="5E1D90A4"/>
    <w:rsid w:val="5E3774A1"/>
    <w:rsid w:val="5E4DE459"/>
    <w:rsid w:val="5F5E7CCD"/>
    <w:rsid w:val="5FB39087"/>
    <w:rsid w:val="5FD34502"/>
    <w:rsid w:val="602FE84B"/>
    <w:rsid w:val="6085503E"/>
    <w:rsid w:val="60F0C930"/>
    <w:rsid w:val="61156C05"/>
    <w:rsid w:val="61418A11"/>
    <w:rsid w:val="617BE387"/>
    <w:rsid w:val="622E3FD0"/>
    <w:rsid w:val="62ADB187"/>
    <w:rsid w:val="62B302CE"/>
    <w:rsid w:val="62F441D5"/>
    <w:rsid w:val="6331C9D6"/>
    <w:rsid w:val="6395EF91"/>
    <w:rsid w:val="63DCD95C"/>
    <w:rsid w:val="63FE5BA4"/>
    <w:rsid w:val="63FF278B"/>
    <w:rsid w:val="641A63C2"/>
    <w:rsid w:val="646739C0"/>
    <w:rsid w:val="64792AD3"/>
    <w:rsid w:val="64A6B625"/>
    <w:rsid w:val="6637D684"/>
    <w:rsid w:val="664777F7"/>
    <w:rsid w:val="664FE7DF"/>
    <w:rsid w:val="666DF3EE"/>
    <w:rsid w:val="6683B857"/>
    <w:rsid w:val="66C4F628"/>
    <w:rsid w:val="66E45B45"/>
    <w:rsid w:val="67FCCBB9"/>
    <w:rsid w:val="68156E64"/>
    <w:rsid w:val="681D77CF"/>
    <w:rsid w:val="684A2EEB"/>
    <w:rsid w:val="688EB00A"/>
    <w:rsid w:val="68971FFA"/>
    <w:rsid w:val="69564EE9"/>
    <w:rsid w:val="697DCFC9"/>
    <w:rsid w:val="69A4237A"/>
    <w:rsid w:val="69B6F863"/>
    <w:rsid w:val="69E5FF4C"/>
    <w:rsid w:val="6B3D4D58"/>
    <w:rsid w:val="6B57297A"/>
    <w:rsid w:val="6C23D778"/>
    <w:rsid w:val="6C49F4DB"/>
    <w:rsid w:val="6CA1527D"/>
    <w:rsid w:val="6D17735A"/>
    <w:rsid w:val="6D4898A2"/>
    <w:rsid w:val="6DD82F63"/>
    <w:rsid w:val="6E8BB0D0"/>
    <w:rsid w:val="6F1D82FF"/>
    <w:rsid w:val="70481CED"/>
    <w:rsid w:val="7050D95C"/>
    <w:rsid w:val="7059E75B"/>
    <w:rsid w:val="709DAF5A"/>
    <w:rsid w:val="70A3833C"/>
    <w:rsid w:val="71A7210B"/>
    <w:rsid w:val="71CD60F2"/>
    <w:rsid w:val="71DDBDF0"/>
    <w:rsid w:val="733826AC"/>
    <w:rsid w:val="733E8EF1"/>
    <w:rsid w:val="73B39514"/>
    <w:rsid w:val="73B7D3D6"/>
    <w:rsid w:val="73ED199C"/>
    <w:rsid w:val="746CA7F8"/>
    <w:rsid w:val="752DEFF6"/>
    <w:rsid w:val="759DF3B3"/>
    <w:rsid w:val="75F0D721"/>
    <w:rsid w:val="7630C4CC"/>
    <w:rsid w:val="76347DA7"/>
    <w:rsid w:val="768AEA65"/>
    <w:rsid w:val="768CB9C4"/>
    <w:rsid w:val="77201C0A"/>
    <w:rsid w:val="775A28F8"/>
    <w:rsid w:val="77D4B552"/>
    <w:rsid w:val="78AF4FE8"/>
    <w:rsid w:val="7923CED0"/>
    <w:rsid w:val="7998E9B9"/>
    <w:rsid w:val="79A04170"/>
    <w:rsid w:val="79B968C6"/>
    <w:rsid w:val="79DB6150"/>
    <w:rsid w:val="7B24BEC0"/>
    <w:rsid w:val="7B450779"/>
    <w:rsid w:val="7DA764F1"/>
    <w:rsid w:val="7DEB9FF1"/>
    <w:rsid w:val="7E69F925"/>
    <w:rsid w:val="7E78EC76"/>
    <w:rsid w:val="7EB84486"/>
    <w:rsid w:val="7EE16470"/>
    <w:rsid w:val="7F8BB1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2B3"/>
    <w:pPr>
      <w:spacing w:before="60" w:after="60"/>
    </w:pPr>
    <w:rPr>
      <w:rFonts w:ascii="Arial" w:hAnsi="Arial"/>
      <w:sz w:val="18"/>
    </w:rPr>
  </w:style>
  <w:style w:type="paragraph" w:styleId="Heading1">
    <w:name w:val="heading 1"/>
    <w:basedOn w:val="Normal"/>
    <w:next w:val="Normal"/>
    <w:link w:val="Heading1Char"/>
    <w:uiPriority w:val="9"/>
    <w:qFormat/>
    <w:rsid w:val="00D116D5"/>
    <w:pPr>
      <w:keepNext/>
      <w:keepLines/>
      <w:spacing w:before="360" w:after="120" w:line="240" w:lineRule="auto"/>
      <w:outlineLvl w:val="0"/>
    </w:pPr>
    <w:rPr>
      <w:rFonts w:ascii="Georgia" w:eastAsiaTheme="majorEastAsia" w:hAnsi="Georgia" w:cstheme="majorBidi"/>
      <w:color w:val="275D38"/>
      <w:sz w:val="48"/>
      <w:szCs w:val="36"/>
    </w:rPr>
  </w:style>
  <w:style w:type="paragraph" w:styleId="Heading2">
    <w:name w:val="heading 2"/>
    <w:basedOn w:val="Normal"/>
    <w:next w:val="Normal"/>
    <w:link w:val="Heading2Char"/>
    <w:uiPriority w:val="9"/>
    <w:unhideWhenUsed/>
    <w:qFormat/>
    <w:rsid w:val="00D116D5"/>
    <w:pPr>
      <w:keepNext/>
      <w:spacing w:before="240" w:after="120" w:line="240" w:lineRule="auto"/>
      <w:outlineLvl w:val="1"/>
    </w:pPr>
    <w:rPr>
      <w:rFonts w:ascii="Georgia" w:eastAsiaTheme="majorEastAsia" w:hAnsi="Georgia" w:cstheme="majorBidi"/>
      <w:color w:val="275D38"/>
      <w:sz w:val="32"/>
      <w:szCs w:val="32"/>
    </w:rPr>
  </w:style>
  <w:style w:type="paragraph" w:styleId="Heading3">
    <w:name w:val="heading 3"/>
    <w:basedOn w:val="Normal"/>
    <w:next w:val="Normal"/>
    <w:link w:val="Heading3Char"/>
    <w:uiPriority w:val="9"/>
    <w:unhideWhenUsed/>
    <w:qFormat/>
    <w:rsid w:val="00F42E8D"/>
    <w:pPr>
      <w:keepNext/>
      <w:keepLines/>
      <w:spacing w:before="240" w:after="120" w:line="240" w:lineRule="auto"/>
      <w:outlineLvl w:val="2"/>
    </w:pPr>
    <w:rPr>
      <w:rFonts w:ascii="Georgia" w:eastAsiaTheme="majorEastAsia" w:hAnsi="Georgia" w:cstheme="majorBidi"/>
      <w:color w:val="000000" w:themeColor="text1"/>
      <w:sz w:val="24"/>
      <w:szCs w:val="28"/>
    </w:rPr>
  </w:style>
  <w:style w:type="paragraph" w:styleId="Heading4">
    <w:name w:val="heading 4"/>
    <w:basedOn w:val="Normal"/>
    <w:next w:val="Normal"/>
    <w:link w:val="Heading4Char"/>
    <w:uiPriority w:val="9"/>
    <w:unhideWhenUsed/>
    <w:qFormat/>
    <w:rsid w:val="008573F7"/>
    <w:pPr>
      <w:keepNext/>
      <w:keepLines/>
      <w:spacing w:before="40" w:after="0"/>
      <w:outlineLvl w:val="3"/>
    </w:pPr>
    <w:rPr>
      <w:rFonts w:asciiTheme="majorHAnsi" w:eastAsiaTheme="majorEastAsia" w:hAnsiTheme="majorHAnsi" w:cstheme="majorBidi"/>
      <w:color w:val="1D4529" w:themeColor="accent1" w:themeShade="BF"/>
      <w:sz w:val="24"/>
      <w:szCs w:val="24"/>
    </w:rPr>
  </w:style>
  <w:style w:type="paragraph" w:styleId="Heading5">
    <w:name w:val="heading 5"/>
    <w:basedOn w:val="Normal"/>
    <w:next w:val="Normal"/>
    <w:link w:val="Heading5Char"/>
    <w:uiPriority w:val="9"/>
    <w:unhideWhenUsed/>
    <w:qFormat/>
    <w:rsid w:val="008573F7"/>
    <w:pPr>
      <w:keepNext/>
      <w:keepLines/>
      <w:spacing w:before="40" w:after="0"/>
      <w:outlineLvl w:val="4"/>
    </w:pPr>
    <w:rPr>
      <w:rFonts w:asciiTheme="majorHAnsi" w:eastAsiaTheme="majorEastAsia" w:hAnsiTheme="majorHAnsi" w:cstheme="majorBidi"/>
      <w:caps/>
      <w:color w:val="1D4529" w:themeColor="accent1" w:themeShade="BF"/>
    </w:rPr>
  </w:style>
  <w:style w:type="paragraph" w:styleId="Heading6">
    <w:name w:val="heading 6"/>
    <w:basedOn w:val="Normal"/>
    <w:next w:val="Normal"/>
    <w:link w:val="Heading6Char"/>
    <w:uiPriority w:val="9"/>
    <w:unhideWhenUsed/>
    <w:qFormat/>
    <w:rsid w:val="008573F7"/>
    <w:pPr>
      <w:keepNext/>
      <w:keepLines/>
      <w:spacing w:before="40" w:after="0"/>
      <w:outlineLvl w:val="5"/>
    </w:pPr>
    <w:rPr>
      <w:rFonts w:asciiTheme="majorHAnsi" w:eastAsiaTheme="majorEastAsia" w:hAnsiTheme="majorHAnsi" w:cstheme="majorBidi"/>
      <w:i/>
      <w:iCs/>
      <w:caps/>
      <w:color w:val="132E1C" w:themeColor="accent1" w:themeShade="80"/>
    </w:rPr>
  </w:style>
  <w:style w:type="paragraph" w:styleId="Heading7">
    <w:name w:val="heading 7"/>
    <w:basedOn w:val="Normal"/>
    <w:next w:val="Normal"/>
    <w:link w:val="Heading7Char"/>
    <w:uiPriority w:val="9"/>
    <w:unhideWhenUsed/>
    <w:qFormat/>
    <w:rsid w:val="008573F7"/>
    <w:pPr>
      <w:keepNext/>
      <w:keepLines/>
      <w:spacing w:before="40" w:after="0"/>
      <w:outlineLvl w:val="6"/>
    </w:pPr>
    <w:rPr>
      <w:rFonts w:asciiTheme="majorHAnsi" w:eastAsiaTheme="majorEastAsia" w:hAnsiTheme="majorHAnsi" w:cstheme="majorBidi"/>
      <w:b/>
      <w:bCs/>
      <w:color w:val="132E1C" w:themeColor="accent1" w:themeShade="80"/>
    </w:rPr>
  </w:style>
  <w:style w:type="paragraph" w:styleId="Heading8">
    <w:name w:val="heading 8"/>
    <w:basedOn w:val="Normal"/>
    <w:next w:val="Normal"/>
    <w:link w:val="Heading8Char"/>
    <w:uiPriority w:val="9"/>
    <w:unhideWhenUsed/>
    <w:qFormat/>
    <w:rsid w:val="008573F7"/>
    <w:pPr>
      <w:keepNext/>
      <w:keepLines/>
      <w:spacing w:before="40" w:after="0"/>
      <w:outlineLvl w:val="7"/>
    </w:pPr>
    <w:rPr>
      <w:rFonts w:asciiTheme="majorHAnsi" w:eastAsiaTheme="majorEastAsia" w:hAnsiTheme="majorHAnsi" w:cstheme="majorBidi"/>
      <w:b/>
      <w:bCs/>
      <w:i/>
      <w:iCs/>
      <w:color w:val="132E1C" w:themeColor="accent1" w:themeShade="80"/>
    </w:rPr>
  </w:style>
  <w:style w:type="paragraph" w:styleId="Heading9">
    <w:name w:val="heading 9"/>
    <w:basedOn w:val="Normal"/>
    <w:next w:val="Normal"/>
    <w:link w:val="Heading9Char"/>
    <w:uiPriority w:val="9"/>
    <w:unhideWhenUsed/>
    <w:qFormat/>
    <w:rsid w:val="008573F7"/>
    <w:pPr>
      <w:keepNext/>
      <w:keepLines/>
      <w:spacing w:before="40" w:after="0"/>
      <w:outlineLvl w:val="8"/>
    </w:pPr>
    <w:rPr>
      <w:rFonts w:asciiTheme="majorHAnsi" w:eastAsiaTheme="majorEastAsia" w:hAnsiTheme="majorHAnsi" w:cstheme="majorBidi"/>
      <w:i/>
      <w:iCs/>
      <w:color w:val="132E1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6D5"/>
    <w:rPr>
      <w:rFonts w:ascii="Georgia" w:eastAsiaTheme="majorEastAsia" w:hAnsi="Georgia" w:cstheme="majorBidi"/>
      <w:color w:val="275D38"/>
      <w:sz w:val="48"/>
      <w:szCs w:val="36"/>
    </w:rPr>
  </w:style>
  <w:style w:type="character" w:customStyle="1" w:styleId="Heading2Char">
    <w:name w:val="Heading 2 Char"/>
    <w:basedOn w:val="DefaultParagraphFont"/>
    <w:link w:val="Heading2"/>
    <w:uiPriority w:val="9"/>
    <w:rsid w:val="00D116D5"/>
    <w:rPr>
      <w:rFonts w:ascii="Georgia" w:eastAsiaTheme="majorEastAsia" w:hAnsi="Georgia" w:cstheme="majorBidi"/>
      <w:color w:val="275D38"/>
      <w:sz w:val="32"/>
      <w:szCs w:val="32"/>
    </w:rPr>
  </w:style>
  <w:style w:type="paragraph" w:styleId="NoSpacing">
    <w:name w:val="No Spacing"/>
    <w:link w:val="NoSpacingChar"/>
    <w:uiPriority w:val="1"/>
    <w:qFormat/>
    <w:rsid w:val="008573F7"/>
    <w:pPr>
      <w:spacing w:after="0" w:line="240" w:lineRule="auto"/>
    </w:pPr>
  </w:style>
  <w:style w:type="character" w:customStyle="1" w:styleId="Heading3Char">
    <w:name w:val="Heading 3 Char"/>
    <w:basedOn w:val="DefaultParagraphFont"/>
    <w:link w:val="Heading3"/>
    <w:uiPriority w:val="9"/>
    <w:rsid w:val="00F42E8D"/>
    <w:rPr>
      <w:rFonts w:ascii="Georgia" w:eastAsiaTheme="majorEastAsia" w:hAnsi="Georgia" w:cstheme="majorBidi"/>
      <w:color w:val="000000" w:themeColor="text1"/>
      <w:sz w:val="24"/>
      <w:szCs w:val="28"/>
    </w:rPr>
  </w:style>
  <w:style w:type="character" w:customStyle="1" w:styleId="Heading4Char">
    <w:name w:val="Heading 4 Char"/>
    <w:basedOn w:val="DefaultParagraphFont"/>
    <w:link w:val="Heading4"/>
    <w:uiPriority w:val="9"/>
    <w:rsid w:val="008573F7"/>
    <w:rPr>
      <w:rFonts w:asciiTheme="majorHAnsi" w:eastAsiaTheme="majorEastAsia" w:hAnsiTheme="majorHAnsi" w:cstheme="majorBidi"/>
      <w:color w:val="1D4529" w:themeColor="accent1" w:themeShade="BF"/>
      <w:sz w:val="24"/>
      <w:szCs w:val="24"/>
    </w:rPr>
  </w:style>
  <w:style w:type="character" w:customStyle="1" w:styleId="Heading5Char">
    <w:name w:val="Heading 5 Char"/>
    <w:basedOn w:val="DefaultParagraphFont"/>
    <w:link w:val="Heading5"/>
    <w:uiPriority w:val="9"/>
    <w:rsid w:val="008573F7"/>
    <w:rPr>
      <w:rFonts w:asciiTheme="majorHAnsi" w:eastAsiaTheme="majorEastAsia" w:hAnsiTheme="majorHAnsi" w:cstheme="majorBidi"/>
      <w:caps/>
      <w:color w:val="1D4529" w:themeColor="accent1" w:themeShade="BF"/>
      <w:sz w:val="18"/>
    </w:rPr>
  </w:style>
  <w:style w:type="character" w:customStyle="1" w:styleId="Heading6Char">
    <w:name w:val="Heading 6 Char"/>
    <w:basedOn w:val="DefaultParagraphFont"/>
    <w:link w:val="Heading6"/>
    <w:uiPriority w:val="9"/>
    <w:rsid w:val="008573F7"/>
    <w:rPr>
      <w:rFonts w:asciiTheme="majorHAnsi" w:eastAsiaTheme="majorEastAsia" w:hAnsiTheme="majorHAnsi" w:cstheme="majorBidi"/>
      <w:i/>
      <w:iCs/>
      <w:caps/>
      <w:color w:val="132E1C" w:themeColor="accent1" w:themeShade="80"/>
      <w:sz w:val="18"/>
    </w:rPr>
  </w:style>
  <w:style w:type="character" w:customStyle="1" w:styleId="Heading7Char">
    <w:name w:val="Heading 7 Char"/>
    <w:basedOn w:val="DefaultParagraphFont"/>
    <w:link w:val="Heading7"/>
    <w:uiPriority w:val="9"/>
    <w:rsid w:val="008573F7"/>
    <w:rPr>
      <w:rFonts w:asciiTheme="majorHAnsi" w:eastAsiaTheme="majorEastAsia" w:hAnsiTheme="majorHAnsi" w:cstheme="majorBidi"/>
      <w:b/>
      <w:bCs/>
      <w:color w:val="132E1C" w:themeColor="accent1" w:themeShade="80"/>
      <w:sz w:val="18"/>
    </w:rPr>
  </w:style>
  <w:style w:type="character" w:customStyle="1" w:styleId="Heading8Char">
    <w:name w:val="Heading 8 Char"/>
    <w:basedOn w:val="DefaultParagraphFont"/>
    <w:link w:val="Heading8"/>
    <w:uiPriority w:val="9"/>
    <w:rsid w:val="008573F7"/>
    <w:rPr>
      <w:rFonts w:asciiTheme="majorHAnsi" w:eastAsiaTheme="majorEastAsia" w:hAnsiTheme="majorHAnsi" w:cstheme="majorBidi"/>
      <w:b/>
      <w:bCs/>
      <w:i/>
      <w:iCs/>
      <w:color w:val="132E1C" w:themeColor="accent1" w:themeShade="80"/>
      <w:sz w:val="18"/>
    </w:rPr>
  </w:style>
  <w:style w:type="character" w:customStyle="1" w:styleId="Heading9Char">
    <w:name w:val="Heading 9 Char"/>
    <w:basedOn w:val="DefaultParagraphFont"/>
    <w:link w:val="Heading9"/>
    <w:uiPriority w:val="9"/>
    <w:rsid w:val="008573F7"/>
    <w:rPr>
      <w:rFonts w:asciiTheme="majorHAnsi" w:eastAsiaTheme="majorEastAsia" w:hAnsiTheme="majorHAnsi" w:cstheme="majorBidi"/>
      <w:i/>
      <w:iCs/>
      <w:color w:val="132E1C" w:themeColor="accent1" w:themeShade="80"/>
      <w:sz w:val="18"/>
    </w:rPr>
  </w:style>
  <w:style w:type="paragraph" w:styleId="Title">
    <w:name w:val="Title"/>
    <w:basedOn w:val="Heading1-NP"/>
    <w:next w:val="Normal"/>
    <w:link w:val="TitleChar"/>
    <w:uiPriority w:val="10"/>
    <w:qFormat/>
    <w:rsid w:val="00521B3A"/>
    <w:pPr>
      <w:pageBreakBefore w:val="0"/>
    </w:pPr>
  </w:style>
  <w:style w:type="character" w:customStyle="1" w:styleId="TitleChar">
    <w:name w:val="Title Char"/>
    <w:basedOn w:val="DefaultParagraphFont"/>
    <w:link w:val="Title"/>
    <w:uiPriority w:val="10"/>
    <w:rsid w:val="00521B3A"/>
    <w:rPr>
      <w:rFonts w:ascii="Georgia" w:eastAsiaTheme="majorEastAsia" w:hAnsi="Georgia" w:cstheme="majorBidi"/>
      <w:color w:val="275D38"/>
      <w:sz w:val="48"/>
      <w:szCs w:val="36"/>
    </w:rPr>
  </w:style>
  <w:style w:type="paragraph" w:styleId="Subtitle">
    <w:name w:val="Subtitle"/>
    <w:basedOn w:val="Normal"/>
    <w:next w:val="Normal"/>
    <w:link w:val="SubtitleChar"/>
    <w:uiPriority w:val="11"/>
    <w:qFormat/>
    <w:rsid w:val="008573F7"/>
    <w:pPr>
      <w:numPr>
        <w:ilvl w:val="1"/>
      </w:numPr>
      <w:spacing w:after="240" w:line="240" w:lineRule="auto"/>
    </w:pPr>
    <w:rPr>
      <w:rFonts w:asciiTheme="majorHAnsi" w:eastAsiaTheme="majorEastAsia" w:hAnsiTheme="majorHAnsi" w:cstheme="majorBidi"/>
      <w:color w:val="275D38" w:themeColor="accent1"/>
      <w:sz w:val="28"/>
      <w:szCs w:val="28"/>
    </w:rPr>
  </w:style>
  <w:style w:type="character" w:customStyle="1" w:styleId="SubtitleChar">
    <w:name w:val="Subtitle Char"/>
    <w:basedOn w:val="DefaultParagraphFont"/>
    <w:link w:val="Subtitle"/>
    <w:uiPriority w:val="11"/>
    <w:rsid w:val="008573F7"/>
    <w:rPr>
      <w:rFonts w:asciiTheme="majorHAnsi" w:eastAsiaTheme="majorEastAsia" w:hAnsiTheme="majorHAnsi" w:cstheme="majorBidi"/>
      <w:color w:val="275D38" w:themeColor="accent1"/>
      <w:sz w:val="28"/>
      <w:szCs w:val="28"/>
    </w:rPr>
  </w:style>
  <w:style w:type="character" w:styleId="SubtleEmphasis">
    <w:name w:val="Subtle Emphasis"/>
    <w:basedOn w:val="DefaultParagraphFont"/>
    <w:uiPriority w:val="19"/>
    <w:qFormat/>
    <w:rsid w:val="008573F7"/>
    <w:rPr>
      <w:i/>
      <w:iCs/>
      <w:color w:val="595959" w:themeColor="text1" w:themeTint="A6"/>
    </w:rPr>
  </w:style>
  <w:style w:type="character" w:styleId="Strong">
    <w:name w:val="Strong"/>
    <w:basedOn w:val="DefaultParagraphFont"/>
    <w:uiPriority w:val="22"/>
    <w:qFormat/>
    <w:rsid w:val="008573F7"/>
    <w:rPr>
      <w:b/>
      <w:bCs/>
    </w:rPr>
  </w:style>
  <w:style w:type="paragraph" w:styleId="ListParagraph">
    <w:name w:val="List Paragraph"/>
    <w:aliases w:val="Bulleted text,AR bullet 1,List Paragraph1,List Paragraph11,Number Paragraph,Recommendation,List Paragraph Number,Bullet point,L,Content descriptions,Bullet Point,dot point List Paragraph,Bullet points,List Paragraph2"/>
    <w:basedOn w:val="Normal"/>
    <w:link w:val="ListParagraphChar"/>
    <w:uiPriority w:val="34"/>
    <w:qFormat/>
    <w:rsid w:val="00D116D5"/>
    <w:pPr>
      <w:numPr>
        <w:numId w:val="9"/>
      </w:numPr>
      <w:contextualSpacing/>
    </w:pPr>
    <w:rPr>
      <w:sz w:val="20"/>
    </w:rPr>
  </w:style>
  <w:style w:type="character" w:styleId="Emphasis">
    <w:name w:val="Emphasis"/>
    <w:basedOn w:val="DefaultParagraphFont"/>
    <w:uiPriority w:val="20"/>
    <w:qFormat/>
    <w:rsid w:val="008573F7"/>
    <w:rPr>
      <w:i/>
      <w:iCs/>
    </w:rPr>
  </w:style>
  <w:style w:type="character" w:styleId="IntenseEmphasis">
    <w:name w:val="Intense Emphasis"/>
    <w:basedOn w:val="DefaultParagraphFont"/>
    <w:uiPriority w:val="21"/>
    <w:qFormat/>
    <w:rsid w:val="008573F7"/>
    <w:rPr>
      <w:b/>
      <w:bCs/>
      <w:i/>
      <w:iCs/>
    </w:rPr>
  </w:style>
  <w:style w:type="paragraph" w:styleId="Quote">
    <w:name w:val="Quote"/>
    <w:basedOn w:val="Normal"/>
    <w:next w:val="Normal"/>
    <w:link w:val="QuoteChar"/>
    <w:uiPriority w:val="29"/>
    <w:qFormat/>
    <w:rsid w:val="008573F7"/>
    <w:pPr>
      <w:spacing w:before="120" w:after="120"/>
      <w:ind w:left="720"/>
    </w:pPr>
    <w:rPr>
      <w:color w:val="275D38" w:themeColor="text2"/>
      <w:sz w:val="24"/>
      <w:szCs w:val="24"/>
    </w:rPr>
  </w:style>
  <w:style w:type="character" w:customStyle="1" w:styleId="QuoteChar">
    <w:name w:val="Quote Char"/>
    <w:basedOn w:val="DefaultParagraphFont"/>
    <w:link w:val="Quote"/>
    <w:uiPriority w:val="29"/>
    <w:rsid w:val="008573F7"/>
    <w:rPr>
      <w:rFonts w:ascii="Arial" w:hAnsi="Arial"/>
      <w:color w:val="275D38" w:themeColor="text2"/>
      <w:sz w:val="24"/>
      <w:szCs w:val="24"/>
    </w:rPr>
  </w:style>
  <w:style w:type="paragraph" w:styleId="IntenseQuote">
    <w:name w:val="Intense Quote"/>
    <w:basedOn w:val="Normal"/>
    <w:next w:val="Normal"/>
    <w:link w:val="IntenseQuoteChar"/>
    <w:uiPriority w:val="30"/>
    <w:qFormat/>
    <w:rsid w:val="008573F7"/>
    <w:pPr>
      <w:spacing w:before="100" w:beforeAutospacing="1" w:after="240" w:line="240" w:lineRule="auto"/>
      <w:ind w:left="720"/>
      <w:jc w:val="center"/>
    </w:pPr>
    <w:rPr>
      <w:rFonts w:asciiTheme="majorHAnsi" w:eastAsiaTheme="majorEastAsia" w:hAnsiTheme="majorHAnsi" w:cstheme="majorBidi"/>
      <w:color w:val="275D38" w:themeColor="text2"/>
      <w:spacing w:val="-6"/>
      <w:sz w:val="32"/>
      <w:szCs w:val="32"/>
    </w:rPr>
  </w:style>
  <w:style w:type="character" w:customStyle="1" w:styleId="IntenseQuoteChar">
    <w:name w:val="Intense Quote Char"/>
    <w:basedOn w:val="DefaultParagraphFont"/>
    <w:link w:val="IntenseQuote"/>
    <w:uiPriority w:val="30"/>
    <w:rsid w:val="008573F7"/>
    <w:rPr>
      <w:rFonts w:asciiTheme="majorHAnsi" w:eastAsiaTheme="majorEastAsia" w:hAnsiTheme="majorHAnsi" w:cstheme="majorBidi"/>
      <w:color w:val="275D38" w:themeColor="text2"/>
      <w:spacing w:val="-6"/>
      <w:sz w:val="32"/>
      <w:szCs w:val="32"/>
    </w:rPr>
  </w:style>
  <w:style w:type="character" w:styleId="SubtleReference">
    <w:name w:val="Subtle Reference"/>
    <w:basedOn w:val="DefaultParagraphFont"/>
    <w:uiPriority w:val="31"/>
    <w:qFormat/>
    <w:rsid w:val="008573F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73F7"/>
    <w:rPr>
      <w:b/>
      <w:bCs/>
      <w:smallCaps/>
      <w:color w:val="275D38" w:themeColor="text2"/>
      <w:u w:val="single"/>
    </w:rPr>
  </w:style>
  <w:style w:type="character" w:styleId="BookTitle">
    <w:name w:val="Book Title"/>
    <w:basedOn w:val="DefaultParagraphFont"/>
    <w:uiPriority w:val="33"/>
    <w:qFormat/>
    <w:rsid w:val="008573F7"/>
    <w:rPr>
      <w:b/>
      <w:bCs/>
      <w:smallCaps/>
      <w:spacing w:val="10"/>
    </w:rPr>
  </w:style>
  <w:style w:type="paragraph" w:styleId="Caption">
    <w:name w:val="caption"/>
    <w:basedOn w:val="Normal"/>
    <w:next w:val="Normal"/>
    <w:uiPriority w:val="35"/>
    <w:unhideWhenUsed/>
    <w:qFormat/>
    <w:rsid w:val="008573F7"/>
    <w:pPr>
      <w:spacing w:line="240" w:lineRule="auto"/>
    </w:pPr>
    <w:rPr>
      <w:b/>
      <w:bCs/>
      <w:smallCaps/>
      <w:color w:val="275D38" w:themeColor="text2"/>
    </w:rPr>
  </w:style>
  <w:style w:type="paragraph" w:styleId="TOCHeading">
    <w:name w:val="TOC Heading"/>
    <w:basedOn w:val="Heading1"/>
    <w:next w:val="Normal"/>
    <w:uiPriority w:val="39"/>
    <w:unhideWhenUsed/>
    <w:qFormat/>
    <w:rsid w:val="008573F7"/>
    <w:pPr>
      <w:outlineLvl w:val="9"/>
    </w:pPr>
  </w:style>
  <w:style w:type="character" w:customStyle="1" w:styleId="NoSpacingChar">
    <w:name w:val="No Spacing Char"/>
    <w:basedOn w:val="DefaultParagraphFont"/>
    <w:link w:val="NoSpacing"/>
    <w:uiPriority w:val="1"/>
    <w:rsid w:val="008573F7"/>
  </w:style>
  <w:style w:type="paragraph" w:styleId="Header">
    <w:name w:val="header"/>
    <w:basedOn w:val="Normal"/>
    <w:link w:val="HeaderChar"/>
    <w:uiPriority w:val="99"/>
    <w:unhideWhenUsed/>
    <w:rsid w:val="008573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73F7"/>
    <w:rPr>
      <w:rFonts w:ascii="Arial" w:hAnsi="Arial"/>
      <w:sz w:val="18"/>
    </w:rPr>
  </w:style>
  <w:style w:type="paragraph" w:styleId="Footer">
    <w:name w:val="footer"/>
    <w:basedOn w:val="Normal"/>
    <w:link w:val="FooterChar"/>
    <w:uiPriority w:val="99"/>
    <w:unhideWhenUsed/>
    <w:rsid w:val="008573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73F7"/>
    <w:rPr>
      <w:rFonts w:ascii="Arial" w:hAnsi="Arial"/>
      <w:sz w:val="18"/>
    </w:rPr>
  </w:style>
  <w:style w:type="paragraph" w:customStyle="1" w:styleId="DHSHeading1">
    <w:name w:val="DHS Heading 1"/>
    <w:basedOn w:val="Heading1"/>
    <w:uiPriority w:val="99"/>
    <w:rsid w:val="008573F7"/>
    <w:pPr>
      <w:spacing w:before="0" w:after="240"/>
    </w:pPr>
    <w:rPr>
      <w:rFonts w:eastAsia="Times New Roman" w:cs="Arial"/>
      <w:b/>
      <w:kern w:val="32"/>
      <w:szCs w:val="40"/>
      <w:lang w:eastAsia="en-AU"/>
    </w:rPr>
  </w:style>
  <w:style w:type="character" w:customStyle="1" w:styleId="ListParagraphChar">
    <w:name w:val="List Paragraph Char"/>
    <w:aliases w:val="Bulleted text Char,AR bullet 1 Char,List Paragraph1 Char,List Paragraph11 Char,Number Paragraph Char,Recommendation Char,List Paragraph Number Char,Bullet point Char,L Char,Content descriptions Char,Bullet Point Char"/>
    <w:basedOn w:val="DefaultParagraphFont"/>
    <w:link w:val="ListParagraph"/>
    <w:uiPriority w:val="34"/>
    <w:qFormat/>
    <w:locked/>
    <w:rsid w:val="00B52697"/>
    <w:rPr>
      <w:rFonts w:ascii="Arial" w:hAnsi="Arial"/>
      <w:sz w:val="20"/>
    </w:rPr>
  </w:style>
  <w:style w:type="paragraph" w:styleId="TOC1">
    <w:name w:val="toc 1"/>
    <w:basedOn w:val="Normal"/>
    <w:next w:val="Normal"/>
    <w:autoRedefine/>
    <w:uiPriority w:val="39"/>
    <w:unhideWhenUsed/>
    <w:rsid w:val="00946BF2"/>
    <w:pPr>
      <w:tabs>
        <w:tab w:val="right" w:leader="dot" w:pos="9016"/>
      </w:tabs>
    </w:pPr>
  </w:style>
  <w:style w:type="paragraph" w:styleId="TOC2">
    <w:name w:val="toc 2"/>
    <w:basedOn w:val="Normal"/>
    <w:next w:val="Normal"/>
    <w:autoRedefine/>
    <w:uiPriority w:val="39"/>
    <w:unhideWhenUsed/>
    <w:rsid w:val="00276AB7"/>
    <w:pPr>
      <w:ind w:left="221"/>
    </w:pPr>
  </w:style>
  <w:style w:type="paragraph" w:styleId="BodyText">
    <w:name w:val="Body Text"/>
    <w:basedOn w:val="Normal"/>
    <w:link w:val="BodyTextChar"/>
    <w:uiPriority w:val="99"/>
    <w:rsid w:val="008573F7"/>
    <w:pPr>
      <w:tabs>
        <w:tab w:val="left" w:pos="1066"/>
      </w:tabs>
      <w:spacing w:before="120" w:line="240" w:lineRule="auto"/>
    </w:pPr>
    <w:rPr>
      <w:rFonts w:ascii="HelveticaNeueLT Std Lt" w:eastAsia="Times New Roman" w:hAnsi="HelveticaNeueLT Std Lt" w:cs="Times New Roman"/>
      <w:szCs w:val="24"/>
      <w:lang w:val="en-US"/>
    </w:rPr>
  </w:style>
  <w:style w:type="character" w:customStyle="1" w:styleId="BodyTextChar">
    <w:name w:val="Body Text Char"/>
    <w:basedOn w:val="DefaultParagraphFont"/>
    <w:link w:val="BodyText"/>
    <w:uiPriority w:val="99"/>
    <w:rsid w:val="008573F7"/>
    <w:rPr>
      <w:rFonts w:ascii="HelveticaNeueLT Std Lt" w:eastAsia="Times New Roman" w:hAnsi="HelveticaNeueLT Std Lt" w:cs="Times New Roman"/>
      <w:sz w:val="18"/>
      <w:szCs w:val="24"/>
      <w:lang w:val="en-US"/>
    </w:rPr>
  </w:style>
  <w:style w:type="table" w:styleId="TableGrid">
    <w:name w:val="Table Grid"/>
    <w:aliases w:val="H: Horizontal table,Numerical table"/>
    <w:basedOn w:val="TableNormal"/>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73F7"/>
    <w:rPr>
      <w:color w:val="0000FF" w:themeColor="hyperlink"/>
      <w:u w:val="single"/>
    </w:rPr>
  </w:style>
  <w:style w:type="paragraph" w:styleId="BalloonText">
    <w:name w:val="Balloon Text"/>
    <w:basedOn w:val="Normal"/>
    <w:link w:val="BalloonTextChar"/>
    <w:uiPriority w:val="99"/>
    <w:semiHidden/>
    <w:unhideWhenUsed/>
    <w:rsid w:val="008573F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573F7"/>
    <w:rPr>
      <w:rFonts w:ascii="Segoe UI" w:hAnsi="Segoe UI" w:cs="Segoe UI"/>
      <w:sz w:val="18"/>
      <w:szCs w:val="18"/>
    </w:rPr>
  </w:style>
  <w:style w:type="character" w:styleId="CommentReference">
    <w:name w:val="annotation reference"/>
    <w:basedOn w:val="DefaultParagraphFont"/>
    <w:uiPriority w:val="99"/>
    <w:semiHidden/>
    <w:unhideWhenUsed/>
    <w:rsid w:val="008573F7"/>
    <w:rPr>
      <w:sz w:val="16"/>
      <w:szCs w:val="16"/>
    </w:rPr>
  </w:style>
  <w:style w:type="paragraph" w:styleId="CommentText">
    <w:name w:val="annotation text"/>
    <w:basedOn w:val="Normal"/>
    <w:link w:val="CommentTextChar"/>
    <w:uiPriority w:val="99"/>
    <w:unhideWhenUsed/>
    <w:rsid w:val="008573F7"/>
    <w:pPr>
      <w:spacing w:line="240" w:lineRule="auto"/>
    </w:pPr>
    <w:rPr>
      <w:sz w:val="20"/>
      <w:szCs w:val="20"/>
    </w:rPr>
  </w:style>
  <w:style w:type="character" w:customStyle="1" w:styleId="CommentTextChar">
    <w:name w:val="Comment Text Char"/>
    <w:basedOn w:val="DefaultParagraphFont"/>
    <w:link w:val="CommentText"/>
    <w:uiPriority w:val="99"/>
    <w:rsid w:val="008573F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573F7"/>
    <w:rPr>
      <w:b/>
      <w:bCs/>
    </w:rPr>
  </w:style>
  <w:style w:type="character" w:customStyle="1" w:styleId="CommentSubjectChar">
    <w:name w:val="Comment Subject Char"/>
    <w:basedOn w:val="CommentTextChar"/>
    <w:link w:val="CommentSubject"/>
    <w:uiPriority w:val="99"/>
    <w:semiHidden/>
    <w:rsid w:val="008573F7"/>
    <w:rPr>
      <w:rFonts w:ascii="Arial" w:hAnsi="Arial"/>
      <w:b/>
      <w:bCs/>
      <w:sz w:val="20"/>
      <w:szCs w:val="20"/>
    </w:rPr>
  </w:style>
  <w:style w:type="table" w:customStyle="1" w:styleId="TableGrid1">
    <w:name w:val="Table Grid1"/>
    <w:basedOn w:val="TableNormal"/>
    <w:next w:val="TableGrid"/>
    <w:uiPriority w:val="59"/>
    <w:rsid w:val="008573F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SDatatableCORPPLAN">
    <w:name w:val="DSS Data table CORP PLAN"/>
    <w:basedOn w:val="TableNormal"/>
    <w:uiPriority w:val="99"/>
    <w:rsid w:val="00AF24C4"/>
    <w:pPr>
      <w:suppressAutoHyphens/>
      <w:spacing w:before="120" w:after="0" w:line="240" w:lineRule="auto"/>
    </w:pPr>
    <w:rPr>
      <w:rFonts w:ascii="Arial" w:hAnsi="Arial"/>
      <w:sz w:val="18"/>
    </w:rPr>
    <w:tblPr>
      <w:tblStyleRowBandSize w:val="1"/>
      <w:tblInd w:w="113" w:type="dxa"/>
      <w:tblBorders>
        <w:top w:val="single" w:sz="12" w:space="0" w:color="FFFFFF" w:themeColor="background1"/>
        <w:bottom w:val="single" w:sz="12" w:space="0" w:color="FFFFFF" w:themeColor="background1"/>
        <w:insideH w:val="single" w:sz="12" w:space="0" w:color="FFFFFF" w:themeColor="background1"/>
        <w:insideV w:val="single" w:sz="12" w:space="0" w:color="FFFFFF" w:themeColor="background1"/>
      </w:tblBorders>
      <w:tblCellMar>
        <w:top w:w="57" w:type="dxa"/>
        <w:left w:w="85" w:type="dxa"/>
        <w:bottom w:w="57" w:type="dxa"/>
        <w:right w:w="85" w:type="dxa"/>
      </w:tblCellMar>
    </w:tblPr>
    <w:tblStylePr w:type="firstRow">
      <w:rPr>
        <w:rFonts w:ascii="Arial" w:hAnsi="Arial"/>
        <w:b/>
        <w:color w:val="FFFFFF"/>
        <w:sz w:val="22"/>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EFFAF9"/>
      </w:tcPr>
    </w:tblStylePr>
  </w:style>
  <w:style w:type="table" w:customStyle="1" w:styleId="DSSDatatablestyle221">
    <w:name w:val="DSS Data table style221"/>
    <w:basedOn w:val="TableNormal"/>
    <w:uiPriority w:val="99"/>
    <w:rsid w:val="008573F7"/>
    <w:pPr>
      <w:spacing w:after="0" w:line="240" w:lineRule="auto"/>
    </w:pPr>
    <w:rPr>
      <w:rFonts w:ascii="Arial" w:hAnsi="Arial"/>
    </w:rPr>
    <w:tblPr>
      <w:tblStyleRowBandSize w:val="1"/>
      <w:tblInd w:w="113" w:type="dxa"/>
    </w:tblPr>
    <w:tblStylePr w:type="firstRow">
      <w:rPr>
        <w:rFonts w:ascii="Arial" w:hAnsi="Arial"/>
        <w:b/>
        <w:color w:val="FFFFFF"/>
        <w:sz w:val="22"/>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EFFAF9"/>
      </w:tcPr>
    </w:tblStylePr>
  </w:style>
  <w:style w:type="table" w:customStyle="1" w:styleId="DSSDatatablestyle3">
    <w:name w:val="DSS Data table style3"/>
    <w:basedOn w:val="TableNormal"/>
    <w:uiPriority w:val="99"/>
    <w:rsid w:val="008573F7"/>
    <w:pPr>
      <w:spacing w:after="0" w:line="240" w:lineRule="auto"/>
    </w:pPr>
    <w:rPr>
      <w:rFonts w:ascii="Arial" w:eastAsia="Calibri" w:hAnsi="Arial"/>
    </w:rPr>
    <w:tblPr>
      <w:tblStyleRowBandSize w:val="1"/>
      <w:tblInd w:w="113" w:type="dxa"/>
    </w:tblPr>
    <w:tblStylePr w:type="firstRow">
      <w:rPr>
        <w:rFonts w:ascii="Arial" w:hAnsi="Arial"/>
        <w:b/>
        <w:color w:val="FFFFFF"/>
        <w:sz w:val="22"/>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EFFAF9"/>
      </w:tcPr>
    </w:tblStylePr>
  </w:style>
  <w:style w:type="table" w:customStyle="1" w:styleId="DSSDatatablestyle11">
    <w:name w:val="DSS Data table style11"/>
    <w:basedOn w:val="TableNormal"/>
    <w:uiPriority w:val="99"/>
    <w:rsid w:val="008573F7"/>
    <w:pPr>
      <w:spacing w:after="0" w:line="240" w:lineRule="auto"/>
    </w:pPr>
    <w:rPr>
      <w:rFonts w:ascii="Arial" w:eastAsia="Calibri" w:hAnsi="Arial"/>
      <w:sz w:val="24"/>
    </w:rPr>
    <w:tblPr>
      <w:tblStyleRowBandSize w:val="1"/>
      <w:tblInd w:w="113" w:type="dxa"/>
    </w:tblPr>
    <w:tblStylePr w:type="firstRow">
      <w:rPr>
        <w:rFonts w:ascii="Arial" w:hAnsi="Arial"/>
        <w:b/>
        <w:color w:val="FFFFFF"/>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TableGrid2">
    <w:name w:val="Table Grid2"/>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8573F7"/>
    <w:pPr>
      <w:spacing w:after="0" w:line="240" w:lineRule="auto"/>
    </w:pPr>
    <w:tblPr>
      <w:tblStyleRowBandSize w:val="1"/>
      <w:tblStyleColBandSize w:val="1"/>
      <w:tblBorders>
        <w:top w:val="single" w:sz="2" w:space="0" w:color="5FBC7C" w:themeColor="accent1" w:themeTint="99"/>
        <w:bottom w:val="single" w:sz="2" w:space="0" w:color="5FBC7C" w:themeColor="accent1" w:themeTint="99"/>
        <w:insideH w:val="single" w:sz="2" w:space="0" w:color="5FBC7C" w:themeColor="accent1" w:themeTint="99"/>
        <w:insideV w:val="single" w:sz="2" w:space="0" w:color="5FBC7C" w:themeColor="accent1" w:themeTint="99"/>
      </w:tblBorders>
    </w:tblPr>
    <w:tblStylePr w:type="firstRow">
      <w:rPr>
        <w:b/>
        <w:bCs/>
      </w:rPr>
      <w:tblPr/>
      <w:tcPr>
        <w:tcBorders>
          <w:top w:val="nil"/>
          <w:bottom w:val="single" w:sz="12" w:space="0" w:color="5FBC7C" w:themeColor="accent1" w:themeTint="99"/>
          <w:insideH w:val="nil"/>
          <w:insideV w:val="nil"/>
        </w:tcBorders>
        <w:shd w:val="clear" w:color="auto" w:fill="FFFFFF" w:themeFill="background1"/>
      </w:tcPr>
    </w:tblStylePr>
    <w:tblStylePr w:type="lastRow">
      <w:rPr>
        <w:b/>
        <w:bCs/>
      </w:rPr>
      <w:tblPr/>
      <w:tcPr>
        <w:tcBorders>
          <w:top w:val="double" w:sz="2" w:space="0" w:color="5FBC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8D3" w:themeFill="accent1" w:themeFillTint="33"/>
      </w:tcPr>
    </w:tblStylePr>
    <w:tblStylePr w:type="band1Horz">
      <w:tblPr/>
      <w:tcPr>
        <w:shd w:val="clear" w:color="auto" w:fill="C9E8D3" w:themeFill="accent1" w:themeFillTint="33"/>
      </w:tcPr>
    </w:tblStylePr>
  </w:style>
  <w:style w:type="table" w:styleId="ListTable6Colorful-Accent4">
    <w:name w:val="List Table 6 Colorful Accent 4"/>
    <w:basedOn w:val="TableNormal"/>
    <w:uiPriority w:val="51"/>
    <w:rsid w:val="008573F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8573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lement-invisible">
    <w:name w:val="element-invisible"/>
    <w:basedOn w:val="DefaultParagraphFont"/>
    <w:rsid w:val="008573F7"/>
  </w:style>
  <w:style w:type="table" w:styleId="PlainTable3">
    <w:name w:val="Plain Table 3"/>
    <w:basedOn w:val="TableNormal"/>
    <w:uiPriority w:val="43"/>
    <w:rsid w:val="008573F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10">
    <w:name w:val="Pa10"/>
    <w:basedOn w:val="Normal"/>
    <w:next w:val="Normal"/>
    <w:uiPriority w:val="99"/>
    <w:rsid w:val="008573F7"/>
    <w:pPr>
      <w:autoSpaceDE w:val="0"/>
      <w:autoSpaceDN w:val="0"/>
      <w:adjustRightInd w:val="0"/>
      <w:spacing w:after="0" w:line="301" w:lineRule="atLeast"/>
    </w:pPr>
    <w:rPr>
      <w:rFonts w:ascii="Myriad Pro Light" w:hAnsi="Myriad Pro Light"/>
      <w:sz w:val="24"/>
      <w:szCs w:val="24"/>
    </w:rPr>
  </w:style>
  <w:style w:type="paragraph" w:customStyle="1" w:styleId="Default">
    <w:name w:val="Default"/>
    <w:rsid w:val="008573F7"/>
    <w:pPr>
      <w:autoSpaceDE w:val="0"/>
      <w:autoSpaceDN w:val="0"/>
      <w:adjustRightInd w:val="0"/>
      <w:spacing w:after="0" w:line="240" w:lineRule="auto"/>
    </w:pPr>
    <w:rPr>
      <w:rFonts w:ascii="DIN OT Light" w:hAnsi="DIN OT Light" w:cs="DIN OT Light"/>
      <w:color w:val="000000"/>
      <w:sz w:val="24"/>
      <w:szCs w:val="24"/>
    </w:rPr>
  </w:style>
  <w:style w:type="character" w:customStyle="1" w:styleId="A4">
    <w:name w:val="A4"/>
    <w:uiPriority w:val="99"/>
    <w:rsid w:val="008573F7"/>
    <w:rPr>
      <w:rFonts w:cs="DIN OT Light"/>
      <w:color w:val="000000"/>
      <w:sz w:val="18"/>
      <w:szCs w:val="18"/>
    </w:rPr>
  </w:style>
  <w:style w:type="paragraph" w:customStyle="1" w:styleId="Pa3">
    <w:name w:val="Pa3"/>
    <w:basedOn w:val="Default"/>
    <w:next w:val="Default"/>
    <w:uiPriority w:val="99"/>
    <w:rsid w:val="008573F7"/>
    <w:pPr>
      <w:spacing w:line="181" w:lineRule="atLeast"/>
    </w:pPr>
    <w:rPr>
      <w:rFonts w:cstheme="minorBidi"/>
      <w:color w:val="auto"/>
    </w:rPr>
  </w:style>
  <w:style w:type="character" w:styleId="FollowedHyperlink">
    <w:name w:val="FollowedHyperlink"/>
    <w:basedOn w:val="DefaultParagraphFont"/>
    <w:uiPriority w:val="99"/>
    <w:semiHidden/>
    <w:unhideWhenUsed/>
    <w:rsid w:val="008573F7"/>
    <w:rPr>
      <w:color w:val="800080" w:themeColor="followedHyperlink"/>
      <w:u w:val="single"/>
    </w:rPr>
  </w:style>
  <w:style w:type="paragraph" w:customStyle="1" w:styleId="msonormal0">
    <w:name w:val="msonormal"/>
    <w:basedOn w:val="Normal"/>
    <w:uiPriority w:val="99"/>
    <w:rsid w:val="008573F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rmal0">
    <w:name w:val="Normal_0"/>
    <w:basedOn w:val="Normal"/>
    <w:uiPriority w:val="99"/>
    <w:rsid w:val="008573F7"/>
    <w:pPr>
      <w:spacing w:after="200" w:line="276" w:lineRule="auto"/>
    </w:pPr>
    <w:rPr>
      <w:rFonts w:ascii="Book Antiqua" w:eastAsiaTheme="minorHAnsi" w:hAnsi="Book Antiqua" w:cs="Times New Roman"/>
    </w:rPr>
  </w:style>
  <w:style w:type="table" w:customStyle="1" w:styleId="TableGrid3">
    <w:name w:val="Table Grid3"/>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B458E1"/>
    <w:pPr>
      <w:tabs>
        <w:tab w:val="left" w:pos="709"/>
      </w:tabs>
    </w:pPr>
    <w:rPr>
      <w:rFonts w:cs="Arial"/>
      <w:b/>
      <w:caps/>
      <w:color w:val="FFFFFF" w:themeColor="background1"/>
      <w:szCs w:val="18"/>
      <w:bdr w:val="none" w:sz="0" w:space="0" w:color="auto" w:frame="1"/>
      <w:lang w:val="en-US"/>
    </w:rPr>
  </w:style>
  <w:style w:type="paragraph" w:customStyle="1" w:styleId="TableSUBHEADING">
    <w:name w:val="Table SUB HEADING"/>
    <w:basedOn w:val="Normal"/>
    <w:qFormat/>
    <w:rsid w:val="00AC4E4D"/>
    <w:pPr>
      <w:tabs>
        <w:tab w:val="left" w:pos="709"/>
      </w:tabs>
    </w:pPr>
    <w:rPr>
      <w:rFonts w:cs="Arial"/>
      <w:szCs w:val="18"/>
      <w:bdr w:val="none" w:sz="0" w:space="0" w:color="auto" w:frame="1"/>
      <w:lang w:val="en-US"/>
    </w:rPr>
  </w:style>
  <w:style w:type="table" w:styleId="PlainTable4">
    <w:name w:val="Plain Table 4"/>
    <w:basedOn w:val="TableNormal"/>
    <w:uiPriority w:val="44"/>
    <w:rsid w:val="008573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list1">
    <w:name w:val="numberedlist1"/>
    <w:basedOn w:val="Normal"/>
    <w:rsid w:val="008573F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hedule">
    <w:name w:val="Schedule"/>
    <w:aliases w:val="Matter dealt with"/>
    <w:basedOn w:val="Normal"/>
    <w:link w:val="ScheduleChar"/>
    <w:qFormat/>
    <w:rsid w:val="008573F7"/>
    <w:pPr>
      <w:tabs>
        <w:tab w:val="left" w:pos="1304"/>
      </w:tabs>
      <w:autoSpaceDE w:val="0"/>
      <w:autoSpaceDN w:val="0"/>
      <w:spacing w:after="0" w:line="240" w:lineRule="auto"/>
      <w:ind w:left="180" w:hanging="180"/>
    </w:pPr>
    <w:rPr>
      <w:rFonts w:ascii="Times New Roman" w:eastAsia="Times New Roman" w:hAnsi="Times New Roman" w:cs="Times New Roman"/>
      <w:sz w:val="26"/>
      <w:szCs w:val="26"/>
      <w:lang w:eastAsia="en-AU"/>
    </w:rPr>
  </w:style>
  <w:style w:type="character" w:customStyle="1" w:styleId="ScheduleChar">
    <w:name w:val="Schedule Char"/>
    <w:aliases w:val="Matter dealt with Char"/>
    <w:basedOn w:val="DefaultParagraphFont"/>
    <w:link w:val="Schedule"/>
    <w:locked/>
    <w:rsid w:val="008573F7"/>
    <w:rPr>
      <w:rFonts w:ascii="Times New Roman" w:eastAsia="Times New Roman" w:hAnsi="Times New Roman" w:cs="Times New Roman"/>
      <w:sz w:val="26"/>
      <w:szCs w:val="26"/>
      <w:lang w:eastAsia="en-AU"/>
    </w:rPr>
  </w:style>
  <w:style w:type="character" w:customStyle="1" w:styleId="PBSOutcometextChar">
    <w:name w:val="PBSOutcometext Char"/>
    <w:basedOn w:val="DefaultParagraphFont"/>
    <w:link w:val="PBSOutcometext"/>
    <w:rsid w:val="008573F7"/>
    <w:rPr>
      <w:rFonts w:ascii="Arial" w:eastAsia="Times New Roman" w:hAnsi="Arial" w:cs="Arial"/>
      <w:sz w:val="20"/>
      <w:szCs w:val="20"/>
      <w:lang w:eastAsia="en-AU"/>
    </w:rPr>
  </w:style>
  <w:style w:type="paragraph" w:customStyle="1" w:styleId="PBSOutcometext">
    <w:name w:val="PBSOutcometext"/>
    <w:basedOn w:val="Normal0"/>
    <w:link w:val="PBSOutcometextChar"/>
    <w:qFormat/>
    <w:rsid w:val="008573F7"/>
    <w:pPr>
      <w:keepLines/>
      <w:spacing w:after="60" w:line="240" w:lineRule="auto"/>
      <w:jc w:val="both"/>
    </w:pPr>
    <w:rPr>
      <w:rFonts w:ascii="Arial" w:eastAsia="Times New Roman" w:hAnsi="Arial" w:cs="Arial"/>
      <w:sz w:val="20"/>
      <w:szCs w:val="20"/>
      <w:lang w:eastAsia="en-AU"/>
    </w:rPr>
  </w:style>
  <w:style w:type="paragraph" w:customStyle="1" w:styleId="ContentsHeading">
    <w:name w:val="Contents Heading"/>
    <w:basedOn w:val="Normal"/>
    <w:next w:val="Normal"/>
    <w:rsid w:val="008573F7"/>
    <w:pPr>
      <w:keepNext/>
      <w:keepLines/>
      <w:spacing w:after="360" w:line="240" w:lineRule="auto"/>
      <w:jc w:val="center"/>
    </w:pPr>
    <w:rPr>
      <w:rFonts w:eastAsia="Times New Roman" w:cs="Times New Roman"/>
      <w:b/>
      <w:smallCaps/>
      <w:sz w:val="34"/>
      <w:szCs w:val="20"/>
      <w:lang w:eastAsia="en-AU"/>
    </w:rPr>
  </w:style>
  <w:style w:type="paragraph" w:customStyle="1" w:styleId="Style2">
    <w:name w:val="Style2"/>
    <w:basedOn w:val="ListParagraph"/>
    <w:link w:val="Style2Char"/>
    <w:qFormat/>
    <w:rsid w:val="008573F7"/>
    <w:pPr>
      <w:numPr>
        <w:numId w:val="8"/>
      </w:numPr>
      <w:tabs>
        <w:tab w:val="left" w:pos="709"/>
      </w:tabs>
      <w:spacing w:line="240" w:lineRule="auto"/>
    </w:pPr>
    <w:rPr>
      <w:rFonts w:eastAsia="Times New Roman" w:cs="Arial"/>
      <w:color w:val="000000" w:themeColor="text1"/>
      <w:sz w:val="16"/>
      <w:szCs w:val="16"/>
    </w:rPr>
  </w:style>
  <w:style w:type="character" w:customStyle="1" w:styleId="Style2Char">
    <w:name w:val="Style2 Char"/>
    <w:basedOn w:val="ListParagraphChar"/>
    <w:link w:val="Style2"/>
    <w:rsid w:val="008573F7"/>
    <w:rPr>
      <w:rFonts w:ascii="Arial" w:eastAsia="Times New Roman" w:hAnsi="Arial" w:cs="Arial"/>
      <w:color w:val="000000" w:themeColor="text1"/>
      <w:sz w:val="16"/>
      <w:szCs w:val="16"/>
    </w:rPr>
  </w:style>
  <w:style w:type="paragraph" w:customStyle="1" w:styleId="Normal2">
    <w:name w:val="Normal_2"/>
    <w:link w:val="Normal2Char"/>
    <w:qFormat/>
    <w:rsid w:val="00D039D6"/>
    <w:pPr>
      <w:keepLines/>
      <w:spacing w:after="240" w:line="260" w:lineRule="exact"/>
      <w:jc w:val="both"/>
    </w:pPr>
    <w:rPr>
      <w:rFonts w:ascii="Book Antiqua" w:eastAsia="Times New Roman" w:hAnsi="Book Antiqua" w:cs="Times New Roman"/>
      <w:sz w:val="20"/>
      <w:szCs w:val="20"/>
      <w:lang w:eastAsia="en-AU"/>
    </w:rPr>
  </w:style>
  <w:style w:type="character" w:customStyle="1" w:styleId="Normal2Char">
    <w:name w:val="Normal_2 Char"/>
    <w:basedOn w:val="DefaultParagraphFont"/>
    <w:link w:val="Normal2"/>
    <w:rsid w:val="00D039D6"/>
    <w:rPr>
      <w:rFonts w:ascii="Book Antiqua" w:eastAsia="Times New Roman" w:hAnsi="Book Antiqua" w:cs="Times New Roman"/>
      <w:sz w:val="20"/>
      <w:szCs w:val="20"/>
      <w:lang w:eastAsia="en-AU"/>
    </w:rPr>
  </w:style>
  <w:style w:type="character" w:customStyle="1" w:styleId="PBSTabletextChar">
    <w:name w:val="PBSTable text Char"/>
    <w:basedOn w:val="DefaultParagraphFont"/>
    <w:link w:val="PBSTabletext"/>
    <w:rsid w:val="008573F7"/>
    <w:rPr>
      <w:rFonts w:ascii="Arial" w:eastAsia="Times New Roman" w:hAnsi="Arial" w:cs="Arial"/>
      <w:sz w:val="16"/>
      <w:szCs w:val="16"/>
      <w:lang w:eastAsia="en-AU"/>
    </w:rPr>
  </w:style>
  <w:style w:type="paragraph" w:customStyle="1" w:styleId="PBSTabletext">
    <w:name w:val="PBSTable text"/>
    <w:basedOn w:val="Normal0"/>
    <w:link w:val="PBSTabletextChar"/>
    <w:qFormat/>
    <w:rsid w:val="008573F7"/>
    <w:pPr>
      <w:keepLines/>
      <w:tabs>
        <w:tab w:val="left" w:pos="709"/>
      </w:tabs>
      <w:spacing w:after="60" w:line="240" w:lineRule="auto"/>
    </w:pPr>
    <w:rPr>
      <w:rFonts w:ascii="Arial" w:eastAsia="Times New Roman" w:hAnsi="Arial" w:cs="Arial"/>
      <w:sz w:val="16"/>
      <w:szCs w:val="16"/>
      <w:lang w:eastAsia="en-AU"/>
    </w:rPr>
  </w:style>
  <w:style w:type="paragraph" w:customStyle="1" w:styleId="PBSbullet">
    <w:name w:val="PBSbullet"/>
    <w:basedOn w:val="Normal"/>
    <w:link w:val="PBSbulletChar"/>
    <w:qFormat/>
    <w:rsid w:val="008573F7"/>
    <w:pPr>
      <w:keepLines/>
      <w:numPr>
        <w:numId w:val="6"/>
      </w:numPr>
      <w:spacing w:line="240" w:lineRule="auto"/>
      <w:contextualSpacing/>
    </w:pPr>
    <w:rPr>
      <w:rFonts w:eastAsiaTheme="minorHAnsi" w:cs="Arial"/>
      <w:iCs/>
      <w:sz w:val="16"/>
      <w:szCs w:val="16"/>
    </w:rPr>
  </w:style>
  <w:style w:type="character" w:customStyle="1" w:styleId="PBSbulletChar">
    <w:name w:val="PBSbullet Char"/>
    <w:basedOn w:val="DefaultParagraphFont"/>
    <w:link w:val="PBSbullet"/>
    <w:rsid w:val="008573F7"/>
    <w:rPr>
      <w:rFonts w:ascii="Arial" w:eastAsiaTheme="minorHAnsi" w:hAnsi="Arial" w:cs="Arial"/>
      <w:iCs/>
      <w:sz w:val="16"/>
      <w:szCs w:val="16"/>
    </w:rPr>
  </w:style>
  <w:style w:type="character" w:customStyle="1" w:styleId="PBSTabletextChar0">
    <w:name w:val="PBS Tabletext Char"/>
    <w:basedOn w:val="DefaultParagraphFont"/>
    <w:link w:val="PBSTabletext0"/>
    <w:rsid w:val="008573F7"/>
    <w:rPr>
      <w:rFonts w:ascii="Arial" w:eastAsia="Times New Roman" w:hAnsi="Arial" w:cs="Arial"/>
      <w:sz w:val="16"/>
      <w:szCs w:val="16"/>
      <w:lang w:eastAsia="en-AU"/>
    </w:rPr>
  </w:style>
  <w:style w:type="paragraph" w:customStyle="1" w:styleId="PBSTabletext0">
    <w:name w:val="PBS Tabletext"/>
    <w:basedOn w:val="Normal0"/>
    <w:link w:val="PBSTabletextChar0"/>
    <w:qFormat/>
    <w:rsid w:val="008573F7"/>
    <w:pPr>
      <w:keepLines/>
      <w:tabs>
        <w:tab w:val="left" w:pos="709"/>
      </w:tabs>
      <w:spacing w:after="60" w:line="240" w:lineRule="auto"/>
    </w:pPr>
    <w:rPr>
      <w:rFonts w:ascii="Arial" w:eastAsia="Times New Roman" w:hAnsi="Arial" w:cs="Arial"/>
      <w:sz w:val="16"/>
      <w:szCs w:val="16"/>
      <w:lang w:eastAsia="en-AU"/>
    </w:rPr>
  </w:style>
  <w:style w:type="paragraph" w:customStyle="1" w:styleId="PBSTaabullet">
    <w:name w:val="PBS Taabullet"/>
    <w:basedOn w:val="ListParagraph"/>
    <w:link w:val="PBSTaabulletChar"/>
    <w:qFormat/>
    <w:rsid w:val="008573F7"/>
    <w:pPr>
      <w:numPr>
        <w:numId w:val="5"/>
      </w:numPr>
      <w:tabs>
        <w:tab w:val="left" w:pos="709"/>
      </w:tabs>
      <w:spacing w:line="240" w:lineRule="auto"/>
    </w:pPr>
    <w:rPr>
      <w:rFonts w:eastAsia="Times New Roman" w:cs="Arial"/>
      <w:sz w:val="16"/>
      <w:szCs w:val="16"/>
    </w:rPr>
  </w:style>
  <w:style w:type="character" w:customStyle="1" w:styleId="PBSTaabulletChar">
    <w:name w:val="PBS Taabullet Char"/>
    <w:basedOn w:val="ListParagraphChar"/>
    <w:link w:val="PBSTaabullet"/>
    <w:rsid w:val="008573F7"/>
    <w:rPr>
      <w:rFonts w:ascii="Arial" w:eastAsia="Times New Roman" w:hAnsi="Arial" w:cs="Arial"/>
      <w:sz w:val="16"/>
      <w:szCs w:val="16"/>
    </w:rPr>
  </w:style>
  <w:style w:type="paragraph" w:customStyle="1" w:styleId="PBSTextbullet">
    <w:name w:val="PBSText bullet"/>
    <w:basedOn w:val="ListParagraph"/>
    <w:link w:val="PBSTextbulletChar"/>
    <w:qFormat/>
    <w:rsid w:val="008573F7"/>
    <w:pPr>
      <w:numPr>
        <w:numId w:val="7"/>
      </w:numPr>
      <w:tabs>
        <w:tab w:val="left" w:pos="709"/>
      </w:tabs>
      <w:spacing w:line="240" w:lineRule="auto"/>
    </w:pPr>
    <w:rPr>
      <w:rFonts w:eastAsia="Times New Roman" w:cs="Arial"/>
      <w:color w:val="000000" w:themeColor="text1"/>
      <w:sz w:val="16"/>
      <w:szCs w:val="16"/>
    </w:rPr>
  </w:style>
  <w:style w:type="character" w:customStyle="1" w:styleId="PBSTextbulletChar">
    <w:name w:val="PBSText bullet Char"/>
    <w:basedOn w:val="ListParagraphChar"/>
    <w:link w:val="PBSTextbullet"/>
    <w:rsid w:val="008573F7"/>
    <w:rPr>
      <w:rFonts w:ascii="Arial" w:eastAsia="Times New Roman" w:hAnsi="Arial" w:cs="Arial"/>
      <w:color w:val="000000" w:themeColor="text1"/>
      <w:sz w:val="16"/>
      <w:szCs w:val="16"/>
    </w:rPr>
  </w:style>
  <w:style w:type="paragraph" w:customStyle="1" w:styleId="PBSbullet0">
    <w:name w:val="PBS bullet"/>
    <w:basedOn w:val="Normalmorespace"/>
    <w:link w:val="PBSbulletChar0"/>
    <w:qFormat/>
    <w:rsid w:val="008573F7"/>
    <w:pPr>
      <w:numPr>
        <w:numId w:val="4"/>
      </w:numPr>
      <w:tabs>
        <w:tab w:val="left" w:pos="709"/>
      </w:tabs>
      <w:spacing w:before="60" w:after="60" w:line="240" w:lineRule="auto"/>
    </w:pPr>
    <w:rPr>
      <w:rFonts w:cs="Arial"/>
      <w:color w:val="000000"/>
      <w:sz w:val="16"/>
      <w:szCs w:val="16"/>
      <w:bdr w:val="none" w:sz="0" w:space="0" w:color="auto" w:frame="1"/>
      <w:lang w:val="en-US"/>
    </w:rPr>
  </w:style>
  <w:style w:type="character" w:customStyle="1" w:styleId="PBSbulletChar0">
    <w:name w:val="PBS bullet Char"/>
    <w:basedOn w:val="NormalmorespaceChar"/>
    <w:link w:val="PBSbullet0"/>
    <w:rsid w:val="008573F7"/>
    <w:rPr>
      <w:rFonts w:ascii="Arial" w:eastAsia="Times New Roman" w:hAnsi="Arial" w:cs="Arial"/>
      <w:color w:val="000000"/>
      <w:sz w:val="16"/>
      <w:szCs w:val="16"/>
      <w:bdr w:val="none" w:sz="0" w:space="0" w:color="auto" w:frame="1"/>
      <w:lang w:val="en-US" w:eastAsia="en-AU"/>
    </w:rPr>
  </w:style>
  <w:style w:type="paragraph" w:styleId="FootnoteText">
    <w:name w:val="footnote text"/>
    <w:basedOn w:val="Normal"/>
    <w:link w:val="FootnoteTextChar"/>
    <w:uiPriority w:val="99"/>
    <w:unhideWhenUsed/>
    <w:qFormat/>
    <w:rsid w:val="008573F7"/>
    <w:pPr>
      <w:suppressAutoHyphens/>
      <w:spacing w:after="0" w:line="240" w:lineRule="auto"/>
      <w:ind w:left="284" w:hanging="284"/>
    </w:pPr>
    <w:rPr>
      <w:rFonts w:eastAsiaTheme="minorHAnsi"/>
      <w:sz w:val="14"/>
      <w:szCs w:val="20"/>
    </w:rPr>
  </w:style>
  <w:style w:type="character" w:customStyle="1" w:styleId="FootnoteTextChar">
    <w:name w:val="Footnote Text Char"/>
    <w:basedOn w:val="DefaultParagraphFont"/>
    <w:link w:val="FootnoteText"/>
    <w:uiPriority w:val="99"/>
    <w:rsid w:val="008573F7"/>
    <w:rPr>
      <w:rFonts w:ascii="Arial" w:eastAsiaTheme="minorHAnsi" w:hAnsi="Arial"/>
      <w:sz w:val="14"/>
      <w:szCs w:val="20"/>
    </w:rPr>
  </w:style>
  <w:style w:type="character" w:styleId="FootnoteReference">
    <w:name w:val="footnote reference"/>
    <w:basedOn w:val="DefaultParagraphFont"/>
    <w:uiPriority w:val="99"/>
    <w:semiHidden/>
    <w:unhideWhenUsed/>
    <w:rsid w:val="008573F7"/>
    <w:rPr>
      <w:sz w:val="14"/>
      <w:vertAlign w:val="superscript"/>
    </w:rPr>
  </w:style>
  <w:style w:type="table" w:styleId="GridTable5Dark-Accent1">
    <w:name w:val="Grid Table 5 Dark Accent 1"/>
    <w:basedOn w:val="TableNormal"/>
    <w:uiPriority w:val="50"/>
    <w:rsid w:val="008573F7"/>
    <w:pPr>
      <w:spacing w:after="0" w:line="240" w:lineRule="auto"/>
    </w:pPr>
    <w:rPr>
      <w:rFonts w:eastAsiaTheme="minorHAnsi"/>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8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5D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5D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5D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5D38" w:themeFill="accent1"/>
      </w:tcPr>
    </w:tblStylePr>
    <w:tblStylePr w:type="band1Vert">
      <w:tblPr/>
      <w:tcPr>
        <w:shd w:val="clear" w:color="auto" w:fill="94D2A7" w:themeFill="accent1" w:themeFillTint="66"/>
      </w:tcPr>
    </w:tblStylePr>
    <w:tblStylePr w:type="band1Horz">
      <w:tblPr/>
      <w:tcPr>
        <w:shd w:val="clear" w:color="auto" w:fill="94D2A7" w:themeFill="accent1" w:themeFillTint="66"/>
      </w:tcPr>
    </w:tblStylePr>
  </w:style>
  <w:style w:type="table" w:customStyle="1" w:styleId="TableGrid39">
    <w:name w:val="Table Grid39"/>
    <w:basedOn w:val="TableNormal"/>
    <w:next w:val="TableGrid"/>
    <w:uiPriority w:val="39"/>
    <w:rsid w:val="00706D7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D6913"/>
    <w:pPr>
      <w:spacing w:after="0" w:line="240" w:lineRule="auto"/>
    </w:pPr>
  </w:style>
  <w:style w:type="table" w:styleId="GridTable5Dark-Accent5">
    <w:name w:val="Grid Table 5 Dark Accent 5"/>
    <w:basedOn w:val="TableNormal"/>
    <w:uiPriority w:val="50"/>
    <w:rsid w:val="00787B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DSSCorporatePlan">
    <w:name w:val="DSS Corporate Plan"/>
    <w:basedOn w:val="TableNormal"/>
    <w:next w:val="TableGrid"/>
    <w:uiPriority w:val="39"/>
    <w:rsid w:val="008573F7"/>
    <w:pPr>
      <w:suppressAutoHyphens/>
      <w:spacing w:before="60" w:after="60" w:line="240" w:lineRule="auto"/>
      <w:ind w:left="57" w:right="57"/>
    </w:pPr>
    <w:rPr>
      <w:rFonts w:ascii="Arial" w:hAnsi="Arial"/>
      <w:color w:val="000000" w:themeColor="text1"/>
      <w:sz w:val="18"/>
      <w:szCs w:val="20"/>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rPr>
      <w:cantSplit/>
      <w:tblHeader/>
    </w:trPr>
    <w:tcPr>
      <w:shd w:val="clear" w:color="auto" w:fill="D9D9D6"/>
    </w:tcPr>
  </w:style>
  <w:style w:type="paragraph" w:customStyle="1" w:styleId="Normalmorespace">
    <w:name w:val="Normal (more space)"/>
    <w:basedOn w:val="Normal"/>
    <w:link w:val="NormalmorespaceChar"/>
    <w:qFormat/>
    <w:rsid w:val="008573F7"/>
    <w:pPr>
      <w:suppressAutoHyphens/>
      <w:spacing w:before="120" w:after="120"/>
    </w:pPr>
    <w:rPr>
      <w:rFonts w:eastAsia="Times New Roman" w:cs="Times New Roman"/>
      <w:color w:val="000000" w:themeColor="text1"/>
      <w:sz w:val="20"/>
      <w:szCs w:val="20"/>
      <w:lang w:eastAsia="en-AU"/>
    </w:rPr>
  </w:style>
  <w:style w:type="character" w:customStyle="1" w:styleId="NormalmorespaceChar">
    <w:name w:val="Normal (more space) Char"/>
    <w:basedOn w:val="DefaultParagraphFont"/>
    <w:link w:val="Normalmorespace"/>
    <w:rsid w:val="008573F7"/>
    <w:rPr>
      <w:rFonts w:ascii="Arial" w:eastAsia="Times New Roman" w:hAnsi="Arial" w:cs="Times New Roman"/>
      <w:color w:val="000000" w:themeColor="text1"/>
      <w:sz w:val="20"/>
      <w:szCs w:val="20"/>
      <w:lang w:eastAsia="en-AU"/>
    </w:rPr>
  </w:style>
  <w:style w:type="paragraph" w:customStyle="1" w:styleId="TableH1">
    <w:name w:val="Table H1"/>
    <w:basedOn w:val="Normal"/>
    <w:qFormat/>
    <w:rsid w:val="006037D8"/>
    <w:pPr>
      <w:tabs>
        <w:tab w:val="left" w:pos="709"/>
      </w:tabs>
    </w:pPr>
    <w:rPr>
      <w:rFonts w:cs="Arial"/>
      <w:b/>
      <w:caps/>
      <w:color w:val="FFFFFF" w:themeColor="background1"/>
      <w:szCs w:val="18"/>
      <w:bdr w:val="none" w:sz="0" w:space="0" w:color="auto" w:frame="1"/>
      <w:lang w:val="en-US"/>
    </w:rPr>
  </w:style>
  <w:style w:type="paragraph" w:customStyle="1" w:styleId="TABLEH2">
    <w:name w:val="TABLE H2"/>
    <w:basedOn w:val="TableH1"/>
    <w:qFormat/>
    <w:rsid w:val="00683EF9"/>
    <w:pPr>
      <w:suppressAutoHyphens/>
      <w:spacing w:line="240" w:lineRule="auto"/>
    </w:pPr>
    <w:rPr>
      <w:caps w:val="0"/>
      <w:color w:val="000000" w:themeColor="text1"/>
    </w:rPr>
  </w:style>
  <w:style w:type="paragraph" w:customStyle="1" w:styleId="TABLEH3">
    <w:name w:val="TABLE H3"/>
    <w:basedOn w:val="Normal"/>
    <w:qFormat/>
    <w:rsid w:val="008573F7"/>
    <w:pPr>
      <w:tabs>
        <w:tab w:val="left" w:pos="709"/>
      </w:tabs>
    </w:pPr>
    <w:rPr>
      <w:rFonts w:cs="Arial"/>
      <w:caps/>
      <w:szCs w:val="18"/>
      <w:u w:val="single"/>
      <w:bdr w:val="none" w:sz="0" w:space="0" w:color="auto" w:frame="1"/>
      <w:lang w:val="en-US"/>
    </w:rPr>
  </w:style>
  <w:style w:type="character" w:customStyle="1" w:styleId="BodytextBOLD">
    <w:name w:val="Body text BOLD"/>
    <w:basedOn w:val="DefaultParagraphFont"/>
    <w:uiPriority w:val="1"/>
    <w:qFormat/>
    <w:rsid w:val="008573F7"/>
    <w:rPr>
      <w:rFonts w:ascii="Arial" w:hAnsi="Arial"/>
      <w:b/>
      <w:color w:val="000000" w:themeColor="text1"/>
    </w:rPr>
  </w:style>
  <w:style w:type="character" w:customStyle="1" w:styleId="BodytextITALIC">
    <w:name w:val="Body text ITALIC"/>
    <w:basedOn w:val="DefaultParagraphFont"/>
    <w:uiPriority w:val="1"/>
    <w:qFormat/>
    <w:rsid w:val="00740B1D"/>
    <w:rPr>
      <w:rFonts w:ascii="Arial" w:hAnsi="Arial" w:cstheme="minorHAnsi"/>
      <w:i/>
      <w:color w:val="000000"/>
      <w:sz w:val="20"/>
    </w:rPr>
  </w:style>
  <w:style w:type="paragraph" w:customStyle="1" w:styleId="TABLEBodytext">
    <w:name w:val="TABLE Body text"/>
    <w:basedOn w:val="Normal"/>
    <w:qFormat/>
    <w:rsid w:val="00924EFF"/>
    <w:pPr>
      <w:spacing w:before="120" w:line="240" w:lineRule="auto"/>
    </w:pPr>
    <w:rPr>
      <w:szCs w:val="20"/>
      <w:bdr w:val="nil"/>
    </w:rPr>
  </w:style>
  <w:style w:type="paragraph" w:customStyle="1" w:styleId="TABLEBullets">
    <w:name w:val="TABLE Bullets"/>
    <w:basedOn w:val="Normal"/>
    <w:qFormat/>
    <w:rsid w:val="0073634F"/>
    <w:pPr>
      <w:numPr>
        <w:numId w:val="2"/>
      </w:numPr>
      <w:spacing w:before="40" w:after="0" w:line="240" w:lineRule="auto"/>
    </w:pPr>
    <w:rPr>
      <w:rFonts w:cstheme="minorHAnsi"/>
      <w:szCs w:val="16"/>
    </w:rPr>
  </w:style>
  <w:style w:type="character" w:customStyle="1" w:styleId="TABLEBodyitalic">
    <w:name w:val="TABLE Body italic"/>
    <w:basedOn w:val="BodytextITALIC"/>
    <w:uiPriority w:val="1"/>
    <w:qFormat/>
    <w:rsid w:val="00740B1D"/>
    <w:rPr>
      <w:rFonts w:ascii="Arial" w:hAnsi="Arial" w:cstheme="minorHAnsi"/>
      <w:i/>
      <w:color w:val="000000"/>
      <w:sz w:val="18"/>
    </w:rPr>
  </w:style>
  <w:style w:type="paragraph" w:customStyle="1" w:styleId="TABLEnumberedlist">
    <w:name w:val="TABLE numbered list"/>
    <w:basedOn w:val="TABLEBullets"/>
    <w:qFormat/>
    <w:rsid w:val="005221B6"/>
    <w:pPr>
      <w:numPr>
        <w:numId w:val="10"/>
      </w:numPr>
      <w:suppressAutoHyphens/>
    </w:pPr>
  </w:style>
  <w:style w:type="paragraph" w:customStyle="1" w:styleId="TABLESUBBullets">
    <w:name w:val="TABLE SUB Bullets"/>
    <w:basedOn w:val="TABLEBullets"/>
    <w:qFormat/>
    <w:rsid w:val="007466A1"/>
    <w:pPr>
      <w:numPr>
        <w:numId w:val="11"/>
      </w:numPr>
      <w:suppressAutoHyphens/>
    </w:pPr>
  </w:style>
  <w:style w:type="paragraph" w:styleId="TOC3">
    <w:name w:val="toc 3"/>
    <w:basedOn w:val="Normal"/>
    <w:next w:val="Normal"/>
    <w:autoRedefine/>
    <w:uiPriority w:val="39"/>
    <w:unhideWhenUsed/>
    <w:rsid w:val="00276AB7"/>
    <w:pPr>
      <w:spacing w:after="100"/>
      <w:ind w:left="360"/>
    </w:pPr>
  </w:style>
  <w:style w:type="table" w:customStyle="1" w:styleId="TableGrid101">
    <w:name w:val="Table Grid101"/>
    <w:basedOn w:val="TableNormal"/>
    <w:next w:val="TableGrid"/>
    <w:uiPriority w:val="39"/>
    <w:rsid w:val="00151EB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P">
    <w:name w:val="Heading 1 - NP"/>
    <w:basedOn w:val="Heading1"/>
    <w:qFormat/>
    <w:rsid w:val="00B52697"/>
    <w:pPr>
      <w:pageBreakBefore/>
    </w:pPr>
  </w:style>
  <w:style w:type="paragraph" w:customStyle="1" w:styleId="Normal-PUSHTONEXTPAGE">
    <w:name w:val="Normal - PUSH TO NEXT PAGE"/>
    <w:basedOn w:val="Normalmorespace"/>
    <w:qFormat/>
    <w:rsid w:val="00B52697"/>
    <w:pPr>
      <w:pageBreakBefore/>
    </w:pPr>
  </w:style>
  <w:style w:type="paragraph" w:customStyle="1" w:styleId="Heading2-NP">
    <w:name w:val="Heading 2 - NP"/>
    <w:basedOn w:val="Heading2"/>
    <w:qFormat/>
    <w:rsid w:val="0018378C"/>
    <w:pPr>
      <w:pageBreakBefore/>
    </w:pPr>
  </w:style>
  <w:style w:type="table" w:customStyle="1" w:styleId="Numericaltable1">
    <w:name w:val="Numerical table1"/>
    <w:basedOn w:val="TableNormal"/>
    <w:next w:val="TableGrid"/>
    <w:uiPriority w:val="39"/>
    <w:rsid w:val="004A64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39"/>
    <w:rsid w:val="004A64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92"/>
    <w:basedOn w:val="TableNormal"/>
    <w:next w:val="TableGrid"/>
    <w:uiPriority w:val="39"/>
    <w:rsid w:val="004A64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3">
    <w:name w:val="Table Grid393"/>
    <w:basedOn w:val="TableNormal"/>
    <w:next w:val="TableGrid"/>
    <w:uiPriority w:val="39"/>
    <w:rsid w:val="004A64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4">
    <w:name w:val="Table Grid394"/>
    <w:basedOn w:val="TableNormal"/>
    <w:next w:val="TableGrid"/>
    <w:uiPriority w:val="39"/>
    <w:rsid w:val="004A64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5">
    <w:name w:val="Table Grid395"/>
    <w:basedOn w:val="TableNormal"/>
    <w:next w:val="TableGrid"/>
    <w:uiPriority w:val="39"/>
    <w:rsid w:val="004A64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6">
    <w:name w:val="Table Grid396"/>
    <w:basedOn w:val="TableNormal"/>
    <w:next w:val="TableGrid"/>
    <w:uiPriority w:val="39"/>
    <w:rsid w:val="004A64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7">
    <w:name w:val="Table Grid397"/>
    <w:basedOn w:val="TableNormal"/>
    <w:next w:val="TableGrid"/>
    <w:uiPriority w:val="39"/>
    <w:rsid w:val="004A64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7341">
      <w:bodyDiv w:val="1"/>
      <w:marLeft w:val="0"/>
      <w:marRight w:val="0"/>
      <w:marTop w:val="0"/>
      <w:marBottom w:val="0"/>
      <w:divBdr>
        <w:top w:val="none" w:sz="0" w:space="0" w:color="auto"/>
        <w:left w:val="none" w:sz="0" w:space="0" w:color="auto"/>
        <w:bottom w:val="none" w:sz="0" w:space="0" w:color="auto"/>
        <w:right w:val="none" w:sz="0" w:space="0" w:color="auto"/>
      </w:divBdr>
    </w:div>
    <w:div w:id="9381326">
      <w:bodyDiv w:val="1"/>
      <w:marLeft w:val="0"/>
      <w:marRight w:val="0"/>
      <w:marTop w:val="0"/>
      <w:marBottom w:val="0"/>
      <w:divBdr>
        <w:top w:val="none" w:sz="0" w:space="0" w:color="auto"/>
        <w:left w:val="none" w:sz="0" w:space="0" w:color="auto"/>
        <w:bottom w:val="none" w:sz="0" w:space="0" w:color="auto"/>
        <w:right w:val="none" w:sz="0" w:space="0" w:color="auto"/>
      </w:divBdr>
    </w:div>
    <w:div w:id="17200046">
      <w:bodyDiv w:val="1"/>
      <w:marLeft w:val="0"/>
      <w:marRight w:val="0"/>
      <w:marTop w:val="0"/>
      <w:marBottom w:val="0"/>
      <w:divBdr>
        <w:top w:val="none" w:sz="0" w:space="0" w:color="auto"/>
        <w:left w:val="none" w:sz="0" w:space="0" w:color="auto"/>
        <w:bottom w:val="none" w:sz="0" w:space="0" w:color="auto"/>
        <w:right w:val="none" w:sz="0" w:space="0" w:color="auto"/>
      </w:divBdr>
    </w:div>
    <w:div w:id="31543969">
      <w:bodyDiv w:val="1"/>
      <w:marLeft w:val="0"/>
      <w:marRight w:val="0"/>
      <w:marTop w:val="0"/>
      <w:marBottom w:val="0"/>
      <w:divBdr>
        <w:top w:val="none" w:sz="0" w:space="0" w:color="auto"/>
        <w:left w:val="none" w:sz="0" w:space="0" w:color="auto"/>
        <w:bottom w:val="none" w:sz="0" w:space="0" w:color="auto"/>
        <w:right w:val="none" w:sz="0" w:space="0" w:color="auto"/>
      </w:divBdr>
      <w:divsChild>
        <w:div w:id="1776290880">
          <w:marLeft w:val="547"/>
          <w:marRight w:val="0"/>
          <w:marTop w:val="0"/>
          <w:marBottom w:val="0"/>
          <w:divBdr>
            <w:top w:val="none" w:sz="0" w:space="0" w:color="auto"/>
            <w:left w:val="none" w:sz="0" w:space="0" w:color="auto"/>
            <w:bottom w:val="none" w:sz="0" w:space="0" w:color="auto"/>
            <w:right w:val="none" w:sz="0" w:space="0" w:color="auto"/>
          </w:divBdr>
        </w:div>
      </w:divsChild>
    </w:div>
    <w:div w:id="60520439">
      <w:bodyDiv w:val="1"/>
      <w:marLeft w:val="0"/>
      <w:marRight w:val="0"/>
      <w:marTop w:val="0"/>
      <w:marBottom w:val="0"/>
      <w:divBdr>
        <w:top w:val="none" w:sz="0" w:space="0" w:color="auto"/>
        <w:left w:val="none" w:sz="0" w:space="0" w:color="auto"/>
        <w:bottom w:val="none" w:sz="0" w:space="0" w:color="auto"/>
        <w:right w:val="none" w:sz="0" w:space="0" w:color="auto"/>
      </w:divBdr>
    </w:div>
    <w:div w:id="70279896">
      <w:bodyDiv w:val="1"/>
      <w:marLeft w:val="0"/>
      <w:marRight w:val="0"/>
      <w:marTop w:val="0"/>
      <w:marBottom w:val="0"/>
      <w:divBdr>
        <w:top w:val="none" w:sz="0" w:space="0" w:color="auto"/>
        <w:left w:val="none" w:sz="0" w:space="0" w:color="auto"/>
        <w:bottom w:val="none" w:sz="0" w:space="0" w:color="auto"/>
        <w:right w:val="none" w:sz="0" w:space="0" w:color="auto"/>
      </w:divBdr>
    </w:div>
    <w:div w:id="82266586">
      <w:bodyDiv w:val="1"/>
      <w:marLeft w:val="0"/>
      <w:marRight w:val="0"/>
      <w:marTop w:val="0"/>
      <w:marBottom w:val="0"/>
      <w:divBdr>
        <w:top w:val="none" w:sz="0" w:space="0" w:color="auto"/>
        <w:left w:val="none" w:sz="0" w:space="0" w:color="auto"/>
        <w:bottom w:val="none" w:sz="0" w:space="0" w:color="auto"/>
        <w:right w:val="none" w:sz="0" w:space="0" w:color="auto"/>
      </w:divBdr>
    </w:div>
    <w:div w:id="90123442">
      <w:bodyDiv w:val="1"/>
      <w:marLeft w:val="0"/>
      <w:marRight w:val="0"/>
      <w:marTop w:val="0"/>
      <w:marBottom w:val="0"/>
      <w:divBdr>
        <w:top w:val="none" w:sz="0" w:space="0" w:color="auto"/>
        <w:left w:val="none" w:sz="0" w:space="0" w:color="auto"/>
        <w:bottom w:val="none" w:sz="0" w:space="0" w:color="auto"/>
        <w:right w:val="none" w:sz="0" w:space="0" w:color="auto"/>
      </w:divBdr>
      <w:divsChild>
        <w:div w:id="1365061689">
          <w:marLeft w:val="547"/>
          <w:marRight w:val="0"/>
          <w:marTop w:val="0"/>
          <w:marBottom w:val="0"/>
          <w:divBdr>
            <w:top w:val="none" w:sz="0" w:space="0" w:color="auto"/>
            <w:left w:val="none" w:sz="0" w:space="0" w:color="auto"/>
            <w:bottom w:val="none" w:sz="0" w:space="0" w:color="auto"/>
            <w:right w:val="none" w:sz="0" w:space="0" w:color="auto"/>
          </w:divBdr>
        </w:div>
      </w:divsChild>
    </w:div>
    <w:div w:id="106970927">
      <w:bodyDiv w:val="1"/>
      <w:marLeft w:val="0"/>
      <w:marRight w:val="0"/>
      <w:marTop w:val="0"/>
      <w:marBottom w:val="0"/>
      <w:divBdr>
        <w:top w:val="none" w:sz="0" w:space="0" w:color="auto"/>
        <w:left w:val="none" w:sz="0" w:space="0" w:color="auto"/>
        <w:bottom w:val="none" w:sz="0" w:space="0" w:color="auto"/>
        <w:right w:val="none" w:sz="0" w:space="0" w:color="auto"/>
      </w:divBdr>
    </w:div>
    <w:div w:id="126170306">
      <w:bodyDiv w:val="1"/>
      <w:marLeft w:val="0"/>
      <w:marRight w:val="0"/>
      <w:marTop w:val="0"/>
      <w:marBottom w:val="0"/>
      <w:divBdr>
        <w:top w:val="none" w:sz="0" w:space="0" w:color="auto"/>
        <w:left w:val="none" w:sz="0" w:space="0" w:color="auto"/>
        <w:bottom w:val="none" w:sz="0" w:space="0" w:color="auto"/>
        <w:right w:val="none" w:sz="0" w:space="0" w:color="auto"/>
      </w:divBdr>
    </w:div>
    <w:div w:id="141775305">
      <w:bodyDiv w:val="1"/>
      <w:marLeft w:val="0"/>
      <w:marRight w:val="0"/>
      <w:marTop w:val="0"/>
      <w:marBottom w:val="0"/>
      <w:divBdr>
        <w:top w:val="none" w:sz="0" w:space="0" w:color="auto"/>
        <w:left w:val="none" w:sz="0" w:space="0" w:color="auto"/>
        <w:bottom w:val="none" w:sz="0" w:space="0" w:color="auto"/>
        <w:right w:val="none" w:sz="0" w:space="0" w:color="auto"/>
      </w:divBdr>
    </w:div>
    <w:div w:id="168058579">
      <w:bodyDiv w:val="1"/>
      <w:marLeft w:val="0"/>
      <w:marRight w:val="0"/>
      <w:marTop w:val="0"/>
      <w:marBottom w:val="0"/>
      <w:divBdr>
        <w:top w:val="none" w:sz="0" w:space="0" w:color="auto"/>
        <w:left w:val="none" w:sz="0" w:space="0" w:color="auto"/>
        <w:bottom w:val="none" w:sz="0" w:space="0" w:color="auto"/>
        <w:right w:val="none" w:sz="0" w:space="0" w:color="auto"/>
      </w:divBdr>
    </w:div>
    <w:div w:id="190339150">
      <w:bodyDiv w:val="1"/>
      <w:marLeft w:val="0"/>
      <w:marRight w:val="0"/>
      <w:marTop w:val="0"/>
      <w:marBottom w:val="0"/>
      <w:divBdr>
        <w:top w:val="none" w:sz="0" w:space="0" w:color="auto"/>
        <w:left w:val="none" w:sz="0" w:space="0" w:color="auto"/>
        <w:bottom w:val="none" w:sz="0" w:space="0" w:color="auto"/>
        <w:right w:val="none" w:sz="0" w:space="0" w:color="auto"/>
      </w:divBdr>
    </w:div>
    <w:div w:id="192964593">
      <w:bodyDiv w:val="1"/>
      <w:marLeft w:val="0"/>
      <w:marRight w:val="0"/>
      <w:marTop w:val="0"/>
      <w:marBottom w:val="0"/>
      <w:divBdr>
        <w:top w:val="none" w:sz="0" w:space="0" w:color="auto"/>
        <w:left w:val="none" w:sz="0" w:space="0" w:color="auto"/>
        <w:bottom w:val="none" w:sz="0" w:space="0" w:color="auto"/>
        <w:right w:val="none" w:sz="0" w:space="0" w:color="auto"/>
      </w:divBdr>
    </w:div>
    <w:div w:id="213583240">
      <w:bodyDiv w:val="1"/>
      <w:marLeft w:val="0"/>
      <w:marRight w:val="0"/>
      <w:marTop w:val="0"/>
      <w:marBottom w:val="0"/>
      <w:divBdr>
        <w:top w:val="none" w:sz="0" w:space="0" w:color="auto"/>
        <w:left w:val="none" w:sz="0" w:space="0" w:color="auto"/>
        <w:bottom w:val="none" w:sz="0" w:space="0" w:color="auto"/>
        <w:right w:val="none" w:sz="0" w:space="0" w:color="auto"/>
      </w:divBdr>
    </w:div>
    <w:div w:id="222570484">
      <w:bodyDiv w:val="1"/>
      <w:marLeft w:val="0"/>
      <w:marRight w:val="0"/>
      <w:marTop w:val="0"/>
      <w:marBottom w:val="0"/>
      <w:divBdr>
        <w:top w:val="none" w:sz="0" w:space="0" w:color="auto"/>
        <w:left w:val="none" w:sz="0" w:space="0" w:color="auto"/>
        <w:bottom w:val="none" w:sz="0" w:space="0" w:color="auto"/>
        <w:right w:val="none" w:sz="0" w:space="0" w:color="auto"/>
      </w:divBdr>
    </w:div>
    <w:div w:id="256331959">
      <w:bodyDiv w:val="1"/>
      <w:marLeft w:val="0"/>
      <w:marRight w:val="0"/>
      <w:marTop w:val="0"/>
      <w:marBottom w:val="0"/>
      <w:divBdr>
        <w:top w:val="none" w:sz="0" w:space="0" w:color="auto"/>
        <w:left w:val="none" w:sz="0" w:space="0" w:color="auto"/>
        <w:bottom w:val="none" w:sz="0" w:space="0" w:color="auto"/>
        <w:right w:val="none" w:sz="0" w:space="0" w:color="auto"/>
      </w:divBdr>
    </w:div>
    <w:div w:id="271212806">
      <w:bodyDiv w:val="1"/>
      <w:marLeft w:val="0"/>
      <w:marRight w:val="0"/>
      <w:marTop w:val="0"/>
      <w:marBottom w:val="0"/>
      <w:divBdr>
        <w:top w:val="none" w:sz="0" w:space="0" w:color="auto"/>
        <w:left w:val="none" w:sz="0" w:space="0" w:color="auto"/>
        <w:bottom w:val="none" w:sz="0" w:space="0" w:color="auto"/>
        <w:right w:val="none" w:sz="0" w:space="0" w:color="auto"/>
      </w:divBdr>
    </w:div>
    <w:div w:id="282854783">
      <w:bodyDiv w:val="1"/>
      <w:marLeft w:val="0"/>
      <w:marRight w:val="0"/>
      <w:marTop w:val="0"/>
      <w:marBottom w:val="0"/>
      <w:divBdr>
        <w:top w:val="none" w:sz="0" w:space="0" w:color="auto"/>
        <w:left w:val="none" w:sz="0" w:space="0" w:color="auto"/>
        <w:bottom w:val="none" w:sz="0" w:space="0" w:color="auto"/>
        <w:right w:val="none" w:sz="0" w:space="0" w:color="auto"/>
      </w:divBdr>
      <w:divsChild>
        <w:div w:id="104540667">
          <w:marLeft w:val="547"/>
          <w:marRight w:val="0"/>
          <w:marTop w:val="0"/>
          <w:marBottom w:val="0"/>
          <w:divBdr>
            <w:top w:val="none" w:sz="0" w:space="0" w:color="auto"/>
            <w:left w:val="none" w:sz="0" w:space="0" w:color="auto"/>
            <w:bottom w:val="none" w:sz="0" w:space="0" w:color="auto"/>
            <w:right w:val="none" w:sz="0" w:space="0" w:color="auto"/>
          </w:divBdr>
        </w:div>
      </w:divsChild>
    </w:div>
    <w:div w:id="285818079">
      <w:bodyDiv w:val="1"/>
      <w:marLeft w:val="0"/>
      <w:marRight w:val="0"/>
      <w:marTop w:val="0"/>
      <w:marBottom w:val="0"/>
      <w:divBdr>
        <w:top w:val="none" w:sz="0" w:space="0" w:color="auto"/>
        <w:left w:val="none" w:sz="0" w:space="0" w:color="auto"/>
        <w:bottom w:val="none" w:sz="0" w:space="0" w:color="auto"/>
        <w:right w:val="none" w:sz="0" w:space="0" w:color="auto"/>
      </w:divBdr>
    </w:div>
    <w:div w:id="303047421">
      <w:bodyDiv w:val="1"/>
      <w:marLeft w:val="0"/>
      <w:marRight w:val="0"/>
      <w:marTop w:val="0"/>
      <w:marBottom w:val="0"/>
      <w:divBdr>
        <w:top w:val="none" w:sz="0" w:space="0" w:color="auto"/>
        <w:left w:val="none" w:sz="0" w:space="0" w:color="auto"/>
        <w:bottom w:val="none" w:sz="0" w:space="0" w:color="auto"/>
        <w:right w:val="none" w:sz="0" w:space="0" w:color="auto"/>
      </w:divBdr>
    </w:div>
    <w:div w:id="317811163">
      <w:bodyDiv w:val="1"/>
      <w:marLeft w:val="0"/>
      <w:marRight w:val="0"/>
      <w:marTop w:val="0"/>
      <w:marBottom w:val="0"/>
      <w:divBdr>
        <w:top w:val="none" w:sz="0" w:space="0" w:color="auto"/>
        <w:left w:val="none" w:sz="0" w:space="0" w:color="auto"/>
        <w:bottom w:val="none" w:sz="0" w:space="0" w:color="auto"/>
        <w:right w:val="none" w:sz="0" w:space="0" w:color="auto"/>
      </w:divBdr>
    </w:div>
    <w:div w:id="330760726">
      <w:bodyDiv w:val="1"/>
      <w:marLeft w:val="0"/>
      <w:marRight w:val="0"/>
      <w:marTop w:val="0"/>
      <w:marBottom w:val="0"/>
      <w:divBdr>
        <w:top w:val="none" w:sz="0" w:space="0" w:color="auto"/>
        <w:left w:val="none" w:sz="0" w:space="0" w:color="auto"/>
        <w:bottom w:val="none" w:sz="0" w:space="0" w:color="auto"/>
        <w:right w:val="none" w:sz="0" w:space="0" w:color="auto"/>
      </w:divBdr>
    </w:div>
    <w:div w:id="332495547">
      <w:bodyDiv w:val="1"/>
      <w:marLeft w:val="0"/>
      <w:marRight w:val="0"/>
      <w:marTop w:val="0"/>
      <w:marBottom w:val="0"/>
      <w:divBdr>
        <w:top w:val="none" w:sz="0" w:space="0" w:color="auto"/>
        <w:left w:val="none" w:sz="0" w:space="0" w:color="auto"/>
        <w:bottom w:val="none" w:sz="0" w:space="0" w:color="auto"/>
        <w:right w:val="none" w:sz="0" w:space="0" w:color="auto"/>
      </w:divBdr>
    </w:div>
    <w:div w:id="333337294">
      <w:bodyDiv w:val="1"/>
      <w:marLeft w:val="0"/>
      <w:marRight w:val="0"/>
      <w:marTop w:val="0"/>
      <w:marBottom w:val="0"/>
      <w:divBdr>
        <w:top w:val="none" w:sz="0" w:space="0" w:color="auto"/>
        <w:left w:val="none" w:sz="0" w:space="0" w:color="auto"/>
        <w:bottom w:val="none" w:sz="0" w:space="0" w:color="auto"/>
        <w:right w:val="none" w:sz="0" w:space="0" w:color="auto"/>
      </w:divBdr>
    </w:div>
    <w:div w:id="406851456">
      <w:bodyDiv w:val="1"/>
      <w:marLeft w:val="0"/>
      <w:marRight w:val="0"/>
      <w:marTop w:val="0"/>
      <w:marBottom w:val="0"/>
      <w:divBdr>
        <w:top w:val="none" w:sz="0" w:space="0" w:color="auto"/>
        <w:left w:val="none" w:sz="0" w:space="0" w:color="auto"/>
        <w:bottom w:val="none" w:sz="0" w:space="0" w:color="auto"/>
        <w:right w:val="none" w:sz="0" w:space="0" w:color="auto"/>
      </w:divBdr>
    </w:div>
    <w:div w:id="432631388">
      <w:bodyDiv w:val="1"/>
      <w:marLeft w:val="0"/>
      <w:marRight w:val="0"/>
      <w:marTop w:val="0"/>
      <w:marBottom w:val="0"/>
      <w:divBdr>
        <w:top w:val="none" w:sz="0" w:space="0" w:color="auto"/>
        <w:left w:val="none" w:sz="0" w:space="0" w:color="auto"/>
        <w:bottom w:val="none" w:sz="0" w:space="0" w:color="auto"/>
        <w:right w:val="none" w:sz="0" w:space="0" w:color="auto"/>
      </w:divBdr>
      <w:divsChild>
        <w:div w:id="492062419">
          <w:marLeft w:val="547"/>
          <w:marRight w:val="0"/>
          <w:marTop w:val="0"/>
          <w:marBottom w:val="0"/>
          <w:divBdr>
            <w:top w:val="none" w:sz="0" w:space="0" w:color="auto"/>
            <w:left w:val="none" w:sz="0" w:space="0" w:color="auto"/>
            <w:bottom w:val="none" w:sz="0" w:space="0" w:color="auto"/>
            <w:right w:val="none" w:sz="0" w:space="0" w:color="auto"/>
          </w:divBdr>
        </w:div>
      </w:divsChild>
    </w:div>
    <w:div w:id="461730797">
      <w:bodyDiv w:val="1"/>
      <w:marLeft w:val="0"/>
      <w:marRight w:val="0"/>
      <w:marTop w:val="0"/>
      <w:marBottom w:val="0"/>
      <w:divBdr>
        <w:top w:val="none" w:sz="0" w:space="0" w:color="auto"/>
        <w:left w:val="none" w:sz="0" w:space="0" w:color="auto"/>
        <w:bottom w:val="none" w:sz="0" w:space="0" w:color="auto"/>
        <w:right w:val="none" w:sz="0" w:space="0" w:color="auto"/>
      </w:divBdr>
    </w:div>
    <w:div w:id="469445269">
      <w:bodyDiv w:val="1"/>
      <w:marLeft w:val="0"/>
      <w:marRight w:val="0"/>
      <w:marTop w:val="0"/>
      <w:marBottom w:val="0"/>
      <w:divBdr>
        <w:top w:val="none" w:sz="0" w:space="0" w:color="auto"/>
        <w:left w:val="none" w:sz="0" w:space="0" w:color="auto"/>
        <w:bottom w:val="none" w:sz="0" w:space="0" w:color="auto"/>
        <w:right w:val="none" w:sz="0" w:space="0" w:color="auto"/>
      </w:divBdr>
    </w:div>
    <w:div w:id="469710249">
      <w:bodyDiv w:val="1"/>
      <w:marLeft w:val="0"/>
      <w:marRight w:val="0"/>
      <w:marTop w:val="0"/>
      <w:marBottom w:val="0"/>
      <w:divBdr>
        <w:top w:val="none" w:sz="0" w:space="0" w:color="auto"/>
        <w:left w:val="none" w:sz="0" w:space="0" w:color="auto"/>
        <w:bottom w:val="none" w:sz="0" w:space="0" w:color="auto"/>
        <w:right w:val="none" w:sz="0" w:space="0" w:color="auto"/>
      </w:divBdr>
    </w:div>
    <w:div w:id="499663739">
      <w:bodyDiv w:val="1"/>
      <w:marLeft w:val="0"/>
      <w:marRight w:val="0"/>
      <w:marTop w:val="0"/>
      <w:marBottom w:val="0"/>
      <w:divBdr>
        <w:top w:val="none" w:sz="0" w:space="0" w:color="auto"/>
        <w:left w:val="none" w:sz="0" w:space="0" w:color="auto"/>
        <w:bottom w:val="none" w:sz="0" w:space="0" w:color="auto"/>
        <w:right w:val="none" w:sz="0" w:space="0" w:color="auto"/>
      </w:divBdr>
    </w:div>
    <w:div w:id="514852452">
      <w:bodyDiv w:val="1"/>
      <w:marLeft w:val="0"/>
      <w:marRight w:val="0"/>
      <w:marTop w:val="0"/>
      <w:marBottom w:val="0"/>
      <w:divBdr>
        <w:top w:val="none" w:sz="0" w:space="0" w:color="auto"/>
        <w:left w:val="none" w:sz="0" w:space="0" w:color="auto"/>
        <w:bottom w:val="none" w:sz="0" w:space="0" w:color="auto"/>
        <w:right w:val="none" w:sz="0" w:space="0" w:color="auto"/>
      </w:divBdr>
      <w:divsChild>
        <w:div w:id="1493133920">
          <w:marLeft w:val="547"/>
          <w:marRight w:val="0"/>
          <w:marTop w:val="0"/>
          <w:marBottom w:val="0"/>
          <w:divBdr>
            <w:top w:val="none" w:sz="0" w:space="0" w:color="auto"/>
            <w:left w:val="none" w:sz="0" w:space="0" w:color="auto"/>
            <w:bottom w:val="none" w:sz="0" w:space="0" w:color="auto"/>
            <w:right w:val="none" w:sz="0" w:space="0" w:color="auto"/>
          </w:divBdr>
        </w:div>
      </w:divsChild>
    </w:div>
    <w:div w:id="521096188">
      <w:bodyDiv w:val="1"/>
      <w:marLeft w:val="0"/>
      <w:marRight w:val="0"/>
      <w:marTop w:val="0"/>
      <w:marBottom w:val="0"/>
      <w:divBdr>
        <w:top w:val="none" w:sz="0" w:space="0" w:color="auto"/>
        <w:left w:val="none" w:sz="0" w:space="0" w:color="auto"/>
        <w:bottom w:val="none" w:sz="0" w:space="0" w:color="auto"/>
        <w:right w:val="none" w:sz="0" w:space="0" w:color="auto"/>
      </w:divBdr>
    </w:div>
    <w:div w:id="527839326">
      <w:bodyDiv w:val="1"/>
      <w:marLeft w:val="0"/>
      <w:marRight w:val="0"/>
      <w:marTop w:val="0"/>
      <w:marBottom w:val="0"/>
      <w:divBdr>
        <w:top w:val="none" w:sz="0" w:space="0" w:color="auto"/>
        <w:left w:val="none" w:sz="0" w:space="0" w:color="auto"/>
        <w:bottom w:val="none" w:sz="0" w:space="0" w:color="auto"/>
        <w:right w:val="none" w:sz="0" w:space="0" w:color="auto"/>
      </w:divBdr>
    </w:div>
    <w:div w:id="527915682">
      <w:bodyDiv w:val="1"/>
      <w:marLeft w:val="0"/>
      <w:marRight w:val="0"/>
      <w:marTop w:val="0"/>
      <w:marBottom w:val="0"/>
      <w:divBdr>
        <w:top w:val="none" w:sz="0" w:space="0" w:color="auto"/>
        <w:left w:val="none" w:sz="0" w:space="0" w:color="auto"/>
        <w:bottom w:val="none" w:sz="0" w:space="0" w:color="auto"/>
        <w:right w:val="none" w:sz="0" w:space="0" w:color="auto"/>
      </w:divBdr>
    </w:div>
    <w:div w:id="530385507">
      <w:bodyDiv w:val="1"/>
      <w:marLeft w:val="0"/>
      <w:marRight w:val="0"/>
      <w:marTop w:val="0"/>
      <w:marBottom w:val="0"/>
      <w:divBdr>
        <w:top w:val="none" w:sz="0" w:space="0" w:color="auto"/>
        <w:left w:val="none" w:sz="0" w:space="0" w:color="auto"/>
        <w:bottom w:val="none" w:sz="0" w:space="0" w:color="auto"/>
        <w:right w:val="none" w:sz="0" w:space="0" w:color="auto"/>
      </w:divBdr>
    </w:div>
    <w:div w:id="537427687">
      <w:bodyDiv w:val="1"/>
      <w:marLeft w:val="0"/>
      <w:marRight w:val="0"/>
      <w:marTop w:val="0"/>
      <w:marBottom w:val="0"/>
      <w:divBdr>
        <w:top w:val="none" w:sz="0" w:space="0" w:color="auto"/>
        <w:left w:val="none" w:sz="0" w:space="0" w:color="auto"/>
        <w:bottom w:val="none" w:sz="0" w:space="0" w:color="auto"/>
        <w:right w:val="none" w:sz="0" w:space="0" w:color="auto"/>
      </w:divBdr>
    </w:div>
    <w:div w:id="540214909">
      <w:bodyDiv w:val="1"/>
      <w:marLeft w:val="0"/>
      <w:marRight w:val="0"/>
      <w:marTop w:val="0"/>
      <w:marBottom w:val="0"/>
      <w:divBdr>
        <w:top w:val="none" w:sz="0" w:space="0" w:color="auto"/>
        <w:left w:val="none" w:sz="0" w:space="0" w:color="auto"/>
        <w:bottom w:val="none" w:sz="0" w:space="0" w:color="auto"/>
        <w:right w:val="none" w:sz="0" w:space="0" w:color="auto"/>
      </w:divBdr>
    </w:div>
    <w:div w:id="541022274">
      <w:bodyDiv w:val="1"/>
      <w:marLeft w:val="0"/>
      <w:marRight w:val="0"/>
      <w:marTop w:val="0"/>
      <w:marBottom w:val="0"/>
      <w:divBdr>
        <w:top w:val="none" w:sz="0" w:space="0" w:color="auto"/>
        <w:left w:val="none" w:sz="0" w:space="0" w:color="auto"/>
        <w:bottom w:val="none" w:sz="0" w:space="0" w:color="auto"/>
        <w:right w:val="none" w:sz="0" w:space="0" w:color="auto"/>
      </w:divBdr>
      <w:divsChild>
        <w:div w:id="1075084384">
          <w:marLeft w:val="547"/>
          <w:marRight w:val="0"/>
          <w:marTop w:val="0"/>
          <w:marBottom w:val="0"/>
          <w:divBdr>
            <w:top w:val="none" w:sz="0" w:space="0" w:color="auto"/>
            <w:left w:val="none" w:sz="0" w:space="0" w:color="auto"/>
            <w:bottom w:val="none" w:sz="0" w:space="0" w:color="auto"/>
            <w:right w:val="none" w:sz="0" w:space="0" w:color="auto"/>
          </w:divBdr>
        </w:div>
      </w:divsChild>
    </w:div>
    <w:div w:id="542719231">
      <w:bodyDiv w:val="1"/>
      <w:marLeft w:val="0"/>
      <w:marRight w:val="0"/>
      <w:marTop w:val="0"/>
      <w:marBottom w:val="0"/>
      <w:divBdr>
        <w:top w:val="none" w:sz="0" w:space="0" w:color="auto"/>
        <w:left w:val="none" w:sz="0" w:space="0" w:color="auto"/>
        <w:bottom w:val="none" w:sz="0" w:space="0" w:color="auto"/>
        <w:right w:val="none" w:sz="0" w:space="0" w:color="auto"/>
      </w:divBdr>
    </w:div>
    <w:div w:id="547454867">
      <w:bodyDiv w:val="1"/>
      <w:marLeft w:val="0"/>
      <w:marRight w:val="0"/>
      <w:marTop w:val="0"/>
      <w:marBottom w:val="0"/>
      <w:divBdr>
        <w:top w:val="none" w:sz="0" w:space="0" w:color="auto"/>
        <w:left w:val="none" w:sz="0" w:space="0" w:color="auto"/>
        <w:bottom w:val="none" w:sz="0" w:space="0" w:color="auto"/>
        <w:right w:val="none" w:sz="0" w:space="0" w:color="auto"/>
      </w:divBdr>
    </w:div>
    <w:div w:id="549001679">
      <w:bodyDiv w:val="1"/>
      <w:marLeft w:val="0"/>
      <w:marRight w:val="0"/>
      <w:marTop w:val="0"/>
      <w:marBottom w:val="0"/>
      <w:divBdr>
        <w:top w:val="none" w:sz="0" w:space="0" w:color="auto"/>
        <w:left w:val="none" w:sz="0" w:space="0" w:color="auto"/>
        <w:bottom w:val="none" w:sz="0" w:space="0" w:color="auto"/>
        <w:right w:val="none" w:sz="0" w:space="0" w:color="auto"/>
      </w:divBdr>
    </w:div>
    <w:div w:id="560409205">
      <w:bodyDiv w:val="1"/>
      <w:marLeft w:val="0"/>
      <w:marRight w:val="0"/>
      <w:marTop w:val="0"/>
      <w:marBottom w:val="0"/>
      <w:divBdr>
        <w:top w:val="none" w:sz="0" w:space="0" w:color="auto"/>
        <w:left w:val="none" w:sz="0" w:space="0" w:color="auto"/>
        <w:bottom w:val="none" w:sz="0" w:space="0" w:color="auto"/>
        <w:right w:val="none" w:sz="0" w:space="0" w:color="auto"/>
      </w:divBdr>
    </w:div>
    <w:div w:id="568729590">
      <w:bodyDiv w:val="1"/>
      <w:marLeft w:val="0"/>
      <w:marRight w:val="0"/>
      <w:marTop w:val="0"/>
      <w:marBottom w:val="0"/>
      <w:divBdr>
        <w:top w:val="none" w:sz="0" w:space="0" w:color="auto"/>
        <w:left w:val="none" w:sz="0" w:space="0" w:color="auto"/>
        <w:bottom w:val="none" w:sz="0" w:space="0" w:color="auto"/>
        <w:right w:val="none" w:sz="0" w:space="0" w:color="auto"/>
      </w:divBdr>
      <w:divsChild>
        <w:div w:id="1546210443">
          <w:marLeft w:val="547"/>
          <w:marRight w:val="0"/>
          <w:marTop w:val="0"/>
          <w:marBottom w:val="0"/>
          <w:divBdr>
            <w:top w:val="none" w:sz="0" w:space="0" w:color="auto"/>
            <w:left w:val="none" w:sz="0" w:space="0" w:color="auto"/>
            <w:bottom w:val="none" w:sz="0" w:space="0" w:color="auto"/>
            <w:right w:val="none" w:sz="0" w:space="0" w:color="auto"/>
          </w:divBdr>
        </w:div>
      </w:divsChild>
    </w:div>
    <w:div w:id="572860710">
      <w:bodyDiv w:val="1"/>
      <w:marLeft w:val="0"/>
      <w:marRight w:val="0"/>
      <w:marTop w:val="0"/>
      <w:marBottom w:val="0"/>
      <w:divBdr>
        <w:top w:val="none" w:sz="0" w:space="0" w:color="auto"/>
        <w:left w:val="none" w:sz="0" w:space="0" w:color="auto"/>
        <w:bottom w:val="none" w:sz="0" w:space="0" w:color="auto"/>
        <w:right w:val="none" w:sz="0" w:space="0" w:color="auto"/>
      </w:divBdr>
    </w:div>
    <w:div w:id="580411822">
      <w:bodyDiv w:val="1"/>
      <w:marLeft w:val="0"/>
      <w:marRight w:val="0"/>
      <w:marTop w:val="0"/>
      <w:marBottom w:val="0"/>
      <w:divBdr>
        <w:top w:val="none" w:sz="0" w:space="0" w:color="auto"/>
        <w:left w:val="none" w:sz="0" w:space="0" w:color="auto"/>
        <w:bottom w:val="none" w:sz="0" w:space="0" w:color="auto"/>
        <w:right w:val="none" w:sz="0" w:space="0" w:color="auto"/>
      </w:divBdr>
    </w:div>
    <w:div w:id="582836127">
      <w:bodyDiv w:val="1"/>
      <w:marLeft w:val="0"/>
      <w:marRight w:val="0"/>
      <w:marTop w:val="0"/>
      <w:marBottom w:val="0"/>
      <w:divBdr>
        <w:top w:val="none" w:sz="0" w:space="0" w:color="auto"/>
        <w:left w:val="none" w:sz="0" w:space="0" w:color="auto"/>
        <w:bottom w:val="none" w:sz="0" w:space="0" w:color="auto"/>
        <w:right w:val="none" w:sz="0" w:space="0" w:color="auto"/>
      </w:divBdr>
    </w:div>
    <w:div w:id="614093503">
      <w:bodyDiv w:val="1"/>
      <w:marLeft w:val="0"/>
      <w:marRight w:val="0"/>
      <w:marTop w:val="0"/>
      <w:marBottom w:val="0"/>
      <w:divBdr>
        <w:top w:val="none" w:sz="0" w:space="0" w:color="auto"/>
        <w:left w:val="none" w:sz="0" w:space="0" w:color="auto"/>
        <w:bottom w:val="none" w:sz="0" w:space="0" w:color="auto"/>
        <w:right w:val="none" w:sz="0" w:space="0" w:color="auto"/>
      </w:divBdr>
      <w:divsChild>
        <w:div w:id="762721181">
          <w:marLeft w:val="547"/>
          <w:marRight w:val="0"/>
          <w:marTop w:val="0"/>
          <w:marBottom w:val="0"/>
          <w:divBdr>
            <w:top w:val="none" w:sz="0" w:space="0" w:color="auto"/>
            <w:left w:val="none" w:sz="0" w:space="0" w:color="auto"/>
            <w:bottom w:val="none" w:sz="0" w:space="0" w:color="auto"/>
            <w:right w:val="none" w:sz="0" w:space="0" w:color="auto"/>
          </w:divBdr>
        </w:div>
      </w:divsChild>
    </w:div>
    <w:div w:id="622151728">
      <w:bodyDiv w:val="1"/>
      <w:marLeft w:val="0"/>
      <w:marRight w:val="0"/>
      <w:marTop w:val="0"/>
      <w:marBottom w:val="0"/>
      <w:divBdr>
        <w:top w:val="none" w:sz="0" w:space="0" w:color="auto"/>
        <w:left w:val="none" w:sz="0" w:space="0" w:color="auto"/>
        <w:bottom w:val="none" w:sz="0" w:space="0" w:color="auto"/>
        <w:right w:val="none" w:sz="0" w:space="0" w:color="auto"/>
      </w:divBdr>
      <w:divsChild>
        <w:div w:id="1719431410">
          <w:marLeft w:val="547"/>
          <w:marRight w:val="0"/>
          <w:marTop w:val="0"/>
          <w:marBottom w:val="0"/>
          <w:divBdr>
            <w:top w:val="none" w:sz="0" w:space="0" w:color="auto"/>
            <w:left w:val="none" w:sz="0" w:space="0" w:color="auto"/>
            <w:bottom w:val="none" w:sz="0" w:space="0" w:color="auto"/>
            <w:right w:val="none" w:sz="0" w:space="0" w:color="auto"/>
          </w:divBdr>
        </w:div>
      </w:divsChild>
    </w:div>
    <w:div w:id="641007682">
      <w:bodyDiv w:val="1"/>
      <w:marLeft w:val="0"/>
      <w:marRight w:val="0"/>
      <w:marTop w:val="0"/>
      <w:marBottom w:val="0"/>
      <w:divBdr>
        <w:top w:val="none" w:sz="0" w:space="0" w:color="auto"/>
        <w:left w:val="none" w:sz="0" w:space="0" w:color="auto"/>
        <w:bottom w:val="none" w:sz="0" w:space="0" w:color="auto"/>
        <w:right w:val="none" w:sz="0" w:space="0" w:color="auto"/>
      </w:divBdr>
    </w:div>
    <w:div w:id="643898573">
      <w:bodyDiv w:val="1"/>
      <w:marLeft w:val="0"/>
      <w:marRight w:val="0"/>
      <w:marTop w:val="0"/>
      <w:marBottom w:val="0"/>
      <w:divBdr>
        <w:top w:val="none" w:sz="0" w:space="0" w:color="auto"/>
        <w:left w:val="none" w:sz="0" w:space="0" w:color="auto"/>
        <w:bottom w:val="none" w:sz="0" w:space="0" w:color="auto"/>
        <w:right w:val="none" w:sz="0" w:space="0" w:color="auto"/>
      </w:divBdr>
      <w:divsChild>
        <w:div w:id="2097551039">
          <w:marLeft w:val="547"/>
          <w:marRight w:val="0"/>
          <w:marTop w:val="0"/>
          <w:marBottom w:val="0"/>
          <w:divBdr>
            <w:top w:val="none" w:sz="0" w:space="0" w:color="auto"/>
            <w:left w:val="none" w:sz="0" w:space="0" w:color="auto"/>
            <w:bottom w:val="none" w:sz="0" w:space="0" w:color="auto"/>
            <w:right w:val="none" w:sz="0" w:space="0" w:color="auto"/>
          </w:divBdr>
        </w:div>
      </w:divsChild>
    </w:div>
    <w:div w:id="644167459">
      <w:bodyDiv w:val="1"/>
      <w:marLeft w:val="0"/>
      <w:marRight w:val="0"/>
      <w:marTop w:val="0"/>
      <w:marBottom w:val="0"/>
      <w:divBdr>
        <w:top w:val="none" w:sz="0" w:space="0" w:color="auto"/>
        <w:left w:val="none" w:sz="0" w:space="0" w:color="auto"/>
        <w:bottom w:val="none" w:sz="0" w:space="0" w:color="auto"/>
        <w:right w:val="none" w:sz="0" w:space="0" w:color="auto"/>
      </w:divBdr>
    </w:div>
    <w:div w:id="654992866">
      <w:bodyDiv w:val="1"/>
      <w:marLeft w:val="0"/>
      <w:marRight w:val="0"/>
      <w:marTop w:val="0"/>
      <w:marBottom w:val="0"/>
      <w:divBdr>
        <w:top w:val="none" w:sz="0" w:space="0" w:color="auto"/>
        <w:left w:val="none" w:sz="0" w:space="0" w:color="auto"/>
        <w:bottom w:val="none" w:sz="0" w:space="0" w:color="auto"/>
        <w:right w:val="none" w:sz="0" w:space="0" w:color="auto"/>
      </w:divBdr>
    </w:div>
    <w:div w:id="656155369">
      <w:bodyDiv w:val="1"/>
      <w:marLeft w:val="0"/>
      <w:marRight w:val="0"/>
      <w:marTop w:val="0"/>
      <w:marBottom w:val="0"/>
      <w:divBdr>
        <w:top w:val="none" w:sz="0" w:space="0" w:color="auto"/>
        <w:left w:val="none" w:sz="0" w:space="0" w:color="auto"/>
        <w:bottom w:val="none" w:sz="0" w:space="0" w:color="auto"/>
        <w:right w:val="none" w:sz="0" w:space="0" w:color="auto"/>
      </w:divBdr>
    </w:div>
    <w:div w:id="658072036">
      <w:bodyDiv w:val="1"/>
      <w:marLeft w:val="0"/>
      <w:marRight w:val="0"/>
      <w:marTop w:val="0"/>
      <w:marBottom w:val="0"/>
      <w:divBdr>
        <w:top w:val="none" w:sz="0" w:space="0" w:color="auto"/>
        <w:left w:val="none" w:sz="0" w:space="0" w:color="auto"/>
        <w:bottom w:val="none" w:sz="0" w:space="0" w:color="auto"/>
        <w:right w:val="none" w:sz="0" w:space="0" w:color="auto"/>
      </w:divBdr>
    </w:div>
    <w:div w:id="673145598">
      <w:bodyDiv w:val="1"/>
      <w:marLeft w:val="0"/>
      <w:marRight w:val="0"/>
      <w:marTop w:val="0"/>
      <w:marBottom w:val="0"/>
      <w:divBdr>
        <w:top w:val="none" w:sz="0" w:space="0" w:color="auto"/>
        <w:left w:val="none" w:sz="0" w:space="0" w:color="auto"/>
        <w:bottom w:val="none" w:sz="0" w:space="0" w:color="auto"/>
        <w:right w:val="none" w:sz="0" w:space="0" w:color="auto"/>
      </w:divBdr>
    </w:div>
    <w:div w:id="675424085">
      <w:bodyDiv w:val="1"/>
      <w:marLeft w:val="0"/>
      <w:marRight w:val="0"/>
      <w:marTop w:val="0"/>
      <w:marBottom w:val="0"/>
      <w:divBdr>
        <w:top w:val="none" w:sz="0" w:space="0" w:color="auto"/>
        <w:left w:val="none" w:sz="0" w:space="0" w:color="auto"/>
        <w:bottom w:val="none" w:sz="0" w:space="0" w:color="auto"/>
        <w:right w:val="none" w:sz="0" w:space="0" w:color="auto"/>
      </w:divBdr>
    </w:div>
    <w:div w:id="675691534">
      <w:bodyDiv w:val="1"/>
      <w:marLeft w:val="0"/>
      <w:marRight w:val="0"/>
      <w:marTop w:val="0"/>
      <w:marBottom w:val="0"/>
      <w:divBdr>
        <w:top w:val="none" w:sz="0" w:space="0" w:color="auto"/>
        <w:left w:val="none" w:sz="0" w:space="0" w:color="auto"/>
        <w:bottom w:val="none" w:sz="0" w:space="0" w:color="auto"/>
        <w:right w:val="none" w:sz="0" w:space="0" w:color="auto"/>
      </w:divBdr>
    </w:div>
    <w:div w:id="690304193">
      <w:bodyDiv w:val="1"/>
      <w:marLeft w:val="0"/>
      <w:marRight w:val="0"/>
      <w:marTop w:val="0"/>
      <w:marBottom w:val="0"/>
      <w:divBdr>
        <w:top w:val="none" w:sz="0" w:space="0" w:color="auto"/>
        <w:left w:val="none" w:sz="0" w:space="0" w:color="auto"/>
        <w:bottom w:val="none" w:sz="0" w:space="0" w:color="auto"/>
        <w:right w:val="none" w:sz="0" w:space="0" w:color="auto"/>
      </w:divBdr>
    </w:div>
    <w:div w:id="703870698">
      <w:bodyDiv w:val="1"/>
      <w:marLeft w:val="0"/>
      <w:marRight w:val="0"/>
      <w:marTop w:val="0"/>
      <w:marBottom w:val="0"/>
      <w:divBdr>
        <w:top w:val="none" w:sz="0" w:space="0" w:color="auto"/>
        <w:left w:val="none" w:sz="0" w:space="0" w:color="auto"/>
        <w:bottom w:val="none" w:sz="0" w:space="0" w:color="auto"/>
        <w:right w:val="none" w:sz="0" w:space="0" w:color="auto"/>
      </w:divBdr>
    </w:div>
    <w:div w:id="706754346">
      <w:bodyDiv w:val="1"/>
      <w:marLeft w:val="0"/>
      <w:marRight w:val="0"/>
      <w:marTop w:val="0"/>
      <w:marBottom w:val="0"/>
      <w:divBdr>
        <w:top w:val="none" w:sz="0" w:space="0" w:color="auto"/>
        <w:left w:val="none" w:sz="0" w:space="0" w:color="auto"/>
        <w:bottom w:val="none" w:sz="0" w:space="0" w:color="auto"/>
        <w:right w:val="none" w:sz="0" w:space="0" w:color="auto"/>
      </w:divBdr>
    </w:div>
    <w:div w:id="715810340">
      <w:bodyDiv w:val="1"/>
      <w:marLeft w:val="0"/>
      <w:marRight w:val="0"/>
      <w:marTop w:val="0"/>
      <w:marBottom w:val="0"/>
      <w:divBdr>
        <w:top w:val="none" w:sz="0" w:space="0" w:color="auto"/>
        <w:left w:val="none" w:sz="0" w:space="0" w:color="auto"/>
        <w:bottom w:val="none" w:sz="0" w:space="0" w:color="auto"/>
        <w:right w:val="none" w:sz="0" w:space="0" w:color="auto"/>
      </w:divBdr>
    </w:div>
    <w:div w:id="722368830">
      <w:bodyDiv w:val="1"/>
      <w:marLeft w:val="0"/>
      <w:marRight w:val="0"/>
      <w:marTop w:val="0"/>
      <w:marBottom w:val="0"/>
      <w:divBdr>
        <w:top w:val="none" w:sz="0" w:space="0" w:color="auto"/>
        <w:left w:val="none" w:sz="0" w:space="0" w:color="auto"/>
        <w:bottom w:val="none" w:sz="0" w:space="0" w:color="auto"/>
        <w:right w:val="none" w:sz="0" w:space="0" w:color="auto"/>
      </w:divBdr>
    </w:div>
    <w:div w:id="733821837">
      <w:bodyDiv w:val="1"/>
      <w:marLeft w:val="0"/>
      <w:marRight w:val="0"/>
      <w:marTop w:val="0"/>
      <w:marBottom w:val="0"/>
      <w:divBdr>
        <w:top w:val="none" w:sz="0" w:space="0" w:color="auto"/>
        <w:left w:val="none" w:sz="0" w:space="0" w:color="auto"/>
        <w:bottom w:val="none" w:sz="0" w:space="0" w:color="auto"/>
        <w:right w:val="none" w:sz="0" w:space="0" w:color="auto"/>
      </w:divBdr>
      <w:divsChild>
        <w:div w:id="1137457544">
          <w:marLeft w:val="547"/>
          <w:marRight w:val="0"/>
          <w:marTop w:val="0"/>
          <w:marBottom w:val="0"/>
          <w:divBdr>
            <w:top w:val="none" w:sz="0" w:space="0" w:color="auto"/>
            <w:left w:val="none" w:sz="0" w:space="0" w:color="auto"/>
            <w:bottom w:val="none" w:sz="0" w:space="0" w:color="auto"/>
            <w:right w:val="none" w:sz="0" w:space="0" w:color="auto"/>
          </w:divBdr>
        </w:div>
      </w:divsChild>
    </w:div>
    <w:div w:id="745999350">
      <w:bodyDiv w:val="1"/>
      <w:marLeft w:val="0"/>
      <w:marRight w:val="0"/>
      <w:marTop w:val="0"/>
      <w:marBottom w:val="0"/>
      <w:divBdr>
        <w:top w:val="none" w:sz="0" w:space="0" w:color="auto"/>
        <w:left w:val="none" w:sz="0" w:space="0" w:color="auto"/>
        <w:bottom w:val="none" w:sz="0" w:space="0" w:color="auto"/>
        <w:right w:val="none" w:sz="0" w:space="0" w:color="auto"/>
      </w:divBdr>
    </w:div>
    <w:div w:id="756902559">
      <w:bodyDiv w:val="1"/>
      <w:marLeft w:val="0"/>
      <w:marRight w:val="0"/>
      <w:marTop w:val="0"/>
      <w:marBottom w:val="0"/>
      <w:divBdr>
        <w:top w:val="none" w:sz="0" w:space="0" w:color="auto"/>
        <w:left w:val="none" w:sz="0" w:space="0" w:color="auto"/>
        <w:bottom w:val="none" w:sz="0" w:space="0" w:color="auto"/>
        <w:right w:val="none" w:sz="0" w:space="0" w:color="auto"/>
      </w:divBdr>
    </w:div>
    <w:div w:id="781653902">
      <w:bodyDiv w:val="1"/>
      <w:marLeft w:val="0"/>
      <w:marRight w:val="0"/>
      <w:marTop w:val="0"/>
      <w:marBottom w:val="0"/>
      <w:divBdr>
        <w:top w:val="none" w:sz="0" w:space="0" w:color="auto"/>
        <w:left w:val="none" w:sz="0" w:space="0" w:color="auto"/>
        <w:bottom w:val="none" w:sz="0" w:space="0" w:color="auto"/>
        <w:right w:val="none" w:sz="0" w:space="0" w:color="auto"/>
      </w:divBdr>
    </w:div>
    <w:div w:id="784009518">
      <w:bodyDiv w:val="1"/>
      <w:marLeft w:val="0"/>
      <w:marRight w:val="0"/>
      <w:marTop w:val="0"/>
      <w:marBottom w:val="0"/>
      <w:divBdr>
        <w:top w:val="none" w:sz="0" w:space="0" w:color="auto"/>
        <w:left w:val="none" w:sz="0" w:space="0" w:color="auto"/>
        <w:bottom w:val="none" w:sz="0" w:space="0" w:color="auto"/>
        <w:right w:val="none" w:sz="0" w:space="0" w:color="auto"/>
      </w:divBdr>
    </w:div>
    <w:div w:id="788279310">
      <w:bodyDiv w:val="1"/>
      <w:marLeft w:val="0"/>
      <w:marRight w:val="0"/>
      <w:marTop w:val="0"/>
      <w:marBottom w:val="0"/>
      <w:divBdr>
        <w:top w:val="none" w:sz="0" w:space="0" w:color="auto"/>
        <w:left w:val="none" w:sz="0" w:space="0" w:color="auto"/>
        <w:bottom w:val="none" w:sz="0" w:space="0" w:color="auto"/>
        <w:right w:val="none" w:sz="0" w:space="0" w:color="auto"/>
      </w:divBdr>
    </w:div>
    <w:div w:id="792939014">
      <w:bodyDiv w:val="1"/>
      <w:marLeft w:val="0"/>
      <w:marRight w:val="0"/>
      <w:marTop w:val="0"/>
      <w:marBottom w:val="0"/>
      <w:divBdr>
        <w:top w:val="none" w:sz="0" w:space="0" w:color="auto"/>
        <w:left w:val="none" w:sz="0" w:space="0" w:color="auto"/>
        <w:bottom w:val="none" w:sz="0" w:space="0" w:color="auto"/>
        <w:right w:val="none" w:sz="0" w:space="0" w:color="auto"/>
      </w:divBdr>
    </w:div>
    <w:div w:id="795417715">
      <w:bodyDiv w:val="1"/>
      <w:marLeft w:val="0"/>
      <w:marRight w:val="0"/>
      <w:marTop w:val="0"/>
      <w:marBottom w:val="0"/>
      <w:divBdr>
        <w:top w:val="none" w:sz="0" w:space="0" w:color="auto"/>
        <w:left w:val="none" w:sz="0" w:space="0" w:color="auto"/>
        <w:bottom w:val="none" w:sz="0" w:space="0" w:color="auto"/>
        <w:right w:val="none" w:sz="0" w:space="0" w:color="auto"/>
      </w:divBdr>
    </w:div>
    <w:div w:id="795879073">
      <w:bodyDiv w:val="1"/>
      <w:marLeft w:val="0"/>
      <w:marRight w:val="0"/>
      <w:marTop w:val="0"/>
      <w:marBottom w:val="0"/>
      <w:divBdr>
        <w:top w:val="none" w:sz="0" w:space="0" w:color="auto"/>
        <w:left w:val="none" w:sz="0" w:space="0" w:color="auto"/>
        <w:bottom w:val="none" w:sz="0" w:space="0" w:color="auto"/>
        <w:right w:val="none" w:sz="0" w:space="0" w:color="auto"/>
      </w:divBdr>
    </w:div>
    <w:div w:id="801003761">
      <w:bodyDiv w:val="1"/>
      <w:marLeft w:val="0"/>
      <w:marRight w:val="0"/>
      <w:marTop w:val="0"/>
      <w:marBottom w:val="0"/>
      <w:divBdr>
        <w:top w:val="none" w:sz="0" w:space="0" w:color="auto"/>
        <w:left w:val="none" w:sz="0" w:space="0" w:color="auto"/>
        <w:bottom w:val="none" w:sz="0" w:space="0" w:color="auto"/>
        <w:right w:val="none" w:sz="0" w:space="0" w:color="auto"/>
      </w:divBdr>
    </w:div>
    <w:div w:id="808282223">
      <w:bodyDiv w:val="1"/>
      <w:marLeft w:val="0"/>
      <w:marRight w:val="0"/>
      <w:marTop w:val="0"/>
      <w:marBottom w:val="0"/>
      <w:divBdr>
        <w:top w:val="none" w:sz="0" w:space="0" w:color="auto"/>
        <w:left w:val="none" w:sz="0" w:space="0" w:color="auto"/>
        <w:bottom w:val="none" w:sz="0" w:space="0" w:color="auto"/>
        <w:right w:val="none" w:sz="0" w:space="0" w:color="auto"/>
      </w:divBdr>
    </w:div>
    <w:div w:id="817496080">
      <w:bodyDiv w:val="1"/>
      <w:marLeft w:val="0"/>
      <w:marRight w:val="0"/>
      <w:marTop w:val="0"/>
      <w:marBottom w:val="0"/>
      <w:divBdr>
        <w:top w:val="none" w:sz="0" w:space="0" w:color="auto"/>
        <w:left w:val="none" w:sz="0" w:space="0" w:color="auto"/>
        <w:bottom w:val="none" w:sz="0" w:space="0" w:color="auto"/>
        <w:right w:val="none" w:sz="0" w:space="0" w:color="auto"/>
      </w:divBdr>
    </w:div>
    <w:div w:id="859902568">
      <w:bodyDiv w:val="1"/>
      <w:marLeft w:val="0"/>
      <w:marRight w:val="0"/>
      <w:marTop w:val="0"/>
      <w:marBottom w:val="0"/>
      <w:divBdr>
        <w:top w:val="none" w:sz="0" w:space="0" w:color="auto"/>
        <w:left w:val="none" w:sz="0" w:space="0" w:color="auto"/>
        <w:bottom w:val="none" w:sz="0" w:space="0" w:color="auto"/>
        <w:right w:val="none" w:sz="0" w:space="0" w:color="auto"/>
      </w:divBdr>
    </w:div>
    <w:div w:id="875505811">
      <w:bodyDiv w:val="1"/>
      <w:marLeft w:val="0"/>
      <w:marRight w:val="0"/>
      <w:marTop w:val="0"/>
      <w:marBottom w:val="0"/>
      <w:divBdr>
        <w:top w:val="none" w:sz="0" w:space="0" w:color="auto"/>
        <w:left w:val="none" w:sz="0" w:space="0" w:color="auto"/>
        <w:bottom w:val="none" w:sz="0" w:space="0" w:color="auto"/>
        <w:right w:val="none" w:sz="0" w:space="0" w:color="auto"/>
      </w:divBdr>
    </w:div>
    <w:div w:id="882867899">
      <w:bodyDiv w:val="1"/>
      <w:marLeft w:val="0"/>
      <w:marRight w:val="0"/>
      <w:marTop w:val="0"/>
      <w:marBottom w:val="0"/>
      <w:divBdr>
        <w:top w:val="none" w:sz="0" w:space="0" w:color="auto"/>
        <w:left w:val="none" w:sz="0" w:space="0" w:color="auto"/>
        <w:bottom w:val="none" w:sz="0" w:space="0" w:color="auto"/>
        <w:right w:val="none" w:sz="0" w:space="0" w:color="auto"/>
      </w:divBdr>
    </w:div>
    <w:div w:id="891696262">
      <w:bodyDiv w:val="1"/>
      <w:marLeft w:val="0"/>
      <w:marRight w:val="0"/>
      <w:marTop w:val="0"/>
      <w:marBottom w:val="0"/>
      <w:divBdr>
        <w:top w:val="none" w:sz="0" w:space="0" w:color="auto"/>
        <w:left w:val="none" w:sz="0" w:space="0" w:color="auto"/>
        <w:bottom w:val="none" w:sz="0" w:space="0" w:color="auto"/>
        <w:right w:val="none" w:sz="0" w:space="0" w:color="auto"/>
      </w:divBdr>
    </w:div>
    <w:div w:id="894203333">
      <w:bodyDiv w:val="1"/>
      <w:marLeft w:val="0"/>
      <w:marRight w:val="0"/>
      <w:marTop w:val="0"/>
      <w:marBottom w:val="0"/>
      <w:divBdr>
        <w:top w:val="none" w:sz="0" w:space="0" w:color="auto"/>
        <w:left w:val="none" w:sz="0" w:space="0" w:color="auto"/>
        <w:bottom w:val="none" w:sz="0" w:space="0" w:color="auto"/>
        <w:right w:val="none" w:sz="0" w:space="0" w:color="auto"/>
      </w:divBdr>
    </w:div>
    <w:div w:id="934168355">
      <w:bodyDiv w:val="1"/>
      <w:marLeft w:val="0"/>
      <w:marRight w:val="0"/>
      <w:marTop w:val="0"/>
      <w:marBottom w:val="0"/>
      <w:divBdr>
        <w:top w:val="none" w:sz="0" w:space="0" w:color="auto"/>
        <w:left w:val="none" w:sz="0" w:space="0" w:color="auto"/>
        <w:bottom w:val="none" w:sz="0" w:space="0" w:color="auto"/>
        <w:right w:val="none" w:sz="0" w:space="0" w:color="auto"/>
      </w:divBdr>
      <w:divsChild>
        <w:div w:id="523255113">
          <w:marLeft w:val="547"/>
          <w:marRight w:val="0"/>
          <w:marTop w:val="0"/>
          <w:marBottom w:val="0"/>
          <w:divBdr>
            <w:top w:val="none" w:sz="0" w:space="0" w:color="auto"/>
            <w:left w:val="none" w:sz="0" w:space="0" w:color="auto"/>
            <w:bottom w:val="none" w:sz="0" w:space="0" w:color="auto"/>
            <w:right w:val="none" w:sz="0" w:space="0" w:color="auto"/>
          </w:divBdr>
        </w:div>
      </w:divsChild>
    </w:div>
    <w:div w:id="939266148">
      <w:bodyDiv w:val="1"/>
      <w:marLeft w:val="0"/>
      <w:marRight w:val="0"/>
      <w:marTop w:val="0"/>
      <w:marBottom w:val="0"/>
      <w:divBdr>
        <w:top w:val="none" w:sz="0" w:space="0" w:color="auto"/>
        <w:left w:val="none" w:sz="0" w:space="0" w:color="auto"/>
        <w:bottom w:val="none" w:sz="0" w:space="0" w:color="auto"/>
        <w:right w:val="none" w:sz="0" w:space="0" w:color="auto"/>
      </w:divBdr>
    </w:div>
    <w:div w:id="941575074">
      <w:bodyDiv w:val="1"/>
      <w:marLeft w:val="0"/>
      <w:marRight w:val="0"/>
      <w:marTop w:val="0"/>
      <w:marBottom w:val="0"/>
      <w:divBdr>
        <w:top w:val="none" w:sz="0" w:space="0" w:color="auto"/>
        <w:left w:val="none" w:sz="0" w:space="0" w:color="auto"/>
        <w:bottom w:val="none" w:sz="0" w:space="0" w:color="auto"/>
        <w:right w:val="none" w:sz="0" w:space="0" w:color="auto"/>
      </w:divBdr>
    </w:div>
    <w:div w:id="944190264">
      <w:bodyDiv w:val="1"/>
      <w:marLeft w:val="0"/>
      <w:marRight w:val="0"/>
      <w:marTop w:val="0"/>
      <w:marBottom w:val="0"/>
      <w:divBdr>
        <w:top w:val="none" w:sz="0" w:space="0" w:color="auto"/>
        <w:left w:val="none" w:sz="0" w:space="0" w:color="auto"/>
        <w:bottom w:val="none" w:sz="0" w:space="0" w:color="auto"/>
        <w:right w:val="none" w:sz="0" w:space="0" w:color="auto"/>
      </w:divBdr>
    </w:div>
    <w:div w:id="953557087">
      <w:bodyDiv w:val="1"/>
      <w:marLeft w:val="0"/>
      <w:marRight w:val="0"/>
      <w:marTop w:val="0"/>
      <w:marBottom w:val="0"/>
      <w:divBdr>
        <w:top w:val="none" w:sz="0" w:space="0" w:color="auto"/>
        <w:left w:val="none" w:sz="0" w:space="0" w:color="auto"/>
        <w:bottom w:val="none" w:sz="0" w:space="0" w:color="auto"/>
        <w:right w:val="none" w:sz="0" w:space="0" w:color="auto"/>
      </w:divBdr>
      <w:divsChild>
        <w:div w:id="847253023">
          <w:marLeft w:val="547"/>
          <w:marRight w:val="0"/>
          <w:marTop w:val="0"/>
          <w:marBottom w:val="0"/>
          <w:divBdr>
            <w:top w:val="none" w:sz="0" w:space="0" w:color="auto"/>
            <w:left w:val="none" w:sz="0" w:space="0" w:color="auto"/>
            <w:bottom w:val="none" w:sz="0" w:space="0" w:color="auto"/>
            <w:right w:val="none" w:sz="0" w:space="0" w:color="auto"/>
          </w:divBdr>
        </w:div>
      </w:divsChild>
    </w:div>
    <w:div w:id="998465897">
      <w:bodyDiv w:val="1"/>
      <w:marLeft w:val="0"/>
      <w:marRight w:val="0"/>
      <w:marTop w:val="0"/>
      <w:marBottom w:val="0"/>
      <w:divBdr>
        <w:top w:val="none" w:sz="0" w:space="0" w:color="auto"/>
        <w:left w:val="none" w:sz="0" w:space="0" w:color="auto"/>
        <w:bottom w:val="none" w:sz="0" w:space="0" w:color="auto"/>
        <w:right w:val="none" w:sz="0" w:space="0" w:color="auto"/>
      </w:divBdr>
    </w:div>
    <w:div w:id="1000737240">
      <w:bodyDiv w:val="1"/>
      <w:marLeft w:val="0"/>
      <w:marRight w:val="0"/>
      <w:marTop w:val="0"/>
      <w:marBottom w:val="0"/>
      <w:divBdr>
        <w:top w:val="none" w:sz="0" w:space="0" w:color="auto"/>
        <w:left w:val="none" w:sz="0" w:space="0" w:color="auto"/>
        <w:bottom w:val="none" w:sz="0" w:space="0" w:color="auto"/>
        <w:right w:val="none" w:sz="0" w:space="0" w:color="auto"/>
      </w:divBdr>
    </w:div>
    <w:div w:id="1000889178">
      <w:bodyDiv w:val="1"/>
      <w:marLeft w:val="0"/>
      <w:marRight w:val="0"/>
      <w:marTop w:val="0"/>
      <w:marBottom w:val="0"/>
      <w:divBdr>
        <w:top w:val="none" w:sz="0" w:space="0" w:color="auto"/>
        <w:left w:val="none" w:sz="0" w:space="0" w:color="auto"/>
        <w:bottom w:val="none" w:sz="0" w:space="0" w:color="auto"/>
        <w:right w:val="none" w:sz="0" w:space="0" w:color="auto"/>
      </w:divBdr>
    </w:div>
    <w:div w:id="1003699204">
      <w:bodyDiv w:val="1"/>
      <w:marLeft w:val="0"/>
      <w:marRight w:val="0"/>
      <w:marTop w:val="0"/>
      <w:marBottom w:val="0"/>
      <w:divBdr>
        <w:top w:val="none" w:sz="0" w:space="0" w:color="auto"/>
        <w:left w:val="none" w:sz="0" w:space="0" w:color="auto"/>
        <w:bottom w:val="none" w:sz="0" w:space="0" w:color="auto"/>
        <w:right w:val="none" w:sz="0" w:space="0" w:color="auto"/>
      </w:divBdr>
    </w:div>
    <w:div w:id="1009261757">
      <w:bodyDiv w:val="1"/>
      <w:marLeft w:val="0"/>
      <w:marRight w:val="0"/>
      <w:marTop w:val="0"/>
      <w:marBottom w:val="0"/>
      <w:divBdr>
        <w:top w:val="none" w:sz="0" w:space="0" w:color="auto"/>
        <w:left w:val="none" w:sz="0" w:space="0" w:color="auto"/>
        <w:bottom w:val="none" w:sz="0" w:space="0" w:color="auto"/>
        <w:right w:val="none" w:sz="0" w:space="0" w:color="auto"/>
      </w:divBdr>
    </w:div>
    <w:div w:id="1030491352">
      <w:bodyDiv w:val="1"/>
      <w:marLeft w:val="0"/>
      <w:marRight w:val="0"/>
      <w:marTop w:val="0"/>
      <w:marBottom w:val="0"/>
      <w:divBdr>
        <w:top w:val="none" w:sz="0" w:space="0" w:color="auto"/>
        <w:left w:val="none" w:sz="0" w:space="0" w:color="auto"/>
        <w:bottom w:val="none" w:sz="0" w:space="0" w:color="auto"/>
        <w:right w:val="none" w:sz="0" w:space="0" w:color="auto"/>
      </w:divBdr>
    </w:div>
    <w:div w:id="1033075000">
      <w:bodyDiv w:val="1"/>
      <w:marLeft w:val="0"/>
      <w:marRight w:val="0"/>
      <w:marTop w:val="0"/>
      <w:marBottom w:val="0"/>
      <w:divBdr>
        <w:top w:val="none" w:sz="0" w:space="0" w:color="auto"/>
        <w:left w:val="none" w:sz="0" w:space="0" w:color="auto"/>
        <w:bottom w:val="none" w:sz="0" w:space="0" w:color="auto"/>
        <w:right w:val="none" w:sz="0" w:space="0" w:color="auto"/>
      </w:divBdr>
    </w:div>
    <w:div w:id="1035470447">
      <w:bodyDiv w:val="1"/>
      <w:marLeft w:val="0"/>
      <w:marRight w:val="0"/>
      <w:marTop w:val="0"/>
      <w:marBottom w:val="0"/>
      <w:divBdr>
        <w:top w:val="none" w:sz="0" w:space="0" w:color="auto"/>
        <w:left w:val="none" w:sz="0" w:space="0" w:color="auto"/>
        <w:bottom w:val="none" w:sz="0" w:space="0" w:color="auto"/>
        <w:right w:val="none" w:sz="0" w:space="0" w:color="auto"/>
      </w:divBdr>
    </w:div>
    <w:div w:id="1039669106">
      <w:bodyDiv w:val="1"/>
      <w:marLeft w:val="0"/>
      <w:marRight w:val="0"/>
      <w:marTop w:val="0"/>
      <w:marBottom w:val="0"/>
      <w:divBdr>
        <w:top w:val="none" w:sz="0" w:space="0" w:color="auto"/>
        <w:left w:val="none" w:sz="0" w:space="0" w:color="auto"/>
        <w:bottom w:val="none" w:sz="0" w:space="0" w:color="auto"/>
        <w:right w:val="none" w:sz="0" w:space="0" w:color="auto"/>
      </w:divBdr>
    </w:div>
    <w:div w:id="1047265285">
      <w:bodyDiv w:val="1"/>
      <w:marLeft w:val="0"/>
      <w:marRight w:val="0"/>
      <w:marTop w:val="0"/>
      <w:marBottom w:val="0"/>
      <w:divBdr>
        <w:top w:val="none" w:sz="0" w:space="0" w:color="auto"/>
        <w:left w:val="none" w:sz="0" w:space="0" w:color="auto"/>
        <w:bottom w:val="none" w:sz="0" w:space="0" w:color="auto"/>
        <w:right w:val="none" w:sz="0" w:space="0" w:color="auto"/>
      </w:divBdr>
    </w:div>
    <w:div w:id="1055852831">
      <w:bodyDiv w:val="1"/>
      <w:marLeft w:val="0"/>
      <w:marRight w:val="0"/>
      <w:marTop w:val="0"/>
      <w:marBottom w:val="0"/>
      <w:divBdr>
        <w:top w:val="none" w:sz="0" w:space="0" w:color="auto"/>
        <w:left w:val="none" w:sz="0" w:space="0" w:color="auto"/>
        <w:bottom w:val="none" w:sz="0" w:space="0" w:color="auto"/>
        <w:right w:val="none" w:sz="0" w:space="0" w:color="auto"/>
      </w:divBdr>
    </w:div>
    <w:div w:id="1060061779">
      <w:bodyDiv w:val="1"/>
      <w:marLeft w:val="0"/>
      <w:marRight w:val="0"/>
      <w:marTop w:val="0"/>
      <w:marBottom w:val="0"/>
      <w:divBdr>
        <w:top w:val="none" w:sz="0" w:space="0" w:color="auto"/>
        <w:left w:val="none" w:sz="0" w:space="0" w:color="auto"/>
        <w:bottom w:val="none" w:sz="0" w:space="0" w:color="auto"/>
        <w:right w:val="none" w:sz="0" w:space="0" w:color="auto"/>
      </w:divBdr>
    </w:div>
    <w:div w:id="1070008776">
      <w:bodyDiv w:val="1"/>
      <w:marLeft w:val="0"/>
      <w:marRight w:val="0"/>
      <w:marTop w:val="0"/>
      <w:marBottom w:val="0"/>
      <w:divBdr>
        <w:top w:val="none" w:sz="0" w:space="0" w:color="auto"/>
        <w:left w:val="none" w:sz="0" w:space="0" w:color="auto"/>
        <w:bottom w:val="none" w:sz="0" w:space="0" w:color="auto"/>
        <w:right w:val="none" w:sz="0" w:space="0" w:color="auto"/>
      </w:divBdr>
    </w:div>
    <w:div w:id="1113212011">
      <w:bodyDiv w:val="1"/>
      <w:marLeft w:val="0"/>
      <w:marRight w:val="0"/>
      <w:marTop w:val="0"/>
      <w:marBottom w:val="0"/>
      <w:divBdr>
        <w:top w:val="none" w:sz="0" w:space="0" w:color="auto"/>
        <w:left w:val="none" w:sz="0" w:space="0" w:color="auto"/>
        <w:bottom w:val="none" w:sz="0" w:space="0" w:color="auto"/>
        <w:right w:val="none" w:sz="0" w:space="0" w:color="auto"/>
      </w:divBdr>
    </w:div>
    <w:div w:id="1115442248">
      <w:bodyDiv w:val="1"/>
      <w:marLeft w:val="0"/>
      <w:marRight w:val="0"/>
      <w:marTop w:val="0"/>
      <w:marBottom w:val="0"/>
      <w:divBdr>
        <w:top w:val="none" w:sz="0" w:space="0" w:color="auto"/>
        <w:left w:val="none" w:sz="0" w:space="0" w:color="auto"/>
        <w:bottom w:val="none" w:sz="0" w:space="0" w:color="auto"/>
        <w:right w:val="none" w:sz="0" w:space="0" w:color="auto"/>
      </w:divBdr>
    </w:div>
    <w:div w:id="1125468293">
      <w:bodyDiv w:val="1"/>
      <w:marLeft w:val="0"/>
      <w:marRight w:val="0"/>
      <w:marTop w:val="0"/>
      <w:marBottom w:val="0"/>
      <w:divBdr>
        <w:top w:val="none" w:sz="0" w:space="0" w:color="auto"/>
        <w:left w:val="none" w:sz="0" w:space="0" w:color="auto"/>
        <w:bottom w:val="none" w:sz="0" w:space="0" w:color="auto"/>
        <w:right w:val="none" w:sz="0" w:space="0" w:color="auto"/>
      </w:divBdr>
    </w:div>
    <w:div w:id="1146973240">
      <w:bodyDiv w:val="1"/>
      <w:marLeft w:val="0"/>
      <w:marRight w:val="0"/>
      <w:marTop w:val="0"/>
      <w:marBottom w:val="0"/>
      <w:divBdr>
        <w:top w:val="none" w:sz="0" w:space="0" w:color="auto"/>
        <w:left w:val="none" w:sz="0" w:space="0" w:color="auto"/>
        <w:bottom w:val="none" w:sz="0" w:space="0" w:color="auto"/>
        <w:right w:val="none" w:sz="0" w:space="0" w:color="auto"/>
      </w:divBdr>
    </w:div>
    <w:div w:id="1166359989">
      <w:bodyDiv w:val="1"/>
      <w:marLeft w:val="0"/>
      <w:marRight w:val="0"/>
      <w:marTop w:val="0"/>
      <w:marBottom w:val="0"/>
      <w:divBdr>
        <w:top w:val="none" w:sz="0" w:space="0" w:color="auto"/>
        <w:left w:val="none" w:sz="0" w:space="0" w:color="auto"/>
        <w:bottom w:val="none" w:sz="0" w:space="0" w:color="auto"/>
        <w:right w:val="none" w:sz="0" w:space="0" w:color="auto"/>
      </w:divBdr>
      <w:divsChild>
        <w:div w:id="301470276">
          <w:marLeft w:val="547"/>
          <w:marRight w:val="0"/>
          <w:marTop w:val="0"/>
          <w:marBottom w:val="0"/>
          <w:divBdr>
            <w:top w:val="none" w:sz="0" w:space="0" w:color="auto"/>
            <w:left w:val="none" w:sz="0" w:space="0" w:color="auto"/>
            <w:bottom w:val="none" w:sz="0" w:space="0" w:color="auto"/>
            <w:right w:val="none" w:sz="0" w:space="0" w:color="auto"/>
          </w:divBdr>
        </w:div>
      </w:divsChild>
    </w:div>
    <w:div w:id="1186753322">
      <w:bodyDiv w:val="1"/>
      <w:marLeft w:val="0"/>
      <w:marRight w:val="0"/>
      <w:marTop w:val="0"/>
      <w:marBottom w:val="0"/>
      <w:divBdr>
        <w:top w:val="none" w:sz="0" w:space="0" w:color="auto"/>
        <w:left w:val="none" w:sz="0" w:space="0" w:color="auto"/>
        <w:bottom w:val="none" w:sz="0" w:space="0" w:color="auto"/>
        <w:right w:val="none" w:sz="0" w:space="0" w:color="auto"/>
      </w:divBdr>
    </w:div>
    <w:div w:id="1203590305">
      <w:bodyDiv w:val="1"/>
      <w:marLeft w:val="0"/>
      <w:marRight w:val="0"/>
      <w:marTop w:val="0"/>
      <w:marBottom w:val="0"/>
      <w:divBdr>
        <w:top w:val="none" w:sz="0" w:space="0" w:color="auto"/>
        <w:left w:val="none" w:sz="0" w:space="0" w:color="auto"/>
        <w:bottom w:val="none" w:sz="0" w:space="0" w:color="auto"/>
        <w:right w:val="none" w:sz="0" w:space="0" w:color="auto"/>
      </w:divBdr>
    </w:div>
    <w:div w:id="1210189989">
      <w:bodyDiv w:val="1"/>
      <w:marLeft w:val="0"/>
      <w:marRight w:val="0"/>
      <w:marTop w:val="0"/>
      <w:marBottom w:val="0"/>
      <w:divBdr>
        <w:top w:val="none" w:sz="0" w:space="0" w:color="auto"/>
        <w:left w:val="none" w:sz="0" w:space="0" w:color="auto"/>
        <w:bottom w:val="none" w:sz="0" w:space="0" w:color="auto"/>
        <w:right w:val="none" w:sz="0" w:space="0" w:color="auto"/>
      </w:divBdr>
      <w:divsChild>
        <w:div w:id="155730276">
          <w:marLeft w:val="547"/>
          <w:marRight w:val="0"/>
          <w:marTop w:val="0"/>
          <w:marBottom w:val="0"/>
          <w:divBdr>
            <w:top w:val="none" w:sz="0" w:space="0" w:color="auto"/>
            <w:left w:val="none" w:sz="0" w:space="0" w:color="auto"/>
            <w:bottom w:val="none" w:sz="0" w:space="0" w:color="auto"/>
            <w:right w:val="none" w:sz="0" w:space="0" w:color="auto"/>
          </w:divBdr>
        </w:div>
        <w:div w:id="2025209879">
          <w:marLeft w:val="547"/>
          <w:marRight w:val="0"/>
          <w:marTop w:val="0"/>
          <w:marBottom w:val="0"/>
          <w:divBdr>
            <w:top w:val="none" w:sz="0" w:space="0" w:color="auto"/>
            <w:left w:val="none" w:sz="0" w:space="0" w:color="auto"/>
            <w:bottom w:val="none" w:sz="0" w:space="0" w:color="auto"/>
            <w:right w:val="none" w:sz="0" w:space="0" w:color="auto"/>
          </w:divBdr>
        </w:div>
      </w:divsChild>
    </w:div>
    <w:div w:id="1232303074">
      <w:bodyDiv w:val="1"/>
      <w:marLeft w:val="0"/>
      <w:marRight w:val="0"/>
      <w:marTop w:val="0"/>
      <w:marBottom w:val="0"/>
      <w:divBdr>
        <w:top w:val="none" w:sz="0" w:space="0" w:color="auto"/>
        <w:left w:val="none" w:sz="0" w:space="0" w:color="auto"/>
        <w:bottom w:val="none" w:sz="0" w:space="0" w:color="auto"/>
        <w:right w:val="none" w:sz="0" w:space="0" w:color="auto"/>
      </w:divBdr>
    </w:div>
    <w:div w:id="1269192792">
      <w:bodyDiv w:val="1"/>
      <w:marLeft w:val="0"/>
      <w:marRight w:val="0"/>
      <w:marTop w:val="0"/>
      <w:marBottom w:val="0"/>
      <w:divBdr>
        <w:top w:val="none" w:sz="0" w:space="0" w:color="auto"/>
        <w:left w:val="none" w:sz="0" w:space="0" w:color="auto"/>
        <w:bottom w:val="none" w:sz="0" w:space="0" w:color="auto"/>
        <w:right w:val="none" w:sz="0" w:space="0" w:color="auto"/>
      </w:divBdr>
      <w:divsChild>
        <w:div w:id="44762294">
          <w:marLeft w:val="547"/>
          <w:marRight w:val="0"/>
          <w:marTop w:val="0"/>
          <w:marBottom w:val="0"/>
          <w:divBdr>
            <w:top w:val="none" w:sz="0" w:space="0" w:color="auto"/>
            <w:left w:val="none" w:sz="0" w:space="0" w:color="auto"/>
            <w:bottom w:val="none" w:sz="0" w:space="0" w:color="auto"/>
            <w:right w:val="none" w:sz="0" w:space="0" w:color="auto"/>
          </w:divBdr>
        </w:div>
      </w:divsChild>
    </w:div>
    <w:div w:id="1302537999">
      <w:bodyDiv w:val="1"/>
      <w:marLeft w:val="0"/>
      <w:marRight w:val="0"/>
      <w:marTop w:val="0"/>
      <w:marBottom w:val="0"/>
      <w:divBdr>
        <w:top w:val="none" w:sz="0" w:space="0" w:color="auto"/>
        <w:left w:val="none" w:sz="0" w:space="0" w:color="auto"/>
        <w:bottom w:val="none" w:sz="0" w:space="0" w:color="auto"/>
        <w:right w:val="none" w:sz="0" w:space="0" w:color="auto"/>
      </w:divBdr>
    </w:div>
    <w:div w:id="1308238707">
      <w:bodyDiv w:val="1"/>
      <w:marLeft w:val="0"/>
      <w:marRight w:val="0"/>
      <w:marTop w:val="0"/>
      <w:marBottom w:val="0"/>
      <w:divBdr>
        <w:top w:val="none" w:sz="0" w:space="0" w:color="auto"/>
        <w:left w:val="none" w:sz="0" w:space="0" w:color="auto"/>
        <w:bottom w:val="none" w:sz="0" w:space="0" w:color="auto"/>
        <w:right w:val="none" w:sz="0" w:space="0" w:color="auto"/>
      </w:divBdr>
      <w:divsChild>
        <w:div w:id="1011417233">
          <w:marLeft w:val="547"/>
          <w:marRight w:val="0"/>
          <w:marTop w:val="0"/>
          <w:marBottom w:val="0"/>
          <w:divBdr>
            <w:top w:val="none" w:sz="0" w:space="0" w:color="auto"/>
            <w:left w:val="none" w:sz="0" w:space="0" w:color="auto"/>
            <w:bottom w:val="none" w:sz="0" w:space="0" w:color="auto"/>
            <w:right w:val="none" w:sz="0" w:space="0" w:color="auto"/>
          </w:divBdr>
        </w:div>
      </w:divsChild>
    </w:div>
    <w:div w:id="1348094980">
      <w:bodyDiv w:val="1"/>
      <w:marLeft w:val="0"/>
      <w:marRight w:val="0"/>
      <w:marTop w:val="0"/>
      <w:marBottom w:val="0"/>
      <w:divBdr>
        <w:top w:val="none" w:sz="0" w:space="0" w:color="auto"/>
        <w:left w:val="none" w:sz="0" w:space="0" w:color="auto"/>
        <w:bottom w:val="none" w:sz="0" w:space="0" w:color="auto"/>
        <w:right w:val="none" w:sz="0" w:space="0" w:color="auto"/>
      </w:divBdr>
    </w:div>
    <w:div w:id="1348672034">
      <w:bodyDiv w:val="1"/>
      <w:marLeft w:val="0"/>
      <w:marRight w:val="0"/>
      <w:marTop w:val="0"/>
      <w:marBottom w:val="0"/>
      <w:divBdr>
        <w:top w:val="none" w:sz="0" w:space="0" w:color="auto"/>
        <w:left w:val="none" w:sz="0" w:space="0" w:color="auto"/>
        <w:bottom w:val="none" w:sz="0" w:space="0" w:color="auto"/>
        <w:right w:val="none" w:sz="0" w:space="0" w:color="auto"/>
      </w:divBdr>
    </w:div>
    <w:div w:id="1349674649">
      <w:bodyDiv w:val="1"/>
      <w:marLeft w:val="0"/>
      <w:marRight w:val="0"/>
      <w:marTop w:val="0"/>
      <w:marBottom w:val="0"/>
      <w:divBdr>
        <w:top w:val="none" w:sz="0" w:space="0" w:color="auto"/>
        <w:left w:val="none" w:sz="0" w:space="0" w:color="auto"/>
        <w:bottom w:val="none" w:sz="0" w:space="0" w:color="auto"/>
        <w:right w:val="none" w:sz="0" w:space="0" w:color="auto"/>
      </w:divBdr>
    </w:div>
    <w:div w:id="1352564275">
      <w:bodyDiv w:val="1"/>
      <w:marLeft w:val="0"/>
      <w:marRight w:val="0"/>
      <w:marTop w:val="0"/>
      <w:marBottom w:val="0"/>
      <w:divBdr>
        <w:top w:val="none" w:sz="0" w:space="0" w:color="auto"/>
        <w:left w:val="none" w:sz="0" w:space="0" w:color="auto"/>
        <w:bottom w:val="none" w:sz="0" w:space="0" w:color="auto"/>
        <w:right w:val="none" w:sz="0" w:space="0" w:color="auto"/>
      </w:divBdr>
    </w:div>
    <w:div w:id="1366756509">
      <w:bodyDiv w:val="1"/>
      <w:marLeft w:val="0"/>
      <w:marRight w:val="0"/>
      <w:marTop w:val="0"/>
      <w:marBottom w:val="0"/>
      <w:divBdr>
        <w:top w:val="none" w:sz="0" w:space="0" w:color="auto"/>
        <w:left w:val="none" w:sz="0" w:space="0" w:color="auto"/>
        <w:bottom w:val="none" w:sz="0" w:space="0" w:color="auto"/>
        <w:right w:val="none" w:sz="0" w:space="0" w:color="auto"/>
      </w:divBdr>
      <w:divsChild>
        <w:div w:id="78645554">
          <w:marLeft w:val="547"/>
          <w:marRight w:val="0"/>
          <w:marTop w:val="0"/>
          <w:marBottom w:val="0"/>
          <w:divBdr>
            <w:top w:val="none" w:sz="0" w:space="0" w:color="auto"/>
            <w:left w:val="none" w:sz="0" w:space="0" w:color="auto"/>
            <w:bottom w:val="none" w:sz="0" w:space="0" w:color="auto"/>
            <w:right w:val="none" w:sz="0" w:space="0" w:color="auto"/>
          </w:divBdr>
        </w:div>
      </w:divsChild>
    </w:div>
    <w:div w:id="1396855125">
      <w:bodyDiv w:val="1"/>
      <w:marLeft w:val="0"/>
      <w:marRight w:val="0"/>
      <w:marTop w:val="0"/>
      <w:marBottom w:val="0"/>
      <w:divBdr>
        <w:top w:val="none" w:sz="0" w:space="0" w:color="auto"/>
        <w:left w:val="none" w:sz="0" w:space="0" w:color="auto"/>
        <w:bottom w:val="none" w:sz="0" w:space="0" w:color="auto"/>
        <w:right w:val="none" w:sz="0" w:space="0" w:color="auto"/>
      </w:divBdr>
      <w:divsChild>
        <w:div w:id="1435976184">
          <w:marLeft w:val="547"/>
          <w:marRight w:val="0"/>
          <w:marTop w:val="0"/>
          <w:marBottom w:val="0"/>
          <w:divBdr>
            <w:top w:val="none" w:sz="0" w:space="0" w:color="auto"/>
            <w:left w:val="none" w:sz="0" w:space="0" w:color="auto"/>
            <w:bottom w:val="none" w:sz="0" w:space="0" w:color="auto"/>
            <w:right w:val="none" w:sz="0" w:space="0" w:color="auto"/>
          </w:divBdr>
        </w:div>
      </w:divsChild>
    </w:div>
    <w:div w:id="1410812390">
      <w:bodyDiv w:val="1"/>
      <w:marLeft w:val="0"/>
      <w:marRight w:val="0"/>
      <w:marTop w:val="0"/>
      <w:marBottom w:val="0"/>
      <w:divBdr>
        <w:top w:val="none" w:sz="0" w:space="0" w:color="auto"/>
        <w:left w:val="none" w:sz="0" w:space="0" w:color="auto"/>
        <w:bottom w:val="none" w:sz="0" w:space="0" w:color="auto"/>
        <w:right w:val="none" w:sz="0" w:space="0" w:color="auto"/>
      </w:divBdr>
      <w:divsChild>
        <w:div w:id="2124109632">
          <w:marLeft w:val="547"/>
          <w:marRight w:val="0"/>
          <w:marTop w:val="0"/>
          <w:marBottom w:val="0"/>
          <w:divBdr>
            <w:top w:val="none" w:sz="0" w:space="0" w:color="auto"/>
            <w:left w:val="none" w:sz="0" w:space="0" w:color="auto"/>
            <w:bottom w:val="none" w:sz="0" w:space="0" w:color="auto"/>
            <w:right w:val="none" w:sz="0" w:space="0" w:color="auto"/>
          </w:divBdr>
        </w:div>
      </w:divsChild>
    </w:div>
    <w:div w:id="1424837376">
      <w:bodyDiv w:val="1"/>
      <w:marLeft w:val="0"/>
      <w:marRight w:val="0"/>
      <w:marTop w:val="0"/>
      <w:marBottom w:val="0"/>
      <w:divBdr>
        <w:top w:val="none" w:sz="0" w:space="0" w:color="auto"/>
        <w:left w:val="none" w:sz="0" w:space="0" w:color="auto"/>
        <w:bottom w:val="none" w:sz="0" w:space="0" w:color="auto"/>
        <w:right w:val="none" w:sz="0" w:space="0" w:color="auto"/>
      </w:divBdr>
      <w:divsChild>
        <w:div w:id="711612865">
          <w:marLeft w:val="547"/>
          <w:marRight w:val="0"/>
          <w:marTop w:val="0"/>
          <w:marBottom w:val="0"/>
          <w:divBdr>
            <w:top w:val="none" w:sz="0" w:space="0" w:color="auto"/>
            <w:left w:val="none" w:sz="0" w:space="0" w:color="auto"/>
            <w:bottom w:val="none" w:sz="0" w:space="0" w:color="auto"/>
            <w:right w:val="none" w:sz="0" w:space="0" w:color="auto"/>
          </w:divBdr>
        </w:div>
      </w:divsChild>
    </w:div>
    <w:div w:id="1450125719">
      <w:bodyDiv w:val="1"/>
      <w:marLeft w:val="0"/>
      <w:marRight w:val="0"/>
      <w:marTop w:val="0"/>
      <w:marBottom w:val="0"/>
      <w:divBdr>
        <w:top w:val="none" w:sz="0" w:space="0" w:color="auto"/>
        <w:left w:val="none" w:sz="0" w:space="0" w:color="auto"/>
        <w:bottom w:val="none" w:sz="0" w:space="0" w:color="auto"/>
        <w:right w:val="none" w:sz="0" w:space="0" w:color="auto"/>
      </w:divBdr>
    </w:div>
    <w:div w:id="1476607801">
      <w:bodyDiv w:val="1"/>
      <w:marLeft w:val="0"/>
      <w:marRight w:val="0"/>
      <w:marTop w:val="0"/>
      <w:marBottom w:val="0"/>
      <w:divBdr>
        <w:top w:val="none" w:sz="0" w:space="0" w:color="auto"/>
        <w:left w:val="none" w:sz="0" w:space="0" w:color="auto"/>
        <w:bottom w:val="none" w:sz="0" w:space="0" w:color="auto"/>
        <w:right w:val="none" w:sz="0" w:space="0" w:color="auto"/>
      </w:divBdr>
    </w:div>
    <w:div w:id="1476877324">
      <w:bodyDiv w:val="1"/>
      <w:marLeft w:val="0"/>
      <w:marRight w:val="0"/>
      <w:marTop w:val="0"/>
      <w:marBottom w:val="0"/>
      <w:divBdr>
        <w:top w:val="none" w:sz="0" w:space="0" w:color="auto"/>
        <w:left w:val="none" w:sz="0" w:space="0" w:color="auto"/>
        <w:bottom w:val="none" w:sz="0" w:space="0" w:color="auto"/>
        <w:right w:val="none" w:sz="0" w:space="0" w:color="auto"/>
      </w:divBdr>
    </w:div>
    <w:div w:id="1492019605">
      <w:bodyDiv w:val="1"/>
      <w:marLeft w:val="0"/>
      <w:marRight w:val="0"/>
      <w:marTop w:val="0"/>
      <w:marBottom w:val="0"/>
      <w:divBdr>
        <w:top w:val="none" w:sz="0" w:space="0" w:color="auto"/>
        <w:left w:val="none" w:sz="0" w:space="0" w:color="auto"/>
        <w:bottom w:val="none" w:sz="0" w:space="0" w:color="auto"/>
        <w:right w:val="none" w:sz="0" w:space="0" w:color="auto"/>
      </w:divBdr>
    </w:div>
    <w:div w:id="1493906260">
      <w:bodyDiv w:val="1"/>
      <w:marLeft w:val="0"/>
      <w:marRight w:val="0"/>
      <w:marTop w:val="0"/>
      <w:marBottom w:val="0"/>
      <w:divBdr>
        <w:top w:val="none" w:sz="0" w:space="0" w:color="auto"/>
        <w:left w:val="none" w:sz="0" w:space="0" w:color="auto"/>
        <w:bottom w:val="none" w:sz="0" w:space="0" w:color="auto"/>
        <w:right w:val="none" w:sz="0" w:space="0" w:color="auto"/>
      </w:divBdr>
    </w:div>
    <w:div w:id="1496844268">
      <w:bodyDiv w:val="1"/>
      <w:marLeft w:val="0"/>
      <w:marRight w:val="0"/>
      <w:marTop w:val="0"/>
      <w:marBottom w:val="0"/>
      <w:divBdr>
        <w:top w:val="none" w:sz="0" w:space="0" w:color="auto"/>
        <w:left w:val="none" w:sz="0" w:space="0" w:color="auto"/>
        <w:bottom w:val="none" w:sz="0" w:space="0" w:color="auto"/>
        <w:right w:val="none" w:sz="0" w:space="0" w:color="auto"/>
      </w:divBdr>
    </w:div>
    <w:div w:id="1502550397">
      <w:bodyDiv w:val="1"/>
      <w:marLeft w:val="0"/>
      <w:marRight w:val="0"/>
      <w:marTop w:val="0"/>
      <w:marBottom w:val="0"/>
      <w:divBdr>
        <w:top w:val="none" w:sz="0" w:space="0" w:color="auto"/>
        <w:left w:val="none" w:sz="0" w:space="0" w:color="auto"/>
        <w:bottom w:val="none" w:sz="0" w:space="0" w:color="auto"/>
        <w:right w:val="none" w:sz="0" w:space="0" w:color="auto"/>
      </w:divBdr>
    </w:div>
    <w:div w:id="1524198696">
      <w:bodyDiv w:val="1"/>
      <w:marLeft w:val="0"/>
      <w:marRight w:val="0"/>
      <w:marTop w:val="0"/>
      <w:marBottom w:val="0"/>
      <w:divBdr>
        <w:top w:val="none" w:sz="0" w:space="0" w:color="auto"/>
        <w:left w:val="none" w:sz="0" w:space="0" w:color="auto"/>
        <w:bottom w:val="none" w:sz="0" w:space="0" w:color="auto"/>
        <w:right w:val="none" w:sz="0" w:space="0" w:color="auto"/>
      </w:divBdr>
    </w:div>
    <w:div w:id="1529106189">
      <w:bodyDiv w:val="1"/>
      <w:marLeft w:val="0"/>
      <w:marRight w:val="0"/>
      <w:marTop w:val="0"/>
      <w:marBottom w:val="0"/>
      <w:divBdr>
        <w:top w:val="none" w:sz="0" w:space="0" w:color="auto"/>
        <w:left w:val="none" w:sz="0" w:space="0" w:color="auto"/>
        <w:bottom w:val="none" w:sz="0" w:space="0" w:color="auto"/>
        <w:right w:val="none" w:sz="0" w:space="0" w:color="auto"/>
      </w:divBdr>
    </w:div>
    <w:div w:id="1548296652">
      <w:bodyDiv w:val="1"/>
      <w:marLeft w:val="0"/>
      <w:marRight w:val="0"/>
      <w:marTop w:val="0"/>
      <w:marBottom w:val="0"/>
      <w:divBdr>
        <w:top w:val="none" w:sz="0" w:space="0" w:color="auto"/>
        <w:left w:val="none" w:sz="0" w:space="0" w:color="auto"/>
        <w:bottom w:val="none" w:sz="0" w:space="0" w:color="auto"/>
        <w:right w:val="none" w:sz="0" w:space="0" w:color="auto"/>
      </w:divBdr>
    </w:div>
    <w:div w:id="1562935170">
      <w:bodyDiv w:val="1"/>
      <w:marLeft w:val="0"/>
      <w:marRight w:val="0"/>
      <w:marTop w:val="0"/>
      <w:marBottom w:val="0"/>
      <w:divBdr>
        <w:top w:val="none" w:sz="0" w:space="0" w:color="auto"/>
        <w:left w:val="none" w:sz="0" w:space="0" w:color="auto"/>
        <w:bottom w:val="none" w:sz="0" w:space="0" w:color="auto"/>
        <w:right w:val="none" w:sz="0" w:space="0" w:color="auto"/>
      </w:divBdr>
    </w:div>
    <w:div w:id="1564095289">
      <w:bodyDiv w:val="1"/>
      <w:marLeft w:val="0"/>
      <w:marRight w:val="0"/>
      <w:marTop w:val="0"/>
      <w:marBottom w:val="0"/>
      <w:divBdr>
        <w:top w:val="none" w:sz="0" w:space="0" w:color="auto"/>
        <w:left w:val="none" w:sz="0" w:space="0" w:color="auto"/>
        <w:bottom w:val="none" w:sz="0" w:space="0" w:color="auto"/>
        <w:right w:val="none" w:sz="0" w:space="0" w:color="auto"/>
      </w:divBdr>
    </w:div>
    <w:div w:id="1567179624">
      <w:bodyDiv w:val="1"/>
      <w:marLeft w:val="0"/>
      <w:marRight w:val="0"/>
      <w:marTop w:val="0"/>
      <w:marBottom w:val="0"/>
      <w:divBdr>
        <w:top w:val="none" w:sz="0" w:space="0" w:color="auto"/>
        <w:left w:val="none" w:sz="0" w:space="0" w:color="auto"/>
        <w:bottom w:val="none" w:sz="0" w:space="0" w:color="auto"/>
        <w:right w:val="none" w:sz="0" w:space="0" w:color="auto"/>
      </w:divBdr>
      <w:divsChild>
        <w:div w:id="768819180">
          <w:marLeft w:val="547"/>
          <w:marRight w:val="0"/>
          <w:marTop w:val="0"/>
          <w:marBottom w:val="0"/>
          <w:divBdr>
            <w:top w:val="none" w:sz="0" w:space="0" w:color="auto"/>
            <w:left w:val="none" w:sz="0" w:space="0" w:color="auto"/>
            <w:bottom w:val="none" w:sz="0" w:space="0" w:color="auto"/>
            <w:right w:val="none" w:sz="0" w:space="0" w:color="auto"/>
          </w:divBdr>
        </w:div>
      </w:divsChild>
    </w:div>
    <w:div w:id="1577082582">
      <w:bodyDiv w:val="1"/>
      <w:marLeft w:val="0"/>
      <w:marRight w:val="0"/>
      <w:marTop w:val="0"/>
      <w:marBottom w:val="0"/>
      <w:divBdr>
        <w:top w:val="none" w:sz="0" w:space="0" w:color="auto"/>
        <w:left w:val="none" w:sz="0" w:space="0" w:color="auto"/>
        <w:bottom w:val="none" w:sz="0" w:space="0" w:color="auto"/>
        <w:right w:val="none" w:sz="0" w:space="0" w:color="auto"/>
      </w:divBdr>
    </w:div>
    <w:div w:id="1581132934">
      <w:bodyDiv w:val="1"/>
      <w:marLeft w:val="0"/>
      <w:marRight w:val="0"/>
      <w:marTop w:val="0"/>
      <w:marBottom w:val="0"/>
      <w:divBdr>
        <w:top w:val="none" w:sz="0" w:space="0" w:color="auto"/>
        <w:left w:val="none" w:sz="0" w:space="0" w:color="auto"/>
        <w:bottom w:val="none" w:sz="0" w:space="0" w:color="auto"/>
        <w:right w:val="none" w:sz="0" w:space="0" w:color="auto"/>
      </w:divBdr>
    </w:div>
    <w:div w:id="1587810636">
      <w:bodyDiv w:val="1"/>
      <w:marLeft w:val="0"/>
      <w:marRight w:val="0"/>
      <w:marTop w:val="0"/>
      <w:marBottom w:val="0"/>
      <w:divBdr>
        <w:top w:val="none" w:sz="0" w:space="0" w:color="auto"/>
        <w:left w:val="none" w:sz="0" w:space="0" w:color="auto"/>
        <w:bottom w:val="none" w:sz="0" w:space="0" w:color="auto"/>
        <w:right w:val="none" w:sz="0" w:space="0" w:color="auto"/>
      </w:divBdr>
      <w:divsChild>
        <w:div w:id="1766151603">
          <w:marLeft w:val="547"/>
          <w:marRight w:val="0"/>
          <w:marTop w:val="0"/>
          <w:marBottom w:val="0"/>
          <w:divBdr>
            <w:top w:val="none" w:sz="0" w:space="0" w:color="auto"/>
            <w:left w:val="none" w:sz="0" w:space="0" w:color="auto"/>
            <w:bottom w:val="none" w:sz="0" w:space="0" w:color="auto"/>
            <w:right w:val="none" w:sz="0" w:space="0" w:color="auto"/>
          </w:divBdr>
        </w:div>
      </w:divsChild>
    </w:div>
    <w:div w:id="1598978501">
      <w:bodyDiv w:val="1"/>
      <w:marLeft w:val="0"/>
      <w:marRight w:val="0"/>
      <w:marTop w:val="0"/>
      <w:marBottom w:val="0"/>
      <w:divBdr>
        <w:top w:val="none" w:sz="0" w:space="0" w:color="auto"/>
        <w:left w:val="none" w:sz="0" w:space="0" w:color="auto"/>
        <w:bottom w:val="none" w:sz="0" w:space="0" w:color="auto"/>
        <w:right w:val="none" w:sz="0" w:space="0" w:color="auto"/>
      </w:divBdr>
      <w:divsChild>
        <w:div w:id="1242371343">
          <w:marLeft w:val="547"/>
          <w:marRight w:val="0"/>
          <w:marTop w:val="0"/>
          <w:marBottom w:val="0"/>
          <w:divBdr>
            <w:top w:val="none" w:sz="0" w:space="0" w:color="auto"/>
            <w:left w:val="none" w:sz="0" w:space="0" w:color="auto"/>
            <w:bottom w:val="none" w:sz="0" w:space="0" w:color="auto"/>
            <w:right w:val="none" w:sz="0" w:space="0" w:color="auto"/>
          </w:divBdr>
        </w:div>
      </w:divsChild>
    </w:div>
    <w:div w:id="1614901708">
      <w:bodyDiv w:val="1"/>
      <w:marLeft w:val="0"/>
      <w:marRight w:val="0"/>
      <w:marTop w:val="0"/>
      <w:marBottom w:val="0"/>
      <w:divBdr>
        <w:top w:val="none" w:sz="0" w:space="0" w:color="auto"/>
        <w:left w:val="none" w:sz="0" w:space="0" w:color="auto"/>
        <w:bottom w:val="none" w:sz="0" w:space="0" w:color="auto"/>
        <w:right w:val="none" w:sz="0" w:space="0" w:color="auto"/>
      </w:divBdr>
    </w:div>
    <w:div w:id="1617246896">
      <w:bodyDiv w:val="1"/>
      <w:marLeft w:val="0"/>
      <w:marRight w:val="0"/>
      <w:marTop w:val="0"/>
      <w:marBottom w:val="0"/>
      <w:divBdr>
        <w:top w:val="none" w:sz="0" w:space="0" w:color="auto"/>
        <w:left w:val="none" w:sz="0" w:space="0" w:color="auto"/>
        <w:bottom w:val="none" w:sz="0" w:space="0" w:color="auto"/>
        <w:right w:val="none" w:sz="0" w:space="0" w:color="auto"/>
      </w:divBdr>
    </w:div>
    <w:div w:id="1620841265">
      <w:bodyDiv w:val="1"/>
      <w:marLeft w:val="0"/>
      <w:marRight w:val="0"/>
      <w:marTop w:val="0"/>
      <w:marBottom w:val="0"/>
      <w:divBdr>
        <w:top w:val="none" w:sz="0" w:space="0" w:color="auto"/>
        <w:left w:val="none" w:sz="0" w:space="0" w:color="auto"/>
        <w:bottom w:val="none" w:sz="0" w:space="0" w:color="auto"/>
        <w:right w:val="none" w:sz="0" w:space="0" w:color="auto"/>
      </w:divBdr>
    </w:div>
    <w:div w:id="1627735489">
      <w:bodyDiv w:val="1"/>
      <w:marLeft w:val="0"/>
      <w:marRight w:val="0"/>
      <w:marTop w:val="0"/>
      <w:marBottom w:val="0"/>
      <w:divBdr>
        <w:top w:val="none" w:sz="0" w:space="0" w:color="auto"/>
        <w:left w:val="none" w:sz="0" w:space="0" w:color="auto"/>
        <w:bottom w:val="none" w:sz="0" w:space="0" w:color="auto"/>
        <w:right w:val="none" w:sz="0" w:space="0" w:color="auto"/>
      </w:divBdr>
    </w:div>
    <w:div w:id="1640263164">
      <w:bodyDiv w:val="1"/>
      <w:marLeft w:val="0"/>
      <w:marRight w:val="0"/>
      <w:marTop w:val="0"/>
      <w:marBottom w:val="0"/>
      <w:divBdr>
        <w:top w:val="none" w:sz="0" w:space="0" w:color="auto"/>
        <w:left w:val="none" w:sz="0" w:space="0" w:color="auto"/>
        <w:bottom w:val="none" w:sz="0" w:space="0" w:color="auto"/>
        <w:right w:val="none" w:sz="0" w:space="0" w:color="auto"/>
      </w:divBdr>
    </w:div>
    <w:div w:id="1643920240">
      <w:bodyDiv w:val="1"/>
      <w:marLeft w:val="0"/>
      <w:marRight w:val="0"/>
      <w:marTop w:val="0"/>
      <w:marBottom w:val="0"/>
      <w:divBdr>
        <w:top w:val="none" w:sz="0" w:space="0" w:color="auto"/>
        <w:left w:val="none" w:sz="0" w:space="0" w:color="auto"/>
        <w:bottom w:val="none" w:sz="0" w:space="0" w:color="auto"/>
        <w:right w:val="none" w:sz="0" w:space="0" w:color="auto"/>
      </w:divBdr>
      <w:divsChild>
        <w:div w:id="1816265110">
          <w:marLeft w:val="547"/>
          <w:marRight w:val="0"/>
          <w:marTop w:val="0"/>
          <w:marBottom w:val="0"/>
          <w:divBdr>
            <w:top w:val="none" w:sz="0" w:space="0" w:color="auto"/>
            <w:left w:val="none" w:sz="0" w:space="0" w:color="auto"/>
            <w:bottom w:val="none" w:sz="0" w:space="0" w:color="auto"/>
            <w:right w:val="none" w:sz="0" w:space="0" w:color="auto"/>
          </w:divBdr>
        </w:div>
      </w:divsChild>
    </w:div>
    <w:div w:id="1651713285">
      <w:bodyDiv w:val="1"/>
      <w:marLeft w:val="0"/>
      <w:marRight w:val="0"/>
      <w:marTop w:val="0"/>
      <w:marBottom w:val="0"/>
      <w:divBdr>
        <w:top w:val="none" w:sz="0" w:space="0" w:color="auto"/>
        <w:left w:val="none" w:sz="0" w:space="0" w:color="auto"/>
        <w:bottom w:val="none" w:sz="0" w:space="0" w:color="auto"/>
        <w:right w:val="none" w:sz="0" w:space="0" w:color="auto"/>
      </w:divBdr>
      <w:divsChild>
        <w:div w:id="1454519095">
          <w:marLeft w:val="547"/>
          <w:marRight w:val="0"/>
          <w:marTop w:val="0"/>
          <w:marBottom w:val="0"/>
          <w:divBdr>
            <w:top w:val="none" w:sz="0" w:space="0" w:color="auto"/>
            <w:left w:val="none" w:sz="0" w:space="0" w:color="auto"/>
            <w:bottom w:val="none" w:sz="0" w:space="0" w:color="auto"/>
            <w:right w:val="none" w:sz="0" w:space="0" w:color="auto"/>
          </w:divBdr>
        </w:div>
      </w:divsChild>
    </w:div>
    <w:div w:id="1678343231">
      <w:bodyDiv w:val="1"/>
      <w:marLeft w:val="0"/>
      <w:marRight w:val="0"/>
      <w:marTop w:val="0"/>
      <w:marBottom w:val="0"/>
      <w:divBdr>
        <w:top w:val="none" w:sz="0" w:space="0" w:color="auto"/>
        <w:left w:val="none" w:sz="0" w:space="0" w:color="auto"/>
        <w:bottom w:val="none" w:sz="0" w:space="0" w:color="auto"/>
        <w:right w:val="none" w:sz="0" w:space="0" w:color="auto"/>
      </w:divBdr>
      <w:divsChild>
        <w:div w:id="1614704016">
          <w:marLeft w:val="547"/>
          <w:marRight w:val="0"/>
          <w:marTop w:val="0"/>
          <w:marBottom w:val="0"/>
          <w:divBdr>
            <w:top w:val="none" w:sz="0" w:space="0" w:color="auto"/>
            <w:left w:val="none" w:sz="0" w:space="0" w:color="auto"/>
            <w:bottom w:val="none" w:sz="0" w:space="0" w:color="auto"/>
            <w:right w:val="none" w:sz="0" w:space="0" w:color="auto"/>
          </w:divBdr>
        </w:div>
      </w:divsChild>
    </w:div>
    <w:div w:id="1678580405">
      <w:bodyDiv w:val="1"/>
      <w:marLeft w:val="0"/>
      <w:marRight w:val="0"/>
      <w:marTop w:val="0"/>
      <w:marBottom w:val="0"/>
      <w:divBdr>
        <w:top w:val="none" w:sz="0" w:space="0" w:color="auto"/>
        <w:left w:val="none" w:sz="0" w:space="0" w:color="auto"/>
        <w:bottom w:val="none" w:sz="0" w:space="0" w:color="auto"/>
        <w:right w:val="none" w:sz="0" w:space="0" w:color="auto"/>
      </w:divBdr>
    </w:div>
    <w:div w:id="1689794208">
      <w:bodyDiv w:val="1"/>
      <w:marLeft w:val="0"/>
      <w:marRight w:val="0"/>
      <w:marTop w:val="0"/>
      <w:marBottom w:val="0"/>
      <w:divBdr>
        <w:top w:val="none" w:sz="0" w:space="0" w:color="auto"/>
        <w:left w:val="none" w:sz="0" w:space="0" w:color="auto"/>
        <w:bottom w:val="none" w:sz="0" w:space="0" w:color="auto"/>
        <w:right w:val="none" w:sz="0" w:space="0" w:color="auto"/>
      </w:divBdr>
    </w:div>
    <w:div w:id="1713263557">
      <w:bodyDiv w:val="1"/>
      <w:marLeft w:val="0"/>
      <w:marRight w:val="0"/>
      <w:marTop w:val="0"/>
      <w:marBottom w:val="0"/>
      <w:divBdr>
        <w:top w:val="none" w:sz="0" w:space="0" w:color="auto"/>
        <w:left w:val="none" w:sz="0" w:space="0" w:color="auto"/>
        <w:bottom w:val="none" w:sz="0" w:space="0" w:color="auto"/>
        <w:right w:val="none" w:sz="0" w:space="0" w:color="auto"/>
      </w:divBdr>
    </w:div>
    <w:div w:id="1714386937">
      <w:bodyDiv w:val="1"/>
      <w:marLeft w:val="0"/>
      <w:marRight w:val="0"/>
      <w:marTop w:val="0"/>
      <w:marBottom w:val="0"/>
      <w:divBdr>
        <w:top w:val="none" w:sz="0" w:space="0" w:color="auto"/>
        <w:left w:val="none" w:sz="0" w:space="0" w:color="auto"/>
        <w:bottom w:val="none" w:sz="0" w:space="0" w:color="auto"/>
        <w:right w:val="none" w:sz="0" w:space="0" w:color="auto"/>
      </w:divBdr>
    </w:div>
    <w:div w:id="1714887813">
      <w:bodyDiv w:val="1"/>
      <w:marLeft w:val="0"/>
      <w:marRight w:val="0"/>
      <w:marTop w:val="0"/>
      <w:marBottom w:val="0"/>
      <w:divBdr>
        <w:top w:val="none" w:sz="0" w:space="0" w:color="auto"/>
        <w:left w:val="none" w:sz="0" w:space="0" w:color="auto"/>
        <w:bottom w:val="none" w:sz="0" w:space="0" w:color="auto"/>
        <w:right w:val="none" w:sz="0" w:space="0" w:color="auto"/>
      </w:divBdr>
    </w:div>
    <w:div w:id="1723676354">
      <w:bodyDiv w:val="1"/>
      <w:marLeft w:val="0"/>
      <w:marRight w:val="0"/>
      <w:marTop w:val="0"/>
      <w:marBottom w:val="0"/>
      <w:divBdr>
        <w:top w:val="none" w:sz="0" w:space="0" w:color="auto"/>
        <w:left w:val="none" w:sz="0" w:space="0" w:color="auto"/>
        <w:bottom w:val="none" w:sz="0" w:space="0" w:color="auto"/>
        <w:right w:val="none" w:sz="0" w:space="0" w:color="auto"/>
      </w:divBdr>
      <w:divsChild>
        <w:div w:id="1064523578">
          <w:marLeft w:val="547"/>
          <w:marRight w:val="0"/>
          <w:marTop w:val="0"/>
          <w:marBottom w:val="0"/>
          <w:divBdr>
            <w:top w:val="none" w:sz="0" w:space="0" w:color="auto"/>
            <w:left w:val="none" w:sz="0" w:space="0" w:color="auto"/>
            <w:bottom w:val="none" w:sz="0" w:space="0" w:color="auto"/>
            <w:right w:val="none" w:sz="0" w:space="0" w:color="auto"/>
          </w:divBdr>
        </w:div>
      </w:divsChild>
    </w:div>
    <w:div w:id="1727410969">
      <w:bodyDiv w:val="1"/>
      <w:marLeft w:val="0"/>
      <w:marRight w:val="0"/>
      <w:marTop w:val="0"/>
      <w:marBottom w:val="0"/>
      <w:divBdr>
        <w:top w:val="none" w:sz="0" w:space="0" w:color="auto"/>
        <w:left w:val="none" w:sz="0" w:space="0" w:color="auto"/>
        <w:bottom w:val="none" w:sz="0" w:space="0" w:color="auto"/>
        <w:right w:val="none" w:sz="0" w:space="0" w:color="auto"/>
      </w:divBdr>
      <w:divsChild>
        <w:div w:id="1896970371">
          <w:marLeft w:val="547"/>
          <w:marRight w:val="0"/>
          <w:marTop w:val="0"/>
          <w:marBottom w:val="0"/>
          <w:divBdr>
            <w:top w:val="none" w:sz="0" w:space="0" w:color="auto"/>
            <w:left w:val="none" w:sz="0" w:space="0" w:color="auto"/>
            <w:bottom w:val="none" w:sz="0" w:space="0" w:color="auto"/>
            <w:right w:val="none" w:sz="0" w:space="0" w:color="auto"/>
          </w:divBdr>
        </w:div>
      </w:divsChild>
    </w:div>
    <w:div w:id="1729651336">
      <w:bodyDiv w:val="1"/>
      <w:marLeft w:val="0"/>
      <w:marRight w:val="0"/>
      <w:marTop w:val="0"/>
      <w:marBottom w:val="0"/>
      <w:divBdr>
        <w:top w:val="none" w:sz="0" w:space="0" w:color="auto"/>
        <w:left w:val="none" w:sz="0" w:space="0" w:color="auto"/>
        <w:bottom w:val="none" w:sz="0" w:space="0" w:color="auto"/>
        <w:right w:val="none" w:sz="0" w:space="0" w:color="auto"/>
      </w:divBdr>
    </w:div>
    <w:div w:id="1730768111">
      <w:bodyDiv w:val="1"/>
      <w:marLeft w:val="0"/>
      <w:marRight w:val="0"/>
      <w:marTop w:val="0"/>
      <w:marBottom w:val="0"/>
      <w:divBdr>
        <w:top w:val="none" w:sz="0" w:space="0" w:color="auto"/>
        <w:left w:val="none" w:sz="0" w:space="0" w:color="auto"/>
        <w:bottom w:val="none" w:sz="0" w:space="0" w:color="auto"/>
        <w:right w:val="none" w:sz="0" w:space="0" w:color="auto"/>
      </w:divBdr>
    </w:div>
    <w:div w:id="1737778602">
      <w:bodyDiv w:val="1"/>
      <w:marLeft w:val="0"/>
      <w:marRight w:val="0"/>
      <w:marTop w:val="0"/>
      <w:marBottom w:val="0"/>
      <w:divBdr>
        <w:top w:val="none" w:sz="0" w:space="0" w:color="auto"/>
        <w:left w:val="none" w:sz="0" w:space="0" w:color="auto"/>
        <w:bottom w:val="none" w:sz="0" w:space="0" w:color="auto"/>
        <w:right w:val="none" w:sz="0" w:space="0" w:color="auto"/>
      </w:divBdr>
      <w:divsChild>
        <w:div w:id="956135892">
          <w:marLeft w:val="547"/>
          <w:marRight w:val="0"/>
          <w:marTop w:val="0"/>
          <w:marBottom w:val="0"/>
          <w:divBdr>
            <w:top w:val="none" w:sz="0" w:space="0" w:color="auto"/>
            <w:left w:val="none" w:sz="0" w:space="0" w:color="auto"/>
            <w:bottom w:val="none" w:sz="0" w:space="0" w:color="auto"/>
            <w:right w:val="none" w:sz="0" w:space="0" w:color="auto"/>
          </w:divBdr>
        </w:div>
      </w:divsChild>
    </w:div>
    <w:div w:id="1765102342">
      <w:bodyDiv w:val="1"/>
      <w:marLeft w:val="0"/>
      <w:marRight w:val="0"/>
      <w:marTop w:val="0"/>
      <w:marBottom w:val="0"/>
      <w:divBdr>
        <w:top w:val="none" w:sz="0" w:space="0" w:color="auto"/>
        <w:left w:val="none" w:sz="0" w:space="0" w:color="auto"/>
        <w:bottom w:val="none" w:sz="0" w:space="0" w:color="auto"/>
        <w:right w:val="none" w:sz="0" w:space="0" w:color="auto"/>
      </w:divBdr>
    </w:div>
    <w:div w:id="1793284530">
      <w:bodyDiv w:val="1"/>
      <w:marLeft w:val="0"/>
      <w:marRight w:val="0"/>
      <w:marTop w:val="0"/>
      <w:marBottom w:val="0"/>
      <w:divBdr>
        <w:top w:val="none" w:sz="0" w:space="0" w:color="auto"/>
        <w:left w:val="none" w:sz="0" w:space="0" w:color="auto"/>
        <w:bottom w:val="none" w:sz="0" w:space="0" w:color="auto"/>
        <w:right w:val="none" w:sz="0" w:space="0" w:color="auto"/>
      </w:divBdr>
    </w:div>
    <w:div w:id="1803422666">
      <w:bodyDiv w:val="1"/>
      <w:marLeft w:val="0"/>
      <w:marRight w:val="0"/>
      <w:marTop w:val="0"/>
      <w:marBottom w:val="0"/>
      <w:divBdr>
        <w:top w:val="none" w:sz="0" w:space="0" w:color="auto"/>
        <w:left w:val="none" w:sz="0" w:space="0" w:color="auto"/>
        <w:bottom w:val="none" w:sz="0" w:space="0" w:color="auto"/>
        <w:right w:val="none" w:sz="0" w:space="0" w:color="auto"/>
      </w:divBdr>
    </w:div>
    <w:div w:id="1834373894">
      <w:bodyDiv w:val="1"/>
      <w:marLeft w:val="0"/>
      <w:marRight w:val="0"/>
      <w:marTop w:val="0"/>
      <w:marBottom w:val="0"/>
      <w:divBdr>
        <w:top w:val="none" w:sz="0" w:space="0" w:color="auto"/>
        <w:left w:val="none" w:sz="0" w:space="0" w:color="auto"/>
        <w:bottom w:val="none" w:sz="0" w:space="0" w:color="auto"/>
        <w:right w:val="none" w:sz="0" w:space="0" w:color="auto"/>
      </w:divBdr>
    </w:div>
    <w:div w:id="1836187769">
      <w:bodyDiv w:val="1"/>
      <w:marLeft w:val="0"/>
      <w:marRight w:val="0"/>
      <w:marTop w:val="0"/>
      <w:marBottom w:val="0"/>
      <w:divBdr>
        <w:top w:val="none" w:sz="0" w:space="0" w:color="auto"/>
        <w:left w:val="none" w:sz="0" w:space="0" w:color="auto"/>
        <w:bottom w:val="none" w:sz="0" w:space="0" w:color="auto"/>
        <w:right w:val="none" w:sz="0" w:space="0" w:color="auto"/>
      </w:divBdr>
      <w:divsChild>
        <w:div w:id="1324317537">
          <w:marLeft w:val="547"/>
          <w:marRight w:val="0"/>
          <w:marTop w:val="0"/>
          <w:marBottom w:val="0"/>
          <w:divBdr>
            <w:top w:val="none" w:sz="0" w:space="0" w:color="auto"/>
            <w:left w:val="none" w:sz="0" w:space="0" w:color="auto"/>
            <w:bottom w:val="none" w:sz="0" w:space="0" w:color="auto"/>
            <w:right w:val="none" w:sz="0" w:space="0" w:color="auto"/>
          </w:divBdr>
        </w:div>
      </w:divsChild>
    </w:div>
    <w:div w:id="1845047158">
      <w:bodyDiv w:val="1"/>
      <w:marLeft w:val="0"/>
      <w:marRight w:val="0"/>
      <w:marTop w:val="0"/>
      <w:marBottom w:val="0"/>
      <w:divBdr>
        <w:top w:val="none" w:sz="0" w:space="0" w:color="auto"/>
        <w:left w:val="none" w:sz="0" w:space="0" w:color="auto"/>
        <w:bottom w:val="none" w:sz="0" w:space="0" w:color="auto"/>
        <w:right w:val="none" w:sz="0" w:space="0" w:color="auto"/>
      </w:divBdr>
    </w:div>
    <w:div w:id="1863546069">
      <w:bodyDiv w:val="1"/>
      <w:marLeft w:val="0"/>
      <w:marRight w:val="0"/>
      <w:marTop w:val="0"/>
      <w:marBottom w:val="0"/>
      <w:divBdr>
        <w:top w:val="none" w:sz="0" w:space="0" w:color="auto"/>
        <w:left w:val="none" w:sz="0" w:space="0" w:color="auto"/>
        <w:bottom w:val="none" w:sz="0" w:space="0" w:color="auto"/>
        <w:right w:val="none" w:sz="0" w:space="0" w:color="auto"/>
      </w:divBdr>
    </w:div>
    <w:div w:id="1863593232">
      <w:bodyDiv w:val="1"/>
      <w:marLeft w:val="0"/>
      <w:marRight w:val="0"/>
      <w:marTop w:val="0"/>
      <w:marBottom w:val="0"/>
      <w:divBdr>
        <w:top w:val="none" w:sz="0" w:space="0" w:color="auto"/>
        <w:left w:val="none" w:sz="0" w:space="0" w:color="auto"/>
        <w:bottom w:val="none" w:sz="0" w:space="0" w:color="auto"/>
        <w:right w:val="none" w:sz="0" w:space="0" w:color="auto"/>
      </w:divBdr>
    </w:div>
    <w:div w:id="1863742717">
      <w:bodyDiv w:val="1"/>
      <w:marLeft w:val="0"/>
      <w:marRight w:val="0"/>
      <w:marTop w:val="0"/>
      <w:marBottom w:val="0"/>
      <w:divBdr>
        <w:top w:val="none" w:sz="0" w:space="0" w:color="auto"/>
        <w:left w:val="none" w:sz="0" w:space="0" w:color="auto"/>
        <w:bottom w:val="none" w:sz="0" w:space="0" w:color="auto"/>
        <w:right w:val="none" w:sz="0" w:space="0" w:color="auto"/>
      </w:divBdr>
      <w:divsChild>
        <w:div w:id="1891571072">
          <w:marLeft w:val="547"/>
          <w:marRight w:val="0"/>
          <w:marTop w:val="0"/>
          <w:marBottom w:val="0"/>
          <w:divBdr>
            <w:top w:val="none" w:sz="0" w:space="0" w:color="auto"/>
            <w:left w:val="none" w:sz="0" w:space="0" w:color="auto"/>
            <w:bottom w:val="none" w:sz="0" w:space="0" w:color="auto"/>
            <w:right w:val="none" w:sz="0" w:space="0" w:color="auto"/>
          </w:divBdr>
        </w:div>
      </w:divsChild>
    </w:div>
    <w:div w:id="1867522338">
      <w:bodyDiv w:val="1"/>
      <w:marLeft w:val="0"/>
      <w:marRight w:val="0"/>
      <w:marTop w:val="0"/>
      <w:marBottom w:val="0"/>
      <w:divBdr>
        <w:top w:val="none" w:sz="0" w:space="0" w:color="auto"/>
        <w:left w:val="none" w:sz="0" w:space="0" w:color="auto"/>
        <w:bottom w:val="none" w:sz="0" w:space="0" w:color="auto"/>
        <w:right w:val="none" w:sz="0" w:space="0" w:color="auto"/>
      </w:divBdr>
      <w:divsChild>
        <w:div w:id="486751012">
          <w:marLeft w:val="547"/>
          <w:marRight w:val="0"/>
          <w:marTop w:val="0"/>
          <w:marBottom w:val="0"/>
          <w:divBdr>
            <w:top w:val="none" w:sz="0" w:space="0" w:color="auto"/>
            <w:left w:val="none" w:sz="0" w:space="0" w:color="auto"/>
            <w:bottom w:val="none" w:sz="0" w:space="0" w:color="auto"/>
            <w:right w:val="none" w:sz="0" w:space="0" w:color="auto"/>
          </w:divBdr>
        </w:div>
        <w:div w:id="1208681855">
          <w:marLeft w:val="547"/>
          <w:marRight w:val="0"/>
          <w:marTop w:val="0"/>
          <w:marBottom w:val="0"/>
          <w:divBdr>
            <w:top w:val="none" w:sz="0" w:space="0" w:color="auto"/>
            <w:left w:val="none" w:sz="0" w:space="0" w:color="auto"/>
            <w:bottom w:val="none" w:sz="0" w:space="0" w:color="auto"/>
            <w:right w:val="none" w:sz="0" w:space="0" w:color="auto"/>
          </w:divBdr>
        </w:div>
      </w:divsChild>
    </w:div>
    <w:div w:id="1882279896">
      <w:bodyDiv w:val="1"/>
      <w:marLeft w:val="0"/>
      <w:marRight w:val="0"/>
      <w:marTop w:val="0"/>
      <w:marBottom w:val="0"/>
      <w:divBdr>
        <w:top w:val="none" w:sz="0" w:space="0" w:color="auto"/>
        <w:left w:val="none" w:sz="0" w:space="0" w:color="auto"/>
        <w:bottom w:val="none" w:sz="0" w:space="0" w:color="auto"/>
        <w:right w:val="none" w:sz="0" w:space="0" w:color="auto"/>
      </w:divBdr>
    </w:div>
    <w:div w:id="1886330242">
      <w:bodyDiv w:val="1"/>
      <w:marLeft w:val="0"/>
      <w:marRight w:val="0"/>
      <w:marTop w:val="0"/>
      <w:marBottom w:val="0"/>
      <w:divBdr>
        <w:top w:val="none" w:sz="0" w:space="0" w:color="auto"/>
        <w:left w:val="none" w:sz="0" w:space="0" w:color="auto"/>
        <w:bottom w:val="none" w:sz="0" w:space="0" w:color="auto"/>
        <w:right w:val="none" w:sz="0" w:space="0" w:color="auto"/>
      </w:divBdr>
    </w:div>
    <w:div w:id="1895307531">
      <w:bodyDiv w:val="1"/>
      <w:marLeft w:val="0"/>
      <w:marRight w:val="0"/>
      <w:marTop w:val="0"/>
      <w:marBottom w:val="0"/>
      <w:divBdr>
        <w:top w:val="none" w:sz="0" w:space="0" w:color="auto"/>
        <w:left w:val="none" w:sz="0" w:space="0" w:color="auto"/>
        <w:bottom w:val="none" w:sz="0" w:space="0" w:color="auto"/>
        <w:right w:val="none" w:sz="0" w:space="0" w:color="auto"/>
      </w:divBdr>
      <w:divsChild>
        <w:div w:id="589051130">
          <w:marLeft w:val="547"/>
          <w:marRight w:val="0"/>
          <w:marTop w:val="0"/>
          <w:marBottom w:val="0"/>
          <w:divBdr>
            <w:top w:val="none" w:sz="0" w:space="0" w:color="auto"/>
            <w:left w:val="none" w:sz="0" w:space="0" w:color="auto"/>
            <w:bottom w:val="none" w:sz="0" w:space="0" w:color="auto"/>
            <w:right w:val="none" w:sz="0" w:space="0" w:color="auto"/>
          </w:divBdr>
        </w:div>
      </w:divsChild>
    </w:div>
    <w:div w:id="1910991145">
      <w:bodyDiv w:val="1"/>
      <w:marLeft w:val="0"/>
      <w:marRight w:val="0"/>
      <w:marTop w:val="0"/>
      <w:marBottom w:val="0"/>
      <w:divBdr>
        <w:top w:val="none" w:sz="0" w:space="0" w:color="auto"/>
        <w:left w:val="none" w:sz="0" w:space="0" w:color="auto"/>
        <w:bottom w:val="none" w:sz="0" w:space="0" w:color="auto"/>
        <w:right w:val="none" w:sz="0" w:space="0" w:color="auto"/>
      </w:divBdr>
    </w:div>
    <w:div w:id="1919094572">
      <w:bodyDiv w:val="1"/>
      <w:marLeft w:val="0"/>
      <w:marRight w:val="0"/>
      <w:marTop w:val="0"/>
      <w:marBottom w:val="0"/>
      <w:divBdr>
        <w:top w:val="none" w:sz="0" w:space="0" w:color="auto"/>
        <w:left w:val="none" w:sz="0" w:space="0" w:color="auto"/>
        <w:bottom w:val="none" w:sz="0" w:space="0" w:color="auto"/>
        <w:right w:val="none" w:sz="0" w:space="0" w:color="auto"/>
      </w:divBdr>
    </w:div>
    <w:div w:id="1923877423">
      <w:bodyDiv w:val="1"/>
      <w:marLeft w:val="0"/>
      <w:marRight w:val="0"/>
      <w:marTop w:val="0"/>
      <w:marBottom w:val="0"/>
      <w:divBdr>
        <w:top w:val="none" w:sz="0" w:space="0" w:color="auto"/>
        <w:left w:val="none" w:sz="0" w:space="0" w:color="auto"/>
        <w:bottom w:val="none" w:sz="0" w:space="0" w:color="auto"/>
        <w:right w:val="none" w:sz="0" w:space="0" w:color="auto"/>
      </w:divBdr>
    </w:div>
    <w:div w:id="1926920088">
      <w:bodyDiv w:val="1"/>
      <w:marLeft w:val="0"/>
      <w:marRight w:val="0"/>
      <w:marTop w:val="0"/>
      <w:marBottom w:val="0"/>
      <w:divBdr>
        <w:top w:val="none" w:sz="0" w:space="0" w:color="auto"/>
        <w:left w:val="none" w:sz="0" w:space="0" w:color="auto"/>
        <w:bottom w:val="none" w:sz="0" w:space="0" w:color="auto"/>
        <w:right w:val="none" w:sz="0" w:space="0" w:color="auto"/>
      </w:divBdr>
    </w:div>
    <w:div w:id="1927374500">
      <w:bodyDiv w:val="1"/>
      <w:marLeft w:val="0"/>
      <w:marRight w:val="0"/>
      <w:marTop w:val="0"/>
      <w:marBottom w:val="0"/>
      <w:divBdr>
        <w:top w:val="none" w:sz="0" w:space="0" w:color="auto"/>
        <w:left w:val="none" w:sz="0" w:space="0" w:color="auto"/>
        <w:bottom w:val="none" w:sz="0" w:space="0" w:color="auto"/>
        <w:right w:val="none" w:sz="0" w:space="0" w:color="auto"/>
      </w:divBdr>
    </w:div>
    <w:div w:id="1937245129">
      <w:bodyDiv w:val="1"/>
      <w:marLeft w:val="0"/>
      <w:marRight w:val="0"/>
      <w:marTop w:val="0"/>
      <w:marBottom w:val="0"/>
      <w:divBdr>
        <w:top w:val="none" w:sz="0" w:space="0" w:color="auto"/>
        <w:left w:val="none" w:sz="0" w:space="0" w:color="auto"/>
        <w:bottom w:val="none" w:sz="0" w:space="0" w:color="auto"/>
        <w:right w:val="none" w:sz="0" w:space="0" w:color="auto"/>
      </w:divBdr>
    </w:div>
    <w:div w:id="1938251840">
      <w:bodyDiv w:val="1"/>
      <w:marLeft w:val="0"/>
      <w:marRight w:val="0"/>
      <w:marTop w:val="0"/>
      <w:marBottom w:val="0"/>
      <w:divBdr>
        <w:top w:val="none" w:sz="0" w:space="0" w:color="auto"/>
        <w:left w:val="none" w:sz="0" w:space="0" w:color="auto"/>
        <w:bottom w:val="none" w:sz="0" w:space="0" w:color="auto"/>
        <w:right w:val="none" w:sz="0" w:space="0" w:color="auto"/>
      </w:divBdr>
    </w:div>
    <w:div w:id="1950504845">
      <w:bodyDiv w:val="1"/>
      <w:marLeft w:val="0"/>
      <w:marRight w:val="0"/>
      <w:marTop w:val="0"/>
      <w:marBottom w:val="0"/>
      <w:divBdr>
        <w:top w:val="none" w:sz="0" w:space="0" w:color="auto"/>
        <w:left w:val="none" w:sz="0" w:space="0" w:color="auto"/>
        <w:bottom w:val="none" w:sz="0" w:space="0" w:color="auto"/>
        <w:right w:val="none" w:sz="0" w:space="0" w:color="auto"/>
      </w:divBdr>
    </w:div>
    <w:div w:id="1970740168">
      <w:bodyDiv w:val="1"/>
      <w:marLeft w:val="0"/>
      <w:marRight w:val="0"/>
      <w:marTop w:val="0"/>
      <w:marBottom w:val="0"/>
      <w:divBdr>
        <w:top w:val="none" w:sz="0" w:space="0" w:color="auto"/>
        <w:left w:val="none" w:sz="0" w:space="0" w:color="auto"/>
        <w:bottom w:val="none" w:sz="0" w:space="0" w:color="auto"/>
        <w:right w:val="none" w:sz="0" w:space="0" w:color="auto"/>
      </w:divBdr>
      <w:divsChild>
        <w:div w:id="1479030777">
          <w:marLeft w:val="547"/>
          <w:marRight w:val="0"/>
          <w:marTop w:val="0"/>
          <w:marBottom w:val="0"/>
          <w:divBdr>
            <w:top w:val="none" w:sz="0" w:space="0" w:color="auto"/>
            <w:left w:val="none" w:sz="0" w:space="0" w:color="auto"/>
            <w:bottom w:val="none" w:sz="0" w:space="0" w:color="auto"/>
            <w:right w:val="none" w:sz="0" w:space="0" w:color="auto"/>
          </w:divBdr>
        </w:div>
      </w:divsChild>
    </w:div>
    <w:div w:id="1983578841">
      <w:bodyDiv w:val="1"/>
      <w:marLeft w:val="0"/>
      <w:marRight w:val="0"/>
      <w:marTop w:val="0"/>
      <w:marBottom w:val="0"/>
      <w:divBdr>
        <w:top w:val="none" w:sz="0" w:space="0" w:color="auto"/>
        <w:left w:val="none" w:sz="0" w:space="0" w:color="auto"/>
        <w:bottom w:val="none" w:sz="0" w:space="0" w:color="auto"/>
        <w:right w:val="none" w:sz="0" w:space="0" w:color="auto"/>
      </w:divBdr>
    </w:div>
    <w:div w:id="2016616845">
      <w:bodyDiv w:val="1"/>
      <w:marLeft w:val="0"/>
      <w:marRight w:val="0"/>
      <w:marTop w:val="0"/>
      <w:marBottom w:val="0"/>
      <w:divBdr>
        <w:top w:val="none" w:sz="0" w:space="0" w:color="auto"/>
        <w:left w:val="none" w:sz="0" w:space="0" w:color="auto"/>
        <w:bottom w:val="none" w:sz="0" w:space="0" w:color="auto"/>
        <w:right w:val="none" w:sz="0" w:space="0" w:color="auto"/>
      </w:divBdr>
      <w:divsChild>
        <w:div w:id="766771643">
          <w:marLeft w:val="547"/>
          <w:marRight w:val="0"/>
          <w:marTop w:val="0"/>
          <w:marBottom w:val="0"/>
          <w:divBdr>
            <w:top w:val="none" w:sz="0" w:space="0" w:color="auto"/>
            <w:left w:val="none" w:sz="0" w:space="0" w:color="auto"/>
            <w:bottom w:val="none" w:sz="0" w:space="0" w:color="auto"/>
            <w:right w:val="none" w:sz="0" w:space="0" w:color="auto"/>
          </w:divBdr>
        </w:div>
        <w:div w:id="1963883117">
          <w:marLeft w:val="547"/>
          <w:marRight w:val="0"/>
          <w:marTop w:val="0"/>
          <w:marBottom w:val="0"/>
          <w:divBdr>
            <w:top w:val="none" w:sz="0" w:space="0" w:color="auto"/>
            <w:left w:val="none" w:sz="0" w:space="0" w:color="auto"/>
            <w:bottom w:val="none" w:sz="0" w:space="0" w:color="auto"/>
            <w:right w:val="none" w:sz="0" w:space="0" w:color="auto"/>
          </w:divBdr>
        </w:div>
      </w:divsChild>
    </w:div>
    <w:div w:id="2019964680">
      <w:bodyDiv w:val="1"/>
      <w:marLeft w:val="0"/>
      <w:marRight w:val="0"/>
      <w:marTop w:val="0"/>
      <w:marBottom w:val="0"/>
      <w:divBdr>
        <w:top w:val="none" w:sz="0" w:space="0" w:color="auto"/>
        <w:left w:val="none" w:sz="0" w:space="0" w:color="auto"/>
        <w:bottom w:val="none" w:sz="0" w:space="0" w:color="auto"/>
        <w:right w:val="none" w:sz="0" w:space="0" w:color="auto"/>
      </w:divBdr>
    </w:div>
    <w:div w:id="2022508712">
      <w:bodyDiv w:val="1"/>
      <w:marLeft w:val="0"/>
      <w:marRight w:val="0"/>
      <w:marTop w:val="0"/>
      <w:marBottom w:val="0"/>
      <w:divBdr>
        <w:top w:val="none" w:sz="0" w:space="0" w:color="auto"/>
        <w:left w:val="none" w:sz="0" w:space="0" w:color="auto"/>
        <w:bottom w:val="none" w:sz="0" w:space="0" w:color="auto"/>
        <w:right w:val="none" w:sz="0" w:space="0" w:color="auto"/>
      </w:divBdr>
      <w:divsChild>
        <w:div w:id="2016028241">
          <w:marLeft w:val="547"/>
          <w:marRight w:val="0"/>
          <w:marTop w:val="0"/>
          <w:marBottom w:val="0"/>
          <w:divBdr>
            <w:top w:val="none" w:sz="0" w:space="0" w:color="auto"/>
            <w:left w:val="none" w:sz="0" w:space="0" w:color="auto"/>
            <w:bottom w:val="none" w:sz="0" w:space="0" w:color="auto"/>
            <w:right w:val="none" w:sz="0" w:space="0" w:color="auto"/>
          </w:divBdr>
        </w:div>
      </w:divsChild>
    </w:div>
    <w:div w:id="2026401585">
      <w:bodyDiv w:val="1"/>
      <w:marLeft w:val="0"/>
      <w:marRight w:val="0"/>
      <w:marTop w:val="0"/>
      <w:marBottom w:val="0"/>
      <w:divBdr>
        <w:top w:val="none" w:sz="0" w:space="0" w:color="auto"/>
        <w:left w:val="none" w:sz="0" w:space="0" w:color="auto"/>
        <w:bottom w:val="none" w:sz="0" w:space="0" w:color="auto"/>
        <w:right w:val="none" w:sz="0" w:space="0" w:color="auto"/>
      </w:divBdr>
    </w:div>
    <w:div w:id="2029675529">
      <w:bodyDiv w:val="1"/>
      <w:marLeft w:val="0"/>
      <w:marRight w:val="0"/>
      <w:marTop w:val="0"/>
      <w:marBottom w:val="0"/>
      <w:divBdr>
        <w:top w:val="none" w:sz="0" w:space="0" w:color="auto"/>
        <w:left w:val="none" w:sz="0" w:space="0" w:color="auto"/>
        <w:bottom w:val="none" w:sz="0" w:space="0" w:color="auto"/>
        <w:right w:val="none" w:sz="0" w:space="0" w:color="auto"/>
      </w:divBdr>
    </w:div>
    <w:div w:id="2044791432">
      <w:bodyDiv w:val="1"/>
      <w:marLeft w:val="0"/>
      <w:marRight w:val="0"/>
      <w:marTop w:val="0"/>
      <w:marBottom w:val="0"/>
      <w:divBdr>
        <w:top w:val="none" w:sz="0" w:space="0" w:color="auto"/>
        <w:left w:val="none" w:sz="0" w:space="0" w:color="auto"/>
        <w:bottom w:val="none" w:sz="0" w:space="0" w:color="auto"/>
        <w:right w:val="none" w:sz="0" w:space="0" w:color="auto"/>
      </w:divBdr>
    </w:div>
    <w:div w:id="2053259835">
      <w:bodyDiv w:val="1"/>
      <w:marLeft w:val="0"/>
      <w:marRight w:val="0"/>
      <w:marTop w:val="0"/>
      <w:marBottom w:val="0"/>
      <w:divBdr>
        <w:top w:val="none" w:sz="0" w:space="0" w:color="auto"/>
        <w:left w:val="none" w:sz="0" w:space="0" w:color="auto"/>
        <w:bottom w:val="none" w:sz="0" w:space="0" w:color="auto"/>
        <w:right w:val="none" w:sz="0" w:space="0" w:color="auto"/>
      </w:divBdr>
    </w:div>
    <w:div w:id="2069647178">
      <w:bodyDiv w:val="1"/>
      <w:marLeft w:val="0"/>
      <w:marRight w:val="0"/>
      <w:marTop w:val="0"/>
      <w:marBottom w:val="0"/>
      <w:divBdr>
        <w:top w:val="none" w:sz="0" w:space="0" w:color="auto"/>
        <w:left w:val="none" w:sz="0" w:space="0" w:color="auto"/>
        <w:bottom w:val="none" w:sz="0" w:space="0" w:color="auto"/>
        <w:right w:val="none" w:sz="0" w:space="0" w:color="auto"/>
      </w:divBdr>
      <w:divsChild>
        <w:div w:id="264463977">
          <w:marLeft w:val="547"/>
          <w:marRight w:val="0"/>
          <w:marTop w:val="0"/>
          <w:marBottom w:val="0"/>
          <w:divBdr>
            <w:top w:val="none" w:sz="0" w:space="0" w:color="auto"/>
            <w:left w:val="none" w:sz="0" w:space="0" w:color="auto"/>
            <w:bottom w:val="none" w:sz="0" w:space="0" w:color="auto"/>
            <w:right w:val="none" w:sz="0" w:space="0" w:color="auto"/>
          </w:divBdr>
        </w:div>
      </w:divsChild>
    </w:div>
    <w:div w:id="2090345239">
      <w:bodyDiv w:val="1"/>
      <w:marLeft w:val="0"/>
      <w:marRight w:val="0"/>
      <w:marTop w:val="0"/>
      <w:marBottom w:val="0"/>
      <w:divBdr>
        <w:top w:val="none" w:sz="0" w:space="0" w:color="auto"/>
        <w:left w:val="none" w:sz="0" w:space="0" w:color="auto"/>
        <w:bottom w:val="none" w:sz="0" w:space="0" w:color="auto"/>
        <w:right w:val="none" w:sz="0" w:space="0" w:color="auto"/>
      </w:divBdr>
      <w:divsChild>
        <w:div w:id="232201715">
          <w:marLeft w:val="547"/>
          <w:marRight w:val="0"/>
          <w:marTop w:val="0"/>
          <w:marBottom w:val="0"/>
          <w:divBdr>
            <w:top w:val="none" w:sz="0" w:space="0" w:color="auto"/>
            <w:left w:val="none" w:sz="0" w:space="0" w:color="auto"/>
            <w:bottom w:val="none" w:sz="0" w:space="0" w:color="auto"/>
            <w:right w:val="none" w:sz="0" w:space="0" w:color="auto"/>
          </w:divBdr>
        </w:div>
      </w:divsChild>
    </w:div>
    <w:div w:id="2101411842">
      <w:bodyDiv w:val="1"/>
      <w:marLeft w:val="0"/>
      <w:marRight w:val="0"/>
      <w:marTop w:val="0"/>
      <w:marBottom w:val="0"/>
      <w:divBdr>
        <w:top w:val="none" w:sz="0" w:space="0" w:color="auto"/>
        <w:left w:val="none" w:sz="0" w:space="0" w:color="auto"/>
        <w:bottom w:val="none" w:sz="0" w:space="0" w:color="auto"/>
        <w:right w:val="none" w:sz="0" w:space="0" w:color="auto"/>
      </w:divBdr>
    </w:div>
    <w:div w:id="2105688744">
      <w:bodyDiv w:val="1"/>
      <w:marLeft w:val="0"/>
      <w:marRight w:val="0"/>
      <w:marTop w:val="0"/>
      <w:marBottom w:val="0"/>
      <w:divBdr>
        <w:top w:val="none" w:sz="0" w:space="0" w:color="auto"/>
        <w:left w:val="none" w:sz="0" w:space="0" w:color="auto"/>
        <w:bottom w:val="none" w:sz="0" w:space="0" w:color="auto"/>
        <w:right w:val="none" w:sz="0" w:space="0" w:color="auto"/>
      </w:divBdr>
    </w:div>
    <w:div w:id="213112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communications.gov.au/what-we-do/phone/services-people-disability/accesshub/national-relay-service"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mc.gov.au/government/commonwealth-coat-arms" TargetMode="External"/><Relationship Id="rId24" Type="http://schemas.openxmlformats.org/officeDocument/2006/relationships/hyperlink" Target="https://www.legislation.gov.au/Details/C2020C00392" TargetMode="External"/><Relationship Id="Rc946c92d4a134ee1" Type="http://schemas.microsoft.com/office/2016/09/relationships/commentsIds" Target="commentsIds.xml"/><Relationship Id="Rc48f594013884ba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disabilitygateway.gov.au/ads" TargetMode="Externa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emf"/><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DSS Corporate Plan 2022-23">
      <a:dk1>
        <a:sysClr val="windowText" lastClr="000000"/>
      </a:dk1>
      <a:lt1>
        <a:sysClr val="window" lastClr="FFFFFF"/>
      </a:lt1>
      <a:dk2>
        <a:srgbClr val="275D38"/>
      </a:dk2>
      <a:lt2>
        <a:srgbClr val="EEECE1"/>
      </a:lt2>
      <a:accent1>
        <a:srgbClr val="275D38"/>
      </a:accent1>
      <a:accent2>
        <a:srgbClr val="78BE20"/>
      </a:accent2>
      <a:accent3>
        <a:srgbClr val="C2E18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A53D7416-31C9-40C8-B913-E591646A800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4A9DFFA931FA704FB1786DE91A2B48E6" ma:contentTypeVersion="" ma:contentTypeDescription="PDMS Document Site Content Type" ma:contentTypeScope="" ma:versionID="3938099a85ba03499254158f551ee4fd">
  <xsd:schema xmlns:xsd="http://www.w3.org/2001/XMLSchema" xmlns:xs="http://www.w3.org/2001/XMLSchema" xmlns:p="http://schemas.microsoft.com/office/2006/metadata/properties" xmlns:ns2="A53D7416-31C9-40C8-B913-E591646A800F" targetNamespace="http://schemas.microsoft.com/office/2006/metadata/properties" ma:root="true" ma:fieldsID="8bcff135a8b964220c7ff3c963db58d6" ns2:_="">
    <xsd:import namespace="A53D7416-31C9-40C8-B913-E591646A800F"/>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D7416-31C9-40C8-B913-E591646A800F"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8F783-E131-4789-9582-36FB85B4594A}">
  <ds:schemaRefs>
    <ds:schemaRef ds:uri="http://schemas.microsoft.com/office/2006/metadata/properties"/>
    <ds:schemaRef ds:uri="http://schemas.microsoft.com/office/infopath/2007/PartnerControls"/>
    <ds:schemaRef ds:uri="A53D7416-31C9-40C8-B913-E591646A800F"/>
  </ds:schemaRefs>
</ds:datastoreItem>
</file>

<file path=customXml/itemProps2.xml><?xml version="1.0" encoding="utf-8"?>
<ds:datastoreItem xmlns:ds="http://schemas.openxmlformats.org/officeDocument/2006/customXml" ds:itemID="{6CC109A0-4748-42FA-ADF9-DF48D6840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D7416-31C9-40C8-B913-E591646A8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DAB677-8B33-4047-987C-52CEFC9A87BA}">
  <ds:schemaRefs>
    <ds:schemaRef ds:uri="http://schemas.microsoft.com/sharepoint/v3/contenttype/forms"/>
  </ds:schemaRefs>
</ds:datastoreItem>
</file>

<file path=customXml/itemProps4.xml><?xml version="1.0" encoding="utf-8"?>
<ds:datastoreItem xmlns:ds="http://schemas.openxmlformats.org/officeDocument/2006/customXml" ds:itemID="{2D3B4877-F934-4CDB-A373-1124D25D4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21001</Words>
  <Characters>120967</Characters>
  <Application>Microsoft Office Word</Application>
  <DocSecurity>0</DocSecurity>
  <Lines>2629</Lines>
  <Paragraphs>1560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2022-08-31T03:55:00Z</dcterms:created>
  <dcterms:modified xsi:type="dcterms:W3CDTF">2022-08-31T03:55:00Z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F66B155D88DD42439BF33A2765F47C77</vt:lpwstr>
  </property>
  <property fmtid="{D5CDD505-2E9C-101B-9397-08002B2CF9AE}" pid="9" name="PM_ProtectiveMarkingValue_Footer">
    <vt:lpwstr>OFFICIAL</vt:lpwstr>
  </property>
  <property fmtid="{D5CDD505-2E9C-101B-9397-08002B2CF9AE}" pid="10" name="PM_Originator_Hash_SHA1">
    <vt:lpwstr>7EFF92D34B672233285DC85F24ED682353D2D594</vt:lpwstr>
  </property>
  <property fmtid="{D5CDD505-2E9C-101B-9397-08002B2CF9AE}" pid="11" name="PM_OriginationTimeStamp">
    <vt:lpwstr>2022-08-31T03:55:23Z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DA4F30A1805FF9BEBA3D8C37DBAD799F</vt:lpwstr>
  </property>
  <property fmtid="{D5CDD505-2E9C-101B-9397-08002B2CF9AE}" pid="21" name="PM_Hash_Salt">
    <vt:lpwstr>E163E7B3D683FE9D917523B3FF177ACE</vt:lpwstr>
  </property>
  <property fmtid="{D5CDD505-2E9C-101B-9397-08002B2CF9AE}" pid="22" name="PM_Hash_SHA1">
    <vt:lpwstr>8D38B100871DF278AD662787BF5ABE9943841DCE</vt:lpwstr>
  </property>
  <property fmtid="{D5CDD505-2E9C-101B-9397-08002B2CF9AE}" pid="23" name="PM_OriginatorUserAccountName_SHA256">
    <vt:lpwstr>3258C15B431C1CE3706AD82D55735C3CDD3D5A11BD4A0E5EAC7F9F48580DEDD4</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ContentTypeId">
    <vt:lpwstr>0x010100266966F133664895A6EE3632470D45F5004A9DFFA931FA704FB1786DE91A2B48E6</vt:lpwstr>
  </property>
</Properties>
</file>