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96EE" w14:textId="77777777" w:rsidR="00E9285A" w:rsidRDefault="00987714" w:rsidP="0043246D">
      <w:pPr>
        <w:pStyle w:val="Crestwithrule"/>
        <w:pBdr>
          <w:bottom w:val="single" w:sz="24" w:space="0" w:color="00B0B9" w:themeColor="accent2"/>
        </w:pBdr>
        <w:ind w:left="142" w:right="0" w:hanging="142"/>
      </w:pPr>
      <w:r>
        <w:rPr>
          <w:lang w:eastAsia="en-AU"/>
        </w:rPr>
        <w:drawing>
          <wp:inline distT="0" distB="0" distL="0" distR="0" wp14:anchorId="33274741" wp14:editId="2C7E744D">
            <wp:extent cx="2966720" cy="704896"/>
            <wp:effectExtent l="0" t="0" r="508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1" cstate="print">
                      <a:extLst>
                        <a:ext uri="{28A0092B-C50C-407E-A947-70E740481C1C}">
                          <a14:useLocalDpi xmlns:a14="http://schemas.microsoft.com/office/drawing/2010/main" val="0"/>
                        </a:ext>
                      </a:extLst>
                    </a:blip>
                    <a:srcRect t="17845"/>
                    <a:stretch/>
                  </pic:blipFill>
                  <pic:spPr bwMode="auto">
                    <a:xfrm>
                      <a:off x="0" y="0"/>
                      <a:ext cx="2993999" cy="711377"/>
                    </a:xfrm>
                    <a:prstGeom prst="rect">
                      <a:avLst/>
                    </a:prstGeom>
                    <a:ln>
                      <a:noFill/>
                    </a:ln>
                    <a:extLst>
                      <a:ext uri="{53640926-AAD7-44D8-BBD7-CCE9431645EC}">
                        <a14:shadowObscured xmlns:a14="http://schemas.microsoft.com/office/drawing/2010/main"/>
                      </a:ext>
                    </a:extLst>
                  </pic:spPr>
                </pic:pic>
              </a:graphicData>
            </a:graphic>
          </wp:inline>
        </w:drawing>
      </w:r>
    </w:p>
    <w:p w14:paraId="290902C0" w14:textId="5E2FFF6F" w:rsidR="00A81138" w:rsidRDefault="00FB119D" w:rsidP="00A81138">
      <w:pPr>
        <w:pStyle w:val="Smalltext"/>
        <w:jc w:val="right"/>
      </w:pPr>
      <w:r>
        <w:t xml:space="preserve">DSS </w:t>
      </w:r>
      <w:r w:rsidR="00E72F3F">
        <w:t>3260.02.24</w:t>
      </w:r>
    </w:p>
    <w:p w14:paraId="28D04AFD" w14:textId="77777777" w:rsidR="00AC258D" w:rsidRDefault="00AC258D" w:rsidP="00AC258D">
      <w:pPr>
        <w:pStyle w:val="Heading1withsubtitle"/>
        <w:sectPr w:rsidR="00AC258D" w:rsidSect="00E07036">
          <w:headerReference w:type="default" r:id="rId12"/>
          <w:footerReference w:type="default" r:id="rId13"/>
          <w:headerReference w:type="first" r:id="rId14"/>
          <w:footerReference w:type="first" r:id="rId15"/>
          <w:type w:val="continuous"/>
          <w:pgSz w:w="23811" w:h="16838" w:orient="landscape" w:code="8"/>
          <w:pgMar w:top="567" w:right="720" w:bottom="720" w:left="720" w:header="0" w:footer="0" w:gutter="0"/>
          <w:pgNumType w:start="2"/>
          <w:cols w:space="708"/>
          <w:docGrid w:linePitch="360"/>
        </w:sectPr>
      </w:pPr>
    </w:p>
    <w:p w14:paraId="0A7492F1" w14:textId="77777777" w:rsidR="00AC258D" w:rsidRPr="00494644" w:rsidRDefault="00AC258D" w:rsidP="00AC258D">
      <w:pPr>
        <w:pStyle w:val="Heading1withsubtitle"/>
        <w:rPr>
          <w:sz w:val="48"/>
          <w:szCs w:val="24"/>
        </w:rPr>
      </w:pPr>
      <w:r w:rsidRPr="00494644">
        <w:rPr>
          <w:sz w:val="48"/>
          <w:szCs w:val="24"/>
        </w:rPr>
        <w:t>2022 Valuation Findings</w:t>
      </w:r>
      <w:bookmarkStart w:id="0" w:name="_Toc395536189"/>
    </w:p>
    <w:p w14:paraId="4A7E137E" w14:textId="2FC793C3" w:rsidR="00AC258D" w:rsidRDefault="00AC258D" w:rsidP="00CC00D0">
      <w:pPr>
        <w:pStyle w:val="Subtitle"/>
        <w:spacing w:after="240"/>
      </w:pPr>
      <w:r w:rsidRPr="00AC258D">
        <w:t>JobSeeker Payment: Outcomes and Projections</w:t>
      </w:r>
    </w:p>
    <w:p w14:paraId="63641CAD" w14:textId="252069AA" w:rsidR="00AC258D" w:rsidRPr="004E38D6" w:rsidRDefault="00AC258D" w:rsidP="00AC258D">
      <w:pPr>
        <w:pStyle w:val="IntroductionQuote"/>
        <w:spacing w:after="0" w:line="240" w:lineRule="auto"/>
        <w:rPr>
          <w:sz w:val="20"/>
          <w:szCs w:val="20"/>
        </w:rPr>
      </w:pPr>
      <w:r w:rsidRPr="004E38D6">
        <w:rPr>
          <w:sz w:val="20"/>
          <w:szCs w:val="20"/>
        </w:rPr>
        <w:t>The Priority Investment Approach model is used to estimate the future lifetime social security costs of Australians. The 2022 modelling allows us to explore whether factors such as age and capacity to work change how people on JobSeeker Payment are likely to use income support in the future.</w:t>
      </w:r>
    </w:p>
    <w:p w14:paraId="4AC57E4E" w14:textId="4A90DDE7" w:rsidR="00AC258D" w:rsidRDefault="00AC258D" w:rsidP="0017532C">
      <w:pPr>
        <w:pStyle w:val="Heading3"/>
        <w:spacing w:after="120" w:line="240" w:lineRule="auto"/>
        <w:rPr>
          <w:sz w:val="26"/>
          <w:szCs w:val="26"/>
        </w:rPr>
      </w:pPr>
      <w:r w:rsidRPr="00AC258D">
        <w:rPr>
          <w:sz w:val="26"/>
          <w:szCs w:val="26"/>
        </w:rPr>
        <w:t>While the number of people receiving JobSeeker Payment has declined since 2020, the proportion with a partial capacity to work has been increasing.</w:t>
      </w:r>
      <w:bookmarkEnd w:id="0"/>
    </w:p>
    <w:p w14:paraId="40143053" w14:textId="2A037A4A" w:rsidR="00AC258D" w:rsidRPr="00810990" w:rsidRDefault="00AC258D" w:rsidP="00AC258D">
      <w:pPr>
        <w:spacing w:after="0" w:line="240" w:lineRule="auto"/>
        <w:rPr>
          <w:sz w:val="20"/>
          <w:szCs w:val="20"/>
        </w:rPr>
      </w:pPr>
      <w:r w:rsidRPr="00810990">
        <w:rPr>
          <w:sz w:val="20"/>
          <w:szCs w:val="20"/>
        </w:rPr>
        <w:t xml:space="preserve">The economic impact of COVID-19 resulted in an increased number of people aged 22 to 64 receiving JobSeeker Payment. In the following two years, employment conditions improved and eligibility for JobSeeker Payment returned to pre-COVID settings. The number of people receiving JobSeeker Payment dropped by 41% between 30 June 2020 and 30 June 2022. The increase in the number of people receiving JobSeeker Payment due to the economic impact of COVID-19 resulted in a decline in the share of recipients with a partial capacity to work to a temporary low of 25% </w:t>
      </w:r>
      <w:proofErr w:type="gramStart"/>
      <w:r w:rsidRPr="00810990">
        <w:rPr>
          <w:sz w:val="20"/>
          <w:szCs w:val="20"/>
        </w:rPr>
        <w:t>at</w:t>
      </w:r>
      <w:proofErr w:type="gramEnd"/>
      <w:r w:rsidRPr="00810990">
        <w:rPr>
          <w:sz w:val="20"/>
          <w:szCs w:val="20"/>
        </w:rPr>
        <w:t xml:space="preserve"> 30 June 2020. In the period to 30 June 2022, alongside the reduction of the JobSeeker Payment caseload as economic conditions improved, the proportion of JobSeeker Payment recipients with a partial capacity to work returned to 42%.  </w:t>
      </w:r>
    </w:p>
    <w:p w14:paraId="00C0257D" w14:textId="6427C853" w:rsidR="00E67F0A" w:rsidRPr="00CC00D0" w:rsidRDefault="00AC258D" w:rsidP="0017532C">
      <w:pPr>
        <w:pStyle w:val="Heading3"/>
        <w:spacing w:after="160" w:line="240" w:lineRule="auto"/>
        <w:rPr>
          <w:rFonts w:cstheme="majorHAnsi"/>
          <w:sz w:val="26"/>
          <w:szCs w:val="26"/>
        </w:rPr>
      </w:pPr>
      <w:r w:rsidRPr="00CC00D0">
        <w:rPr>
          <w:rFonts w:cstheme="majorHAnsi"/>
          <w:sz w:val="26"/>
          <w:szCs w:val="26"/>
        </w:rPr>
        <w:t>Young</w:t>
      </w:r>
      <w:r w:rsidR="008A4DA4">
        <w:rPr>
          <w:rFonts w:cstheme="majorHAnsi"/>
          <w:sz w:val="26"/>
          <w:szCs w:val="26"/>
        </w:rPr>
        <w:t>er</w:t>
      </w:r>
      <w:r w:rsidRPr="00CC00D0">
        <w:rPr>
          <w:rFonts w:cstheme="majorHAnsi"/>
          <w:sz w:val="26"/>
          <w:szCs w:val="26"/>
        </w:rPr>
        <w:t xml:space="preserve"> people on JobSeeker Payment with a partial capacity to work are predicted to spend 3 of the next 5 years on income support, 29% longer than those with full capacity to work.</w:t>
      </w:r>
    </w:p>
    <w:p w14:paraId="276671F7" w14:textId="550AD532" w:rsidR="00E67F0A" w:rsidRPr="00494644" w:rsidRDefault="00E67F0A" w:rsidP="0017532C">
      <w:pPr>
        <w:pStyle w:val="Caption"/>
        <w:widowControl w:val="0"/>
        <w:autoSpaceDE w:val="0"/>
        <w:autoSpaceDN w:val="0"/>
        <w:spacing w:before="120" w:after="100" w:line="240" w:lineRule="auto"/>
        <w:rPr>
          <w:rFonts w:eastAsia="Arial" w:cstheme="minorHAnsi"/>
          <w:b w:val="0"/>
          <w:bCs w:val="0"/>
          <w:color w:val="005A70"/>
          <w:spacing w:val="0"/>
          <w:sz w:val="18"/>
        </w:rPr>
      </w:pPr>
      <w:r w:rsidRPr="00494644">
        <w:rPr>
          <w:rFonts w:eastAsia="Arial" w:cstheme="minorHAnsi"/>
          <w:b w:val="0"/>
          <w:bCs w:val="0"/>
          <w:color w:val="005A70"/>
          <w:spacing w:val="0"/>
          <w:sz w:val="18"/>
        </w:rPr>
        <w:t xml:space="preserve">Figure 1: Projected and historical 5-year income support usage for people aged 22 to 30 receiving JobSeeker Payment </w:t>
      </w:r>
      <w:proofErr w:type="gramStart"/>
      <w:r w:rsidRPr="00494644">
        <w:rPr>
          <w:rFonts w:eastAsia="Arial" w:cstheme="minorHAnsi"/>
          <w:b w:val="0"/>
          <w:bCs w:val="0"/>
          <w:color w:val="005A70"/>
          <w:spacing w:val="0"/>
          <w:sz w:val="18"/>
        </w:rPr>
        <w:t>at</w:t>
      </w:r>
      <w:proofErr w:type="gramEnd"/>
      <w:r w:rsidRPr="00494644">
        <w:rPr>
          <w:rFonts w:eastAsia="Arial" w:cstheme="minorHAnsi"/>
          <w:b w:val="0"/>
          <w:bCs w:val="0"/>
          <w:color w:val="005A70"/>
          <w:spacing w:val="0"/>
          <w:sz w:val="18"/>
        </w:rPr>
        <w:t xml:space="preserve"> 30 June 2022</w:t>
      </w:r>
    </w:p>
    <w:p w14:paraId="6B5C4406" w14:textId="1BA1CCB6" w:rsidR="00810990" w:rsidRPr="00810990" w:rsidRDefault="008A4DA4" w:rsidP="00E67F0A">
      <w:pPr>
        <w:spacing w:after="0" w:line="240" w:lineRule="auto"/>
        <w:rPr>
          <w:sz w:val="20"/>
          <w:szCs w:val="20"/>
        </w:rPr>
      </w:pPr>
      <w:r w:rsidRPr="00810990">
        <w:rPr>
          <w:noProof/>
          <w:sz w:val="20"/>
          <w:szCs w:val="20"/>
          <w:lang w:eastAsia="en-AU"/>
        </w:rPr>
        <w:drawing>
          <wp:anchor distT="0" distB="0" distL="114300" distR="114300" simplePos="0" relativeHeight="251659264" behindDoc="1" locked="0" layoutInCell="1" allowOverlap="1" wp14:anchorId="64267A9E" wp14:editId="5DA0020C">
            <wp:simplePos x="0" y="0"/>
            <wp:positionH relativeFrom="margin">
              <wp:posOffset>0</wp:posOffset>
            </wp:positionH>
            <wp:positionV relativeFrom="paragraph">
              <wp:posOffset>22860</wp:posOffset>
            </wp:positionV>
            <wp:extent cx="3234010" cy="2170800"/>
            <wp:effectExtent l="0" t="0" r="5080" b="1270"/>
            <wp:wrapThrough wrapText="bothSides">
              <wp:wrapPolygon edited="0">
                <wp:start x="0" y="0"/>
                <wp:lineTo x="0" y="21423"/>
                <wp:lineTo x="21507" y="21423"/>
                <wp:lineTo x="21507" y="0"/>
                <wp:lineTo x="0" y="0"/>
              </wp:wrapPolygon>
            </wp:wrapThrough>
            <wp:docPr id="28" name="Picture 28" descr="This chart shows on average the projected and historical 5-year income support usage for people aged 22 to 30 receiving JobSeeker Payment at 30 June 2022. &#10;People aged 22 to 30 receiving JobSeeker payment with a partial capacity to work spent an average of 3.9 of the previous 5 years receiving income support and projected to spend an average of 3 years over the next 5 years.&#10;People aged 22 to 30 receiving JobSeeker payment with a full capacity to work spent an average of 3 of the previous 5 years receiving income support and projected to spend an average of 2.3 years over the next 5 years." title="Figure 1: Projected and historial 5-year income support usage for people aged 22 to 30 receiving JobSeeker Payment at 30 Jun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4010" cy="2170800"/>
                    </a:xfrm>
                    <a:prstGeom prst="rect">
                      <a:avLst/>
                    </a:prstGeom>
                    <a:noFill/>
                  </pic:spPr>
                </pic:pic>
              </a:graphicData>
            </a:graphic>
            <wp14:sizeRelH relativeFrom="page">
              <wp14:pctWidth>0</wp14:pctWidth>
            </wp14:sizeRelH>
            <wp14:sizeRelV relativeFrom="page">
              <wp14:pctHeight>0</wp14:pctHeight>
            </wp14:sizeRelV>
          </wp:anchor>
        </w:drawing>
      </w:r>
      <w:r w:rsidR="00E67F0A" w:rsidRPr="00810990">
        <w:rPr>
          <w:sz w:val="20"/>
          <w:szCs w:val="20"/>
        </w:rPr>
        <w:t>Figure 1 shows, on average, people aged 22 to 30 receiving JobSeeker Payment with a partial capacity to work spent 3.9 of the previous 5 years receiving income support. Over the next 5 years, this cohort is projected to spend more time on income support than those with full capacity to work; an average of 3 years compared to 2.3 years. This projected future usage is 29% longer on income support (0.7 years).</w:t>
      </w:r>
    </w:p>
    <w:p w14:paraId="78033732" w14:textId="77777777" w:rsidR="00810990" w:rsidRPr="00810990" w:rsidRDefault="00810990" w:rsidP="00E67F0A">
      <w:pPr>
        <w:spacing w:after="0" w:line="240" w:lineRule="auto"/>
        <w:rPr>
          <w:sz w:val="20"/>
          <w:szCs w:val="20"/>
        </w:rPr>
      </w:pPr>
    </w:p>
    <w:p w14:paraId="7454684E" w14:textId="7D6A200B" w:rsidR="00E67F0A" w:rsidRPr="00810990" w:rsidRDefault="00E67F0A" w:rsidP="00E67F0A">
      <w:pPr>
        <w:spacing w:after="0" w:line="240" w:lineRule="auto"/>
        <w:rPr>
          <w:sz w:val="20"/>
          <w:szCs w:val="20"/>
        </w:rPr>
      </w:pPr>
      <w:r w:rsidRPr="00810990">
        <w:rPr>
          <w:sz w:val="20"/>
          <w:szCs w:val="20"/>
        </w:rPr>
        <w:t>Younger people on JobSeeker Payment with a partial capacity to work are projected to spend 2.5 of the next 5 years on working age payments. By comparison, those with full capacity to work are projected to spend 1.9 of the next 5 years on working age payments.</w:t>
      </w:r>
    </w:p>
    <w:p w14:paraId="445D9EF8" w14:textId="77777777" w:rsidR="00810990" w:rsidRDefault="00810990" w:rsidP="00E67F0A">
      <w:pPr>
        <w:spacing w:after="0" w:line="240" w:lineRule="auto"/>
      </w:pPr>
    </w:p>
    <w:p w14:paraId="15EC27E3" w14:textId="77777777" w:rsidR="00810990" w:rsidRDefault="00810990" w:rsidP="00E67F0A">
      <w:pPr>
        <w:spacing w:after="0" w:line="240" w:lineRule="auto"/>
      </w:pPr>
    </w:p>
    <w:p w14:paraId="654F8E2A" w14:textId="20F2EECE" w:rsidR="00CC00D0" w:rsidRDefault="00CC00D0" w:rsidP="0017532C">
      <w:pPr>
        <w:pStyle w:val="Heading3"/>
        <w:spacing w:before="80" w:after="160" w:line="240" w:lineRule="auto"/>
        <w:rPr>
          <w:sz w:val="26"/>
          <w:szCs w:val="26"/>
        </w:rPr>
      </w:pPr>
      <w:r w:rsidRPr="00CC00D0">
        <w:rPr>
          <w:sz w:val="26"/>
          <w:szCs w:val="26"/>
        </w:rPr>
        <w:t>Older people on JobSeeker Payment are projected to spend more time on income support in the next 5 years than younger people, regardless of their work capacity.</w:t>
      </w:r>
    </w:p>
    <w:p w14:paraId="294ACDAA" w14:textId="426559A3" w:rsidR="00494644" w:rsidRDefault="00494644" w:rsidP="0017532C">
      <w:pPr>
        <w:pStyle w:val="Caption"/>
        <w:widowControl w:val="0"/>
        <w:autoSpaceDE w:val="0"/>
        <w:autoSpaceDN w:val="0"/>
        <w:spacing w:before="60" w:after="100" w:line="240" w:lineRule="auto"/>
        <w:contextualSpacing/>
        <w:rPr>
          <w:rFonts w:eastAsia="Arial" w:cstheme="minorHAnsi"/>
          <w:b w:val="0"/>
          <w:bCs w:val="0"/>
          <w:color w:val="005A70"/>
          <w:spacing w:val="0"/>
          <w:sz w:val="18"/>
        </w:rPr>
      </w:pPr>
      <w:r w:rsidRPr="00494644">
        <w:rPr>
          <w:rFonts w:eastAsia="Arial" w:cstheme="minorHAnsi"/>
          <w:b w:val="0"/>
          <w:bCs w:val="0"/>
          <w:color w:val="005A70"/>
          <w:spacing w:val="0"/>
          <w:sz w:val="18"/>
        </w:rPr>
        <w:t xml:space="preserve">Figure 2: Projected and historical 5-year income support usage for people aged 55 to 64 receiving JobSeeker Payment </w:t>
      </w:r>
      <w:proofErr w:type="gramStart"/>
      <w:r w:rsidRPr="00494644">
        <w:rPr>
          <w:rFonts w:eastAsia="Arial" w:cstheme="minorHAnsi"/>
          <w:b w:val="0"/>
          <w:bCs w:val="0"/>
          <w:color w:val="005A70"/>
          <w:spacing w:val="0"/>
          <w:sz w:val="18"/>
        </w:rPr>
        <w:t>at</w:t>
      </w:r>
      <w:proofErr w:type="gramEnd"/>
      <w:r w:rsidRPr="00494644">
        <w:rPr>
          <w:rFonts w:eastAsia="Arial" w:cstheme="minorHAnsi"/>
          <w:b w:val="0"/>
          <w:bCs w:val="0"/>
          <w:color w:val="005A70"/>
          <w:spacing w:val="0"/>
          <w:sz w:val="18"/>
        </w:rPr>
        <w:t xml:space="preserve"> 30 June 2022</w:t>
      </w:r>
    </w:p>
    <w:p w14:paraId="047D3A47" w14:textId="452C90E4" w:rsidR="00494644" w:rsidRPr="00810990" w:rsidRDefault="0017532C" w:rsidP="00494644">
      <w:pPr>
        <w:spacing w:after="0" w:line="240" w:lineRule="auto"/>
        <w:rPr>
          <w:sz w:val="20"/>
          <w:szCs w:val="20"/>
        </w:rPr>
      </w:pPr>
      <w:r w:rsidRPr="00810990">
        <w:rPr>
          <w:noProof/>
          <w:sz w:val="20"/>
          <w:szCs w:val="20"/>
          <w:lang w:eastAsia="en-AU"/>
        </w:rPr>
        <w:drawing>
          <wp:anchor distT="0" distB="0" distL="114300" distR="114300" simplePos="0" relativeHeight="251661312" behindDoc="1" locked="0" layoutInCell="1" allowOverlap="1" wp14:anchorId="3CEDA4E3" wp14:editId="7000CFB7">
            <wp:simplePos x="0" y="0"/>
            <wp:positionH relativeFrom="margin">
              <wp:posOffset>-3810</wp:posOffset>
            </wp:positionH>
            <wp:positionV relativeFrom="margin">
              <wp:posOffset>7646197</wp:posOffset>
            </wp:positionV>
            <wp:extent cx="3194685" cy="2171700"/>
            <wp:effectExtent l="0" t="0" r="5715" b="0"/>
            <wp:wrapThrough wrapText="bothSides">
              <wp:wrapPolygon edited="0">
                <wp:start x="0" y="0"/>
                <wp:lineTo x="0" y="21411"/>
                <wp:lineTo x="21510" y="21411"/>
                <wp:lineTo x="21510" y="0"/>
                <wp:lineTo x="0" y="0"/>
              </wp:wrapPolygon>
            </wp:wrapThrough>
            <wp:docPr id="34" name="Picture 34" descr="This chart shows on average the projected and historical 5-year income support usage for people aged 55 to 64 receiving JobSeeker Payment at 30 June 2022. &#10;People aged 55 to 64 receiving JobSeeker payment with a partial capacity to work spent an average of 3.8 of the previous 5 years receiving income support and projected to spend an average of 4.2 years over the next 5 years.&#10;People aged 55 to 64 receiving JobSeeker payment with a full capacity to work spent an average of 2.9 of the previous 5 years receiving income support and projected to spend an average of 3.8 years over the next 5 years." title="Figure 2: Projected and historical 5-year income support usage for people aged 55 to 64 receiving JobSeeker Payment at 30 Jun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94685" cy="2171700"/>
                    </a:xfrm>
                    <a:prstGeom prst="rect">
                      <a:avLst/>
                    </a:prstGeom>
                    <a:noFill/>
                  </pic:spPr>
                </pic:pic>
              </a:graphicData>
            </a:graphic>
            <wp14:sizeRelH relativeFrom="margin">
              <wp14:pctWidth>0</wp14:pctWidth>
            </wp14:sizeRelH>
            <wp14:sizeRelV relativeFrom="margin">
              <wp14:pctHeight>0</wp14:pctHeight>
            </wp14:sizeRelV>
          </wp:anchor>
        </w:drawing>
      </w:r>
      <w:r w:rsidR="00494644" w:rsidRPr="00810990">
        <w:rPr>
          <w:sz w:val="20"/>
          <w:szCs w:val="20"/>
        </w:rPr>
        <w:t xml:space="preserve">Figure 2 shows, on average, people aged 55 to 64 receiving JobSeeker Payment with a partial capacity to work are projected to spend 4.2 of the next 5 years receiving income support. This is an additional 0.4 years on income support, compared to those with full capacity to work. Most of this time will be spent on a working age payment (3.3 years). </w:t>
      </w:r>
    </w:p>
    <w:p w14:paraId="70858AD3" w14:textId="77777777" w:rsidR="00810990" w:rsidRPr="00810990" w:rsidRDefault="00810990" w:rsidP="00494644">
      <w:pPr>
        <w:spacing w:after="0" w:line="240" w:lineRule="auto"/>
        <w:rPr>
          <w:sz w:val="20"/>
          <w:szCs w:val="20"/>
        </w:rPr>
      </w:pPr>
    </w:p>
    <w:p w14:paraId="21971002" w14:textId="6716CB63" w:rsidR="00494644" w:rsidRPr="00810990" w:rsidRDefault="00494644" w:rsidP="00494644">
      <w:pPr>
        <w:spacing w:after="0" w:line="240" w:lineRule="auto"/>
        <w:rPr>
          <w:sz w:val="20"/>
          <w:szCs w:val="20"/>
        </w:rPr>
      </w:pPr>
      <w:r w:rsidRPr="00810990">
        <w:rPr>
          <w:sz w:val="20"/>
          <w:szCs w:val="20"/>
        </w:rPr>
        <w:t>On average, people in this age group are predicted to spend 0.5 of the next 5 years on Age Pension. Younger people on JobSeeker Payment are projected to spend less time on income support in the next 5 years than the previous 5 years. The opposite is true for older people on JobSeeker Payment.</w:t>
      </w:r>
    </w:p>
    <w:p w14:paraId="26F98508" w14:textId="3A1B3D20" w:rsidR="00F200A0" w:rsidRDefault="0043246D" w:rsidP="0017532C">
      <w:pPr>
        <w:pStyle w:val="Heading3"/>
        <w:spacing w:before="0" w:after="120" w:line="240" w:lineRule="auto"/>
        <w:rPr>
          <w:rFonts w:cstheme="majorHAnsi"/>
          <w:sz w:val="26"/>
          <w:szCs w:val="26"/>
        </w:rPr>
      </w:pPr>
      <w:r w:rsidRPr="0043246D">
        <w:rPr>
          <w:rFonts w:cstheme="majorHAnsi"/>
          <w:sz w:val="26"/>
          <w:szCs w:val="26"/>
        </w:rPr>
        <w:t>Women, First Nations people, those living in lower socio-economic areas, and people with a partial capacity to work are predicted to spend the most time on income support over the next 5 years.</w:t>
      </w:r>
    </w:p>
    <w:p w14:paraId="3B5DD5C7" w14:textId="4224A3FF" w:rsidR="0043246D" w:rsidRPr="00810990" w:rsidRDefault="0043246D" w:rsidP="008A4DA4">
      <w:pPr>
        <w:spacing w:line="240" w:lineRule="auto"/>
        <w:ind w:right="-153"/>
        <w:rPr>
          <w:sz w:val="20"/>
          <w:szCs w:val="20"/>
        </w:rPr>
      </w:pPr>
      <w:r w:rsidRPr="00810990">
        <w:rPr>
          <w:sz w:val="20"/>
          <w:szCs w:val="20"/>
        </w:rPr>
        <w:t xml:space="preserve">Table 1 shows the average time younger people aged 22 to 30 receiving JobSeeker Payment are predicted to spend on income support over the next 5 years by partial capacity to work, Socio-Economic Indexes for Areas (SEIFA), First Nations status and gender. The 5 groups predicted to receive the most income support over the next 5 years </w:t>
      </w:r>
      <w:proofErr w:type="gramStart"/>
      <w:r w:rsidRPr="00810990">
        <w:rPr>
          <w:sz w:val="20"/>
          <w:szCs w:val="20"/>
        </w:rPr>
        <w:t>are</w:t>
      </w:r>
      <w:proofErr w:type="gramEnd"/>
      <w:r w:rsidRPr="00810990">
        <w:rPr>
          <w:sz w:val="20"/>
          <w:szCs w:val="20"/>
        </w:rPr>
        <w:t xml:space="preserve"> highlighted in red, while the 5 groups predicted to receive the least income support are highlighted in green. First Nations women are projected to spend the longest time on income support over the next 5 years, with an average of 3.6 years.</w:t>
      </w:r>
    </w:p>
    <w:p w14:paraId="2D9E7C5F" w14:textId="36A6E2F6" w:rsidR="0043246D" w:rsidRDefault="0043246D" w:rsidP="0017532C">
      <w:pPr>
        <w:spacing w:before="60" w:after="100"/>
        <w:rPr>
          <w:rFonts w:eastAsia="Arial" w:cstheme="minorHAnsi"/>
          <w:color w:val="005A70"/>
          <w:spacing w:val="0"/>
          <w:sz w:val="18"/>
          <w:szCs w:val="18"/>
        </w:rPr>
      </w:pPr>
      <w:r w:rsidRPr="0043246D">
        <w:rPr>
          <w:rFonts w:eastAsia="Arial" w:cstheme="minorHAnsi"/>
          <w:color w:val="005A70"/>
          <w:spacing w:val="0"/>
          <w:sz w:val="18"/>
          <w:szCs w:val="18"/>
        </w:rPr>
        <w:t xml:space="preserve">Table 1: Projected average time (in years) on income support over the next 5 years for people aged 22 to 30 receiving JobSeeker Payment </w:t>
      </w:r>
      <w:proofErr w:type="gramStart"/>
      <w:r w:rsidRPr="0043246D">
        <w:rPr>
          <w:rFonts w:eastAsia="Arial" w:cstheme="minorHAnsi"/>
          <w:color w:val="005A70"/>
          <w:spacing w:val="0"/>
          <w:sz w:val="18"/>
          <w:szCs w:val="18"/>
        </w:rPr>
        <w:t>at</w:t>
      </w:r>
      <w:proofErr w:type="gramEnd"/>
      <w:r w:rsidRPr="0043246D">
        <w:rPr>
          <w:rFonts w:eastAsia="Arial" w:cstheme="minorHAnsi"/>
          <w:color w:val="005A70"/>
          <w:spacing w:val="0"/>
          <w:sz w:val="18"/>
          <w:szCs w:val="18"/>
        </w:rPr>
        <w:t xml:space="preserve"> 30 June 2022 by selected characteristics</w:t>
      </w:r>
    </w:p>
    <w:tbl>
      <w:tblPr>
        <w:tblpPr w:leftFromText="180" w:rightFromText="180" w:vertAnchor="text" w:horzAnchor="margin" w:tblpXSpec="right" w:tblpY="19"/>
        <w:tblW w:w="10905" w:type="dxa"/>
        <w:tblLayout w:type="fixed"/>
        <w:tblLook w:val="04A0" w:firstRow="1" w:lastRow="0" w:firstColumn="1" w:lastColumn="0" w:noHBand="0" w:noVBand="1"/>
      </w:tblPr>
      <w:tblGrid>
        <w:gridCol w:w="841"/>
        <w:gridCol w:w="1276"/>
        <w:gridCol w:w="992"/>
        <w:gridCol w:w="992"/>
        <w:gridCol w:w="737"/>
        <w:gridCol w:w="737"/>
        <w:gridCol w:w="737"/>
        <w:gridCol w:w="737"/>
        <w:gridCol w:w="738"/>
        <w:gridCol w:w="850"/>
        <w:gridCol w:w="851"/>
        <w:gridCol w:w="708"/>
        <w:gridCol w:w="709"/>
      </w:tblGrid>
      <w:tr w:rsidR="0043246D" w:rsidRPr="00ED684B" w14:paraId="5F819DA2" w14:textId="77777777" w:rsidTr="004E38D6">
        <w:trPr>
          <w:trHeight w:val="123"/>
          <w:tblHeader/>
        </w:trPr>
        <w:tc>
          <w:tcPr>
            <w:tcW w:w="841" w:type="dxa"/>
            <w:tcBorders>
              <w:top w:val="single" w:sz="8" w:space="0" w:color="auto"/>
              <w:left w:val="single" w:sz="8" w:space="0" w:color="auto"/>
              <w:bottom w:val="nil"/>
              <w:right w:val="nil"/>
            </w:tcBorders>
            <w:shd w:val="clear" w:color="auto" w:fill="auto"/>
            <w:noWrap/>
            <w:vAlign w:val="bottom"/>
            <w:hideMark/>
          </w:tcPr>
          <w:p w14:paraId="4CEA421F" w14:textId="77777777" w:rsidR="0043246D" w:rsidRPr="00F66AC6" w:rsidRDefault="0043246D" w:rsidP="004F46C5">
            <w:pPr>
              <w:spacing w:after="0"/>
              <w:rPr>
                <w:rFonts w:eastAsia="Times New Roman" w:cstheme="minorHAnsi"/>
                <w:color w:val="000000"/>
                <w:sz w:val="16"/>
                <w:szCs w:val="16"/>
                <w:lang w:eastAsia="en-AU"/>
              </w:rPr>
            </w:pPr>
            <w:r w:rsidRPr="00F66AC6">
              <w:rPr>
                <w:rFonts w:eastAsia="Times New Roman" w:cstheme="minorHAnsi"/>
                <w:color w:val="000000"/>
                <w:sz w:val="16"/>
                <w:szCs w:val="16"/>
                <w:lang w:eastAsia="en-AU"/>
              </w:rPr>
              <w:t> </w:t>
            </w:r>
          </w:p>
        </w:tc>
        <w:tc>
          <w:tcPr>
            <w:tcW w:w="1276" w:type="dxa"/>
            <w:tcBorders>
              <w:top w:val="single" w:sz="8" w:space="0" w:color="auto"/>
              <w:left w:val="nil"/>
              <w:bottom w:val="nil"/>
              <w:right w:val="single" w:sz="8" w:space="0" w:color="auto"/>
            </w:tcBorders>
            <w:shd w:val="clear" w:color="auto" w:fill="auto"/>
            <w:noWrap/>
            <w:vAlign w:val="bottom"/>
            <w:hideMark/>
          </w:tcPr>
          <w:p w14:paraId="51F78FE1" w14:textId="77777777" w:rsidR="0043246D" w:rsidRPr="00F66AC6" w:rsidRDefault="0043246D" w:rsidP="004F46C5">
            <w:pPr>
              <w:spacing w:after="0"/>
              <w:rPr>
                <w:rFonts w:eastAsia="Times New Roman" w:cstheme="minorHAnsi"/>
                <w:color w:val="000000"/>
                <w:sz w:val="16"/>
                <w:szCs w:val="16"/>
                <w:lang w:eastAsia="en-AU"/>
              </w:rPr>
            </w:pPr>
            <w:r w:rsidRPr="00F66AC6">
              <w:rPr>
                <w:rFonts w:eastAsia="Times New Roman" w:cstheme="minorHAnsi"/>
                <w:color w:val="000000"/>
                <w:sz w:val="16"/>
                <w:szCs w:val="16"/>
                <w:lang w:eastAsia="en-AU"/>
              </w:rPr>
              <w:t> </w:t>
            </w:r>
          </w:p>
        </w:tc>
        <w:tc>
          <w:tcPr>
            <w:tcW w:w="1984" w:type="dxa"/>
            <w:gridSpan w:val="2"/>
            <w:tcBorders>
              <w:top w:val="single" w:sz="8" w:space="0" w:color="auto"/>
              <w:left w:val="nil"/>
              <w:bottom w:val="nil"/>
              <w:right w:val="single" w:sz="4" w:space="0" w:color="auto"/>
            </w:tcBorders>
            <w:shd w:val="clear" w:color="000000" w:fill="FFFFFF"/>
            <w:noWrap/>
            <w:vAlign w:val="bottom"/>
            <w:hideMark/>
          </w:tcPr>
          <w:p w14:paraId="215784CE"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Partial Capacity to Work</w:t>
            </w:r>
          </w:p>
        </w:tc>
        <w:tc>
          <w:tcPr>
            <w:tcW w:w="3686" w:type="dxa"/>
            <w:gridSpan w:val="5"/>
            <w:tcBorders>
              <w:top w:val="single" w:sz="8" w:space="0" w:color="auto"/>
              <w:left w:val="nil"/>
              <w:bottom w:val="nil"/>
              <w:right w:val="single" w:sz="4" w:space="0" w:color="auto"/>
            </w:tcBorders>
            <w:shd w:val="clear" w:color="000000" w:fill="FFFFFF"/>
            <w:noWrap/>
            <w:vAlign w:val="bottom"/>
            <w:hideMark/>
          </w:tcPr>
          <w:p w14:paraId="358E930D"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SEIFA</w:t>
            </w:r>
          </w:p>
        </w:tc>
        <w:tc>
          <w:tcPr>
            <w:tcW w:w="1701" w:type="dxa"/>
            <w:gridSpan w:val="2"/>
            <w:tcBorders>
              <w:top w:val="single" w:sz="8" w:space="0" w:color="auto"/>
              <w:left w:val="nil"/>
              <w:bottom w:val="nil"/>
              <w:right w:val="single" w:sz="4" w:space="0" w:color="auto"/>
            </w:tcBorders>
            <w:shd w:val="clear" w:color="000000" w:fill="FFFFFF"/>
            <w:noWrap/>
            <w:vAlign w:val="bottom"/>
            <w:hideMark/>
          </w:tcPr>
          <w:p w14:paraId="39AC26C0"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First Nations Status</w:t>
            </w:r>
          </w:p>
        </w:tc>
        <w:tc>
          <w:tcPr>
            <w:tcW w:w="1417" w:type="dxa"/>
            <w:gridSpan w:val="2"/>
            <w:tcBorders>
              <w:top w:val="single" w:sz="8" w:space="0" w:color="auto"/>
              <w:left w:val="nil"/>
              <w:bottom w:val="nil"/>
              <w:right w:val="single" w:sz="8" w:space="0" w:color="000000"/>
            </w:tcBorders>
            <w:shd w:val="clear" w:color="000000" w:fill="FFFFFF"/>
            <w:noWrap/>
            <w:vAlign w:val="bottom"/>
            <w:hideMark/>
          </w:tcPr>
          <w:p w14:paraId="1C57631A"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Gender</w:t>
            </w:r>
          </w:p>
        </w:tc>
      </w:tr>
      <w:tr w:rsidR="0043246D" w:rsidRPr="00ED684B" w14:paraId="7F040338" w14:textId="77777777" w:rsidTr="008608DC">
        <w:trPr>
          <w:trHeight w:val="243"/>
          <w:tblHeader/>
        </w:trPr>
        <w:tc>
          <w:tcPr>
            <w:tcW w:w="841" w:type="dxa"/>
            <w:tcBorders>
              <w:top w:val="nil"/>
              <w:left w:val="single" w:sz="8" w:space="0" w:color="auto"/>
              <w:bottom w:val="single" w:sz="8" w:space="0" w:color="auto"/>
              <w:right w:val="nil"/>
            </w:tcBorders>
            <w:shd w:val="clear" w:color="auto" w:fill="auto"/>
            <w:noWrap/>
            <w:vAlign w:val="bottom"/>
            <w:hideMark/>
          </w:tcPr>
          <w:p w14:paraId="0A892ABE" w14:textId="77777777" w:rsidR="0043246D" w:rsidRPr="00F66AC6" w:rsidRDefault="0043246D" w:rsidP="004F46C5">
            <w:pPr>
              <w:spacing w:after="0"/>
              <w:rPr>
                <w:rFonts w:eastAsia="Times New Roman" w:cstheme="minorHAnsi"/>
                <w:color w:val="000000"/>
                <w:sz w:val="16"/>
                <w:szCs w:val="16"/>
                <w:lang w:eastAsia="en-AU"/>
              </w:rPr>
            </w:pPr>
            <w:r w:rsidRPr="00F66AC6">
              <w:rPr>
                <w:rFonts w:eastAsia="Times New Roman" w:cstheme="minorHAnsi"/>
                <w:color w:val="000000"/>
                <w:sz w:val="16"/>
                <w:szCs w:val="16"/>
                <w:lang w:eastAsia="en-AU"/>
              </w:rPr>
              <w:t> </w:t>
            </w:r>
          </w:p>
        </w:tc>
        <w:tc>
          <w:tcPr>
            <w:tcW w:w="1276" w:type="dxa"/>
            <w:tcBorders>
              <w:top w:val="nil"/>
              <w:left w:val="nil"/>
              <w:bottom w:val="single" w:sz="8" w:space="0" w:color="auto"/>
              <w:right w:val="single" w:sz="8" w:space="0" w:color="auto"/>
            </w:tcBorders>
            <w:shd w:val="clear" w:color="auto" w:fill="auto"/>
            <w:noWrap/>
            <w:vAlign w:val="bottom"/>
            <w:hideMark/>
          </w:tcPr>
          <w:p w14:paraId="4B397B29" w14:textId="77777777" w:rsidR="0043246D" w:rsidRPr="00F66AC6" w:rsidRDefault="0043246D" w:rsidP="004F46C5">
            <w:pPr>
              <w:spacing w:after="0"/>
              <w:rPr>
                <w:rFonts w:eastAsia="Times New Roman" w:cstheme="minorHAnsi"/>
                <w:color w:val="000000"/>
                <w:sz w:val="16"/>
                <w:szCs w:val="16"/>
                <w:lang w:eastAsia="en-AU"/>
              </w:rPr>
            </w:pPr>
            <w:r w:rsidRPr="00F66AC6">
              <w:rPr>
                <w:rFonts w:eastAsia="Times New Roman" w:cstheme="minorHAnsi"/>
                <w:color w:val="000000"/>
                <w:sz w:val="16"/>
                <w:szCs w:val="16"/>
                <w:lang w:eastAsia="en-AU"/>
              </w:rPr>
              <w:t> </w:t>
            </w:r>
          </w:p>
        </w:tc>
        <w:tc>
          <w:tcPr>
            <w:tcW w:w="992" w:type="dxa"/>
            <w:tcBorders>
              <w:top w:val="single" w:sz="8" w:space="0" w:color="auto"/>
              <w:left w:val="nil"/>
              <w:bottom w:val="single" w:sz="8" w:space="0" w:color="auto"/>
              <w:right w:val="nil"/>
            </w:tcBorders>
            <w:shd w:val="clear" w:color="000000" w:fill="FFFFFF"/>
            <w:vAlign w:val="center"/>
            <w:hideMark/>
          </w:tcPr>
          <w:p w14:paraId="7736C050"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Partial Capacity to Work</w:t>
            </w:r>
          </w:p>
        </w:tc>
        <w:tc>
          <w:tcPr>
            <w:tcW w:w="992"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0A7CB6E6"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Full Capacity to Work</w:t>
            </w:r>
          </w:p>
        </w:tc>
        <w:tc>
          <w:tcPr>
            <w:tcW w:w="737" w:type="dxa"/>
            <w:tcBorders>
              <w:top w:val="single" w:sz="8" w:space="0" w:color="auto"/>
              <w:left w:val="nil"/>
              <w:bottom w:val="single" w:sz="8" w:space="0" w:color="auto"/>
              <w:right w:val="single" w:sz="4" w:space="0" w:color="auto"/>
            </w:tcBorders>
            <w:shd w:val="clear" w:color="000000" w:fill="FFFFFF"/>
            <w:vAlign w:val="center"/>
            <w:hideMark/>
          </w:tcPr>
          <w:p w14:paraId="6D815684"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Lowest 20%</w:t>
            </w:r>
          </w:p>
        </w:tc>
        <w:tc>
          <w:tcPr>
            <w:tcW w:w="737" w:type="dxa"/>
            <w:tcBorders>
              <w:top w:val="single" w:sz="8" w:space="0" w:color="auto"/>
              <w:left w:val="nil"/>
              <w:bottom w:val="single" w:sz="8" w:space="0" w:color="auto"/>
              <w:right w:val="single" w:sz="4" w:space="0" w:color="auto"/>
            </w:tcBorders>
            <w:shd w:val="clear" w:color="000000" w:fill="FFFFFF"/>
            <w:vAlign w:val="center"/>
            <w:hideMark/>
          </w:tcPr>
          <w:p w14:paraId="15E0F24D"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20% to 40%</w:t>
            </w:r>
          </w:p>
        </w:tc>
        <w:tc>
          <w:tcPr>
            <w:tcW w:w="737" w:type="dxa"/>
            <w:tcBorders>
              <w:top w:val="single" w:sz="8" w:space="0" w:color="auto"/>
              <w:left w:val="nil"/>
              <w:bottom w:val="single" w:sz="8" w:space="0" w:color="auto"/>
              <w:right w:val="single" w:sz="4" w:space="0" w:color="auto"/>
            </w:tcBorders>
            <w:shd w:val="clear" w:color="000000" w:fill="FFFFFF"/>
            <w:vAlign w:val="center"/>
            <w:hideMark/>
          </w:tcPr>
          <w:p w14:paraId="71BC409F"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40% to 60%</w:t>
            </w:r>
          </w:p>
        </w:tc>
        <w:tc>
          <w:tcPr>
            <w:tcW w:w="737" w:type="dxa"/>
            <w:tcBorders>
              <w:top w:val="single" w:sz="8" w:space="0" w:color="auto"/>
              <w:left w:val="nil"/>
              <w:bottom w:val="single" w:sz="8" w:space="0" w:color="auto"/>
              <w:right w:val="single" w:sz="4" w:space="0" w:color="auto"/>
            </w:tcBorders>
            <w:shd w:val="clear" w:color="000000" w:fill="FFFFFF"/>
            <w:vAlign w:val="center"/>
            <w:hideMark/>
          </w:tcPr>
          <w:p w14:paraId="5E080CFF"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60% to 80%</w:t>
            </w:r>
          </w:p>
        </w:tc>
        <w:tc>
          <w:tcPr>
            <w:tcW w:w="738" w:type="dxa"/>
            <w:tcBorders>
              <w:top w:val="single" w:sz="8" w:space="0" w:color="auto"/>
              <w:left w:val="nil"/>
              <w:bottom w:val="single" w:sz="8" w:space="0" w:color="auto"/>
              <w:right w:val="single" w:sz="4" w:space="0" w:color="auto"/>
            </w:tcBorders>
            <w:shd w:val="clear" w:color="000000" w:fill="FFFFFF"/>
            <w:vAlign w:val="center"/>
            <w:hideMark/>
          </w:tcPr>
          <w:p w14:paraId="75E76894"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Highest 20%</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14:paraId="49A3DCB8"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First Nations</w:t>
            </w:r>
          </w:p>
        </w:tc>
        <w:tc>
          <w:tcPr>
            <w:tcW w:w="851" w:type="dxa"/>
            <w:tcBorders>
              <w:top w:val="single" w:sz="8" w:space="0" w:color="auto"/>
              <w:left w:val="nil"/>
              <w:bottom w:val="single" w:sz="8" w:space="0" w:color="auto"/>
              <w:right w:val="single" w:sz="4" w:space="0" w:color="auto"/>
            </w:tcBorders>
            <w:shd w:val="clear" w:color="000000" w:fill="FFFFFF"/>
            <w:vAlign w:val="center"/>
            <w:hideMark/>
          </w:tcPr>
          <w:p w14:paraId="2E574880"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Non-First Nations</w:t>
            </w:r>
          </w:p>
        </w:tc>
        <w:tc>
          <w:tcPr>
            <w:tcW w:w="708" w:type="dxa"/>
            <w:tcBorders>
              <w:top w:val="single" w:sz="8" w:space="0" w:color="auto"/>
              <w:left w:val="nil"/>
              <w:bottom w:val="single" w:sz="8" w:space="0" w:color="auto"/>
              <w:right w:val="single" w:sz="4" w:space="0" w:color="auto"/>
            </w:tcBorders>
            <w:shd w:val="clear" w:color="000000" w:fill="FFFFFF"/>
            <w:vAlign w:val="center"/>
            <w:hideMark/>
          </w:tcPr>
          <w:p w14:paraId="65851F2E" w14:textId="71D4E0C3" w:rsidR="0043246D" w:rsidRPr="004E38D6" w:rsidRDefault="00F66AC6"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Female</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3F0A08E5"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Male</w:t>
            </w:r>
          </w:p>
        </w:tc>
      </w:tr>
      <w:tr w:rsidR="0043246D" w:rsidRPr="00ED684B" w14:paraId="4F5074C7" w14:textId="77777777" w:rsidTr="008608DC">
        <w:trPr>
          <w:trHeight w:val="362"/>
        </w:trPr>
        <w:tc>
          <w:tcPr>
            <w:tcW w:w="841" w:type="dxa"/>
            <w:vMerge w:val="restart"/>
            <w:tcBorders>
              <w:top w:val="nil"/>
              <w:left w:val="single" w:sz="8" w:space="0" w:color="auto"/>
              <w:bottom w:val="single" w:sz="4" w:space="0" w:color="auto"/>
              <w:right w:val="single" w:sz="8" w:space="0" w:color="auto"/>
            </w:tcBorders>
            <w:shd w:val="clear" w:color="000000" w:fill="FFFFFF"/>
            <w:vAlign w:val="center"/>
            <w:hideMark/>
          </w:tcPr>
          <w:p w14:paraId="57FC66DD"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Partial Capacity to Work</w:t>
            </w:r>
          </w:p>
        </w:tc>
        <w:tc>
          <w:tcPr>
            <w:tcW w:w="1276" w:type="dxa"/>
            <w:tcBorders>
              <w:top w:val="nil"/>
              <w:left w:val="nil"/>
              <w:bottom w:val="single" w:sz="4" w:space="0" w:color="auto"/>
              <w:right w:val="single" w:sz="8" w:space="0" w:color="auto"/>
            </w:tcBorders>
            <w:shd w:val="clear" w:color="000000" w:fill="FFFFFF"/>
            <w:vAlign w:val="center"/>
            <w:hideMark/>
          </w:tcPr>
          <w:p w14:paraId="09031F4E" w14:textId="77777777" w:rsidR="0043246D" w:rsidRPr="004E38D6" w:rsidRDefault="0043246D" w:rsidP="004F46C5">
            <w:pPr>
              <w:spacing w:after="0"/>
              <w:jc w:val="center"/>
              <w:rPr>
                <w:rFonts w:eastAsia="Times New Roman" w:cstheme="minorHAnsi"/>
                <w:b/>
                <w:bCs/>
                <w:color w:val="000000"/>
                <w:sz w:val="12"/>
                <w:szCs w:val="12"/>
                <w:lang w:eastAsia="en-AU"/>
              </w:rPr>
            </w:pPr>
            <w:r w:rsidRPr="004E38D6">
              <w:rPr>
                <w:rFonts w:eastAsia="Times New Roman" w:cstheme="minorHAnsi"/>
                <w:b/>
                <w:bCs/>
                <w:color w:val="000000"/>
                <w:sz w:val="12"/>
                <w:szCs w:val="12"/>
                <w:lang w:eastAsia="en-AU"/>
              </w:rPr>
              <w:t>Partial Capacity to Work</w:t>
            </w:r>
          </w:p>
        </w:tc>
        <w:tc>
          <w:tcPr>
            <w:tcW w:w="992" w:type="dxa"/>
            <w:tcBorders>
              <w:top w:val="nil"/>
              <w:left w:val="nil"/>
              <w:bottom w:val="single" w:sz="4" w:space="0" w:color="auto"/>
              <w:right w:val="single" w:sz="4" w:space="0" w:color="auto"/>
            </w:tcBorders>
            <w:shd w:val="clear" w:color="auto" w:fill="auto"/>
            <w:noWrap/>
            <w:vAlign w:val="center"/>
            <w:hideMark/>
          </w:tcPr>
          <w:p w14:paraId="57D49FD8"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2.98</w:t>
            </w:r>
          </w:p>
        </w:tc>
        <w:tc>
          <w:tcPr>
            <w:tcW w:w="992" w:type="dxa"/>
            <w:tcBorders>
              <w:top w:val="nil"/>
              <w:left w:val="nil"/>
              <w:bottom w:val="nil"/>
              <w:right w:val="nil"/>
            </w:tcBorders>
            <w:shd w:val="clear" w:color="auto" w:fill="EEEEEE"/>
            <w:noWrap/>
            <w:vAlign w:val="center"/>
            <w:hideMark/>
          </w:tcPr>
          <w:p w14:paraId="1304F744"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N/A</w:t>
            </w:r>
          </w:p>
        </w:tc>
        <w:tc>
          <w:tcPr>
            <w:tcW w:w="737" w:type="dxa"/>
            <w:tcBorders>
              <w:top w:val="nil"/>
              <w:left w:val="nil"/>
              <w:bottom w:val="nil"/>
              <w:right w:val="nil"/>
            </w:tcBorders>
            <w:shd w:val="clear" w:color="auto" w:fill="EEEEEE"/>
            <w:noWrap/>
            <w:vAlign w:val="center"/>
            <w:hideMark/>
          </w:tcPr>
          <w:p w14:paraId="408E9E5B"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3.17</w:t>
            </w:r>
          </w:p>
        </w:tc>
        <w:tc>
          <w:tcPr>
            <w:tcW w:w="737" w:type="dxa"/>
            <w:tcBorders>
              <w:top w:val="nil"/>
              <w:left w:val="nil"/>
              <w:bottom w:val="nil"/>
              <w:right w:val="nil"/>
            </w:tcBorders>
            <w:shd w:val="clear" w:color="auto" w:fill="EEEEEE"/>
            <w:noWrap/>
            <w:vAlign w:val="center"/>
            <w:hideMark/>
          </w:tcPr>
          <w:p w14:paraId="3A5DDACE"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3.01</w:t>
            </w:r>
          </w:p>
        </w:tc>
        <w:tc>
          <w:tcPr>
            <w:tcW w:w="737" w:type="dxa"/>
            <w:tcBorders>
              <w:top w:val="nil"/>
              <w:left w:val="nil"/>
              <w:bottom w:val="nil"/>
              <w:right w:val="nil"/>
            </w:tcBorders>
            <w:shd w:val="clear" w:color="auto" w:fill="EEEEEE"/>
            <w:noWrap/>
            <w:vAlign w:val="center"/>
            <w:hideMark/>
          </w:tcPr>
          <w:p w14:paraId="3D9FF132"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2.90</w:t>
            </w:r>
          </w:p>
        </w:tc>
        <w:tc>
          <w:tcPr>
            <w:tcW w:w="737" w:type="dxa"/>
            <w:tcBorders>
              <w:top w:val="nil"/>
              <w:left w:val="nil"/>
              <w:bottom w:val="nil"/>
              <w:right w:val="nil"/>
            </w:tcBorders>
            <w:shd w:val="clear" w:color="auto" w:fill="EEEEEE"/>
            <w:noWrap/>
            <w:vAlign w:val="center"/>
            <w:hideMark/>
          </w:tcPr>
          <w:p w14:paraId="3BF4D545"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2.82</w:t>
            </w:r>
          </w:p>
        </w:tc>
        <w:tc>
          <w:tcPr>
            <w:tcW w:w="738" w:type="dxa"/>
            <w:tcBorders>
              <w:top w:val="nil"/>
              <w:left w:val="nil"/>
              <w:bottom w:val="nil"/>
              <w:right w:val="nil"/>
            </w:tcBorders>
            <w:shd w:val="clear" w:color="auto" w:fill="EEEEEE"/>
            <w:noWrap/>
            <w:vAlign w:val="center"/>
            <w:hideMark/>
          </w:tcPr>
          <w:p w14:paraId="3AA68432"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2.64</w:t>
            </w:r>
          </w:p>
        </w:tc>
        <w:tc>
          <w:tcPr>
            <w:tcW w:w="850" w:type="dxa"/>
            <w:tcBorders>
              <w:top w:val="nil"/>
              <w:left w:val="nil"/>
              <w:bottom w:val="nil"/>
              <w:right w:val="nil"/>
            </w:tcBorders>
            <w:shd w:val="clear" w:color="auto" w:fill="EEEEEE"/>
            <w:noWrap/>
            <w:vAlign w:val="center"/>
            <w:hideMark/>
          </w:tcPr>
          <w:p w14:paraId="212A3A9F"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3.43</w:t>
            </w:r>
          </w:p>
        </w:tc>
        <w:tc>
          <w:tcPr>
            <w:tcW w:w="851" w:type="dxa"/>
            <w:tcBorders>
              <w:top w:val="nil"/>
              <w:left w:val="nil"/>
              <w:bottom w:val="nil"/>
              <w:right w:val="nil"/>
            </w:tcBorders>
            <w:shd w:val="clear" w:color="auto" w:fill="EEEEEE"/>
            <w:noWrap/>
            <w:vAlign w:val="center"/>
            <w:hideMark/>
          </w:tcPr>
          <w:p w14:paraId="6C17B209"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2.92</w:t>
            </w:r>
          </w:p>
        </w:tc>
        <w:tc>
          <w:tcPr>
            <w:tcW w:w="708" w:type="dxa"/>
            <w:tcBorders>
              <w:top w:val="nil"/>
              <w:left w:val="nil"/>
              <w:bottom w:val="nil"/>
              <w:right w:val="nil"/>
            </w:tcBorders>
            <w:shd w:val="clear" w:color="auto" w:fill="EEEEEE"/>
            <w:noWrap/>
            <w:vAlign w:val="center"/>
            <w:hideMark/>
          </w:tcPr>
          <w:p w14:paraId="64160006"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3.15</w:t>
            </w:r>
          </w:p>
        </w:tc>
        <w:tc>
          <w:tcPr>
            <w:tcW w:w="709" w:type="dxa"/>
            <w:tcBorders>
              <w:top w:val="nil"/>
              <w:left w:val="nil"/>
              <w:bottom w:val="nil"/>
              <w:right w:val="single" w:sz="8" w:space="0" w:color="auto"/>
            </w:tcBorders>
            <w:shd w:val="clear" w:color="auto" w:fill="EEEEEE"/>
            <w:noWrap/>
            <w:vAlign w:val="center"/>
            <w:hideMark/>
          </w:tcPr>
          <w:p w14:paraId="3B0BD0A7"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2.85</w:t>
            </w:r>
          </w:p>
        </w:tc>
      </w:tr>
      <w:tr w:rsidR="0043246D" w:rsidRPr="00ED684B" w14:paraId="105B4309" w14:textId="77777777" w:rsidTr="008608DC">
        <w:trPr>
          <w:trHeight w:val="362"/>
        </w:trPr>
        <w:tc>
          <w:tcPr>
            <w:tcW w:w="841" w:type="dxa"/>
            <w:vMerge/>
            <w:tcBorders>
              <w:top w:val="nil"/>
              <w:left w:val="single" w:sz="8" w:space="0" w:color="auto"/>
              <w:bottom w:val="single" w:sz="4" w:space="0" w:color="auto"/>
              <w:right w:val="single" w:sz="8" w:space="0" w:color="auto"/>
            </w:tcBorders>
            <w:vAlign w:val="center"/>
            <w:hideMark/>
          </w:tcPr>
          <w:p w14:paraId="5C9CD587" w14:textId="77777777" w:rsidR="0043246D" w:rsidRPr="004E38D6" w:rsidRDefault="0043246D" w:rsidP="004F46C5">
            <w:pPr>
              <w:spacing w:after="0"/>
              <w:rPr>
                <w:rFonts w:eastAsia="Times New Roman" w:cstheme="minorHAnsi"/>
                <w:b/>
                <w:bCs/>
                <w:sz w:val="12"/>
                <w:szCs w:val="12"/>
                <w:lang w:eastAsia="en-AU"/>
              </w:rPr>
            </w:pPr>
          </w:p>
        </w:tc>
        <w:tc>
          <w:tcPr>
            <w:tcW w:w="1276" w:type="dxa"/>
            <w:tcBorders>
              <w:top w:val="nil"/>
              <w:left w:val="nil"/>
              <w:bottom w:val="single" w:sz="4" w:space="0" w:color="auto"/>
              <w:right w:val="single" w:sz="8" w:space="0" w:color="auto"/>
            </w:tcBorders>
            <w:shd w:val="clear" w:color="000000" w:fill="FFFFFF"/>
            <w:vAlign w:val="center"/>
            <w:hideMark/>
          </w:tcPr>
          <w:p w14:paraId="07B870B7" w14:textId="77777777" w:rsidR="0043246D" w:rsidRPr="004E38D6" w:rsidRDefault="0043246D" w:rsidP="004F46C5">
            <w:pPr>
              <w:spacing w:after="0"/>
              <w:jc w:val="center"/>
              <w:rPr>
                <w:rFonts w:eastAsia="Times New Roman" w:cstheme="minorHAnsi"/>
                <w:b/>
                <w:bCs/>
                <w:color w:val="000000"/>
                <w:sz w:val="12"/>
                <w:szCs w:val="12"/>
                <w:lang w:eastAsia="en-AU"/>
              </w:rPr>
            </w:pPr>
            <w:r w:rsidRPr="004E38D6">
              <w:rPr>
                <w:rFonts w:eastAsia="Times New Roman" w:cstheme="minorHAnsi"/>
                <w:b/>
                <w:bCs/>
                <w:color w:val="000000"/>
                <w:sz w:val="12"/>
                <w:szCs w:val="12"/>
                <w:lang w:eastAsia="en-AU"/>
              </w:rPr>
              <w:t>Full Capacity to Work</w:t>
            </w:r>
          </w:p>
        </w:tc>
        <w:tc>
          <w:tcPr>
            <w:tcW w:w="992" w:type="dxa"/>
            <w:tcBorders>
              <w:top w:val="nil"/>
              <w:left w:val="nil"/>
              <w:bottom w:val="single" w:sz="4" w:space="0" w:color="auto"/>
              <w:right w:val="nil"/>
            </w:tcBorders>
            <w:shd w:val="clear" w:color="auto" w:fill="FFFFFF" w:themeFill="background1"/>
            <w:noWrap/>
            <w:vAlign w:val="center"/>
          </w:tcPr>
          <w:p w14:paraId="49C8D9B2" w14:textId="77777777" w:rsidR="0043246D" w:rsidRPr="004E38D6" w:rsidRDefault="0043246D" w:rsidP="004F46C5">
            <w:pPr>
              <w:spacing w:after="0"/>
              <w:jc w:val="center"/>
              <w:rPr>
                <w:rFonts w:asciiTheme="majorHAnsi" w:eastAsia="Times New Roman" w:hAnsiTheme="majorHAnsi" w:cstheme="majorHAnsi"/>
                <w:color w:val="FFFFFF"/>
                <w:sz w:val="12"/>
                <w:szCs w:val="12"/>
                <w:lang w:eastAsia="en-AU"/>
              </w:rPr>
            </w:pPr>
            <w:r w:rsidRPr="004E38D6">
              <w:rPr>
                <w:rFonts w:asciiTheme="majorHAnsi" w:eastAsia="Times New Roman" w:hAnsiTheme="majorHAnsi" w:cstheme="majorHAnsi"/>
                <w:color w:val="000000" w:themeColor="text1"/>
                <w:sz w:val="12"/>
                <w:szCs w:val="12"/>
                <w:lang w:eastAsia="en-AU"/>
              </w:rPr>
              <w:t>N/A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46ADD"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2.32</w:t>
            </w:r>
          </w:p>
        </w:tc>
        <w:tc>
          <w:tcPr>
            <w:tcW w:w="737" w:type="dxa"/>
            <w:tcBorders>
              <w:top w:val="nil"/>
              <w:left w:val="nil"/>
              <w:bottom w:val="nil"/>
              <w:right w:val="nil"/>
            </w:tcBorders>
            <w:shd w:val="clear" w:color="auto" w:fill="EEEEEE"/>
            <w:noWrap/>
            <w:vAlign w:val="center"/>
            <w:hideMark/>
          </w:tcPr>
          <w:p w14:paraId="76947B05"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2.62</w:t>
            </w:r>
          </w:p>
        </w:tc>
        <w:tc>
          <w:tcPr>
            <w:tcW w:w="737" w:type="dxa"/>
            <w:tcBorders>
              <w:top w:val="nil"/>
              <w:left w:val="nil"/>
              <w:bottom w:val="nil"/>
              <w:right w:val="nil"/>
            </w:tcBorders>
            <w:shd w:val="clear" w:color="auto" w:fill="EEEEEE"/>
            <w:noWrap/>
            <w:vAlign w:val="center"/>
            <w:hideMark/>
          </w:tcPr>
          <w:p w14:paraId="39406DBF"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2.38</w:t>
            </w:r>
          </w:p>
        </w:tc>
        <w:tc>
          <w:tcPr>
            <w:tcW w:w="737" w:type="dxa"/>
            <w:tcBorders>
              <w:top w:val="nil"/>
              <w:left w:val="nil"/>
              <w:bottom w:val="nil"/>
              <w:right w:val="nil"/>
            </w:tcBorders>
            <w:shd w:val="clear" w:color="auto" w:fill="EEEEEE"/>
            <w:noWrap/>
            <w:vAlign w:val="center"/>
            <w:hideMark/>
          </w:tcPr>
          <w:p w14:paraId="77BF06D5"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2.18</w:t>
            </w:r>
          </w:p>
        </w:tc>
        <w:tc>
          <w:tcPr>
            <w:tcW w:w="737" w:type="dxa"/>
            <w:tcBorders>
              <w:top w:val="nil"/>
              <w:left w:val="nil"/>
              <w:bottom w:val="nil"/>
              <w:right w:val="nil"/>
            </w:tcBorders>
            <w:shd w:val="clear" w:color="auto" w:fill="EEEEEE"/>
            <w:noWrap/>
            <w:vAlign w:val="center"/>
            <w:hideMark/>
          </w:tcPr>
          <w:p w14:paraId="76762066"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1.98</w:t>
            </w:r>
          </w:p>
        </w:tc>
        <w:tc>
          <w:tcPr>
            <w:tcW w:w="738" w:type="dxa"/>
            <w:tcBorders>
              <w:top w:val="nil"/>
              <w:left w:val="nil"/>
              <w:bottom w:val="nil"/>
              <w:right w:val="nil"/>
            </w:tcBorders>
            <w:shd w:val="clear" w:color="auto" w:fill="EEEEEE"/>
            <w:noWrap/>
            <w:vAlign w:val="center"/>
            <w:hideMark/>
          </w:tcPr>
          <w:p w14:paraId="2CC5CF2F"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1.75</w:t>
            </w:r>
          </w:p>
        </w:tc>
        <w:tc>
          <w:tcPr>
            <w:tcW w:w="850" w:type="dxa"/>
            <w:tcBorders>
              <w:top w:val="nil"/>
              <w:left w:val="nil"/>
              <w:bottom w:val="nil"/>
              <w:right w:val="nil"/>
            </w:tcBorders>
            <w:shd w:val="clear" w:color="auto" w:fill="EEEEEE"/>
            <w:noWrap/>
            <w:vAlign w:val="center"/>
            <w:hideMark/>
          </w:tcPr>
          <w:p w14:paraId="3BAA07BB"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3.08</w:t>
            </w:r>
          </w:p>
        </w:tc>
        <w:tc>
          <w:tcPr>
            <w:tcW w:w="851" w:type="dxa"/>
            <w:tcBorders>
              <w:top w:val="nil"/>
              <w:left w:val="nil"/>
              <w:bottom w:val="nil"/>
              <w:right w:val="nil"/>
            </w:tcBorders>
            <w:shd w:val="clear" w:color="auto" w:fill="EEEEEE"/>
            <w:noWrap/>
            <w:vAlign w:val="center"/>
            <w:hideMark/>
          </w:tcPr>
          <w:p w14:paraId="04F7599E"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2.12</w:t>
            </w:r>
          </w:p>
        </w:tc>
        <w:tc>
          <w:tcPr>
            <w:tcW w:w="708" w:type="dxa"/>
            <w:tcBorders>
              <w:top w:val="nil"/>
              <w:left w:val="nil"/>
              <w:bottom w:val="nil"/>
              <w:right w:val="nil"/>
            </w:tcBorders>
            <w:shd w:val="clear" w:color="auto" w:fill="EEEEEE"/>
            <w:noWrap/>
            <w:vAlign w:val="center"/>
            <w:hideMark/>
          </w:tcPr>
          <w:p w14:paraId="2035BD38"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2.52</w:t>
            </w:r>
          </w:p>
        </w:tc>
        <w:tc>
          <w:tcPr>
            <w:tcW w:w="709" w:type="dxa"/>
            <w:tcBorders>
              <w:top w:val="nil"/>
              <w:left w:val="nil"/>
              <w:bottom w:val="nil"/>
              <w:right w:val="single" w:sz="8" w:space="0" w:color="auto"/>
            </w:tcBorders>
            <w:shd w:val="clear" w:color="auto" w:fill="EEEEEE"/>
            <w:noWrap/>
            <w:vAlign w:val="center"/>
            <w:hideMark/>
          </w:tcPr>
          <w:p w14:paraId="48A8D75F"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2.18</w:t>
            </w:r>
          </w:p>
        </w:tc>
      </w:tr>
      <w:tr w:rsidR="0043246D" w:rsidRPr="00ED684B" w14:paraId="3CAC4CE0" w14:textId="77777777" w:rsidTr="008608DC">
        <w:trPr>
          <w:trHeight w:val="362"/>
        </w:trPr>
        <w:tc>
          <w:tcPr>
            <w:tcW w:w="841" w:type="dxa"/>
            <w:vMerge w:val="restart"/>
            <w:tcBorders>
              <w:top w:val="nil"/>
              <w:left w:val="single" w:sz="8" w:space="0" w:color="auto"/>
              <w:bottom w:val="single" w:sz="4" w:space="0" w:color="auto"/>
              <w:right w:val="single" w:sz="8" w:space="0" w:color="auto"/>
            </w:tcBorders>
            <w:shd w:val="clear" w:color="000000" w:fill="FFFFFF"/>
            <w:vAlign w:val="center"/>
            <w:hideMark/>
          </w:tcPr>
          <w:p w14:paraId="18277CD9"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SEIFA</w:t>
            </w:r>
          </w:p>
        </w:tc>
        <w:tc>
          <w:tcPr>
            <w:tcW w:w="1276" w:type="dxa"/>
            <w:tcBorders>
              <w:top w:val="nil"/>
              <w:left w:val="nil"/>
              <w:bottom w:val="single" w:sz="4" w:space="0" w:color="auto"/>
              <w:right w:val="single" w:sz="8" w:space="0" w:color="auto"/>
            </w:tcBorders>
            <w:shd w:val="clear" w:color="000000" w:fill="FFFFFF"/>
            <w:vAlign w:val="center"/>
            <w:hideMark/>
          </w:tcPr>
          <w:p w14:paraId="3DED5CBC" w14:textId="77777777" w:rsidR="0043246D" w:rsidRPr="004E38D6" w:rsidRDefault="0043246D" w:rsidP="004F46C5">
            <w:pPr>
              <w:spacing w:after="0"/>
              <w:jc w:val="center"/>
              <w:rPr>
                <w:rFonts w:eastAsia="Times New Roman" w:cstheme="minorHAnsi"/>
                <w:b/>
                <w:bCs/>
                <w:color w:val="000000"/>
                <w:sz w:val="12"/>
                <w:szCs w:val="12"/>
                <w:lang w:eastAsia="en-AU"/>
              </w:rPr>
            </w:pPr>
            <w:r w:rsidRPr="004E38D6">
              <w:rPr>
                <w:rFonts w:eastAsia="Times New Roman" w:cstheme="minorHAnsi"/>
                <w:b/>
                <w:bCs/>
                <w:color w:val="000000"/>
                <w:sz w:val="12"/>
                <w:szCs w:val="12"/>
                <w:lang w:eastAsia="en-AU"/>
              </w:rPr>
              <w:t>Lowest 20%</w:t>
            </w:r>
          </w:p>
        </w:tc>
        <w:tc>
          <w:tcPr>
            <w:tcW w:w="992" w:type="dxa"/>
            <w:tcBorders>
              <w:top w:val="nil"/>
              <w:left w:val="nil"/>
              <w:bottom w:val="single" w:sz="4" w:space="0" w:color="auto"/>
              <w:right w:val="single" w:sz="4" w:space="0" w:color="auto"/>
            </w:tcBorders>
            <w:shd w:val="clear" w:color="000000" w:fill="C00000"/>
            <w:noWrap/>
            <w:vAlign w:val="center"/>
            <w:hideMark/>
          </w:tcPr>
          <w:p w14:paraId="560B7236" w14:textId="77777777" w:rsidR="0043246D" w:rsidRPr="004E38D6" w:rsidRDefault="0043246D" w:rsidP="004F46C5">
            <w:pPr>
              <w:spacing w:after="0"/>
              <w:jc w:val="center"/>
              <w:rPr>
                <w:rFonts w:asciiTheme="majorHAnsi" w:eastAsia="Times New Roman" w:hAnsiTheme="majorHAnsi" w:cstheme="majorHAnsi"/>
                <w:color w:val="FFFFFF"/>
                <w:sz w:val="12"/>
                <w:szCs w:val="12"/>
                <w:lang w:eastAsia="en-AU"/>
              </w:rPr>
            </w:pPr>
            <w:r w:rsidRPr="004E38D6">
              <w:rPr>
                <w:rFonts w:asciiTheme="majorHAnsi" w:eastAsia="Times New Roman" w:hAnsiTheme="majorHAnsi" w:cstheme="majorHAnsi"/>
                <w:color w:val="FFFFFF"/>
                <w:sz w:val="12"/>
                <w:szCs w:val="12"/>
                <w:lang w:eastAsia="en-AU"/>
              </w:rPr>
              <w:t>3.17</w:t>
            </w:r>
          </w:p>
        </w:tc>
        <w:tc>
          <w:tcPr>
            <w:tcW w:w="992" w:type="dxa"/>
            <w:tcBorders>
              <w:top w:val="nil"/>
              <w:left w:val="nil"/>
              <w:bottom w:val="single" w:sz="4" w:space="0" w:color="auto"/>
              <w:right w:val="nil"/>
            </w:tcBorders>
            <w:shd w:val="clear" w:color="auto" w:fill="auto"/>
            <w:noWrap/>
            <w:vAlign w:val="center"/>
            <w:hideMark/>
          </w:tcPr>
          <w:p w14:paraId="10295A43"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2.62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86B3F"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2.77</w:t>
            </w:r>
          </w:p>
        </w:tc>
        <w:tc>
          <w:tcPr>
            <w:tcW w:w="737" w:type="dxa"/>
            <w:tcBorders>
              <w:top w:val="nil"/>
              <w:left w:val="nil"/>
              <w:bottom w:val="nil"/>
              <w:right w:val="nil"/>
            </w:tcBorders>
            <w:shd w:val="clear" w:color="auto" w:fill="EEEEEE"/>
            <w:noWrap/>
            <w:vAlign w:val="center"/>
            <w:hideMark/>
          </w:tcPr>
          <w:p w14:paraId="2FB71E7D"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N/A</w:t>
            </w:r>
          </w:p>
        </w:tc>
        <w:tc>
          <w:tcPr>
            <w:tcW w:w="737" w:type="dxa"/>
            <w:tcBorders>
              <w:top w:val="nil"/>
              <w:left w:val="nil"/>
              <w:bottom w:val="nil"/>
              <w:right w:val="nil"/>
            </w:tcBorders>
            <w:shd w:val="clear" w:color="auto" w:fill="EEEEEE"/>
            <w:noWrap/>
            <w:vAlign w:val="center"/>
            <w:hideMark/>
          </w:tcPr>
          <w:p w14:paraId="1F1969A5"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N/A</w:t>
            </w:r>
          </w:p>
        </w:tc>
        <w:tc>
          <w:tcPr>
            <w:tcW w:w="737" w:type="dxa"/>
            <w:tcBorders>
              <w:top w:val="nil"/>
              <w:left w:val="nil"/>
              <w:bottom w:val="nil"/>
              <w:right w:val="nil"/>
            </w:tcBorders>
            <w:shd w:val="clear" w:color="auto" w:fill="EEEEEE"/>
            <w:noWrap/>
            <w:vAlign w:val="center"/>
            <w:hideMark/>
          </w:tcPr>
          <w:p w14:paraId="2CF69651"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N/A</w:t>
            </w:r>
          </w:p>
        </w:tc>
        <w:tc>
          <w:tcPr>
            <w:tcW w:w="738" w:type="dxa"/>
            <w:tcBorders>
              <w:top w:val="nil"/>
              <w:left w:val="nil"/>
              <w:bottom w:val="nil"/>
              <w:right w:val="nil"/>
            </w:tcBorders>
            <w:shd w:val="clear" w:color="auto" w:fill="EEEEEE"/>
            <w:noWrap/>
            <w:vAlign w:val="center"/>
            <w:hideMark/>
          </w:tcPr>
          <w:p w14:paraId="0AF15DD2"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N/A</w:t>
            </w:r>
          </w:p>
        </w:tc>
        <w:tc>
          <w:tcPr>
            <w:tcW w:w="850" w:type="dxa"/>
            <w:tcBorders>
              <w:top w:val="nil"/>
              <w:left w:val="nil"/>
              <w:bottom w:val="nil"/>
              <w:right w:val="nil"/>
            </w:tcBorders>
            <w:shd w:val="clear" w:color="auto" w:fill="EEEEEE"/>
            <w:noWrap/>
            <w:vAlign w:val="center"/>
            <w:hideMark/>
          </w:tcPr>
          <w:p w14:paraId="68A90433"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3.23</w:t>
            </w:r>
          </w:p>
        </w:tc>
        <w:tc>
          <w:tcPr>
            <w:tcW w:w="851" w:type="dxa"/>
            <w:tcBorders>
              <w:top w:val="nil"/>
              <w:left w:val="nil"/>
              <w:bottom w:val="nil"/>
              <w:right w:val="nil"/>
            </w:tcBorders>
            <w:shd w:val="clear" w:color="auto" w:fill="EEEEEE"/>
            <w:noWrap/>
            <w:vAlign w:val="center"/>
            <w:hideMark/>
          </w:tcPr>
          <w:p w14:paraId="3712FA3C"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2.60</w:t>
            </w:r>
          </w:p>
        </w:tc>
        <w:tc>
          <w:tcPr>
            <w:tcW w:w="708" w:type="dxa"/>
            <w:tcBorders>
              <w:top w:val="nil"/>
              <w:left w:val="nil"/>
              <w:bottom w:val="nil"/>
              <w:right w:val="nil"/>
            </w:tcBorders>
            <w:shd w:val="clear" w:color="auto" w:fill="EEEEEE"/>
            <w:noWrap/>
            <w:vAlign w:val="center"/>
            <w:hideMark/>
          </w:tcPr>
          <w:p w14:paraId="6E16A43D"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3.05</w:t>
            </w:r>
          </w:p>
        </w:tc>
        <w:tc>
          <w:tcPr>
            <w:tcW w:w="709" w:type="dxa"/>
            <w:tcBorders>
              <w:top w:val="nil"/>
              <w:left w:val="nil"/>
              <w:bottom w:val="nil"/>
              <w:right w:val="single" w:sz="8" w:space="0" w:color="auto"/>
            </w:tcBorders>
            <w:shd w:val="clear" w:color="auto" w:fill="EEEEEE"/>
            <w:noWrap/>
            <w:vAlign w:val="center"/>
            <w:hideMark/>
          </w:tcPr>
          <w:p w14:paraId="75A7AD32"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2.59</w:t>
            </w:r>
          </w:p>
        </w:tc>
      </w:tr>
      <w:tr w:rsidR="0043246D" w:rsidRPr="00ED684B" w14:paraId="3B263C45" w14:textId="77777777" w:rsidTr="008608DC">
        <w:trPr>
          <w:trHeight w:val="362"/>
        </w:trPr>
        <w:tc>
          <w:tcPr>
            <w:tcW w:w="841" w:type="dxa"/>
            <w:vMerge/>
            <w:tcBorders>
              <w:top w:val="nil"/>
              <w:left w:val="single" w:sz="8" w:space="0" w:color="auto"/>
              <w:bottom w:val="single" w:sz="4" w:space="0" w:color="auto"/>
              <w:right w:val="single" w:sz="8" w:space="0" w:color="auto"/>
            </w:tcBorders>
            <w:vAlign w:val="center"/>
            <w:hideMark/>
          </w:tcPr>
          <w:p w14:paraId="390E1500" w14:textId="77777777" w:rsidR="0043246D" w:rsidRPr="004E38D6" w:rsidRDefault="0043246D" w:rsidP="004F46C5">
            <w:pPr>
              <w:spacing w:after="0"/>
              <w:rPr>
                <w:rFonts w:eastAsia="Times New Roman" w:cstheme="minorHAnsi"/>
                <w:b/>
                <w:bCs/>
                <w:sz w:val="12"/>
                <w:szCs w:val="12"/>
                <w:lang w:eastAsia="en-AU"/>
              </w:rPr>
            </w:pPr>
          </w:p>
        </w:tc>
        <w:tc>
          <w:tcPr>
            <w:tcW w:w="1276" w:type="dxa"/>
            <w:tcBorders>
              <w:top w:val="nil"/>
              <w:left w:val="nil"/>
              <w:bottom w:val="single" w:sz="4" w:space="0" w:color="auto"/>
              <w:right w:val="single" w:sz="8" w:space="0" w:color="auto"/>
            </w:tcBorders>
            <w:shd w:val="clear" w:color="000000" w:fill="FFFFFF"/>
            <w:vAlign w:val="center"/>
            <w:hideMark/>
          </w:tcPr>
          <w:p w14:paraId="6C4882DB" w14:textId="77777777" w:rsidR="0043246D" w:rsidRPr="004E38D6" w:rsidRDefault="0043246D" w:rsidP="004F46C5">
            <w:pPr>
              <w:spacing w:after="0"/>
              <w:jc w:val="center"/>
              <w:rPr>
                <w:rFonts w:eastAsia="Times New Roman" w:cstheme="minorHAnsi"/>
                <w:b/>
                <w:bCs/>
                <w:color w:val="000000"/>
                <w:sz w:val="12"/>
                <w:szCs w:val="12"/>
                <w:lang w:eastAsia="en-AU"/>
              </w:rPr>
            </w:pPr>
            <w:r w:rsidRPr="004E38D6">
              <w:rPr>
                <w:rFonts w:eastAsia="Times New Roman" w:cstheme="minorHAnsi"/>
                <w:b/>
                <w:bCs/>
                <w:color w:val="000000"/>
                <w:sz w:val="12"/>
                <w:szCs w:val="12"/>
                <w:lang w:eastAsia="en-AU"/>
              </w:rPr>
              <w:t>20% to 40%</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34D0EDF1" w14:textId="77777777" w:rsidR="0043246D" w:rsidRPr="004E38D6" w:rsidRDefault="0043246D" w:rsidP="004F46C5">
            <w:pPr>
              <w:spacing w:after="0"/>
              <w:jc w:val="center"/>
              <w:rPr>
                <w:rFonts w:asciiTheme="majorHAnsi" w:eastAsia="Times New Roman" w:hAnsiTheme="majorHAnsi" w:cstheme="majorHAnsi"/>
                <w:color w:val="FFFFFF"/>
                <w:sz w:val="12"/>
                <w:szCs w:val="12"/>
                <w:lang w:eastAsia="en-AU"/>
              </w:rPr>
            </w:pPr>
            <w:r w:rsidRPr="004E38D6">
              <w:rPr>
                <w:rFonts w:asciiTheme="majorHAnsi" w:eastAsia="Times New Roman" w:hAnsiTheme="majorHAnsi" w:cstheme="majorHAnsi"/>
                <w:color w:val="000000"/>
                <w:sz w:val="12"/>
                <w:szCs w:val="12"/>
                <w:lang w:eastAsia="en-AU"/>
              </w:rPr>
              <w:t>3.01</w:t>
            </w:r>
          </w:p>
        </w:tc>
        <w:tc>
          <w:tcPr>
            <w:tcW w:w="992" w:type="dxa"/>
            <w:tcBorders>
              <w:top w:val="nil"/>
              <w:left w:val="nil"/>
              <w:bottom w:val="single" w:sz="4" w:space="0" w:color="auto"/>
              <w:right w:val="single" w:sz="4" w:space="0" w:color="auto"/>
            </w:tcBorders>
            <w:shd w:val="clear" w:color="auto" w:fill="auto"/>
            <w:noWrap/>
            <w:vAlign w:val="center"/>
            <w:hideMark/>
          </w:tcPr>
          <w:p w14:paraId="4E44FD0F"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2.38</w:t>
            </w:r>
          </w:p>
        </w:tc>
        <w:tc>
          <w:tcPr>
            <w:tcW w:w="737" w:type="dxa"/>
            <w:tcBorders>
              <w:top w:val="nil"/>
              <w:left w:val="nil"/>
              <w:bottom w:val="single" w:sz="4" w:space="0" w:color="auto"/>
              <w:right w:val="nil"/>
            </w:tcBorders>
            <w:shd w:val="clear" w:color="auto" w:fill="FFFFFF" w:themeFill="background1"/>
            <w:noWrap/>
            <w:vAlign w:val="center"/>
          </w:tcPr>
          <w:p w14:paraId="47ACFF5E" w14:textId="77777777" w:rsidR="0043246D" w:rsidRPr="004E38D6" w:rsidRDefault="0043246D" w:rsidP="004F46C5">
            <w:pPr>
              <w:spacing w:after="0"/>
              <w:jc w:val="center"/>
              <w:rPr>
                <w:rFonts w:asciiTheme="majorHAnsi" w:eastAsia="Times New Roman" w:hAnsiTheme="majorHAnsi" w:cstheme="majorHAnsi"/>
                <w:color w:val="FFFFFF" w:themeColor="background1"/>
                <w:sz w:val="12"/>
                <w:szCs w:val="12"/>
                <w:lang w:eastAsia="en-AU"/>
              </w:rPr>
            </w:pPr>
            <w:r w:rsidRPr="004E38D6">
              <w:rPr>
                <w:rFonts w:asciiTheme="majorHAnsi" w:eastAsia="Times New Roman" w:hAnsiTheme="majorHAnsi" w:cstheme="majorHAnsi"/>
                <w:color w:val="000000" w:themeColor="text1"/>
                <w:sz w:val="12"/>
                <w:szCs w:val="12"/>
                <w:lang w:eastAsia="en-AU"/>
              </w:rPr>
              <w:t>N/A</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D8799"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2.57</w:t>
            </w:r>
          </w:p>
        </w:tc>
        <w:tc>
          <w:tcPr>
            <w:tcW w:w="737" w:type="dxa"/>
            <w:tcBorders>
              <w:top w:val="nil"/>
              <w:left w:val="nil"/>
              <w:bottom w:val="nil"/>
              <w:right w:val="nil"/>
            </w:tcBorders>
            <w:shd w:val="clear" w:color="auto" w:fill="EEEEEE"/>
            <w:noWrap/>
            <w:vAlign w:val="center"/>
            <w:hideMark/>
          </w:tcPr>
          <w:p w14:paraId="31D7D93E"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N/A</w:t>
            </w:r>
          </w:p>
        </w:tc>
        <w:tc>
          <w:tcPr>
            <w:tcW w:w="737" w:type="dxa"/>
            <w:tcBorders>
              <w:top w:val="nil"/>
              <w:left w:val="nil"/>
              <w:bottom w:val="nil"/>
              <w:right w:val="nil"/>
            </w:tcBorders>
            <w:shd w:val="clear" w:color="auto" w:fill="EEEEEE"/>
            <w:noWrap/>
            <w:vAlign w:val="center"/>
            <w:hideMark/>
          </w:tcPr>
          <w:p w14:paraId="40B5DF23"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N/A</w:t>
            </w:r>
          </w:p>
        </w:tc>
        <w:tc>
          <w:tcPr>
            <w:tcW w:w="738" w:type="dxa"/>
            <w:tcBorders>
              <w:top w:val="nil"/>
              <w:left w:val="nil"/>
              <w:bottom w:val="nil"/>
              <w:right w:val="nil"/>
            </w:tcBorders>
            <w:shd w:val="clear" w:color="auto" w:fill="EEEEEE"/>
            <w:noWrap/>
            <w:vAlign w:val="center"/>
            <w:hideMark/>
          </w:tcPr>
          <w:p w14:paraId="1C3E23B9"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N/A</w:t>
            </w:r>
          </w:p>
        </w:tc>
        <w:tc>
          <w:tcPr>
            <w:tcW w:w="850" w:type="dxa"/>
            <w:tcBorders>
              <w:top w:val="nil"/>
              <w:left w:val="nil"/>
              <w:bottom w:val="nil"/>
              <w:right w:val="nil"/>
            </w:tcBorders>
            <w:shd w:val="clear" w:color="auto" w:fill="EEEEEE"/>
            <w:noWrap/>
            <w:vAlign w:val="center"/>
            <w:hideMark/>
          </w:tcPr>
          <w:p w14:paraId="16ED3A2A"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3.11</w:t>
            </w:r>
          </w:p>
        </w:tc>
        <w:tc>
          <w:tcPr>
            <w:tcW w:w="851" w:type="dxa"/>
            <w:tcBorders>
              <w:top w:val="nil"/>
              <w:left w:val="nil"/>
              <w:bottom w:val="nil"/>
              <w:right w:val="nil"/>
            </w:tcBorders>
            <w:shd w:val="clear" w:color="auto" w:fill="EEEEEE"/>
            <w:noWrap/>
            <w:vAlign w:val="center"/>
            <w:hideMark/>
          </w:tcPr>
          <w:p w14:paraId="25DD1B73"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2.45</w:t>
            </w:r>
          </w:p>
        </w:tc>
        <w:tc>
          <w:tcPr>
            <w:tcW w:w="708" w:type="dxa"/>
            <w:tcBorders>
              <w:top w:val="nil"/>
              <w:left w:val="nil"/>
              <w:bottom w:val="nil"/>
              <w:right w:val="nil"/>
            </w:tcBorders>
            <w:shd w:val="clear" w:color="auto" w:fill="EEEEEE"/>
            <w:noWrap/>
            <w:vAlign w:val="center"/>
            <w:hideMark/>
          </w:tcPr>
          <w:p w14:paraId="2E72DB7A"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2.80</w:t>
            </w:r>
          </w:p>
        </w:tc>
        <w:tc>
          <w:tcPr>
            <w:tcW w:w="709" w:type="dxa"/>
            <w:tcBorders>
              <w:top w:val="nil"/>
              <w:left w:val="nil"/>
              <w:bottom w:val="nil"/>
              <w:right w:val="single" w:sz="8" w:space="0" w:color="auto"/>
            </w:tcBorders>
            <w:shd w:val="clear" w:color="auto" w:fill="EEEEEE"/>
            <w:noWrap/>
            <w:vAlign w:val="center"/>
            <w:hideMark/>
          </w:tcPr>
          <w:p w14:paraId="075AA2DA"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2.42</w:t>
            </w:r>
          </w:p>
        </w:tc>
      </w:tr>
      <w:tr w:rsidR="0043246D" w:rsidRPr="00ED684B" w14:paraId="17B57E9C" w14:textId="77777777" w:rsidTr="008608DC">
        <w:trPr>
          <w:trHeight w:val="362"/>
        </w:trPr>
        <w:tc>
          <w:tcPr>
            <w:tcW w:w="841" w:type="dxa"/>
            <w:vMerge/>
            <w:tcBorders>
              <w:top w:val="nil"/>
              <w:left w:val="single" w:sz="8" w:space="0" w:color="auto"/>
              <w:bottom w:val="single" w:sz="4" w:space="0" w:color="auto"/>
              <w:right w:val="single" w:sz="8" w:space="0" w:color="auto"/>
            </w:tcBorders>
            <w:vAlign w:val="center"/>
            <w:hideMark/>
          </w:tcPr>
          <w:p w14:paraId="44E2E9F3" w14:textId="77777777" w:rsidR="0043246D" w:rsidRPr="004E38D6" w:rsidRDefault="0043246D" w:rsidP="004F46C5">
            <w:pPr>
              <w:spacing w:after="0"/>
              <w:rPr>
                <w:rFonts w:eastAsia="Times New Roman" w:cstheme="minorHAnsi"/>
                <w:b/>
                <w:bCs/>
                <w:sz w:val="12"/>
                <w:szCs w:val="12"/>
                <w:lang w:eastAsia="en-AU"/>
              </w:rPr>
            </w:pPr>
          </w:p>
        </w:tc>
        <w:tc>
          <w:tcPr>
            <w:tcW w:w="1276" w:type="dxa"/>
            <w:tcBorders>
              <w:top w:val="nil"/>
              <w:left w:val="nil"/>
              <w:bottom w:val="single" w:sz="4" w:space="0" w:color="auto"/>
              <w:right w:val="single" w:sz="8" w:space="0" w:color="auto"/>
            </w:tcBorders>
            <w:shd w:val="clear" w:color="000000" w:fill="FFFFFF"/>
            <w:vAlign w:val="center"/>
            <w:hideMark/>
          </w:tcPr>
          <w:p w14:paraId="5035E2AC" w14:textId="77777777" w:rsidR="0043246D" w:rsidRPr="004E38D6" w:rsidRDefault="0043246D" w:rsidP="004F46C5">
            <w:pPr>
              <w:spacing w:after="0"/>
              <w:jc w:val="center"/>
              <w:rPr>
                <w:rFonts w:eastAsia="Times New Roman" w:cstheme="minorHAnsi"/>
                <w:b/>
                <w:bCs/>
                <w:color w:val="000000"/>
                <w:sz w:val="12"/>
                <w:szCs w:val="12"/>
                <w:lang w:eastAsia="en-AU"/>
              </w:rPr>
            </w:pPr>
            <w:r w:rsidRPr="004E38D6">
              <w:rPr>
                <w:rFonts w:eastAsia="Times New Roman" w:cstheme="minorHAnsi"/>
                <w:b/>
                <w:bCs/>
                <w:color w:val="000000"/>
                <w:sz w:val="12"/>
                <w:szCs w:val="12"/>
                <w:lang w:eastAsia="en-AU"/>
              </w:rPr>
              <w:t>40% to 60%</w:t>
            </w:r>
          </w:p>
        </w:tc>
        <w:tc>
          <w:tcPr>
            <w:tcW w:w="992" w:type="dxa"/>
            <w:tcBorders>
              <w:top w:val="nil"/>
              <w:left w:val="nil"/>
              <w:bottom w:val="single" w:sz="4" w:space="0" w:color="auto"/>
              <w:right w:val="single" w:sz="4" w:space="0" w:color="auto"/>
            </w:tcBorders>
            <w:shd w:val="clear" w:color="auto" w:fill="auto"/>
            <w:noWrap/>
            <w:vAlign w:val="center"/>
            <w:hideMark/>
          </w:tcPr>
          <w:p w14:paraId="3E45C0B1"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2.90</w:t>
            </w:r>
          </w:p>
        </w:tc>
        <w:tc>
          <w:tcPr>
            <w:tcW w:w="992" w:type="dxa"/>
            <w:tcBorders>
              <w:top w:val="nil"/>
              <w:left w:val="nil"/>
              <w:bottom w:val="single" w:sz="4" w:space="0" w:color="auto"/>
              <w:right w:val="single" w:sz="4" w:space="0" w:color="auto"/>
            </w:tcBorders>
            <w:shd w:val="clear" w:color="auto" w:fill="auto"/>
            <w:noWrap/>
            <w:vAlign w:val="center"/>
            <w:hideMark/>
          </w:tcPr>
          <w:p w14:paraId="14FE28D6"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2.18</w:t>
            </w:r>
          </w:p>
        </w:tc>
        <w:tc>
          <w:tcPr>
            <w:tcW w:w="737" w:type="dxa"/>
            <w:tcBorders>
              <w:top w:val="nil"/>
              <w:left w:val="nil"/>
              <w:bottom w:val="single" w:sz="4" w:space="0" w:color="auto"/>
              <w:right w:val="single" w:sz="4" w:space="0" w:color="auto"/>
            </w:tcBorders>
            <w:shd w:val="clear" w:color="auto" w:fill="FFFFFF" w:themeFill="background1"/>
            <w:noWrap/>
            <w:vAlign w:val="center"/>
          </w:tcPr>
          <w:p w14:paraId="757147BF" w14:textId="77777777" w:rsidR="0043246D" w:rsidRPr="004E38D6" w:rsidRDefault="0043246D" w:rsidP="004F46C5">
            <w:pPr>
              <w:spacing w:after="0"/>
              <w:jc w:val="center"/>
              <w:rPr>
                <w:rFonts w:asciiTheme="majorHAnsi" w:eastAsia="Times New Roman" w:hAnsiTheme="majorHAnsi" w:cstheme="majorHAnsi"/>
                <w:color w:val="000000" w:themeColor="text1"/>
                <w:sz w:val="12"/>
                <w:szCs w:val="12"/>
                <w:lang w:eastAsia="en-AU"/>
              </w:rPr>
            </w:pPr>
            <w:r w:rsidRPr="004E38D6">
              <w:rPr>
                <w:rFonts w:asciiTheme="majorHAnsi" w:eastAsia="Times New Roman" w:hAnsiTheme="majorHAnsi" w:cstheme="majorHAnsi"/>
                <w:color w:val="000000" w:themeColor="text1"/>
                <w:sz w:val="12"/>
                <w:szCs w:val="12"/>
                <w:lang w:eastAsia="en-AU"/>
              </w:rPr>
              <w:t>N/A</w:t>
            </w:r>
          </w:p>
        </w:tc>
        <w:tc>
          <w:tcPr>
            <w:tcW w:w="737" w:type="dxa"/>
            <w:tcBorders>
              <w:top w:val="nil"/>
              <w:left w:val="nil"/>
              <w:bottom w:val="single" w:sz="4" w:space="0" w:color="auto"/>
              <w:right w:val="nil"/>
            </w:tcBorders>
            <w:shd w:val="clear" w:color="auto" w:fill="FFFFFF" w:themeFill="background1"/>
            <w:noWrap/>
            <w:vAlign w:val="center"/>
          </w:tcPr>
          <w:p w14:paraId="15DA5876" w14:textId="77777777" w:rsidR="0043246D" w:rsidRPr="004E38D6" w:rsidRDefault="0043246D" w:rsidP="004F46C5">
            <w:pPr>
              <w:spacing w:after="0"/>
              <w:jc w:val="center"/>
              <w:rPr>
                <w:rFonts w:asciiTheme="majorHAnsi" w:eastAsia="Times New Roman" w:hAnsiTheme="majorHAnsi" w:cstheme="majorHAnsi"/>
                <w:color w:val="000000" w:themeColor="text1"/>
                <w:sz w:val="12"/>
                <w:szCs w:val="12"/>
                <w:lang w:eastAsia="en-AU"/>
              </w:rPr>
            </w:pPr>
            <w:r w:rsidRPr="004E38D6">
              <w:rPr>
                <w:rFonts w:asciiTheme="majorHAnsi" w:eastAsia="Times New Roman" w:hAnsiTheme="majorHAnsi" w:cstheme="majorHAnsi"/>
                <w:color w:val="000000" w:themeColor="text1"/>
                <w:sz w:val="12"/>
                <w:szCs w:val="12"/>
                <w:lang w:eastAsia="en-AU"/>
              </w:rPr>
              <w:t>N/A</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053E5"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2.39</w:t>
            </w:r>
          </w:p>
        </w:tc>
        <w:tc>
          <w:tcPr>
            <w:tcW w:w="737" w:type="dxa"/>
            <w:tcBorders>
              <w:top w:val="nil"/>
              <w:left w:val="nil"/>
              <w:bottom w:val="nil"/>
              <w:right w:val="nil"/>
            </w:tcBorders>
            <w:shd w:val="clear" w:color="auto" w:fill="EEEEEE"/>
            <w:noWrap/>
            <w:vAlign w:val="center"/>
            <w:hideMark/>
          </w:tcPr>
          <w:p w14:paraId="7A1F7EC2"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N/A</w:t>
            </w:r>
          </w:p>
        </w:tc>
        <w:tc>
          <w:tcPr>
            <w:tcW w:w="738" w:type="dxa"/>
            <w:tcBorders>
              <w:top w:val="nil"/>
              <w:left w:val="nil"/>
              <w:bottom w:val="nil"/>
              <w:right w:val="nil"/>
            </w:tcBorders>
            <w:shd w:val="clear" w:color="auto" w:fill="EEEEEE"/>
            <w:noWrap/>
            <w:vAlign w:val="center"/>
            <w:hideMark/>
          </w:tcPr>
          <w:p w14:paraId="254EE15F"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N/A</w:t>
            </w:r>
          </w:p>
        </w:tc>
        <w:tc>
          <w:tcPr>
            <w:tcW w:w="850" w:type="dxa"/>
            <w:tcBorders>
              <w:top w:val="nil"/>
              <w:left w:val="nil"/>
              <w:bottom w:val="nil"/>
              <w:right w:val="nil"/>
            </w:tcBorders>
            <w:shd w:val="clear" w:color="auto" w:fill="EEEEEE"/>
            <w:noWrap/>
            <w:vAlign w:val="center"/>
            <w:hideMark/>
          </w:tcPr>
          <w:p w14:paraId="5E28CDF4"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3.06</w:t>
            </w:r>
          </w:p>
        </w:tc>
        <w:tc>
          <w:tcPr>
            <w:tcW w:w="851" w:type="dxa"/>
            <w:tcBorders>
              <w:top w:val="nil"/>
              <w:left w:val="nil"/>
              <w:bottom w:val="nil"/>
              <w:right w:val="nil"/>
            </w:tcBorders>
            <w:shd w:val="clear" w:color="auto" w:fill="EEEEEE"/>
            <w:noWrap/>
            <w:vAlign w:val="center"/>
            <w:hideMark/>
          </w:tcPr>
          <w:p w14:paraId="5E71FEAD"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2.28</w:t>
            </w:r>
          </w:p>
        </w:tc>
        <w:tc>
          <w:tcPr>
            <w:tcW w:w="708" w:type="dxa"/>
            <w:tcBorders>
              <w:top w:val="nil"/>
              <w:left w:val="nil"/>
              <w:bottom w:val="nil"/>
              <w:right w:val="nil"/>
            </w:tcBorders>
            <w:shd w:val="clear" w:color="auto" w:fill="EEEEEE"/>
            <w:noWrap/>
            <w:vAlign w:val="center"/>
            <w:hideMark/>
          </w:tcPr>
          <w:p w14:paraId="56442869"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2.59</w:t>
            </w:r>
          </w:p>
        </w:tc>
        <w:tc>
          <w:tcPr>
            <w:tcW w:w="709" w:type="dxa"/>
            <w:tcBorders>
              <w:top w:val="nil"/>
              <w:left w:val="nil"/>
              <w:bottom w:val="nil"/>
              <w:right w:val="single" w:sz="8" w:space="0" w:color="auto"/>
            </w:tcBorders>
            <w:shd w:val="clear" w:color="auto" w:fill="EEEEEE"/>
            <w:noWrap/>
            <w:vAlign w:val="center"/>
            <w:hideMark/>
          </w:tcPr>
          <w:p w14:paraId="0FCF1DC3"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2.25</w:t>
            </w:r>
          </w:p>
        </w:tc>
      </w:tr>
      <w:tr w:rsidR="0043246D" w:rsidRPr="00ED684B" w14:paraId="72750EB9" w14:textId="77777777" w:rsidTr="008608DC">
        <w:trPr>
          <w:trHeight w:val="362"/>
        </w:trPr>
        <w:tc>
          <w:tcPr>
            <w:tcW w:w="841" w:type="dxa"/>
            <w:vMerge/>
            <w:tcBorders>
              <w:top w:val="nil"/>
              <w:left w:val="single" w:sz="8" w:space="0" w:color="auto"/>
              <w:bottom w:val="single" w:sz="4" w:space="0" w:color="auto"/>
              <w:right w:val="single" w:sz="8" w:space="0" w:color="auto"/>
            </w:tcBorders>
            <w:vAlign w:val="center"/>
            <w:hideMark/>
          </w:tcPr>
          <w:p w14:paraId="28C6E610" w14:textId="77777777" w:rsidR="0043246D" w:rsidRPr="004E38D6" w:rsidRDefault="0043246D" w:rsidP="004F46C5">
            <w:pPr>
              <w:spacing w:after="0"/>
              <w:rPr>
                <w:rFonts w:eastAsia="Times New Roman" w:cstheme="minorHAnsi"/>
                <w:b/>
                <w:bCs/>
                <w:sz w:val="12"/>
                <w:szCs w:val="12"/>
                <w:lang w:eastAsia="en-AU"/>
              </w:rPr>
            </w:pPr>
          </w:p>
        </w:tc>
        <w:tc>
          <w:tcPr>
            <w:tcW w:w="1276" w:type="dxa"/>
            <w:tcBorders>
              <w:top w:val="nil"/>
              <w:left w:val="nil"/>
              <w:bottom w:val="single" w:sz="4" w:space="0" w:color="auto"/>
              <w:right w:val="single" w:sz="8" w:space="0" w:color="auto"/>
            </w:tcBorders>
            <w:shd w:val="clear" w:color="000000" w:fill="FFFFFF"/>
            <w:vAlign w:val="center"/>
            <w:hideMark/>
          </w:tcPr>
          <w:p w14:paraId="7174C0E9" w14:textId="77777777" w:rsidR="0043246D" w:rsidRPr="004E38D6" w:rsidRDefault="0043246D" w:rsidP="004F46C5">
            <w:pPr>
              <w:spacing w:after="0"/>
              <w:jc w:val="center"/>
              <w:rPr>
                <w:rFonts w:eastAsia="Times New Roman" w:cstheme="minorHAnsi"/>
                <w:b/>
                <w:bCs/>
                <w:color w:val="000000"/>
                <w:sz w:val="12"/>
                <w:szCs w:val="12"/>
                <w:lang w:eastAsia="en-AU"/>
              </w:rPr>
            </w:pPr>
            <w:r w:rsidRPr="004E38D6">
              <w:rPr>
                <w:rFonts w:eastAsia="Times New Roman" w:cstheme="minorHAnsi"/>
                <w:b/>
                <w:bCs/>
                <w:color w:val="000000"/>
                <w:sz w:val="12"/>
                <w:szCs w:val="12"/>
                <w:lang w:eastAsia="en-AU"/>
              </w:rPr>
              <w:t>60% to 80%</w:t>
            </w:r>
          </w:p>
        </w:tc>
        <w:tc>
          <w:tcPr>
            <w:tcW w:w="992" w:type="dxa"/>
            <w:tcBorders>
              <w:top w:val="nil"/>
              <w:left w:val="nil"/>
              <w:bottom w:val="single" w:sz="4" w:space="0" w:color="auto"/>
              <w:right w:val="single" w:sz="4" w:space="0" w:color="auto"/>
            </w:tcBorders>
            <w:shd w:val="clear" w:color="auto" w:fill="auto"/>
            <w:noWrap/>
            <w:vAlign w:val="center"/>
            <w:hideMark/>
          </w:tcPr>
          <w:p w14:paraId="2719A754"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2.82</w:t>
            </w:r>
          </w:p>
        </w:tc>
        <w:tc>
          <w:tcPr>
            <w:tcW w:w="992" w:type="dxa"/>
            <w:tcBorders>
              <w:top w:val="nil"/>
              <w:left w:val="nil"/>
              <w:bottom w:val="single" w:sz="4" w:space="0" w:color="auto"/>
              <w:right w:val="single" w:sz="4" w:space="0" w:color="auto"/>
            </w:tcBorders>
            <w:shd w:val="clear" w:color="000000" w:fill="275D38"/>
            <w:noWrap/>
            <w:vAlign w:val="center"/>
            <w:hideMark/>
          </w:tcPr>
          <w:p w14:paraId="1E34FE96" w14:textId="77777777" w:rsidR="0043246D" w:rsidRPr="004E38D6" w:rsidRDefault="0043246D" w:rsidP="004F46C5">
            <w:pPr>
              <w:spacing w:after="0"/>
              <w:jc w:val="center"/>
              <w:rPr>
                <w:rFonts w:asciiTheme="majorHAnsi" w:eastAsia="Times New Roman" w:hAnsiTheme="majorHAnsi" w:cstheme="majorHAnsi"/>
                <w:color w:val="FFFFFF"/>
                <w:sz w:val="12"/>
                <w:szCs w:val="12"/>
                <w:lang w:eastAsia="en-AU"/>
              </w:rPr>
            </w:pPr>
            <w:r w:rsidRPr="004E38D6">
              <w:rPr>
                <w:rFonts w:asciiTheme="majorHAnsi" w:eastAsia="Times New Roman" w:hAnsiTheme="majorHAnsi" w:cstheme="majorHAnsi"/>
                <w:color w:val="FFFFFF"/>
                <w:sz w:val="12"/>
                <w:szCs w:val="12"/>
                <w:lang w:eastAsia="en-AU"/>
              </w:rPr>
              <w:t>1.98</w:t>
            </w:r>
          </w:p>
        </w:tc>
        <w:tc>
          <w:tcPr>
            <w:tcW w:w="737" w:type="dxa"/>
            <w:tcBorders>
              <w:top w:val="nil"/>
              <w:left w:val="nil"/>
              <w:bottom w:val="single" w:sz="4" w:space="0" w:color="auto"/>
              <w:right w:val="single" w:sz="4" w:space="0" w:color="auto"/>
            </w:tcBorders>
            <w:shd w:val="clear" w:color="auto" w:fill="FFFFFF" w:themeFill="background1"/>
            <w:noWrap/>
            <w:vAlign w:val="center"/>
          </w:tcPr>
          <w:p w14:paraId="72177564" w14:textId="77777777" w:rsidR="0043246D" w:rsidRPr="004E38D6" w:rsidRDefault="0043246D" w:rsidP="004F46C5">
            <w:pPr>
              <w:spacing w:after="0"/>
              <w:jc w:val="center"/>
              <w:rPr>
                <w:rFonts w:asciiTheme="majorHAnsi" w:eastAsia="Times New Roman" w:hAnsiTheme="majorHAnsi" w:cstheme="majorHAnsi"/>
                <w:color w:val="000000" w:themeColor="text1"/>
                <w:sz w:val="12"/>
                <w:szCs w:val="12"/>
                <w:lang w:eastAsia="en-AU"/>
              </w:rPr>
            </w:pPr>
            <w:r w:rsidRPr="004E38D6">
              <w:rPr>
                <w:rFonts w:asciiTheme="majorHAnsi" w:eastAsia="Times New Roman" w:hAnsiTheme="majorHAnsi" w:cstheme="majorHAnsi"/>
                <w:color w:val="000000" w:themeColor="text1"/>
                <w:sz w:val="12"/>
                <w:szCs w:val="12"/>
                <w:lang w:eastAsia="en-AU"/>
              </w:rPr>
              <w:t>N/A</w:t>
            </w:r>
          </w:p>
        </w:tc>
        <w:tc>
          <w:tcPr>
            <w:tcW w:w="737" w:type="dxa"/>
            <w:tcBorders>
              <w:top w:val="nil"/>
              <w:left w:val="nil"/>
              <w:bottom w:val="single" w:sz="4" w:space="0" w:color="auto"/>
              <w:right w:val="single" w:sz="4" w:space="0" w:color="auto"/>
            </w:tcBorders>
            <w:shd w:val="clear" w:color="auto" w:fill="FFFFFF" w:themeFill="background1"/>
            <w:noWrap/>
            <w:vAlign w:val="center"/>
          </w:tcPr>
          <w:p w14:paraId="08FF6050" w14:textId="77777777" w:rsidR="0043246D" w:rsidRPr="004E38D6" w:rsidRDefault="0043246D" w:rsidP="004F46C5">
            <w:pPr>
              <w:spacing w:after="0"/>
              <w:jc w:val="center"/>
              <w:rPr>
                <w:rFonts w:asciiTheme="majorHAnsi" w:eastAsia="Times New Roman" w:hAnsiTheme="majorHAnsi" w:cstheme="majorHAnsi"/>
                <w:color w:val="000000" w:themeColor="text1"/>
                <w:sz w:val="12"/>
                <w:szCs w:val="12"/>
                <w:lang w:eastAsia="en-AU"/>
              </w:rPr>
            </w:pPr>
            <w:r w:rsidRPr="004E38D6">
              <w:rPr>
                <w:rFonts w:asciiTheme="majorHAnsi" w:eastAsia="Times New Roman" w:hAnsiTheme="majorHAnsi" w:cstheme="majorHAnsi"/>
                <w:color w:val="000000" w:themeColor="text1"/>
                <w:sz w:val="12"/>
                <w:szCs w:val="12"/>
                <w:lang w:eastAsia="en-AU"/>
              </w:rPr>
              <w:t>N/A</w:t>
            </w:r>
          </w:p>
        </w:tc>
        <w:tc>
          <w:tcPr>
            <w:tcW w:w="737" w:type="dxa"/>
            <w:tcBorders>
              <w:top w:val="nil"/>
              <w:left w:val="nil"/>
              <w:bottom w:val="single" w:sz="4" w:space="0" w:color="auto"/>
              <w:right w:val="nil"/>
            </w:tcBorders>
            <w:shd w:val="clear" w:color="auto" w:fill="FFFFFF" w:themeFill="background1"/>
            <w:noWrap/>
            <w:vAlign w:val="center"/>
          </w:tcPr>
          <w:p w14:paraId="481E8E97" w14:textId="77777777" w:rsidR="0043246D" w:rsidRPr="004E38D6" w:rsidRDefault="0043246D" w:rsidP="004F46C5">
            <w:pPr>
              <w:spacing w:after="0"/>
              <w:jc w:val="center"/>
              <w:rPr>
                <w:rFonts w:asciiTheme="majorHAnsi" w:eastAsia="Times New Roman" w:hAnsiTheme="majorHAnsi" w:cstheme="majorHAnsi"/>
                <w:color w:val="000000" w:themeColor="text1"/>
                <w:sz w:val="12"/>
                <w:szCs w:val="12"/>
                <w:lang w:eastAsia="en-AU"/>
              </w:rPr>
            </w:pPr>
            <w:r w:rsidRPr="004E38D6">
              <w:rPr>
                <w:rFonts w:asciiTheme="majorHAnsi" w:eastAsia="Times New Roman" w:hAnsiTheme="majorHAnsi" w:cstheme="majorHAnsi"/>
                <w:color w:val="000000" w:themeColor="text1"/>
                <w:sz w:val="12"/>
                <w:szCs w:val="12"/>
                <w:lang w:eastAsia="en-AU"/>
              </w:rPr>
              <w:t>N/A</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1132B"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2.22</w:t>
            </w:r>
          </w:p>
        </w:tc>
        <w:tc>
          <w:tcPr>
            <w:tcW w:w="738" w:type="dxa"/>
            <w:tcBorders>
              <w:top w:val="nil"/>
              <w:left w:val="nil"/>
              <w:bottom w:val="nil"/>
              <w:right w:val="nil"/>
            </w:tcBorders>
            <w:shd w:val="clear" w:color="auto" w:fill="EEEEEE"/>
            <w:noWrap/>
            <w:vAlign w:val="center"/>
            <w:hideMark/>
          </w:tcPr>
          <w:p w14:paraId="5C592A11"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N/A</w:t>
            </w:r>
          </w:p>
        </w:tc>
        <w:tc>
          <w:tcPr>
            <w:tcW w:w="850" w:type="dxa"/>
            <w:tcBorders>
              <w:top w:val="nil"/>
              <w:left w:val="nil"/>
              <w:bottom w:val="nil"/>
              <w:right w:val="nil"/>
            </w:tcBorders>
            <w:shd w:val="clear" w:color="auto" w:fill="EEEEEE"/>
            <w:noWrap/>
            <w:vAlign w:val="center"/>
            <w:hideMark/>
          </w:tcPr>
          <w:p w14:paraId="63AFB906"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2.99</w:t>
            </w:r>
          </w:p>
        </w:tc>
        <w:tc>
          <w:tcPr>
            <w:tcW w:w="851" w:type="dxa"/>
            <w:tcBorders>
              <w:top w:val="nil"/>
              <w:left w:val="nil"/>
              <w:bottom w:val="nil"/>
              <w:right w:val="nil"/>
            </w:tcBorders>
            <w:shd w:val="clear" w:color="auto" w:fill="EEEEEE"/>
            <w:noWrap/>
            <w:vAlign w:val="center"/>
            <w:hideMark/>
          </w:tcPr>
          <w:p w14:paraId="6759F5C4"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2.14</w:t>
            </w:r>
          </w:p>
        </w:tc>
        <w:tc>
          <w:tcPr>
            <w:tcW w:w="708" w:type="dxa"/>
            <w:tcBorders>
              <w:top w:val="nil"/>
              <w:left w:val="nil"/>
              <w:bottom w:val="nil"/>
              <w:right w:val="nil"/>
            </w:tcBorders>
            <w:shd w:val="clear" w:color="auto" w:fill="EEEEEE"/>
            <w:noWrap/>
            <w:vAlign w:val="center"/>
            <w:hideMark/>
          </w:tcPr>
          <w:p w14:paraId="01365133"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2.39</w:t>
            </w:r>
          </w:p>
        </w:tc>
        <w:tc>
          <w:tcPr>
            <w:tcW w:w="709" w:type="dxa"/>
            <w:tcBorders>
              <w:top w:val="nil"/>
              <w:left w:val="nil"/>
              <w:bottom w:val="nil"/>
              <w:right w:val="single" w:sz="8" w:space="0" w:color="auto"/>
            </w:tcBorders>
            <w:shd w:val="clear" w:color="auto" w:fill="EEEEEE"/>
            <w:noWrap/>
            <w:vAlign w:val="center"/>
            <w:hideMark/>
          </w:tcPr>
          <w:p w14:paraId="1BD5C1B5"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2.10</w:t>
            </w:r>
          </w:p>
        </w:tc>
      </w:tr>
      <w:tr w:rsidR="0043246D" w:rsidRPr="00ED684B" w14:paraId="6FCB96B6" w14:textId="77777777" w:rsidTr="008608DC">
        <w:trPr>
          <w:trHeight w:val="362"/>
        </w:trPr>
        <w:tc>
          <w:tcPr>
            <w:tcW w:w="841" w:type="dxa"/>
            <w:vMerge/>
            <w:tcBorders>
              <w:top w:val="nil"/>
              <w:left w:val="single" w:sz="8" w:space="0" w:color="auto"/>
              <w:bottom w:val="single" w:sz="4" w:space="0" w:color="auto"/>
              <w:right w:val="single" w:sz="8" w:space="0" w:color="auto"/>
            </w:tcBorders>
            <w:vAlign w:val="center"/>
            <w:hideMark/>
          </w:tcPr>
          <w:p w14:paraId="0FC2CFF9" w14:textId="77777777" w:rsidR="0043246D" w:rsidRPr="004E38D6" w:rsidRDefault="0043246D" w:rsidP="004F46C5">
            <w:pPr>
              <w:spacing w:after="0"/>
              <w:rPr>
                <w:rFonts w:eastAsia="Times New Roman" w:cstheme="minorHAnsi"/>
                <w:b/>
                <w:bCs/>
                <w:sz w:val="12"/>
                <w:szCs w:val="12"/>
                <w:lang w:eastAsia="en-AU"/>
              </w:rPr>
            </w:pPr>
          </w:p>
        </w:tc>
        <w:tc>
          <w:tcPr>
            <w:tcW w:w="1276" w:type="dxa"/>
            <w:tcBorders>
              <w:top w:val="nil"/>
              <w:left w:val="nil"/>
              <w:bottom w:val="single" w:sz="4" w:space="0" w:color="auto"/>
              <w:right w:val="single" w:sz="8" w:space="0" w:color="auto"/>
            </w:tcBorders>
            <w:shd w:val="clear" w:color="000000" w:fill="FFFFFF"/>
            <w:vAlign w:val="center"/>
            <w:hideMark/>
          </w:tcPr>
          <w:p w14:paraId="3FB14FF6" w14:textId="77777777" w:rsidR="0043246D" w:rsidRPr="004E38D6" w:rsidRDefault="0043246D" w:rsidP="004F46C5">
            <w:pPr>
              <w:spacing w:after="0"/>
              <w:jc w:val="center"/>
              <w:rPr>
                <w:rFonts w:eastAsia="Times New Roman" w:cstheme="minorHAnsi"/>
                <w:b/>
                <w:bCs/>
                <w:color w:val="000000"/>
                <w:sz w:val="12"/>
                <w:szCs w:val="12"/>
                <w:lang w:eastAsia="en-AU"/>
              </w:rPr>
            </w:pPr>
            <w:r w:rsidRPr="004E38D6">
              <w:rPr>
                <w:rFonts w:eastAsia="Times New Roman" w:cstheme="minorHAnsi"/>
                <w:b/>
                <w:bCs/>
                <w:color w:val="000000"/>
                <w:sz w:val="12"/>
                <w:szCs w:val="12"/>
                <w:lang w:eastAsia="en-AU"/>
              </w:rPr>
              <w:t>Highest 20%</w:t>
            </w:r>
          </w:p>
        </w:tc>
        <w:tc>
          <w:tcPr>
            <w:tcW w:w="992" w:type="dxa"/>
            <w:tcBorders>
              <w:top w:val="nil"/>
              <w:left w:val="nil"/>
              <w:bottom w:val="single" w:sz="4" w:space="0" w:color="auto"/>
              <w:right w:val="single" w:sz="4" w:space="0" w:color="auto"/>
            </w:tcBorders>
            <w:shd w:val="clear" w:color="auto" w:fill="auto"/>
            <w:noWrap/>
            <w:vAlign w:val="center"/>
            <w:hideMark/>
          </w:tcPr>
          <w:p w14:paraId="1055554E"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2.64</w:t>
            </w:r>
          </w:p>
        </w:tc>
        <w:tc>
          <w:tcPr>
            <w:tcW w:w="992" w:type="dxa"/>
            <w:tcBorders>
              <w:top w:val="nil"/>
              <w:left w:val="nil"/>
              <w:bottom w:val="single" w:sz="4" w:space="0" w:color="auto"/>
              <w:right w:val="single" w:sz="4" w:space="0" w:color="auto"/>
            </w:tcBorders>
            <w:shd w:val="clear" w:color="000000" w:fill="275D38"/>
            <w:noWrap/>
            <w:vAlign w:val="center"/>
            <w:hideMark/>
          </w:tcPr>
          <w:p w14:paraId="34B64902" w14:textId="77777777" w:rsidR="0043246D" w:rsidRPr="004E38D6" w:rsidRDefault="0043246D" w:rsidP="004F46C5">
            <w:pPr>
              <w:spacing w:after="0"/>
              <w:jc w:val="center"/>
              <w:rPr>
                <w:rFonts w:asciiTheme="majorHAnsi" w:eastAsia="Times New Roman" w:hAnsiTheme="majorHAnsi" w:cstheme="majorHAnsi"/>
                <w:color w:val="FFFFFF"/>
                <w:sz w:val="12"/>
                <w:szCs w:val="12"/>
                <w:lang w:eastAsia="en-AU"/>
              </w:rPr>
            </w:pPr>
            <w:r w:rsidRPr="004E38D6">
              <w:rPr>
                <w:rFonts w:asciiTheme="majorHAnsi" w:eastAsia="Times New Roman" w:hAnsiTheme="majorHAnsi" w:cstheme="majorHAnsi"/>
                <w:color w:val="FFFFFF"/>
                <w:sz w:val="12"/>
                <w:szCs w:val="12"/>
                <w:lang w:eastAsia="en-AU"/>
              </w:rPr>
              <w:t>1.75</w:t>
            </w:r>
          </w:p>
        </w:tc>
        <w:tc>
          <w:tcPr>
            <w:tcW w:w="737" w:type="dxa"/>
            <w:tcBorders>
              <w:top w:val="nil"/>
              <w:left w:val="nil"/>
              <w:bottom w:val="single" w:sz="4" w:space="0" w:color="auto"/>
              <w:right w:val="single" w:sz="4" w:space="0" w:color="auto"/>
            </w:tcBorders>
            <w:shd w:val="clear" w:color="auto" w:fill="FFFFFF" w:themeFill="background1"/>
            <w:noWrap/>
            <w:vAlign w:val="center"/>
          </w:tcPr>
          <w:p w14:paraId="501BA9FE" w14:textId="77777777" w:rsidR="0043246D" w:rsidRPr="004E38D6" w:rsidRDefault="0043246D" w:rsidP="004F46C5">
            <w:pPr>
              <w:spacing w:after="0"/>
              <w:jc w:val="center"/>
              <w:rPr>
                <w:rFonts w:asciiTheme="majorHAnsi" w:eastAsia="Times New Roman" w:hAnsiTheme="majorHAnsi" w:cstheme="majorHAnsi"/>
                <w:color w:val="000000" w:themeColor="text1"/>
                <w:sz w:val="12"/>
                <w:szCs w:val="12"/>
                <w:lang w:eastAsia="en-AU"/>
              </w:rPr>
            </w:pPr>
            <w:r w:rsidRPr="004E38D6">
              <w:rPr>
                <w:rFonts w:asciiTheme="majorHAnsi" w:eastAsia="Times New Roman" w:hAnsiTheme="majorHAnsi" w:cstheme="majorHAnsi"/>
                <w:color w:val="000000" w:themeColor="text1"/>
                <w:sz w:val="12"/>
                <w:szCs w:val="12"/>
                <w:lang w:eastAsia="en-AU"/>
              </w:rPr>
              <w:t>N/A</w:t>
            </w:r>
          </w:p>
        </w:tc>
        <w:tc>
          <w:tcPr>
            <w:tcW w:w="737" w:type="dxa"/>
            <w:tcBorders>
              <w:top w:val="nil"/>
              <w:left w:val="nil"/>
              <w:bottom w:val="single" w:sz="4" w:space="0" w:color="auto"/>
              <w:right w:val="single" w:sz="4" w:space="0" w:color="auto"/>
            </w:tcBorders>
            <w:shd w:val="clear" w:color="auto" w:fill="FFFFFF" w:themeFill="background1"/>
            <w:noWrap/>
            <w:vAlign w:val="center"/>
          </w:tcPr>
          <w:p w14:paraId="50554E10" w14:textId="77777777" w:rsidR="0043246D" w:rsidRPr="004E38D6" w:rsidRDefault="0043246D" w:rsidP="004F46C5">
            <w:pPr>
              <w:spacing w:after="0"/>
              <w:jc w:val="center"/>
              <w:rPr>
                <w:rFonts w:asciiTheme="majorHAnsi" w:eastAsia="Times New Roman" w:hAnsiTheme="majorHAnsi" w:cstheme="majorHAnsi"/>
                <w:color w:val="000000" w:themeColor="text1"/>
                <w:sz w:val="12"/>
                <w:szCs w:val="12"/>
                <w:lang w:eastAsia="en-AU"/>
              </w:rPr>
            </w:pPr>
            <w:r w:rsidRPr="004E38D6">
              <w:rPr>
                <w:rFonts w:asciiTheme="majorHAnsi" w:eastAsia="Times New Roman" w:hAnsiTheme="majorHAnsi" w:cstheme="majorHAnsi"/>
                <w:color w:val="000000" w:themeColor="text1"/>
                <w:sz w:val="12"/>
                <w:szCs w:val="12"/>
                <w:lang w:eastAsia="en-AU"/>
              </w:rPr>
              <w:t>N/A</w:t>
            </w:r>
          </w:p>
        </w:tc>
        <w:tc>
          <w:tcPr>
            <w:tcW w:w="737" w:type="dxa"/>
            <w:tcBorders>
              <w:top w:val="nil"/>
              <w:left w:val="nil"/>
              <w:bottom w:val="single" w:sz="4" w:space="0" w:color="auto"/>
              <w:right w:val="single" w:sz="4" w:space="0" w:color="auto"/>
            </w:tcBorders>
            <w:shd w:val="clear" w:color="auto" w:fill="FFFFFF" w:themeFill="background1"/>
            <w:noWrap/>
            <w:vAlign w:val="center"/>
          </w:tcPr>
          <w:p w14:paraId="73A09F04" w14:textId="77777777" w:rsidR="0043246D" w:rsidRPr="004E38D6" w:rsidRDefault="0043246D" w:rsidP="004F46C5">
            <w:pPr>
              <w:spacing w:after="0"/>
              <w:jc w:val="center"/>
              <w:rPr>
                <w:rFonts w:asciiTheme="majorHAnsi" w:eastAsia="Times New Roman" w:hAnsiTheme="majorHAnsi" w:cstheme="majorHAnsi"/>
                <w:color w:val="000000" w:themeColor="text1"/>
                <w:sz w:val="12"/>
                <w:szCs w:val="12"/>
                <w:lang w:eastAsia="en-AU"/>
              </w:rPr>
            </w:pPr>
            <w:r w:rsidRPr="004E38D6">
              <w:rPr>
                <w:rFonts w:asciiTheme="majorHAnsi" w:eastAsia="Times New Roman" w:hAnsiTheme="majorHAnsi" w:cstheme="majorHAnsi"/>
                <w:color w:val="000000" w:themeColor="text1"/>
                <w:sz w:val="12"/>
                <w:szCs w:val="12"/>
                <w:lang w:eastAsia="en-AU"/>
              </w:rPr>
              <w:t>N/A</w:t>
            </w:r>
          </w:p>
        </w:tc>
        <w:tc>
          <w:tcPr>
            <w:tcW w:w="737" w:type="dxa"/>
            <w:tcBorders>
              <w:top w:val="nil"/>
              <w:left w:val="nil"/>
              <w:bottom w:val="single" w:sz="4" w:space="0" w:color="auto"/>
              <w:right w:val="nil"/>
            </w:tcBorders>
            <w:shd w:val="clear" w:color="auto" w:fill="FFFFFF" w:themeFill="background1"/>
            <w:noWrap/>
            <w:vAlign w:val="center"/>
          </w:tcPr>
          <w:p w14:paraId="7401492C" w14:textId="77777777" w:rsidR="0043246D" w:rsidRPr="004E38D6" w:rsidRDefault="0043246D" w:rsidP="004F46C5">
            <w:pPr>
              <w:spacing w:after="0"/>
              <w:jc w:val="center"/>
              <w:rPr>
                <w:rFonts w:asciiTheme="majorHAnsi" w:eastAsia="Times New Roman" w:hAnsiTheme="majorHAnsi" w:cstheme="majorHAnsi"/>
                <w:color w:val="000000" w:themeColor="text1"/>
                <w:sz w:val="12"/>
                <w:szCs w:val="12"/>
                <w:lang w:eastAsia="en-AU"/>
              </w:rPr>
            </w:pPr>
            <w:r w:rsidRPr="004E38D6">
              <w:rPr>
                <w:rFonts w:asciiTheme="majorHAnsi" w:eastAsia="Times New Roman" w:hAnsiTheme="majorHAnsi" w:cstheme="majorHAnsi"/>
                <w:color w:val="000000" w:themeColor="text1"/>
                <w:sz w:val="12"/>
                <w:szCs w:val="12"/>
                <w:lang w:eastAsia="en-AU"/>
              </w:rPr>
              <w:t>N/A</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10C66"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2.00</w:t>
            </w:r>
          </w:p>
        </w:tc>
        <w:tc>
          <w:tcPr>
            <w:tcW w:w="850" w:type="dxa"/>
            <w:tcBorders>
              <w:top w:val="nil"/>
              <w:left w:val="nil"/>
              <w:bottom w:val="nil"/>
              <w:right w:val="nil"/>
            </w:tcBorders>
            <w:shd w:val="clear" w:color="auto" w:fill="EEEEEE"/>
            <w:noWrap/>
            <w:vAlign w:val="center"/>
            <w:hideMark/>
          </w:tcPr>
          <w:p w14:paraId="5625A927"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2.95</w:t>
            </w:r>
          </w:p>
        </w:tc>
        <w:tc>
          <w:tcPr>
            <w:tcW w:w="851" w:type="dxa"/>
            <w:tcBorders>
              <w:top w:val="nil"/>
              <w:left w:val="nil"/>
              <w:bottom w:val="nil"/>
              <w:right w:val="nil"/>
            </w:tcBorders>
            <w:shd w:val="clear" w:color="auto" w:fill="EEEEEE"/>
            <w:noWrap/>
            <w:vAlign w:val="center"/>
            <w:hideMark/>
          </w:tcPr>
          <w:p w14:paraId="7DD71FFF"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1.94</w:t>
            </w:r>
          </w:p>
        </w:tc>
        <w:tc>
          <w:tcPr>
            <w:tcW w:w="708" w:type="dxa"/>
            <w:tcBorders>
              <w:top w:val="nil"/>
              <w:left w:val="nil"/>
              <w:bottom w:val="nil"/>
              <w:right w:val="nil"/>
            </w:tcBorders>
            <w:shd w:val="clear" w:color="auto" w:fill="EEEEEE"/>
            <w:noWrap/>
            <w:vAlign w:val="center"/>
            <w:hideMark/>
          </w:tcPr>
          <w:p w14:paraId="40F369E1"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2.12</w:t>
            </w:r>
          </w:p>
        </w:tc>
        <w:tc>
          <w:tcPr>
            <w:tcW w:w="709" w:type="dxa"/>
            <w:tcBorders>
              <w:top w:val="nil"/>
              <w:left w:val="nil"/>
              <w:bottom w:val="nil"/>
              <w:right w:val="single" w:sz="8" w:space="0" w:color="auto"/>
            </w:tcBorders>
            <w:shd w:val="clear" w:color="auto" w:fill="EEEEEE"/>
            <w:noWrap/>
            <w:vAlign w:val="center"/>
            <w:hideMark/>
          </w:tcPr>
          <w:p w14:paraId="5531BA79"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1.91</w:t>
            </w:r>
          </w:p>
        </w:tc>
      </w:tr>
      <w:tr w:rsidR="0043246D" w:rsidRPr="00ED684B" w14:paraId="62FD35C5" w14:textId="77777777" w:rsidTr="008608DC">
        <w:trPr>
          <w:trHeight w:val="362"/>
        </w:trPr>
        <w:tc>
          <w:tcPr>
            <w:tcW w:w="841" w:type="dxa"/>
            <w:vMerge w:val="restart"/>
            <w:tcBorders>
              <w:top w:val="nil"/>
              <w:left w:val="single" w:sz="8" w:space="0" w:color="auto"/>
              <w:bottom w:val="single" w:sz="4" w:space="0" w:color="auto"/>
              <w:right w:val="single" w:sz="8" w:space="0" w:color="auto"/>
            </w:tcBorders>
            <w:shd w:val="clear" w:color="000000" w:fill="FFFFFF"/>
            <w:vAlign w:val="center"/>
            <w:hideMark/>
          </w:tcPr>
          <w:p w14:paraId="7061AD64"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First Nations Status</w:t>
            </w:r>
          </w:p>
        </w:tc>
        <w:tc>
          <w:tcPr>
            <w:tcW w:w="1276" w:type="dxa"/>
            <w:tcBorders>
              <w:top w:val="nil"/>
              <w:left w:val="nil"/>
              <w:bottom w:val="single" w:sz="4" w:space="0" w:color="auto"/>
              <w:right w:val="single" w:sz="8" w:space="0" w:color="auto"/>
            </w:tcBorders>
            <w:shd w:val="clear" w:color="000000" w:fill="FFFFFF"/>
            <w:vAlign w:val="center"/>
            <w:hideMark/>
          </w:tcPr>
          <w:p w14:paraId="6E45B71B" w14:textId="77777777" w:rsidR="0043246D" w:rsidRPr="004E38D6" w:rsidRDefault="0043246D" w:rsidP="004F46C5">
            <w:pPr>
              <w:spacing w:after="0"/>
              <w:jc w:val="center"/>
              <w:rPr>
                <w:rFonts w:eastAsia="Times New Roman" w:cstheme="minorHAnsi"/>
                <w:b/>
                <w:bCs/>
                <w:color w:val="000000"/>
                <w:sz w:val="12"/>
                <w:szCs w:val="12"/>
                <w:lang w:eastAsia="en-AU"/>
              </w:rPr>
            </w:pPr>
            <w:r w:rsidRPr="004E38D6">
              <w:rPr>
                <w:rFonts w:eastAsia="Times New Roman" w:cstheme="minorHAnsi"/>
                <w:b/>
                <w:bCs/>
                <w:color w:val="000000"/>
                <w:sz w:val="12"/>
                <w:szCs w:val="12"/>
                <w:lang w:eastAsia="en-AU"/>
              </w:rPr>
              <w:t>First Nations</w:t>
            </w:r>
          </w:p>
        </w:tc>
        <w:tc>
          <w:tcPr>
            <w:tcW w:w="992" w:type="dxa"/>
            <w:tcBorders>
              <w:top w:val="nil"/>
              <w:left w:val="nil"/>
              <w:bottom w:val="single" w:sz="4" w:space="0" w:color="auto"/>
              <w:right w:val="single" w:sz="4" w:space="0" w:color="auto"/>
            </w:tcBorders>
            <w:shd w:val="clear" w:color="000000" w:fill="C00000"/>
            <w:noWrap/>
            <w:vAlign w:val="center"/>
            <w:hideMark/>
          </w:tcPr>
          <w:p w14:paraId="038E88AA" w14:textId="77777777" w:rsidR="0043246D" w:rsidRPr="004E38D6" w:rsidRDefault="0043246D" w:rsidP="004F46C5">
            <w:pPr>
              <w:spacing w:after="0"/>
              <w:jc w:val="center"/>
              <w:rPr>
                <w:rFonts w:asciiTheme="majorHAnsi" w:eastAsia="Times New Roman" w:hAnsiTheme="majorHAnsi" w:cstheme="majorHAnsi"/>
                <w:color w:val="FFFFFF"/>
                <w:sz w:val="12"/>
                <w:szCs w:val="12"/>
                <w:lang w:eastAsia="en-AU"/>
              </w:rPr>
            </w:pPr>
            <w:r w:rsidRPr="004E38D6">
              <w:rPr>
                <w:rFonts w:asciiTheme="majorHAnsi" w:eastAsia="Times New Roman" w:hAnsiTheme="majorHAnsi" w:cstheme="majorHAnsi"/>
                <w:color w:val="FFFFFF"/>
                <w:sz w:val="12"/>
                <w:szCs w:val="12"/>
                <w:lang w:eastAsia="en-AU"/>
              </w:rPr>
              <w:t>3.43</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0E1D8CFF"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3.08</w:t>
            </w:r>
          </w:p>
        </w:tc>
        <w:tc>
          <w:tcPr>
            <w:tcW w:w="737" w:type="dxa"/>
            <w:tcBorders>
              <w:top w:val="nil"/>
              <w:left w:val="nil"/>
              <w:bottom w:val="single" w:sz="4" w:space="0" w:color="auto"/>
              <w:right w:val="single" w:sz="4" w:space="0" w:color="auto"/>
            </w:tcBorders>
            <w:shd w:val="clear" w:color="auto" w:fill="C00000"/>
            <w:noWrap/>
            <w:vAlign w:val="center"/>
            <w:hideMark/>
          </w:tcPr>
          <w:p w14:paraId="1EB6BEB2" w14:textId="77777777" w:rsidR="0043246D" w:rsidRPr="004E38D6" w:rsidRDefault="0043246D" w:rsidP="004F46C5">
            <w:pPr>
              <w:spacing w:after="0"/>
              <w:jc w:val="center"/>
              <w:rPr>
                <w:rFonts w:asciiTheme="majorHAnsi" w:eastAsia="Times New Roman" w:hAnsiTheme="majorHAnsi" w:cstheme="majorHAnsi"/>
                <w:color w:val="FFFFFF" w:themeColor="background1"/>
                <w:sz w:val="12"/>
                <w:szCs w:val="12"/>
                <w:lang w:eastAsia="en-AU"/>
              </w:rPr>
            </w:pPr>
            <w:r w:rsidRPr="004E38D6">
              <w:rPr>
                <w:rFonts w:asciiTheme="majorHAnsi" w:eastAsia="Times New Roman" w:hAnsiTheme="majorHAnsi" w:cstheme="majorHAnsi"/>
                <w:color w:val="FFFFFF" w:themeColor="background1"/>
                <w:sz w:val="12"/>
                <w:szCs w:val="12"/>
                <w:lang w:eastAsia="en-AU"/>
              </w:rPr>
              <w:t>3.23</w:t>
            </w:r>
          </w:p>
        </w:tc>
        <w:tc>
          <w:tcPr>
            <w:tcW w:w="737" w:type="dxa"/>
            <w:tcBorders>
              <w:top w:val="nil"/>
              <w:left w:val="nil"/>
              <w:bottom w:val="single" w:sz="4" w:space="0" w:color="auto"/>
              <w:right w:val="single" w:sz="4" w:space="0" w:color="auto"/>
            </w:tcBorders>
            <w:shd w:val="clear" w:color="auto" w:fill="FFFFFF" w:themeFill="background1"/>
            <w:noWrap/>
            <w:vAlign w:val="center"/>
            <w:hideMark/>
          </w:tcPr>
          <w:p w14:paraId="63BE8502"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3.11</w:t>
            </w:r>
          </w:p>
        </w:tc>
        <w:tc>
          <w:tcPr>
            <w:tcW w:w="737" w:type="dxa"/>
            <w:tcBorders>
              <w:top w:val="nil"/>
              <w:left w:val="nil"/>
              <w:bottom w:val="single" w:sz="4" w:space="0" w:color="auto"/>
              <w:right w:val="single" w:sz="4" w:space="0" w:color="auto"/>
            </w:tcBorders>
            <w:shd w:val="clear" w:color="auto" w:fill="auto"/>
            <w:noWrap/>
            <w:vAlign w:val="center"/>
            <w:hideMark/>
          </w:tcPr>
          <w:p w14:paraId="1F018F78"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3.06</w:t>
            </w:r>
          </w:p>
        </w:tc>
        <w:tc>
          <w:tcPr>
            <w:tcW w:w="737" w:type="dxa"/>
            <w:tcBorders>
              <w:top w:val="nil"/>
              <w:left w:val="nil"/>
              <w:bottom w:val="single" w:sz="4" w:space="0" w:color="auto"/>
              <w:right w:val="single" w:sz="4" w:space="0" w:color="auto"/>
            </w:tcBorders>
            <w:shd w:val="clear" w:color="auto" w:fill="auto"/>
            <w:noWrap/>
            <w:vAlign w:val="center"/>
            <w:hideMark/>
          </w:tcPr>
          <w:p w14:paraId="19E9BE18"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2.99</w:t>
            </w:r>
          </w:p>
        </w:tc>
        <w:tc>
          <w:tcPr>
            <w:tcW w:w="738" w:type="dxa"/>
            <w:tcBorders>
              <w:top w:val="nil"/>
              <w:left w:val="nil"/>
              <w:bottom w:val="single" w:sz="4" w:space="0" w:color="auto"/>
              <w:right w:val="nil"/>
            </w:tcBorders>
            <w:shd w:val="clear" w:color="auto" w:fill="auto"/>
            <w:noWrap/>
            <w:vAlign w:val="center"/>
            <w:hideMark/>
          </w:tcPr>
          <w:p w14:paraId="372E6DD8"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2.95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38CA1E"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3.15</w:t>
            </w:r>
          </w:p>
        </w:tc>
        <w:tc>
          <w:tcPr>
            <w:tcW w:w="851" w:type="dxa"/>
            <w:tcBorders>
              <w:top w:val="nil"/>
              <w:left w:val="nil"/>
              <w:bottom w:val="nil"/>
              <w:right w:val="nil"/>
            </w:tcBorders>
            <w:shd w:val="clear" w:color="auto" w:fill="EEEEEE"/>
            <w:noWrap/>
            <w:vAlign w:val="center"/>
            <w:hideMark/>
          </w:tcPr>
          <w:p w14:paraId="1CAEA1CA"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N/A</w:t>
            </w:r>
          </w:p>
        </w:tc>
        <w:tc>
          <w:tcPr>
            <w:tcW w:w="708" w:type="dxa"/>
            <w:tcBorders>
              <w:top w:val="nil"/>
              <w:left w:val="nil"/>
              <w:bottom w:val="nil"/>
              <w:right w:val="nil"/>
            </w:tcBorders>
            <w:shd w:val="clear" w:color="auto" w:fill="EEEEEE"/>
            <w:noWrap/>
            <w:vAlign w:val="center"/>
            <w:hideMark/>
          </w:tcPr>
          <w:p w14:paraId="72818165"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3.60</w:t>
            </w:r>
          </w:p>
        </w:tc>
        <w:tc>
          <w:tcPr>
            <w:tcW w:w="709" w:type="dxa"/>
            <w:tcBorders>
              <w:top w:val="nil"/>
              <w:left w:val="nil"/>
              <w:bottom w:val="nil"/>
              <w:right w:val="single" w:sz="8" w:space="0" w:color="auto"/>
            </w:tcBorders>
            <w:shd w:val="clear" w:color="auto" w:fill="EEEEEE"/>
            <w:noWrap/>
            <w:vAlign w:val="center"/>
            <w:hideMark/>
          </w:tcPr>
          <w:p w14:paraId="6D4DF6AD"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2.90</w:t>
            </w:r>
          </w:p>
        </w:tc>
      </w:tr>
      <w:tr w:rsidR="0043246D" w:rsidRPr="00ED684B" w14:paraId="151750C6" w14:textId="77777777" w:rsidTr="008608DC">
        <w:trPr>
          <w:trHeight w:val="362"/>
        </w:trPr>
        <w:tc>
          <w:tcPr>
            <w:tcW w:w="841" w:type="dxa"/>
            <w:vMerge/>
            <w:tcBorders>
              <w:top w:val="nil"/>
              <w:left w:val="single" w:sz="8" w:space="0" w:color="auto"/>
              <w:bottom w:val="single" w:sz="4" w:space="0" w:color="auto"/>
              <w:right w:val="single" w:sz="8" w:space="0" w:color="auto"/>
            </w:tcBorders>
            <w:vAlign w:val="center"/>
            <w:hideMark/>
          </w:tcPr>
          <w:p w14:paraId="2704A833" w14:textId="77777777" w:rsidR="0043246D" w:rsidRPr="004E38D6" w:rsidRDefault="0043246D" w:rsidP="004F46C5">
            <w:pPr>
              <w:spacing w:after="0"/>
              <w:rPr>
                <w:rFonts w:eastAsia="Times New Roman" w:cstheme="minorHAnsi"/>
                <w:b/>
                <w:bCs/>
                <w:sz w:val="12"/>
                <w:szCs w:val="12"/>
                <w:lang w:eastAsia="en-AU"/>
              </w:rPr>
            </w:pPr>
          </w:p>
        </w:tc>
        <w:tc>
          <w:tcPr>
            <w:tcW w:w="1276" w:type="dxa"/>
            <w:tcBorders>
              <w:top w:val="nil"/>
              <w:left w:val="nil"/>
              <w:bottom w:val="single" w:sz="4" w:space="0" w:color="auto"/>
              <w:right w:val="single" w:sz="8" w:space="0" w:color="auto"/>
            </w:tcBorders>
            <w:shd w:val="clear" w:color="000000" w:fill="FFFFFF"/>
            <w:vAlign w:val="center"/>
            <w:hideMark/>
          </w:tcPr>
          <w:p w14:paraId="78B57A00" w14:textId="77777777" w:rsidR="0043246D" w:rsidRPr="004E38D6" w:rsidRDefault="0043246D" w:rsidP="004F46C5">
            <w:pPr>
              <w:spacing w:after="0"/>
              <w:jc w:val="center"/>
              <w:rPr>
                <w:rFonts w:eastAsia="Times New Roman" w:cstheme="minorHAnsi"/>
                <w:b/>
                <w:bCs/>
                <w:color w:val="000000"/>
                <w:sz w:val="12"/>
                <w:szCs w:val="12"/>
                <w:lang w:eastAsia="en-AU"/>
              </w:rPr>
            </w:pPr>
            <w:r w:rsidRPr="004E38D6">
              <w:rPr>
                <w:rFonts w:eastAsia="Times New Roman" w:cstheme="minorHAnsi"/>
                <w:b/>
                <w:bCs/>
                <w:color w:val="000000"/>
                <w:sz w:val="12"/>
                <w:szCs w:val="12"/>
                <w:lang w:eastAsia="en-AU"/>
              </w:rPr>
              <w:t>Non-First Nations</w:t>
            </w:r>
          </w:p>
        </w:tc>
        <w:tc>
          <w:tcPr>
            <w:tcW w:w="992" w:type="dxa"/>
            <w:tcBorders>
              <w:top w:val="nil"/>
              <w:left w:val="nil"/>
              <w:bottom w:val="single" w:sz="4" w:space="0" w:color="auto"/>
              <w:right w:val="single" w:sz="4" w:space="0" w:color="auto"/>
            </w:tcBorders>
            <w:shd w:val="clear" w:color="auto" w:fill="auto"/>
            <w:noWrap/>
            <w:vAlign w:val="center"/>
            <w:hideMark/>
          </w:tcPr>
          <w:p w14:paraId="65164B28"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2.92</w:t>
            </w:r>
          </w:p>
        </w:tc>
        <w:tc>
          <w:tcPr>
            <w:tcW w:w="992" w:type="dxa"/>
            <w:tcBorders>
              <w:top w:val="nil"/>
              <w:left w:val="nil"/>
              <w:bottom w:val="single" w:sz="4" w:space="0" w:color="auto"/>
              <w:right w:val="single" w:sz="4" w:space="0" w:color="auto"/>
            </w:tcBorders>
            <w:shd w:val="clear" w:color="auto" w:fill="auto"/>
            <w:noWrap/>
            <w:vAlign w:val="center"/>
            <w:hideMark/>
          </w:tcPr>
          <w:p w14:paraId="234E32CC"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2.12</w:t>
            </w:r>
          </w:p>
        </w:tc>
        <w:tc>
          <w:tcPr>
            <w:tcW w:w="737" w:type="dxa"/>
            <w:tcBorders>
              <w:top w:val="nil"/>
              <w:left w:val="nil"/>
              <w:bottom w:val="single" w:sz="4" w:space="0" w:color="auto"/>
              <w:right w:val="single" w:sz="4" w:space="0" w:color="auto"/>
            </w:tcBorders>
            <w:shd w:val="clear" w:color="auto" w:fill="auto"/>
            <w:noWrap/>
            <w:vAlign w:val="center"/>
            <w:hideMark/>
          </w:tcPr>
          <w:p w14:paraId="09FF79DB"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2.60</w:t>
            </w:r>
          </w:p>
        </w:tc>
        <w:tc>
          <w:tcPr>
            <w:tcW w:w="737" w:type="dxa"/>
            <w:tcBorders>
              <w:top w:val="nil"/>
              <w:left w:val="nil"/>
              <w:bottom w:val="single" w:sz="4" w:space="0" w:color="auto"/>
              <w:right w:val="single" w:sz="4" w:space="0" w:color="auto"/>
            </w:tcBorders>
            <w:shd w:val="clear" w:color="auto" w:fill="auto"/>
            <w:noWrap/>
            <w:vAlign w:val="center"/>
            <w:hideMark/>
          </w:tcPr>
          <w:p w14:paraId="28F26D73"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2.45</w:t>
            </w:r>
          </w:p>
        </w:tc>
        <w:tc>
          <w:tcPr>
            <w:tcW w:w="737" w:type="dxa"/>
            <w:tcBorders>
              <w:top w:val="nil"/>
              <w:left w:val="nil"/>
              <w:bottom w:val="single" w:sz="4" w:space="0" w:color="auto"/>
              <w:right w:val="single" w:sz="4" w:space="0" w:color="auto"/>
            </w:tcBorders>
            <w:shd w:val="clear" w:color="auto" w:fill="auto"/>
            <w:noWrap/>
            <w:vAlign w:val="center"/>
            <w:hideMark/>
          </w:tcPr>
          <w:p w14:paraId="775D92AA"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2.28</w:t>
            </w:r>
          </w:p>
        </w:tc>
        <w:tc>
          <w:tcPr>
            <w:tcW w:w="737" w:type="dxa"/>
            <w:tcBorders>
              <w:top w:val="nil"/>
              <w:left w:val="nil"/>
              <w:bottom w:val="single" w:sz="4" w:space="0" w:color="auto"/>
              <w:right w:val="single" w:sz="4" w:space="0" w:color="auto"/>
            </w:tcBorders>
            <w:shd w:val="clear" w:color="auto" w:fill="auto"/>
            <w:noWrap/>
            <w:vAlign w:val="center"/>
            <w:hideMark/>
          </w:tcPr>
          <w:p w14:paraId="5BD0854F"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2.14</w:t>
            </w:r>
          </w:p>
        </w:tc>
        <w:tc>
          <w:tcPr>
            <w:tcW w:w="738" w:type="dxa"/>
            <w:tcBorders>
              <w:top w:val="nil"/>
              <w:left w:val="nil"/>
              <w:bottom w:val="single" w:sz="4" w:space="0" w:color="auto"/>
              <w:right w:val="single" w:sz="4" w:space="0" w:color="auto"/>
            </w:tcBorders>
            <w:shd w:val="clear" w:color="000000" w:fill="275D38"/>
            <w:noWrap/>
            <w:vAlign w:val="center"/>
            <w:hideMark/>
          </w:tcPr>
          <w:p w14:paraId="699703C9" w14:textId="77777777" w:rsidR="0043246D" w:rsidRPr="004E38D6" w:rsidRDefault="0043246D" w:rsidP="004F46C5">
            <w:pPr>
              <w:spacing w:after="0"/>
              <w:jc w:val="center"/>
              <w:rPr>
                <w:rFonts w:asciiTheme="majorHAnsi" w:eastAsia="Times New Roman" w:hAnsiTheme="majorHAnsi" w:cstheme="majorHAnsi"/>
                <w:color w:val="FFFFFF"/>
                <w:sz w:val="12"/>
                <w:szCs w:val="12"/>
                <w:lang w:eastAsia="en-AU"/>
              </w:rPr>
            </w:pPr>
            <w:r w:rsidRPr="004E38D6">
              <w:rPr>
                <w:rFonts w:asciiTheme="majorHAnsi" w:eastAsia="Times New Roman" w:hAnsiTheme="majorHAnsi" w:cstheme="majorHAnsi"/>
                <w:color w:val="FFFFFF"/>
                <w:sz w:val="12"/>
                <w:szCs w:val="12"/>
                <w:lang w:eastAsia="en-AU"/>
              </w:rPr>
              <w:t>1.94</w:t>
            </w:r>
          </w:p>
        </w:tc>
        <w:tc>
          <w:tcPr>
            <w:tcW w:w="850" w:type="dxa"/>
            <w:tcBorders>
              <w:top w:val="nil"/>
              <w:left w:val="nil"/>
              <w:bottom w:val="single" w:sz="4" w:space="0" w:color="auto"/>
              <w:right w:val="nil"/>
            </w:tcBorders>
            <w:shd w:val="clear" w:color="auto" w:fill="FFFFFF" w:themeFill="background1"/>
            <w:noWrap/>
            <w:vAlign w:val="center"/>
          </w:tcPr>
          <w:p w14:paraId="617918EC" w14:textId="77777777" w:rsidR="0043246D" w:rsidRPr="004E38D6" w:rsidRDefault="0043246D" w:rsidP="004F46C5">
            <w:pPr>
              <w:spacing w:after="0"/>
              <w:jc w:val="center"/>
              <w:rPr>
                <w:rFonts w:asciiTheme="majorHAnsi" w:eastAsia="Times New Roman" w:hAnsiTheme="majorHAnsi" w:cstheme="majorHAnsi"/>
                <w:color w:val="000000" w:themeColor="text1"/>
                <w:sz w:val="12"/>
                <w:szCs w:val="12"/>
                <w:lang w:eastAsia="en-AU"/>
              </w:rPr>
            </w:pPr>
            <w:r w:rsidRPr="004E38D6">
              <w:rPr>
                <w:rFonts w:asciiTheme="majorHAnsi" w:eastAsia="Times New Roman" w:hAnsiTheme="majorHAnsi" w:cstheme="majorHAnsi"/>
                <w:color w:val="000000" w:themeColor="text1"/>
                <w:sz w:val="12"/>
                <w:szCs w:val="12"/>
                <w:lang w:eastAsia="en-AU"/>
              </w:rPr>
              <w:t>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E0CF1"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2.36</w:t>
            </w:r>
          </w:p>
        </w:tc>
        <w:tc>
          <w:tcPr>
            <w:tcW w:w="708" w:type="dxa"/>
            <w:tcBorders>
              <w:top w:val="nil"/>
              <w:left w:val="nil"/>
              <w:bottom w:val="nil"/>
              <w:right w:val="nil"/>
            </w:tcBorders>
            <w:shd w:val="clear" w:color="auto" w:fill="EEEEEE"/>
            <w:noWrap/>
            <w:vAlign w:val="center"/>
            <w:hideMark/>
          </w:tcPr>
          <w:p w14:paraId="7F037960"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2.54</w:t>
            </w:r>
          </w:p>
        </w:tc>
        <w:tc>
          <w:tcPr>
            <w:tcW w:w="709" w:type="dxa"/>
            <w:tcBorders>
              <w:top w:val="nil"/>
              <w:left w:val="nil"/>
              <w:bottom w:val="nil"/>
              <w:right w:val="single" w:sz="8" w:space="0" w:color="auto"/>
            </w:tcBorders>
            <w:shd w:val="clear" w:color="auto" w:fill="EEEEEE"/>
            <w:noWrap/>
            <w:vAlign w:val="center"/>
            <w:hideMark/>
          </w:tcPr>
          <w:p w14:paraId="43545395"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2.24</w:t>
            </w:r>
          </w:p>
        </w:tc>
      </w:tr>
      <w:tr w:rsidR="0043246D" w:rsidRPr="00ED684B" w14:paraId="7F4249A1" w14:textId="77777777" w:rsidTr="008608DC">
        <w:trPr>
          <w:trHeight w:val="362"/>
        </w:trPr>
        <w:tc>
          <w:tcPr>
            <w:tcW w:w="84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828702" w14:textId="77777777" w:rsidR="0043246D" w:rsidRPr="004E38D6" w:rsidRDefault="0043246D" w:rsidP="004F46C5">
            <w:pPr>
              <w:spacing w:after="0"/>
              <w:jc w:val="center"/>
              <w:rPr>
                <w:rFonts w:eastAsia="Times New Roman" w:cstheme="minorHAnsi"/>
                <w:b/>
                <w:bCs/>
                <w:sz w:val="12"/>
                <w:szCs w:val="12"/>
                <w:lang w:eastAsia="en-AU"/>
              </w:rPr>
            </w:pPr>
            <w:r w:rsidRPr="004E38D6">
              <w:rPr>
                <w:rFonts w:eastAsia="Times New Roman" w:cstheme="minorHAnsi"/>
                <w:b/>
                <w:bCs/>
                <w:sz w:val="12"/>
                <w:szCs w:val="12"/>
                <w:lang w:eastAsia="en-AU"/>
              </w:rPr>
              <w:t>Gender</w:t>
            </w:r>
          </w:p>
        </w:tc>
        <w:tc>
          <w:tcPr>
            <w:tcW w:w="1276" w:type="dxa"/>
            <w:tcBorders>
              <w:top w:val="nil"/>
              <w:left w:val="nil"/>
              <w:bottom w:val="single" w:sz="4" w:space="0" w:color="auto"/>
              <w:right w:val="single" w:sz="8" w:space="0" w:color="auto"/>
            </w:tcBorders>
            <w:shd w:val="clear" w:color="000000" w:fill="FFFFFF"/>
            <w:vAlign w:val="center"/>
            <w:hideMark/>
          </w:tcPr>
          <w:p w14:paraId="3C8231B7" w14:textId="77777777" w:rsidR="0043246D" w:rsidRPr="004E38D6" w:rsidRDefault="0043246D" w:rsidP="004F46C5">
            <w:pPr>
              <w:spacing w:after="0"/>
              <w:jc w:val="center"/>
              <w:rPr>
                <w:rFonts w:eastAsia="Times New Roman" w:cstheme="minorHAnsi"/>
                <w:b/>
                <w:bCs/>
                <w:color w:val="000000"/>
                <w:sz w:val="12"/>
                <w:szCs w:val="12"/>
                <w:lang w:eastAsia="en-AU"/>
              </w:rPr>
            </w:pPr>
            <w:r w:rsidRPr="004E38D6">
              <w:rPr>
                <w:rFonts w:eastAsia="Times New Roman" w:cstheme="minorHAnsi"/>
                <w:b/>
                <w:bCs/>
                <w:color w:val="000000"/>
                <w:sz w:val="12"/>
                <w:szCs w:val="12"/>
                <w:lang w:eastAsia="en-AU"/>
              </w:rPr>
              <w:t>Female</w:t>
            </w:r>
          </w:p>
        </w:tc>
        <w:tc>
          <w:tcPr>
            <w:tcW w:w="992" w:type="dxa"/>
            <w:tcBorders>
              <w:top w:val="nil"/>
              <w:left w:val="nil"/>
              <w:bottom w:val="single" w:sz="4" w:space="0" w:color="auto"/>
              <w:right w:val="single" w:sz="4" w:space="0" w:color="auto"/>
            </w:tcBorders>
            <w:shd w:val="clear" w:color="000000" w:fill="C00000"/>
            <w:noWrap/>
            <w:vAlign w:val="center"/>
            <w:hideMark/>
          </w:tcPr>
          <w:p w14:paraId="69BA1916" w14:textId="77777777" w:rsidR="0043246D" w:rsidRPr="004E38D6" w:rsidRDefault="0043246D" w:rsidP="004F46C5">
            <w:pPr>
              <w:spacing w:after="0"/>
              <w:jc w:val="center"/>
              <w:rPr>
                <w:rFonts w:asciiTheme="majorHAnsi" w:eastAsia="Times New Roman" w:hAnsiTheme="majorHAnsi" w:cstheme="majorHAnsi"/>
                <w:color w:val="FFFFFF"/>
                <w:sz w:val="12"/>
                <w:szCs w:val="12"/>
                <w:lang w:eastAsia="en-AU"/>
              </w:rPr>
            </w:pPr>
            <w:r w:rsidRPr="004E38D6">
              <w:rPr>
                <w:rFonts w:asciiTheme="majorHAnsi" w:eastAsia="Times New Roman" w:hAnsiTheme="majorHAnsi" w:cstheme="majorHAnsi"/>
                <w:color w:val="FFFFFF"/>
                <w:sz w:val="12"/>
                <w:szCs w:val="12"/>
                <w:lang w:eastAsia="en-AU"/>
              </w:rPr>
              <w:t>3.15</w:t>
            </w:r>
          </w:p>
        </w:tc>
        <w:tc>
          <w:tcPr>
            <w:tcW w:w="992" w:type="dxa"/>
            <w:tcBorders>
              <w:top w:val="nil"/>
              <w:left w:val="nil"/>
              <w:bottom w:val="single" w:sz="4" w:space="0" w:color="auto"/>
              <w:right w:val="single" w:sz="4" w:space="0" w:color="auto"/>
            </w:tcBorders>
            <w:shd w:val="clear" w:color="auto" w:fill="auto"/>
            <w:noWrap/>
            <w:vAlign w:val="center"/>
            <w:hideMark/>
          </w:tcPr>
          <w:p w14:paraId="23615881"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2.52</w:t>
            </w:r>
          </w:p>
        </w:tc>
        <w:tc>
          <w:tcPr>
            <w:tcW w:w="737" w:type="dxa"/>
            <w:tcBorders>
              <w:top w:val="nil"/>
              <w:left w:val="nil"/>
              <w:bottom w:val="single" w:sz="4" w:space="0" w:color="auto"/>
              <w:right w:val="single" w:sz="4" w:space="0" w:color="auto"/>
            </w:tcBorders>
            <w:shd w:val="clear" w:color="auto" w:fill="auto"/>
            <w:noWrap/>
            <w:vAlign w:val="center"/>
            <w:hideMark/>
          </w:tcPr>
          <w:p w14:paraId="688D1BD6"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3.05</w:t>
            </w:r>
          </w:p>
        </w:tc>
        <w:tc>
          <w:tcPr>
            <w:tcW w:w="737" w:type="dxa"/>
            <w:tcBorders>
              <w:top w:val="nil"/>
              <w:left w:val="nil"/>
              <w:bottom w:val="single" w:sz="4" w:space="0" w:color="auto"/>
              <w:right w:val="single" w:sz="4" w:space="0" w:color="auto"/>
            </w:tcBorders>
            <w:shd w:val="clear" w:color="auto" w:fill="auto"/>
            <w:noWrap/>
            <w:vAlign w:val="center"/>
            <w:hideMark/>
          </w:tcPr>
          <w:p w14:paraId="0871CBD2"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2.80</w:t>
            </w:r>
          </w:p>
        </w:tc>
        <w:tc>
          <w:tcPr>
            <w:tcW w:w="737" w:type="dxa"/>
            <w:tcBorders>
              <w:top w:val="nil"/>
              <w:left w:val="nil"/>
              <w:bottom w:val="single" w:sz="4" w:space="0" w:color="auto"/>
              <w:right w:val="single" w:sz="4" w:space="0" w:color="auto"/>
            </w:tcBorders>
            <w:shd w:val="clear" w:color="auto" w:fill="auto"/>
            <w:noWrap/>
            <w:vAlign w:val="center"/>
            <w:hideMark/>
          </w:tcPr>
          <w:p w14:paraId="10A4DA0F"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2.59</w:t>
            </w:r>
          </w:p>
        </w:tc>
        <w:tc>
          <w:tcPr>
            <w:tcW w:w="737" w:type="dxa"/>
            <w:tcBorders>
              <w:top w:val="nil"/>
              <w:left w:val="nil"/>
              <w:bottom w:val="single" w:sz="4" w:space="0" w:color="auto"/>
              <w:right w:val="single" w:sz="4" w:space="0" w:color="auto"/>
            </w:tcBorders>
            <w:shd w:val="clear" w:color="auto" w:fill="auto"/>
            <w:noWrap/>
            <w:vAlign w:val="center"/>
            <w:hideMark/>
          </w:tcPr>
          <w:p w14:paraId="1F4E2FB8"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2.39</w:t>
            </w:r>
          </w:p>
        </w:tc>
        <w:tc>
          <w:tcPr>
            <w:tcW w:w="738" w:type="dxa"/>
            <w:tcBorders>
              <w:top w:val="nil"/>
              <w:left w:val="nil"/>
              <w:bottom w:val="single" w:sz="4" w:space="0" w:color="auto"/>
              <w:right w:val="single" w:sz="4" w:space="0" w:color="auto"/>
            </w:tcBorders>
            <w:shd w:val="clear" w:color="auto" w:fill="auto"/>
            <w:noWrap/>
            <w:vAlign w:val="center"/>
            <w:hideMark/>
          </w:tcPr>
          <w:p w14:paraId="15895726"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2.12</w:t>
            </w:r>
          </w:p>
        </w:tc>
        <w:tc>
          <w:tcPr>
            <w:tcW w:w="850" w:type="dxa"/>
            <w:tcBorders>
              <w:top w:val="nil"/>
              <w:left w:val="nil"/>
              <w:bottom w:val="single" w:sz="4" w:space="0" w:color="auto"/>
              <w:right w:val="single" w:sz="4" w:space="0" w:color="auto"/>
            </w:tcBorders>
            <w:shd w:val="clear" w:color="000000" w:fill="C00000"/>
            <w:noWrap/>
            <w:vAlign w:val="center"/>
            <w:hideMark/>
          </w:tcPr>
          <w:p w14:paraId="50E11436" w14:textId="77777777" w:rsidR="0043246D" w:rsidRPr="004E38D6" w:rsidRDefault="0043246D" w:rsidP="004F46C5">
            <w:pPr>
              <w:spacing w:after="0"/>
              <w:jc w:val="center"/>
              <w:rPr>
                <w:rFonts w:asciiTheme="majorHAnsi" w:eastAsia="Times New Roman" w:hAnsiTheme="majorHAnsi" w:cstheme="majorHAnsi"/>
                <w:color w:val="FFFFFF"/>
                <w:sz w:val="12"/>
                <w:szCs w:val="12"/>
                <w:lang w:eastAsia="en-AU"/>
              </w:rPr>
            </w:pPr>
            <w:r w:rsidRPr="004E38D6">
              <w:rPr>
                <w:rFonts w:asciiTheme="majorHAnsi" w:eastAsia="Times New Roman" w:hAnsiTheme="majorHAnsi" w:cstheme="majorHAnsi"/>
                <w:color w:val="FFFFFF"/>
                <w:sz w:val="12"/>
                <w:szCs w:val="12"/>
                <w:lang w:eastAsia="en-AU"/>
              </w:rPr>
              <w:t>3.60</w:t>
            </w:r>
          </w:p>
        </w:tc>
        <w:tc>
          <w:tcPr>
            <w:tcW w:w="851" w:type="dxa"/>
            <w:tcBorders>
              <w:top w:val="nil"/>
              <w:left w:val="nil"/>
              <w:bottom w:val="single" w:sz="4" w:space="0" w:color="auto"/>
              <w:right w:val="nil"/>
            </w:tcBorders>
            <w:shd w:val="clear" w:color="auto" w:fill="auto"/>
            <w:noWrap/>
            <w:vAlign w:val="center"/>
            <w:hideMark/>
          </w:tcPr>
          <w:p w14:paraId="65D1396D"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2.54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4F453"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2.71</w:t>
            </w:r>
          </w:p>
        </w:tc>
        <w:tc>
          <w:tcPr>
            <w:tcW w:w="709" w:type="dxa"/>
            <w:tcBorders>
              <w:top w:val="nil"/>
              <w:left w:val="nil"/>
              <w:bottom w:val="nil"/>
              <w:right w:val="single" w:sz="8" w:space="0" w:color="auto"/>
            </w:tcBorders>
            <w:shd w:val="clear" w:color="auto" w:fill="EEEEEE"/>
            <w:noWrap/>
            <w:vAlign w:val="center"/>
            <w:hideMark/>
          </w:tcPr>
          <w:p w14:paraId="3B6DD2F1" w14:textId="77777777" w:rsidR="0043246D" w:rsidRPr="004E38D6" w:rsidRDefault="0043246D" w:rsidP="004F46C5">
            <w:pPr>
              <w:spacing w:after="0"/>
              <w:jc w:val="center"/>
              <w:rPr>
                <w:rFonts w:asciiTheme="majorHAnsi" w:eastAsia="Times New Roman" w:hAnsiTheme="majorHAnsi" w:cstheme="majorHAnsi"/>
                <w:color w:val="EEEEEE"/>
                <w:sz w:val="12"/>
                <w:szCs w:val="12"/>
                <w:lang w:eastAsia="en-AU"/>
              </w:rPr>
            </w:pPr>
            <w:r w:rsidRPr="004E38D6">
              <w:rPr>
                <w:rFonts w:asciiTheme="majorHAnsi" w:eastAsia="Times New Roman" w:hAnsiTheme="majorHAnsi" w:cstheme="majorHAnsi"/>
                <w:color w:val="EEEEEE"/>
                <w:sz w:val="12"/>
                <w:szCs w:val="12"/>
                <w:lang w:eastAsia="en-AU"/>
              </w:rPr>
              <w:t>N/A</w:t>
            </w:r>
          </w:p>
        </w:tc>
      </w:tr>
      <w:tr w:rsidR="0043246D" w:rsidRPr="00ED684B" w14:paraId="1A83A5AB" w14:textId="77777777" w:rsidTr="008608DC">
        <w:trPr>
          <w:trHeight w:val="362"/>
        </w:trPr>
        <w:tc>
          <w:tcPr>
            <w:tcW w:w="841" w:type="dxa"/>
            <w:vMerge/>
            <w:tcBorders>
              <w:top w:val="nil"/>
              <w:left w:val="single" w:sz="8" w:space="0" w:color="auto"/>
              <w:bottom w:val="single" w:sz="8" w:space="0" w:color="000000"/>
              <w:right w:val="single" w:sz="8" w:space="0" w:color="auto"/>
            </w:tcBorders>
            <w:vAlign w:val="center"/>
            <w:hideMark/>
          </w:tcPr>
          <w:p w14:paraId="2D0F9CC7" w14:textId="77777777" w:rsidR="0043246D" w:rsidRPr="004E38D6" w:rsidRDefault="0043246D" w:rsidP="004F46C5">
            <w:pPr>
              <w:spacing w:after="0"/>
              <w:rPr>
                <w:rFonts w:eastAsia="Times New Roman" w:cstheme="minorHAnsi"/>
                <w:b/>
                <w:bCs/>
                <w:sz w:val="12"/>
                <w:szCs w:val="12"/>
                <w:lang w:eastAsia="en-AU"/>
              </w:rPr>
            </w:pPr>
          </w:p>
        </w:tc>
        <w:tc>
          <w:tcPr>
            <w:tcW w:w="1276" w:type="dxa"/>
            <w:tcBorders>
              <w:top w:val="nil"/>
              <w:left w:val="nil"/>
              <w:bottom w:val="single" w:sz="8" w:space="0" w:color="auto"/>
              <w:right w:val="single" w:sz="8" w:space="0" w:color="auto"/>
            </w:tcBorders>
            <w:shd w:val="clear" w:color="000000" w:fill="FFFFFF"/>
            <w:vAlign w:val="center"/>
            <w:hideMark/>
          </w:tcPr>
          <w:p w14:paraId="4AFE385D" w14:textId="77777777" w:rsidR="0043246D" w:rsidRPr="004E38D6" w:rsidRDefault="0043246D" w:rsidP="004F46C5">
            <w:pPr>
              <w:spacing w:after="0"/>
              <w:jc w:val="center"/>
              <w:rPr>
                <w:rFonts w:eastAsia="Times New Roman" w:cstheme="minorHAnsi"/>
                <w:b/>
                <w:bCs/>
                <w:color w:val="000000"/>
                <w:sz w:val="12"/>
                <w:szCs w:val="12"/>
                <w:lang w:eastAsia="en-AU"/>
              </w:rPr>
            </w:pPr>
            <w:r w:rsidRPr="004E38D6">
              <w:rPr>
                <w:rFonts w:eastAsia="Times New Roman" w:cstheme="minorHAnsi"/>
                <w:b/>
                <w:bCs/>
                <w:color w:val="000000"/>
                <w:sz w:val="12"/>
                <w:szCs w:val="12"/>
                <w:lang w:eastAsia="en-AU"/>
              </w:rPr>
              <w:t>Male</w:t>
            </w:r>
          </w:p>
        </w:tc>
        <w:tc>
          <w:tcPr>
            <w:tcW w:w="992" w:type="dxa"/>
            <w:tcBorders>
              <w:top w:val="nil"/>
              <w:left w:val="nil"/>
              <w:bottom w:val="single" w:sz="8" w:space="0" w:color="auto"/>
              <w:right w:val="single" w:sz="4" w:space="0" w:color="auto"/>
            </w:tcBorders>
            <w:shd w:val="clear" w:color="auto" w:fill="auto"/>
            <w:noWrap/>
            <w:vAlign w:val="center"/>
            <w:hideMark/>
          </w:tcPr>
          <w:p w14:paraId="15C518DC"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2.85</w:t>
            </w:r>
          </w:p>
        </w:tc>
        <w:tc>
          <w:tcPr>
            <w:tcW w:w="992" w:type="dxa"/>
            <w:tcBorders>
              <w:top w:val="nil"/>
              <w:left w:val="nil"/>
              <w:bottom w:val="single" w:sz="8" w:space="0" w:color="auto"/>
              <w:right w:val="single" w:sz="4" w:space="0" w:color="auto"/>
            </w:tcBorders>
            <w:shd w:val="clear" w:color="auto" w:fill="auto"/>
            <w:noWrap/>
            <w:vAlign w:val="center"/>
            <w:hideMark/>
          </w:tcPr>
          <w:p w14:paraId="455777EE"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2.18</w:t>
            </w:r>
          </w:p>
        </w:tc>
        <w:tc>
          <w:tcPr>
            <w:tcW w:w="737" w:type="dxa"/>
            <w:tcBorders>
              <w:top w:val="nil"/>
              <w:left w:val="nil"/>
              <w:bottom w:val="single" w:sz="8" w:space="0" w:color="auto"/>
              <w:right w:val="single" w:sz="4" w:space="0" w:color="auto"/>
            </w:tcBorders>
            <w:shd w:val="clear" w:color="auto" w:fill="auto"/>
            <w:noWrap/>
            <w:vAlign w:val="center"/>
            <w:hideMark/>
          </w:tcPr>
          <w:p w14:paraId="47A0AE4B"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2.59</w:t>
            </w:r>
          </w:p>
        </w:tc>
        <w:tc>
          <w:tcPr>
            <w:tcW w:w="737" w:type="dxa"/>
            <w:tcBorders>
              <w:top w:val="nil"/>
              <w:left w:val="nil"/>
              <w:bottom w:val="single" w:sz="8" w:space="0" w:color="auto"/>
              <w:right w:val="single" w:sz="4" w:space="0" w:color="auto"/>
            </w:tcBorders>
            <w:shd w:val="clear" w:color="auto" w:fill="auto"/>
            <w:noWrap/>
            <w:vAlign w:val="center"/>
            <w:hideMark/>
          </w:tcPr>
          <w:p w14:paraId="7A4B3C00"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2.42</w:t>
            </w:r>
          </w:p>
        </w:tc>
        <w:tc>
          <w:tcPr>
            <w:tcW w:w="737" w:type="dxa"/>
            <w:tcBorders>
              <w:top w:val="nil"/>
              <w:left w:val="nil"/>
              <w:bottom w:val="single" w:sz="8" w:space="0" w:color="auto"/>
              <w:right w:val="single" w:sz="4" w:space="0" w:color="auto"/>
            </w:tcBorders>
            <w:shd w:val="clear" w:color="auto" w:fill="auto"/>
            <w:noWrap/>
            <w:vAlign w:val="center"/>
            <w:hideMark/>
          </w:tcPr>
          <w:p w14:paraId="3349B427"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2.25</w:t>
            </w:r>
          </w:p>
        </w:tc>
        <w:tc>
          <w:tcPr>
            <w:tcW w:w="737" w:type="dxa"/>
            <w:tcBorders>
              <w:top w:val="nil"/>
              <w:left w:val="nil"/>
              <w:bottom w:val="single" w:sz="8" w:space="0" w:color="auto"/>
              <w:right w:val="single" w:sz="4" w:space="0" w:color="auto"/>
            </w:tcBorders>
            <w:shd w:val="clear" w:color="auto" w:fill="275D38"/>
            <w:noWrap/>
            <w:vAlign w:val="center"/>
            <w:hideMark/>
          </w:tcPr>
          <w:p w14:paraId="2D91023A"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FFFFFF" w:themeColor="background1"/>
                <w:sz w:val="12"/>
                <w:szCs w:val="12"/>
                <w:lang w:eastAsia="en-AU"/>
              </w:rPr>
              <w:t>2.10</w:t>
            </w:r>
          </w:p>
        </w:tc>
        <w:tc>
          <w:tcPr>
            <w:tcW w:w="738" w:type="dxa"/>
            <w:tcBorders>
              <w:top w:val="nil"/>
              <w:left w:val="nil"/>
              <w:bottom w:val="single" w:sz="8" w:space="0" w:color="auto"/>
              <w:right w:val="single" w:sz="4" w:space="0" w:color="auto"/>
            </w:tcBorders>
            <w:shd w:val="clear" w:color="000000" w:fill="275D38"/>
            <w:noWrap/>
            <w:vAlign w:val="center"/>
            <w:hideMark/>
          </w:tcPr>
          <w:p w14:paraId="2F0F3E8B" w14:textId="77777777" w:rsidR="0043246D" w:rsidRPr="004E38D6" w:rsidRDefault="0043246D" w:rsidP="004F46C5">
            <w:pPr>
              <w:spacing w:after="0"/>
              <w:jc w:val="center"/>
              <w:rPr>
                <w:rFonts w:asciiTheme="majorHAnsi" w:eastAsia="Times New Roman" w:hAnsiTheme="majorHAnsi" w:cstheme="majorHAnsi"/>
                <w:color w:val="FFFFFF"/>
                <w:sz w:val="12"/>
                <w:szCs w:val="12"/>
                <w:lang w:eastAsia="en-AU"/>
              </w:rPr>
            </w:pPr>
            <w:r w:rsidRPr="004E38D6">
              <w:rPr>
                <w:rFonts w:asciiTheme="majorHAnsi" w:eastAsia="Times New Roman" w:hAnsiTheme="majorHAnsi" w:cstheme="majorHAnsi"/>
                <w:color w:val="FFFFFF"/>
                <w:sz w:val="12"/>
                <w:szCs w:val="12"/>
                <w:lang w:eastAsia="en-AU"/>
              </w:rPr>
              <w:t>1.91</w:t>
            </w:r>
          </w:p>
        </w:tc>
        <w:tc>
          <w:tcPr>
            <w:tcW w:w="850" w:type="dxa"/>
            <w:tcBorders>
              <w:top w:val="nil"/>
              <w:left w:val="nil"/>
              <w:bottom w:val="single" w:sz="8" w:space="0" w:color="auto"/>
              <w:right w:val="single" w:sz="4" w:space="0" w:color="auto"/>
            </w:tcBorders>
            <w:shd w:val="clear" w:color="auto" w:fill="auto"/>
            <w:noWrap/>
            <w:vAlign w:val="center"/>
            <w:hideMark/>
          </w:tcPr>
          <w:p w14:paraId="76DF1B4E"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2.90</w:t>
            </w:r>
          </w:p>
        </w:tc>
        <w:tc>
          <w:tcPr>
            <w:tcW w:w="851" w:type="dxa"/>
            <w:tcBorders>
              <w:top w:val="nil"/>
              <w:left w:val="nil"/>
              <w:bottom w:val="single" w:sz="8" w:space="0" w:color="auto"/>
              <w:right w:val="single" w:sz="4" w:space="0" w:color="auto"/>
            </w:tcBorders>
            <w:shd w:val="clear" w:color="auto" w:fill="auto"/>
            <w:noWrap/>
            <w:vAlign w:val="center"/>
            <w:hideMark/>
          </w:tcPr>
          <w:p w14:paraId="6827841B"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2.24</w:t>
            </w:r>
          </w:p>
        </w:tc>
        <w:tc>
          <w:tcPr>
            <w:tcW w:w="708" w:type="dxa"/>
            <w:tcBorders>
              <w:top w:val="nil"/>
              <w:left w:val="nil"/>
              <w:bottom w:val="single" w:sz="8" w:space="0" w:color="auto"/>
              <w:right w:val="nil"/>
            </w:tcBorders>
            <w:shd w:val="clear" w:color="auto" w:fill="FFFFFF" w:themeFill="background1"/>
            <w:noWrap/>
            <w:vAlign w:val="center"/>
          </w:tcPr>
          <w:p w14:paraId="4F03FAEA" w14:textId="77777777" w:rsidR="0043246D" w:rsidRPr="004E38D6" w:rsidRDefault="0043246D" w:rsidP="004F46C5">
            <w:pPr>
              <w:spacing w:after="0"/>
              <w:jc w:val="center"/>
              <w:rPr>
                <w:rFonts w:asciiTheme="majorHAnsi" w:eastAsia="Times New Roman" w:hAnsiTheme="majorHAnsi" w:cstheme="majorHAnsi"/>
                <w:color w:val="FFFFFF" w:themeColor="background1"/>
                <w:sz w:val="12"/>
                <w:szCs w:val="12"/>
                <w:lang w:eastAsia="en-AU"/>
              </w:rPr>
            </w:pPr>
            <w:r w:rsidRPr="004E38D6">
              <w:rPr>
                <w:rFonts w:asciiTheme="majorHAnsi" w:eastAsia="Times New Roman" w:hAnsiTheme="majorHAnsi" w:cstheme="majorHAnsi"/>
                <w:color w:val="000000" w:themeColor="text1"/>
                <w:sz w:val="12"/>
                <w:szCs w:val="12"/>
                <w:lang w:eastAsia="en-AU"/>
              </w:rPr>
              <w:t>N/A</w:t>
            </w:r>
          </w:p>
        </w:tc>
        <w:tc>
          <w:tcPr>
            <w:tcW w:w="709"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6BDCD8E" w14:textId="77777777" w:rsidR="0043246D" w:rsidRPr="004E38D6" w:rsidRDefault="0043246D" w:rsidP="004F46C5">
            <w:pPr>
              <w:spacing w:after="0"/>
              <w:jc w:val="center"/>
              <w:rPr>
                <w:rFonts w:asciiTheme="majorHAnsi" w:eastAsia="Times New Roman" w:hAnsiTheme="majorHAnsi" w:cstheme="majorHAnsi"/>
                <w:color w:val="000000"/>
                <w:sz w:val="12"/>
                <w:szCs w:val="12"/>
                <w:lang w:eastAsia="en-AU"/>
              </w:rPr>
            </w:pPr>
            <w:r w:rsidRPr="004E38D6">
              <w:rPr>
                <w:rFonts w:asciiTheme="majorHAnsi" w:eastAsia="Times New Roman" w:hAnsiTheme="majorHAnsi" w:cstheme="majorHAnsi"/>
                <w:color w:val="000000"/>
                <w:sz w:val="12"/>
                <w:szCs w:val="12"/>
                <w:lang w:eastAsia="en-AU"/>
              </w:rPr>
              <w:t>2.37</w:t>
            </w:r>
          </w:p>
        </w:tc>
      </w:tr>
    </w:tbl>
    <w:p w14:paraId="7B94B0ED" w14:textId="77777777" w:rsidR="00810990" w:rsidRDefault="00810990" w:rsidP="00E72F3F">
      <w:pPr>
        <w:spacing w:after="0" w:line="240" w:lineRule="auto"/>
        <w:rPr>
          <w:szCs w:val="22"/>
        </w:rPr>
      </w:pPr>
    </w:p>
    <w:p w14:paraId="16182ACA" w14:textId="6233E2E7" w:rsidR="00810990" w:rsidRPr="00810990" w:rsidRDefault="00810990" w:rsidP="00810990">
      <w:pPr>
        <w:spacing w:line="240" w:lineRule="auto"/>
        <w:rPr>
          <w:sz w:val="20"/>
          <w:szCs w:val="20"/>
        </w:rPr>
      </w:pPr>
      <w:r w:rsidRPr="00810990">
        <w:rPr>
          <w:sz w:val="20"/>
          <w:szCs w:val="20"/>
        </w:rPr>
        <w:t xml:space="preserve">Further analysis shows the group projected to spend the longest time on income support over the next 5 years is First Nations women with a partial capacity to work and living in the lowest 20% of socio-economic areas. Their projected time on income support over the next 5 years is 3.8 years on average, which is 53% more than the average of 2.5 years for all younger people receiving JobSeeker Payment </w:t>
      </w:r>
      <w:proofErr w:type="gramStart"/>
      <w:r w:rsidRPr="00810990">
        <w:rPr>
          <w:sz w:val="20"/>
          <w:szCs w:val="20"/>
        </w:rPr>
        <w:t>at</w:t>
      </w:r>
      <w:proofErr w:type="gramEnd"/>
      <w:r w:rsidRPr="00810990">
        <w:rPr>
          <w:sz w:val="20"/>
          <w:szCs w:val="20"/>
        </w:rPr>
        <w:t xml:space="preserve"> 30 June 2022. By contrast, non-First Nations men with full capacity to work and living in the highest 20% of socio-economic areas are projected to spend the least amount of time on income support over the next 5 years, averaging 1.6 years, or 36% less than the overall average.</w:t>
      </w:r>
    </w:p>
    <w:p w14:paraId="75609A9B" w14:textId="509DAB7E" w:rsidR="00810990" w:rsidRPr="00E72F3F" w:rsidRDefault="00810990" w:rsidP="0017532C">
      <w:pPr>
        <w:pStyle w:val="Heading3"/>
        <w:spacing w:after="100" w:line="240" w:lineRule="auto"/>
        <w:rPr>
          <w:sz w:val="26"/>
          <w:szCs w:val="26"/>
        </w:rPr>
      </w:pPr>
      <w:r w:rsidRPr="00E72F3F">
        <w:rPr>
          <w:sz w:val="26"/>
          <w:szCs w:val="26"/>
        </w:rPr>
        <w:t>Notes</w:t>
      </w:r>
    </w:p>
    <w:p w14:paraId="553F8D7D" w14:textId="6A761466" w:rsidR="00810990" w:rsidRPr="00810990" w:rsidRDefault="00810990" w:rsidP="00810990">
      <w:pPr>
        <w:pStyle w:val="ListParagraph"/>
        <w:numPr>
          <w:ilvl w:val="0"/>
          <w:numId w:val="5"/>
        </w:numPr>
        <w:spacing w:after="0" w:line="240" w:lineRule="auto"/>
        <w:ind w:left="357" w:hanging="357"/>
        <w:contextualSpacing w:val="0"/>
        <w:rPr>
          <w:sz w:val="18"/>
          <w:szCs w:val="18"/>
        </w:rPr>
      </w:pPr>
      <w:r w:rsidRPr="00810990">
        <w:rPr>
          <w:sz w:val="18"/>
          <w:szCs w:val="18"/>
        </w:rPr>
        <w:t xml:space="preserve">All figures are from the Priority Investment Approach 2022 actuarial model. Figures on number of people receiving JobSeeker Payment will not match official or published recipient data due to different data extraction rules and timing. For official figures please refer to the </w:t>
      </w:r>
      <w:hyperlink r:id="rId18" w:history="1">
        <w:r w:rsidRPr="00810990">
          <w:rPr>
            <w:rStyle w:val="Hyperlink"/>
            <w:sz w:val="18"/>
            <w:szCs w:val="18"/>
          </w:rPr>
          <w:t>DSS Benefit and Payment Recipients Demographics reports</w:t>
        </w:r>
      </w:hyperlink>
      <w:r w:rsidRPr="00810990">
        <w:rPr>
          <w:sz w:val="18"/>
          <w:szCs w:val="18"/>
        </w:rPr>
        <w:t xml:space="preserve"> or </w:t>
      </w:r>
      <w:hyperlink r:id="rId19" w:history="1">
        <w:r w:rsidRPr="00810990">
          <w:rPr>
            <w:rStyle w:val="Hyperlink"/>
            <w:sz w:val="18"/>
            <w:szCs w:val="18"/>
          </w:rPr>
          <w:t>DSS Income Support Recipients – Monthly Time Series</w:t>
        </w:r>
      </w:hyperlink>
      <w:r w:rsidRPr="00810990">
        <w:rPr>
          <w:sz w:val="18"/>
          <w:szCs w:val="18"/>
        </w:rPr>
        <w:t xml:space="preserve"> published on </w:t>
      </w:r>
      <w:hyperlink r:id="rId20" w:history="1">
        <w:r w:rsidRPr="00810990">
          <w:rPr>
            <w:rStyle w:val="Hyperlink"/>
            <w:sz w:val="18"/>
            <w:szCs w:val="18"/>
          </w:rPr>
          <w:t>data.gov.au</w:t>
        </w:r>
      </w:hyperlink>
      <w:r w:rsidRPr="00810990">
        <w:rPr>
          <w:rStyle w:val="Hyperlink"/>
          <w:sz w:val="18"/>
          <w:szCs w:val="18"/>
        </w:rPr>
        <w:t>.</w:t>
      </w:r>
    </w:p>
    <w:p w14:paraId="0223E2C9" w14:textId="3020D1DE" w:rsidR="00810990" w:rsidRPr="00810990" w:rsidRDefault="00810990" w:rsidP="00810990">
      <w:pPr>
        <w:pStyle w:val="ListParagraph"/>
        <w:numPr>
          <w:ilvl w:val="0"/>
          <w:numId w:val="5"/>
        </w:numPr>
        <w:spacing w:after="0" w:line="240" w:lineRule="auto"/>
        <w:ind w:left="357" w:hanging="357"/>
        <w:contextualSpacing w:val="0"/>
        <w:rPr>
          <w:sz w:val="18"/>
          <w:szCs w:val="18"/>
        </w:rPr>
      </w:pPr>
      <w:r w:rsidRPr="00810990">
        <w:rPr>
          <w:b/>
          <w:sz w:val="18"/>
          <w:szCs w:val="18"/>
        </w:rPr>
        <w:t xml:space="preserve">Working age payments: </w:t>
      </w:r>
      <w:r w:rsidRPr="00810990">
        <w:rPr>
          <w:sz w:val="18"/>
          <w:szCs w:val="18"/>
        </w:rPr>
        <w:t>The Priority Investment Approach model defines this as income support payments to assist working age people who are temporarily unable to support themselves through work. Working age payments mainly consist of JobSeeker Payment for people aged 22 and above, and Youth Allowance (Other) for people aged 16 to 21. Parenting Payment is projected separately.</w:t>
      </w:r>
    </w:p>
    <w:p w14:paraId="35BFDB7D" w14:textId="493868D8" w:rsidR="00810990" w:rsidRPr="00810990" w:rsidRDefault="00810990" w:rsidP="00810990">
      <w:pPr>
        <w:pStyle w:val="ListParagraph"/>
        <w:numPr>
          <w:ilvl w:val="0"/>
          <w:numId w:val="5"/>
        </w:numPr>
        <w:spacing w:after="0" w:line="240" w:lineRule="auto"/>
        <w:ind w:left="357" w:hanging="357"/>
        <w:contextualSpacing w:val="0"/>
        <w:rPr>
          <w:sz w:val="18"/>
          <w:szCs w:val="18"/>
        </w:rPr>
      </w:pPr>
      <w:r w:rsidRPr="00810990">
        <w:rPr>
          <w:b/>
          <w:sz w:val="18"/>
          <w:szCs w:val="18"/>
        </w:rPr>
        <w:t>Partial capacity to work:</w:t>
      </w:r>
      <w:r w:rsidRPr="00810990">
        <w:rPr>
          <w:sz w:val="18"/>
          <w:szCs w:val="18"/>
        </w:rPr>
        <w:t xml:space="preserve"> A person who is unable to work for at least 30 hours per week, whether due to a physical, intellectual, or psychiatric impairment, is referred to as having a partial capacity to work. A person who </w:t>
      </w:r>
      <w:proofErr w:type="gramStart"/>
      <w:r w:rsidRPr="00810990">
        <w:rPr>
          <w:sz w:val="18"/>
          <w:szCs w:val="18"/>
        </w:rPr>
        <w:t>is able to</w:t>
      </w:r>
      <w:proofErr w:type="gramEnd"/>
      <w:r w:rsidRPr="00810990">
        <w:rPr>
          <w:sz w:val="18"/>
          <w:szCs w:val="18"/>
        </w:rPr>
        <w:t xml:space="preserve"> work for at least 30 hours per week is referred to as having full capacity to work.</w:t>
      </w:r>
    </w:p>
    <w:p w14:paraId="1C54132C" w14:textId="6AC529EC" w:rsidR="00810990" w:rsidRPr="00810990" w:rsidRDefault="00810990" w:rsidP="00810990">
      <w:pPr>
        <w:pStyle w:val="ListParagraph"/>
        <w:numPr>
          <w:ilvl w:val="0"/>
          <w:numId w:val="5"/>
        </w:numPr>
        <w:spacing w:after="0" w:line="240" w:lineRule="auto"/>
        <w:ind w:left="357" w:hanging="357"/>
        <w:contextualSpacing w:val="0"/>
        <w:rPr>
          <w:sz w:val="18"/>
          <w:szCs w:val="18"/>
        </w:rPr>
      </w:pPr>
      <w:r w:rsidRPr="00810990">
        <w:rPr>
          <w:b/>
          <w:sz w:val="18"/>
          <w:szCs w:val="18"/>
        </w:rPr>
        <w:t>Socio-Economic Indexes for Areas (SEIFA):</w:t>
      </w:r>
      <w:r w:rsidRPr="00810990">
        <w:rPr>
          <w:sz w:val="18"/>
          <w:szCs w:val="18"/>
        </w:rPr>
        <w:t xml:space="preserve"> A product developed by the ABS ranking areas in Australia according to relative socio-economic advantage and disadvantage. The indexes are based on information from the five-yearly Census.</w:t>
      </w:r>
    </w:p>
    <w:p w14:paraId="6EE46F5C" w14:textId="0B60DA9D" w:rsidR="00810990" w:rsidRPr="00E72F3F" w:rsidRDefault="00810990" w:rsidP="00810990">
      <w:pPr>
        <w:pStyle w:val="ListParagraph"/>
        <w:numPr>
          <w:ilvl w:val="0"/>
          <w:numId w:val="5"/>
        </w:numPr>
        <w:spacing w:after="0" w:line="240" w:lineRule="auto"/>
        <w:ind w:left="357" w:hanging="357"/>
        <w:contextualSpacing w:val="0"/>
        <w:rPr>
          <w:sz w:val="18"/>
          <w:szCs w:val="18"/>
        </w:rPr>
      </w:pPr>
      <w:r w:rsidRPr="00810990">
        <w:rPr>
          <w:b/>
          <w:sz w:val="18"/>
          <w:szCs w:val="18"/>
        </w:rPr>
        <w:t xml:space="preserve">Studying payments: </w:t>
      </w:r>
      <w:r w:rsidRPr="00810990">
        <w:rPr>
          <w:sz w:val="18"/>
          <w:szCs w:val="18"/>
        </w:rPr>
        <w:t>Studying payments include payments provided to students to assist them with living costs while undertaking their studies. Payments in this category include Austudy, ABSTUDY and Youth Allowance (Student).</w:t>
      </w:r>
    </w:p>
    <w:sectPr w:rsidR="00810990" w:rsidRPr="00E72F3F" w:rsidSect="00E07036">
      <w:type w:val="continuous"/>
      <w:pgSz w:w="23811" w:h="16838" w:orient="landscape" w:code="8"/>
      <w:pgMar w:top="720" w:right="720" w:bottom="720" w:left="720" w:header="0" w:footer="0" w:gutter="0"/>
      <w:pgNumType w:start="2"/>
      <w:cols w:num="2" w:sep="1" w:space="27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45DA" w14:textId="77777777" w:rsidR="00E07036" w:rsidRDefault="00E07036" w:rsidP="008F3023">
      <w:pPr>
        <w:spacing w:after="0" w:line="240" w:lineRule="auto"/>
      </w:pPr>
      <w:r>
        <w:separator/>
      </w:r>
    </w:p>
  </w:endnote>
  <w:endnote w:type="continuationSeparator" w:id="0">
    <w:p w14:paraId="33CB625D" w14:textId="77777777" w:rsidR="00E07036" w:rsidRDefault="00E07036"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F868" w14:textId="77777777" w:rsidR="00FB119D" w:rsidRDefault="00FB119D" w:rsidP="00FB119D">
    <w:pPr>
      <w:pStyle w:val="Spacer"/>
    </w:pPr>
    <w:r>
      <w:rPr>
        <w:noProof/>
        <w:lang w:eastAsia="en-AU"/>
      </w:rPr>
      <w:drawing>
        <wp:anchor distT="0" distB="0" distL="114300" distR="114300" simplePos="0" relativeHeight="251660288" behindDoc="1" locked="1" layoutInCell="1" allowOverlap="1" wp14:anchorId="5A80CBFB" wp14:editId="1A1E36C6">
          <wp:simplePos x="0" y="0"/>
          <wp:positionH relativeFrom="page">
            <wp:align>right</wp:align>
          </wp:positionH>
          <wp:positionV relativeFrom="page">
            <wp:align>bottom</wp:align>
          </wp:positionV>
          <wp:extent cx="1522800" cy="1094400"/>
          <wp:effectExtent l="0" t="0" r="1270" b="0"/>
          <wp:wrapNone/>
          <wp:docPr id="974858397" name="Picture 97485839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8635" w14:textId="77777777" w:rsidR="00281DFB" w:rsidRDefault="00765A7C" w:rsidP="00A81138">
    <w:pPr>
      <w:pStyle w:val="Spacer"/>
    </w:pPr>
    <w:r>
      <w:rPr>
        <w:noProof/>
        <w:lang w:eastAsia="en-AU"/>
      </w:rPr>
      <w:drawing>
        <wp:anchor distT="0" distB="0" distL="114300" distR="114300" simplePos="0" relativeHeight="251658240" behindDoc="1" locked="1" layoutInCell="1" allowOverlap="1" wp14:anchorId="14281490" wp14:editId="60A9887D">
          <wp:simplePos x="0" y="0"/>
          <wp:positionH relativeFrom="page">
            <wp:align>right</wp:align>
          </wp:positionH>
          <wp:positionV relativeFrom="page">
            <wp:align>bottom</wp:align>
          </wp:positionV>
          <wp:extent cx="1522800" cy="1094400"/>
          <wp:effectExtent l="0" t="0" r="1270" b="0"/>
          <wp:wrapNone/>
          <wp:docPr id="1683135573" name="Picture 168313557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4350C8" w14:textId="77777777" w:rsidR="00F85669" w:rsidRDefault="00F85669"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77E5" w14:textId="77777777" w:rsidR="00E07036" w:rsidRDefault="00E07036" w:rsidP="008F3023">
      <w:pPr>
        <w:spacing w:after="0" w:line="240" w:lineRule="auto"/>
      </w:pPr>
      <w:r>
        <w:separator/>
      </w:r>
    </w:p>
  </w:footnote>
  <w:footnote w:type="continuationSeparator" w:id="0">
    <w:p w14:paraId="0B8D33B0" w14:textId="77777777" w:rsidR="00E07036" w:rsidRDefault="00E07036" w:rsidP="008F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7E8F" w14:textId="77777777" w:rsidR="00FB119D" w:rsidRDefault="00FB119D" w:rsidP="00FB119D">
    <w:pPr>
      <w:pStyle w:val="Spac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9148" w14:textId="77777777" w:rsidR="00BA5842" w:rsidRDefault="00BA5842" w:rsidP="00A81138">
    <w:pPr>
      <w:pStyle w:val="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B3C79"/>
    <w:multiLevelType w:val="hybridMultilevel"/>
    <w:tmpl w:val="5448B2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79C5140"/>
    <w:multiLevelType w:val="multilevel"/>
    <w:tmpl w:val="34064D7C"/>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DC81459"/>
    <w:multiLevelType w:val="multilevel"/>
    <w:tmpl w:val="68224E6C"/>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3"/>
  </w:num>
  <w:num w:numId="2" w16cid:durableId="501120408">
    <w:abstractNumId w:val="4"/>
  </w:num>
  <w:num w:numId="3" w16cid:durableId="467674953">
    <w:abstractNumId w:val="1"/>
  </w:num>
  <w:num w:numId="4" w16cid:durableId="167907941">
    <w:abstractNumId w:val="2"/>
  </w:num>
  <w:num w:numId="5" w16cid:durableId="19543648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84"/>
    <w:rsid w:val="000135AF"/>
    <w:rsid w:val="000140B8"/>
    <w:rsid w:val="000143CD"/>
    <w:rsid w:val="000317E3"/>
    <w:rsid w:val="00033D8F"/>
    <w:rsid w:val="00044684"/>
    <w:rsid w:val="00062B78"/>
    <w:rsid w:val="00064140"/>
    <w:rsid w:val="000750D2"/>
    <w:rsid w:val="00081610"/>
    <w:rsid w:val="00091ABE"/>
    <w:rsid w:val="000C4A0F"/>
    <w:rsid w:val="000D5965"/>
    <w:rsid w:val="000E6227"/>
    <w:rsid w:val="000F4838"/>
    <w:rsid w:val="000F7266"/>
    <w:rsid w:val="000F75FC"/>
    <w:rsid w:val="001067FC"/>
    <w:rsid w:val="001510D7"/>
    <w:rsid w:val="00161696"/>
    <w:rsid w:val="0017532C"/>
    <w:rsid w:val="001A7461"/>
    <w:rsid w:val="001D0F6D"/>
    <w:rsid w:val="001E630D"/>
    <w:rsid w:val="001F6546"/>
    <w:rsid w:val="002346B5"/>
    <w:rsid w:val="00240A6E"/>
    <w:rsid w:val="00262CDD"/>
    <w:rsid w:val="00275EA9"/>
    <w:rsid w:val="00281130"/>
    <w:rsid w:val="00281DFB"/>
    <w:rsid w:val="00282835"/>
    <w:rsid w:val="00295934"/>
    <w:rsid w:val="002B3CC6"/>
    <w:rsid w:val="002B6EFE"/>
    <w:rsid w:val="002B7002"/>
    <w:rsid w:val="002D5B84"/>
    <w:rsid w:val="00311FC7"/>
    <w:rsid w:val="003213E7"/>
    <w:rsid w:val="00335A14"/>
    <w:rsid w:val="00337926"/>
    <w:rsid w:val="00347FE0"/>
    <w:rsid w:val="0038044C"/>
    <w:rsid w:val="003A70C3"/>
    <w:rsid w:val="003B0D19"/>
    <w:rsid w:val="003B2BB8"/>
    <w:rsid w:val="003B7424"/>
    <w:rsid w:val="003D34FF"/>
    <w:rsid w:val="003E0A57"/>
    <w:rsid w:val="003E10A6"/>
    <w:rsid w:val="003E2B62"/>
    <w:rsid w:val="00403055"/>
    <w:rsid w:val="00415B6C"/>
    <w:rsid w:val="004243F2"/>
    <w:rsid w:val="0043246D"/>
    <w:rsid w:val="004354E6"/>
    <w:rsid w:val="00440CB8"/>
    <w:rsid w:val="00441FD7"/>
    <w:rsid w:val="0045365D"/>
    <w:rsid w:val="00471456"/>
    <w:rsid w:val="0047261D"/>
    <w:rsid w:val="004837A4"/>
    <w:rsid w:val="00490F3B"/>
    <w:rsid w:val="00494644"/>
    <w:rsid w:val="004A2151"/>
    <w:rsid w:val="004B54CA"/>
    <w:rsid w:val="004B5F09"/>
    <w:rsid w:val="004B653B"/>
    <w:rsid w:val="004E38D6"/>
    <w:rsid w:val="004E5CBF"/>
    <w:rsid w:val="004F46C5"/>
    <w:rsid w:val="004F77F4"/>
    <w:rsid w:val="00502F5A"/>
    <w:rsid w:val="0050388E"/>
    <w:rsid w:val="005072B0"/>
    <w:rsid w:val="00515ED5"/>
    <w:rsid w:val="00517AE4"/>
    <w:rsid w:val="005312DA"/>
    <w:rsid w:val="00537E51"/>
    <w:rsid w:val="00541691"/>
    <w:rsid w:val="0054713E"/>
    <w:rsid w:val="005543A8"/>
    <w:rsid w:val="00567053"/>
    <w:rsid w:val="00584FC1"/>
    <w:rsid w:val="00586246"/>
    <w:rsid w:val="005877DC"/>
    <w:rsid w:val="0059023E"/>
    <w:rsid w:val="00597852"/>
    <w:rsid w:val="005A2208"/>
    <w:rsid w:val="005B06DE"/>
    <w:rsid w:val="005C3AA9"/>
    <w:rsid w:val="005D6069"/>
    <w:rsid w:val="005F2041"/>
    <w:rsid w:val="005F5EEF"/>
    <w:rsid w:val="00613437"/>
    <w:rsid w:val="00626821"/>
    <w:rsid w:val="00631A2C"/>
    <w:rsid w:val="00631DB1"/>
    <w:rsid w:val="00686716"/>
    <w:rsid w:val="006A4CE7"/>
    <w:rsid w:val="006A7DD3"/>
    <w:rsid w:val="006B2D84"/>
    <w:rsid w:val="006D2DA3"/>
    <w:rsid w:val="006D622A"/>
    <w:rsid w:val="006F3D9C"/>
    <w:rsid w:val="007065F3"/>
    <w:rsid w:val="0073320E"/>
    <w:rsid w:val="00765A7C"/>
    <w:rsid w:val="00785261"/>
    <w:rsid w:val="00795CEA"/>
    <w:rsid w:val="007B0256"/>
    <w:rsid w:val="007C5086"/>
    <w:rsid w:val="007D1C2F"/>
    <w:rsid w:val="007D30A2"/>
    <w:rsid w:val="007D5987"/>
    <w:rsid w:val="007E007C"/>
    <w:rsid w:val="007E3959"/>
    <w:rsid w:val="007E3B8B"/>
    <w:rsid w:val="0080363D"/>
    <w:rsid w:val="00810990"/>
    <w:rsid w:val="00815A31"/>
    <w:rsid w:val="00837F4E"/>
    <w:rsid w:val="00840D0C"/>
    <w:rsid w:val="0084227C"/>
    <w:rsid w:val="008565DF"/>
    <w:rsid w:val="0085710F"/>
    <w:rsid w:val="008608DC"/>
    <w:rsid w:val="0087314D"/>
    <w:rsid w:val="00874643"/>
    <w:rsid w:val="00876CA6"/>
    <w:rsid w:val="00877018"/>
    <w:rsid w:val="008916D6"/>
    <w:rsid w:val="00895DCC"/>
    <w:rsid w:val="008A4DA4"/>
    <w:rsid w:val="008C3726"/>
    <w:rsid w:val="008E0C72"/>
    <w:rsid w:val="008F3023"/>
    <w:rsid w:val="009225F0"/>
    <w:rsid w:val="00923BD3"/>
    <w:rsid w:val="0094563F"/>
    <w:rsid w:val="00987714"/>
    <w:rsid w:val="00987DD9"/>
    <w:rsid w:val="009B5AB3"/>
    <w:rsid w:val="009D2DF8"/>
    <w:rsid w:val="009D3CCB"/>
    <w:rsid w:val="00A13549"/>
    <w:rsid w:val="00A43E66"/>
    <w:rsid w:val="00A4462B"/>
    <w:rsid w:val="00A6317F"/>
    <w:rsid w:val="00A74769"/>
    <w:rsid w:val="00A80DE0"/>
    <w:rsid w:val="00A81138"/>
    <w:rsid w:val="00A85365"/>
    <w:rsid w:val="00A92F9A"/>
    <w:rsid w:val="00A952EA"/>
    <w:rsid w:val="00AA6FB0"/>
    <w:rsid w:val="00AA7226"/>
    <w:rsid w:val="00AB1B09"/>
    <w:rsid w:val="00AC258D"/>
    <w:rsid w:val="00AD627F"/>
    <w:rsid w:val="00AF77F3"/>
    <w:rsid w:val="00B10EA9"/>
    <w:rsid w:val="00B10EB1"/>
    <w:rsid w:val="00B246E8"/>
    <w:rsid w:val="00B25125"/>
    <w:rsid w:val="00B31D33"/>
    <w:rsid w:val="00B36B86"/>
    <w:rsid w:val="00B37603"/>
    <w:rsid w:val="00B413E1"/>
    <w:rsid w:val="00B44F9B"/>
    <w:rsid w:val="00B47CB5"/>
    <w:rsid w:val="00B65A9F"/>
    <w:rsid w:val="00B71EDF"/>
    <w:rsid w:val="00B772ED"/>
    <w:rsid w:val="00B81CCB"/>
    <w:rsid w:val="00B820CD"/>
    <w:rsid w:val="00B85379"/>
    <w:rsid w:val="00B927C3"/>
    <w:rsid w:val="00BA2DB9"/>
    <w:rsid w:val="00BA5842"/>
    <w:rsid w:val="00BA6A09"/>
    <w:rsid w:val="00BB03A8"/>
    <w:rsid w:val="00BC04D2"/>
    <w:rsid w:val="00BC0A30"/>
    <w:rsid w:val="00BC79CD"/>
    <w:rsid w:val="00BE7148"/>
    <w:rsid w:val="00C027B8"/>
    <w:rsid w:val="00C175D2"/>
    <w:rsid w:val="00C36523"/>
    <w:rsid w:val="00C4058D"/>
    <w:rsid w:val="00C438A6"/>
    <w:rsid w:val="00C55DE7"/>
    <w:rsid w:val="00C57001"/>
    <w:rsid w:val="00C76B3D"/>
    <w:rsid w:val="00CA5D88"/>
    <w:rsid w:val="00CB718C"/>
    <w:rsid w:val="00CB74B3"/>
    <w:rsid w:val="00CC00D0"/>
    <w:rsid w:val="00CE1CB4"/>
    <w:rsid w:val="00D22A8A"/>
    <w:rsid w:val="00D40593"/>
    <w:rsid w:val="00D71C54"/>
    <w:rsid w:val="00D83A7C"/>
    <w:rsid w:val="00D86E50"/>
    <w:rsid w:val="00D90D3C"/>
    <w:rsid w:val="00DA33DB"/>
    <w:rsid w:val="00DA66C1"/>
    <w:rsid w:val="00DA7B4A"/>
    <w:rsid w:val="00DB012A"/>
    <w:rsid w:val="00DB145C"/>
    <w:rsid w:val="00DB33E4"/>
    <w:rsid w:val="00DC61A0"/>
    <w:rsid w:val="00E07036"/>
    <w:rsid w:val="00E30C3C"/>
    <w:rsid w:val="00E51EF1"/>
    <w:rsid w:val="00E643E0"/>
    <w:rsid w:val="00E67F0A"/>
    <w:rsid w:val="00E708BB"/>
    <w:rsid w:val="00E72F3F"/>
    <w:rsid w:val="00E761A2"/>
    <w:rsid w:val="00E82B90"/>
    <w:rsid w:val="00E858A7"/>
    <w:rsid w:val="00E9285A"/>
    <w:rsid w:val="00E956B6"/>
    <w:rsid w:val="00EA550A"/>
    <w:rsid w:val="00EA66F0"/>
    <w:rsid w:val="00EB5CAB"/>
    <w:rsid w:val="00ED07C0"/>
    <w:rsid w:val="00EE3834"/>
    <w:rsid w:val="00EE5D6C"/>
    <w:rsid w:val="00EE67D9"/>
    <w:rsid w:val="00EF3823"/>
    <w:rsid w:val="00F07D2D"/>
    <w:rsid w:val="00F10DE7"/>
    <w:rsid w:val="00F148C2"/>
    <w:rsid w:val="00F200A0"/>
    <w:rsid w:val="00F212CF"/>
    <w:rsid w:val="00F30908"/>
    <w:rsid w:val="00F4798C"/>
    <w:rsid w:val="00F66AC6"/>
    <w:rsid w:val="00F85669"/>
    <w:rsid w:val="00FA1012"/>
    <w:rsid w:val="00FB119D"/>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3D4A"/>
  <w15:docId w15:val="{5CEFD879-CDAF-4514-90E3-1EA5EB03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92F9A"/>
    <w:pPr>
      <w:spacing w:after="200"/>
    </w:pPr>
    <w:rPr>
      <w:spacing w:val="3"/>
      <w:sz w:val="22"/>
    </w:rPr>
  </w:style>
  <w:style w:type="paragraph" w:styleId="Heading1">
    <w:name w:val="heading 1"/>
    <w:basedOn w:val="Normal"/>
    <w:next w:val="Normal"/>
    <w:link w:val="Heading1Char"/>
    <w:uiPriority w:val="2"/>
    <w:qFormat/>
    <w:rsid w:val="00062B78"/>
    <w:pPr>
      <w:keepNext/>
      <w:keepLines/>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semiHidden/>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62B78"/>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semiHidden/>
    <w:rsid w:val="00A92F9A"/>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35"/>
    <w:unhideWhenUsed/>
    <w:qFormat/>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next w:val="Normal"/>
    <w:uiPriority w:val="7"/>
    <w:qFormat/>
    <w:rsid w:val="0045365D"/>
    <w:pPr>
      <w:shd w:val="clear" w:color="auto" w:fill="F2F2F2" w:themeFill="background1" w:themeFillShade="F2"/>
    </w:pPr>
  </w:style>
  <w:style w:type="paragraph" w:customStyle="1" w:styleId="Focus-warning">
    <w:name w:val="Focus - warning"/>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2F9A"/>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semiHidden/>
    <w:rsid w:val="00A92F9A"/>
    <w:rPr>
      <w:rFonts w:ascii="Georgia" w:hAnsi="Georgia"/>
      <w:color w:val="24596E"/>
      <w:spacing w:val="3"/>
      <w:sz w:val="22"/>
    </w:rPr>
  </w:style>
  <w:style w:type="paragraph" w:customStyle="1" w:styleId="Heading1withsubtitle">
    <w:name w:val="Heading 1 (with subtitle)"/>
    <w:basedOn w:val="Heading1"/>
    <w:next w:val="Subtitle"/>
    <w:uiPriority w:val="2"/>
    <w:qFormat/>
    <w:rsid w:val="000750D2"/>
    <w:pPr>
      <w:spacing w:after="0"/>
    </w:pPr>
  </w:style>
  <w:style w:type="paragraph" w:styleId="Subtitle">
    <w:name w:val="Subtitle"/>
    <w:basedOn w:val="Normal"/>
    <w:next w:val="Normal"/>
    <w:link w:val="SubtitleChar"/>
    <w:uiPriority w:val="10"/>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92F9A"/>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2"/>
      </w:numPr>
    </w:pPr>
  </w:style>
  <w:style w:type="paragraph" w:styleId="ListParagraph">
    <w:name w:val="List Paragraph"/>
    <w:basedOn w:val="Normal"/>
    <w:uiPriority w:val="34"/>
    <w:qFormat/>
    <w:rsid w:val="00AA6FB0"/>
    <w:pPr>
      <w:numPr>
        <w:numId w:val="3"/>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iPriority w:val="39"/>
    <w:semiHidden/>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qFormat/>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rsid w:val="00A92F9A"/>
    <w:pPr>
      <w:numPr>
        <w:ilvl w:val="1"/>
      </w:numPr>
    </w:pPr>
  </w:style>
  <w:style w:type="paragraph" w:styleId="ListNumber">
    <w:name w:val="List Number"/>
    <w:basedOn w:val="Normal"/>
    <w:uiPriority w:val="99"/>
    <w:qFormat/>
    <w:rsid w:val="00840D0C"/>
    <w:pPr>
      <w:numPr>
        <w:numId w:val="4"/>
      </w:numPr>
      <w:contextualSpacing/>
    </w:pPr>
  </w:style>
  <w:style w:type="paragraph" w:styleId="ListNumber2">
    <w:name w:val="List Number 2"/>
    <w:basedOn w:val="ListNumber"/>
    <w:uiPriority w:val="4"/>
    <w:rsid w:val="00A92F9A"/>
  </w:style>
  <w:style w:type="paragraph" w:styleId="ListBullet3">
    <w:name w:val="List Bullet 3"/>
    <w:basedOn w:val="ListBullet2"/>
    <w:uiPriority w:val="4"/>
    <w:rsid w:val="00A92F9A"/>
    <w:pPr>
      <w:numPr>
        <w:ilvl w:val="2"/>
      </w:numPr>
    </w:pPr>
  </w:style>
  <w:style w:type="paragraph" w:styleId="ListNumber3">
    <w:name w:val="List Number 3"/>
    <w:basedOn w:val="ListNumber2"/>
    <w:uiPriority w:val="4"/>
    <w:rsid w:val="00A92F9A"/>
    <w:pPr>
      <w:numPr>
        <w:ilvl w:val="2"/>
      </w:numPr>
    </w:pPr>
  </w:style>
  <w:style w:type="character" w:styleId="CommentReference">
    <w:name w:val="annotation reference"/>
    <w:basedOn w:val="DefaultParagraphFont"/>
    <w:uiPriority w:val="99"/>
    <w:semiHidden/>
    <w:unhideWhenUsed/>
    <w:rsid w:val="000135AF"/>
    <w:rPr>
      <w:sz w:val="16"/>
      <w:szCs w:val="16"/>
    </w:rPr>
  </w:style>
  <w:style w:type="paragraph" w:styleId="CommentText">
    <w:name w:val="annotation text"/>
    <w:basedOn w:val="Normal"/>
    <w:link w:val="CommentTextChar"/>
    <w:uiPriority w:val="99"/>
    <w:unhideWhenUsed/>
    <w:rsid w:val="000135AF"/>
    <w:pPr>
      <w:spacing w:line="240" w:lineRule="auto"/>
    </w:pPr>
    <w:rPr>
      <w:sz w:val="20"/>
      <w:szCs w:val="20"/>
    </w:rPr>
  </w:style>
  <w:style w:type="character" w:customStyle="1" w:styleId="CommentTextChar">
    <w:name w:val="Comment Text Char"/>
    <w:basedOn w:val="DefaultParagraphFont"/>
    <w:link w:val="CommentText"/>
    <w:uiPriority w:val="99"/>
    <w:rsid w:val="000135AF"/>
    <w:rPr>
      <w:spacing w:val="3"/>
      <w:sz w:val="20"/>
      <w:szCs w:val="20"/>
    </w:rPr>
  </w:style>
  <w:style w:type="character" w:styleId="UnresolvedMention">
    <w:name w:val="Unresolved Mention"/>
    <w:basedOn w:val="DefaultParagraphFont"/>
    <w:uiPriority w:val="99"/>
    <w:semiHidden/>
    <w:unhideWhenUsed/>
    <w:rsid w:val="00537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ata.gov.au/data/dataset/dss-payment-demographic-dat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data.gov.au/data/dataset/cff2ae8a-55e4-47db-a66d-e177fe0ac6a0/resource/1188c950-542a-4ca6-9e3e-9f91f53d9314/download/dss-demographics-june-2022-final.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data.gov.au/data/dataset/dss-income-support-recipients-monthly-time-se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W0006\AppData\Local\Microsoft\Windows\INetCache\Content.Outlook\Y0KNXR8Y\DSS%20-%20A3%20Landscape%20Fact%20Sheet%20Template.dotx" TargetMode="External"/></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B442D-ECB4-4434-BC5B-3F846B67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 A3 Landscape Fact Sheet Template.dotx</Template>
  <TotalTime>156</TotalTime>
  <Pages>1</Pages>
  <Words>1275</Words>
  <Characters>6177</Characters>
  <Application>Microsoft Office Word</Application>
  <DocSecurity>0</DocSecurity>
  <Lines>253</Lines>
  <Paragraphs>175</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Valuation Findings: JobSeeker Payment</dc:title>
  <dc:creator>WANG, Alfred</dc:creator>
  <cp:keywords>[SEC=OFFICIAL]</cp:keywords>
  <cp:lastModifiedBy>Vicky MILLER</cp:lastModifiedBy>
  <cp:revision>11</cp:revision>
  <cp:lastPrinted>2024-03-25T03:13:00Z</cp:lastPrinted>
  <dcterms:created xsi:type="dcterms:W3CDTF">2024-03-24T23:58:00Z</dcterms:created>
  <dcterms:modified xsi:type="dcterms:W3CDTF">2024-05-07T03:27:00Z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DAACB08450204C0F46DD78BFF6F8049364488490</vt:lpwstr>
  </property>
  <property fmtid="{D5CDD505-2E9C-101B-9397-08002B2CF9AE}" pid="11" name="PM_OriginationTimeStamp">
    <vt:lpwstr>2023-09-19T11:53:01Z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841D9A493A32B111A718A0AB1794D1DD</vt:lpwstr>
  </property>
  <property fmtid="{D5CDD505-2E9C-101B-9397-08002B2CF9AE}" pid="21" name="PM_Hash_Salt">
    <vt:lpwstr>68A7A3C50C849C0CBC56AF6C6B354B8E</vt:lpwstr>
  </property>
  <property fmtid="{D5CDD505-2E9C-101B-9397-08002B2CF9AE}" pid="22" name="PM_Hash_SHA1">
    <vt:lpwstr>9311D4FADFA8EA9E9ABFAB1946B4CA2F2D19E14C</vt:lpwstr>
  </property>
  <property fmtid="{D5CDD505-2E9C-101B-9397-08002B2CF9AE}" pid="23" name="PM_OriginatorUserAccountName_SHA256">
    <vt:lpwstr>9871F6CFFBF84B5DD096BCB24488EABDE9250CEAA716568F68B24D42DED533FD</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PMHMAC">
    <vt:lpwstr>v=2022.1;a=SHA256;h=6AA501E1BBC00C46DD28C4C2575A171FEE251A2860B36A3D8702FC8E6A3F0C89</vt:lpwstr>
  </property>
  <property fmtid="{D5CDD505-2E9C-101B-9397-08002B2CF9AE}" pid="30" name="MSIP_Label_eb34d90b-fc41-464d-af60-f74d721d0790_SetDate">
    <vt:lpwstr>2023-09-19T11:53:01Z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9ee548e667764f8fa51fbd35322a309a</vt:lpwstr>
  </property>
  <property fmtid="{D5CDD505-2E9C-101B-9397-08002B2CF9AE}" pid="37" name="PMUuid">
    <vt:lpwstr>v=2022.2;d=gov.au;g=46DD6D7C-8107-577B-BC6E-F348953B2E44</vt:lpwstr>
  </property>
</Properties>
</file>