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4915B" w14:textId="4600C432" w:rsidR="00C73042" w:rsidRPr="00C73042" w:rsidRDefault="00C73042" w:rsidP="00C73042">
      <w:pPr>
        <w:spacing w:before="0" w:after="200" w:line="276" w:lineRule="auto"/>
        <w:jc w:val="center"/>
        <w:rPr>
          <w:rFonts w:ascii="Georgia" w:eastAsiaTheme="majorEastAsia" w:hAnsi="Georgia" w:cstheme="majorBidi"/>
          <w:bCs/>
          <w:color w:val="24596E"/>
          <w:sz w:val="36"/>
          <w:szCs w:val="28"/>
        </w:rPr>
      </w:pPr>
      <w:bookmarkStart w:id="0" w:name="_Toc395536189"/>
      <w:r>
        <w:rPr>
          <w:noProof/>
        </w:rPr>
        <w:drawing>
          <wp:anchor distT="0" distB="0" distL="114300" distR="114300" simplePos="0" relativeHeight="251670579" behindDoc="1" locked="0" layoutInCell="1" allowOverlap="1" wp14:anchorId="47E88C21" wp14:editId="76C83364">
            <wp:simplePos x="0" y="0"/>
            <wp:positionH relativeFrom="margin">
              <wp:align>left</wp:align>
            </wp:positionH>
            <wp:positionV relativeFrom="paragraph">
              <wp:posOffset>473</wp:posOffset>
            </wp:positionV>
            <wp:extent cx="7577252" cy="10706986"/>
            <wp:effectExtent l="0" t="0" r="5080" b="0"/>
            <wp:wrapTight wrapText="bothSides">
              <wp:wrapPolygon edited="0">
                <wp:start x="0" y="0"/>
                <wp:lineTo x="0" y="21560"/>
                <wp:lineTo x="21560" y="21560"/>
                <wp:lineTo x="21560" y="0"/>
                <wp:lineTo x="0" y="0"/>
              </wp:wrapPolygon>
            </wp:wrapTight>
            <wp:docPr id="1" name="Picture 1" descr="Front Cover of the 2023-24 Department  of Social Services' Corporate Plan. " title="Corproate Plan 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77252" cy="10706986"/>
                    </a:xfrm>
                    <a:prstGeom prst="rect">
                      <a:avLst/>
                    </a:prstGeom>
                  </pic:spPr>
                </pic:pic>
              </a:graphicData>
            </a:graphic>
            <wp14:sizeRelH relativeFrom="page">
              <wp14:pctWidth>0</wp14:pctWidth>
            </wp14:sizeRelH>
            <wp14:sizeRelV relativeFrom="page">
              <wp14:pctHeight>0</wp14:pctHeight>
            </wp14:sizeRelV>
          </wp:anchor>
        </w:drawing>
      </w:r>
    </w:p>
    <w:p w14:paraId="6C79DBB7" w14:textId="77777777" w:rsidR="009D29CF" w:rsidRPr="009D29CF" w:rsidRDefault="009D29CF" w:rsidP="00867815">
      <w:pPr>
        <w:rPr>
          <w:bCs/>
        </w:rPr>
        <w:sectPr w:rsidR="009D29CF" w:rsidRPr="009D29CF" w:rsidSect="007442DD">
          <w:headerReference w:type="default" r:id="rId12"/>
          <w:footerReference w:type="default" r:id="rId13"/>
          <w:pgSz w:w="11906" w:h="16838"/>
          <w:pgMar w:top="0" w:right="0" w:bottom="0" w:left="0" w:header="0" w:footer="0" w:gutter="0"/>
          <w:pgNumType w:start="3"/>
          <w:cols w:space="708"/>
          <w:titlePg/>
          <w:docGrid w:linePitch="360"/>
        </w:sectPr>
      </w:pPr>
    </w:p>
    <w:p w14:paraId="5E539ED1" w14:textId="1286F404" w:rsidR="00DD1FC3" w:rsidRDefault="00DD1FC3" w:rsidP="00A26E98">
      <w:pPr>
        <w:pStyle w:val="Heading1"/>
      </w:pPr>
    </w:p>
    <w:bookmarkEnd w:id="0"/>
    <w:p w14:paraId="50269D4B" w14:textId="77777777" w:rsidR="0050273B" w:rsidRPr="00717729" w:rsidRDefault="0050273B" w:rsidP="0050273B">
      <w:pPr>
        <w:spacing w:before="600" w:after="0"/>
        <w:jc w:val="both"/>
        <w:rPr>
          <w:rFonts w:cs="Arial"/>
          <w:b/>
        </w:rPr>
      </w:pPr>
      <w:r>
        <w:rPr>
          <w:rFonts w:cs="Arial"/>
          <w:b/>
        </w:rPr>
        <w:t>Copyright n</w:t>
      </w:r>
      <w:r w:rsidRPr="00717729">
        <w:rPr>
          <w:rFonts w:cs="Arial"/>
          <w:b/>
        </w:rPr>
        <w:t>otice</w:t>
      </w:r>
    </w:p>
    <w:p w14:paraId="746D2CE5" w14:textId="77777777" w:rsidR="00586246" w:rsidRDefault="00586246" w:rsidP="00E708BB">
      <w:pPr>
        <w:pStyle w:val="NormalWeb"/>
        <w:rPr>
          <w:rFonts w:ascii="Arial" w:hAnsi="Arial" w:cs="Arial"/>
        </w:rPr>
      </w:pPr>
      <w:r>
        <w:rPr>
          <w:rFonts w:ascii="Arial" w:hAnsi="Arial" w:cs="Arial"/>
          <w:noProof/>
        </w:rPr>
        <w:drawing>
          <wp:inline distT="0" distB="0" distL="0" distR="0" wp14:anchorId="6A3BF818" wp14:editId="36B14F62">
            <wp:extent cx="1052946" cy="368401"/>
            <wp:effectExtent l="0" t="0" r="0" b="0"/>
            <wp:docPr id="3" name="Picture 3" descr="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8184" cy="373732"/>
                    </a:xfrm>
                    <a:prstGeom prst="rect">
                      <a:avLst/>
                    </a:prstGeom>
                  </pic:spPr>
                </pic:pic>
              </a:graphicData>
            </a:graphic>
          </wp:inline>
        </w:drawing>
      </w:r>
    </w:p>
    <w:p w14:paraId="1B60478D" w14:textId="77777777" w:rsidR="0050273B" w:rsidRPr="00A26E98" w:rsidRDefault="0050273B" w:rsidP="00090A49">
      <w:pPr>
        <w:jc w:val="both"/>
        <w:rPr>
          <w:rStyle w:val="Hyperlink"/>
          <w:rFonts w:eastAsiaTheme="majorEastAsia" w:cs="Arial"/>
          <w:sz w:val="20"/>
          <w:szCs w:val="20"/>
        </w:rPr>
      </w:pPr>
      <w:r w:rsidRPr="00A26E98">
        <w:rPr>
          <w:sz w:val="20"/>
          <w:szCs w:val="20"/>
        </w:rPr>
        <w:t xml:space="preserve">This document is licensed under the </w:t>
      </w:r>
      <w:r w:rsidRPr="00A26E98">
        <w:rPr>
          <w:sz w:val="20"/>
          <w:szCs w:val="20"/>
        </w:rPr>
        <w:fldChar w:fldCharType="begin"/>
      </w:r>
      <w:r w:rsidRPr="00A26E98">
        <w:rPr>
          <w:sz w:val="20"/>
          <w:szCs w:val="20"/>
        </w:rPr>
        <w:instrText xml:space="preserve"> HYPERLINK "https://creativecommons.org/licenses/by/4.0/legalcode" </w:instrText>
      </w:r>
      <w:r w:rsidRPr="00A26E98">
        <w:rPr>
          <w:sz w:val="20"/>
          <w:szCs w:val="20"/>
        </w:rPr>
        <w:fldChar w:fldCharType="separate"/>
      </w:r>
      <w:r w:rsidRPr="00A26E98">
        <w:rPr>
          <w:rStyle w:val="Hyperlink"/>
          <w:rFonts w:eastAsiaTheme="majorEastAsia" w:cs="Arial"/>
          <w:sz w:val="20"/>
          <w:szCs w:val="20"/>
        </w:rPr>
        <w:t>Creative Commons Attribution 4.0 International Licence</w:t>
      </w:r>
    </w:p>
    <w:p w14:paraId="57A5B786" w14:textId="77777777" w:rsidR="0050273B" w:rsidRPr="00A26E98" w:rsidRDefault="0050273B" w:rsidP="00090A49">
      <w:pPr>
        <w:jc w:val="both"/>
        <w:rPr>
          <w:rStyle w:val="Hyperlink"/>
          <w:rFonts w:eastAsiaTheme="majorEastAsia" w:cs="Arial"/>
          <w:sz w:val="20"/>
          <w:szCs w:val="20"/>
        </w:rPr>
      </w:pPr>
      <w:r w:rsidRPr="00A26E98">
        <w:rPr>
          <w:sz w:val="20"/>
          <w:szCs w:val="20"/>
        </w:rPr>
        <w:fldChar w:fldCharType="end"/>
      </w:r>
      <w:r w:rsidRPr="00A26E98">
        <w:rPr>
          <w:sz w:val="20"/>
          <w:szCs w:val="20"/>
        </w:rPr>
        <w:t xml:space="preserve">Licence URL: </w:t>
      </w:r>
      <w:r w:rsidRPr="00A26E98">
        <w:rPr>
          <w:sz w:val="20"/>
          <w:szCs w:val="20"/>
        </w:rPr>
        <w:fldChar w:fldCharType="begin"/>
      </w:r>
      <w:r w:rsidRPr="00A26E98">
        <w:rPr>
          <w:sz w:val="20"/>
          <w:szCs w:val="20"/>
        </w:rPr>
        <w:instrText xml:space="preserve"> HYPERLINK "https://creativecommons.org/licenses/by/4.0/legalcode" </w:instrText>
      </w:r>
      <w:r w:rsidRPr="00A26E98">
        <w:rPr>
          <w:sz w:val="20"/>
          <w:szCs w:val="20"/>
        </w:rPr>
        <w:fldChar w:fldCharType="separate"/>
      </w:r>
      <w:r w:rsidRPr="00A26E98">
        <w:rPr>
          <w:rStyle w:val="Hyperlink"/>
          <w:rFonts w:eastAsiaTheme="majorEastAsia" w:cs="Arial"/>
          <w:sz w:val="20"/>
          <w:szCs w:val="20"/>
        </w:rPr>
        <w:t>https://creativecommons.org/licenses/by/4.0/legalcode</w:t>
      </w:r>
    </w:p>
    <w:p w14:paraId="0B7E7E94" w14:textId="600856C7" w:rsidR="0050273B" w:rsidRPr="00A26E98" w:rsidRDefault="0050273B" w:rsidP="00090A49">
      <w:pPr>
        <w:jc w:val="both"/>
        <w:rPr>
          <w:sz w:val="20"/>
          <w:szCs w:val="20"/>
        </w:rPr>
      </w:pPr>
      <w:r w:rsidRPr="00A26E98">
        <w:rPr>
          <w:sz w:val="20"/>
          <w:szCs w:val="20"/>
        </w:rPr>
        <w:fldChar w:fldCharType="end"/>
      </w:r>
      <w:r w:rsidRPr="00A26E98">
        <w:rPr>
          <w:sz w:val="20"/>
          <w:szCs w:val="20"/>
        </w:rPr>
        <w:t>Please attribute: © Commonwealth of Australia (</w:t>
      </w:r>
      <w:hyperlink r:id="rId15" w:history="1">
        <w:r w:rsidRPr="00A26E98">
          <w:rPr>
            <w:rStyle w:val="Hyperlink"/>
            <w:rFonts w:eastAsiaTheme="majorEastAsia" w:cs="Arial"/>
            <w:sz w:val="20"/>
            <w:szCs w:val="20"/>
          </w:rPr>
          <w:t>Department of Social Services</w:t>
        </w:r>
      </w:hyperlink>
      <w:r w:rsidR="00DE6B8C" w:rsidRPr="00A26E98">
        <w:rPr>
          <w:sz w:val="20"/>
          <w:szCs w:val="20"/>
        </w:rPr>
        <w:t>) 202</w:t>
      </w:r>
      <w:r w:rsidR="00314B59">
        <w:rPr>
          <w:sz w:val="20"/>
          <w:szCs w:val="20"/>
        </w:rPr>
        <w:t>3</w:t>
      </w:r>
    </w:p>
    <w:p w14:paraId="0ECAA0A7" w14:textId="77777777" w:rsidR="0050273B" w:rsidRPr="00A26E98" w:rsidRDefault="0050273B" w:rsidP="00090A49">
      <w:pPr>
        <w:jc w:val="both"/>
        <w:rPr>
          <w:b/>
          <w:sz w:val="20"/>
          <w:szCs w:val="20"/>
        </w:rPr>
      </w:pPr>
      <w:r w:rsidRPr="00A26E98">
        <w:rPr>
          <w:b/>
          <w:sz w:val="20"/>
          <w:szCs w:val="20"/>
        </w:rPr>
        <w:t xml:space="preserve">Notice: </w:t>
      </w:r>
    </w:p>
    <w:p w14:paraId="0E81D294" w14:textId="77777777" w:rsidR="0050273B" w:rsidRPr="00A26E98" w:rsidRDefault="0050273B" w:rsidP="00090A49">
      <w:pPr>
        <w:pStyle w:val="ListBullet"/>
        <w:numPr>
          <w:ilvl w:val="0"/>
          <w:numId w:val="2"/>
        </w:numPr>
        <w:jc w:val="both"/>
        <w:rPr>
          <w:sz w:val="20"/>
          <w:szCs w:val="20"/>
        </w:rPr>
      </w:pPr>
      <w:r w:rsidRPr="00A26E98">
        <w:rPr>
          <w:sz w:val="20"/>
          <w:szCs w:val="20"/>
        </w:rPr>
        <w:t>If you create a derivative of this document, the Department of Social Services requests the following notice be placed on your derivative: Based on Commonwealth of Australia (Department of Social Services) data.</w:t>
      </w:r>
    </w:p>
    <w:p w14:paraId="25783C2D" w14:textId="3E984DAA" w:rsidR="0050273B" w:rsidRPr="00A26E98" w:rsidRDefault="0050273B" w:rsidP="00090A49">
      <w:pPr>
        <w:pStyle w:val="ListBullet"/>
        <w:numPr>
          <w:ilvl w:val="0"/>
          <w:numId w:val="2"/>
        </w:numPr>
        <w:jc w:val="both"/>
        <w:rPr>
          <w:sz w:val="20"/>
          <w:szCs w:val="20"/>
        </w:rPr>
      </w:pPr>
      <w:r w:rsidRPr="00A26E98">
        <w:rPr>
          <w:sz w:val="20"/>
          <w:szCs w:val="20"/>
        </w:rPr>
        <w:t xml:space="preserve">Inquiries regarding this licence or any other use of this document are welcome. Please contact: Branch Manager, </w:t>
      </w:r>
      <w:r w:rsidR="0087333D">
        <w:rPr>
          <w:sz w:val="20"/>
          <w:szCs w:val="20"/>
        </w:rPr>
        <w:t xml:space="preserve">Corporate </w:t>
      </w:r>
      <w:r w:rsidR="00DE6B8C" w:rsidRPr="00A26E98">
        <w:rPr>
          <w:sz w:val="20"/>
          <w:szCs w:val="20"/>
        </w:rPr>
        <w:t>Communication</w:t>
      </w:r>
      <w:r w:rsidR="0087333D">
        <w:rPr>
          <w:sz w:val="20"/>
          <w:szCs w:val="20"/>
        </w:rPr>
        <w:t xml:space="preserve"> and Media Relations</w:t>
      </w:r>
      <w:r w:rsidR="00DE6B8C" w:rsidRPr="00A26E98">
        <w:rPr>
          <w:sz w:val="20"/>
          <w:szCs w:val="20"/>
        </w:rPr>
        <w:t xml:space="preserve"> Branch</w:t>
      </w:r>
      <w:r w:rsidRPr="00A26E98">
        <w:rPr>
          <w:sz w:val="20"/>
          <w:szCs w:val="20"/>
        </w:rPr>
        <w:t xml:space="preserve">, Department of Social Services. Phone: 1300 653 227. Email: </w:t>
      </w:r>
      <w:hyperlink r:id="rId16" w:history="1">
        <w:r w:rsidRPr="00A26E98">
          <w:rPr>
            <w:rStyle w:val="Hyperlink"/>
            <w:rFonts w:eastAsiaTheme="majorEastAsia" w:cs="Arial"/>
            <w:sz w:val="20"/>
            <w:szCs w:val="20"/>
          </w:rPr>
          <w:t>communications@dss.gov.au</w:t>
        </w:r>
      </w:hyperlink>
    </w:p>
    <w:p w14:paraId="10A95DF9" w14:textId="77777777" w:rsidR="0050273B" w:rsidRPr="00A26E98" w:rsidRDefault="0050273B" w:rsidP="00090A49">
      <w:pPr>
        <w:jc w:val="both"/>
        <w:rPr>
          <w:b/>
          <w:sz w:val="20"/>
          <w:szCs w:val="20"/>
        </w:rPr>
      </w:pPr>
      <w:r w:rsidRPr="00A26E98">
        <w:rPr>
          <w:b/>
          <w:sz w:val="20"/>
          <w:szCs w:val="20"/>
        </w:rPr>
        <w:t>Notice identifying other material or rights in this publication:</w:t>
      </w:r>
    </w:p>
    <w:p w14:paraId="4C86C1D8" w14:textId="77777777" w:rsidR="0050273B" w:rsidRPr="00A26E98" w:rsidRDefault="0050273B" w:rsidP="007572E0">
      <w:pPr>
        <w:pStyle w:val="ListBullet"/>
        <w:numPr>
          <w:ilvl w:val="0"/>
          <w:numId w:val="47"/>
        </w:numPr>
        <w:jc w:val="both"/>
        <w:rPr>
          <w:sz w:val="20"/>
          <w:szCs w:val="20"/>
        </w:rPr>
      </w:pPr>
      <w:r w:rsidRPr="00A26E98">
        <w:rPr>
          <w:sz w:val="20"/>
          <w:szCs w:val="20"/>
        </w:rPr>
        <w:t xml:space="preserve">Australian Commonwealth Coat of Arms — not Licensed under Creative Commons, see </w:t>
      </w:r>
      <w:hyperlink r:id="rId17" w:history="1">
        <w:r w:rsidRPr="00A26E98">
          <w:rPr>
            <w:rStyle w:val="Hyperlink"/>
            <w:rFonts w:eastAsiaTheme="majorEastAsia" w:cs="Arial"/>
            <w:sz w:val="20"/>
            <w:szCs w:val="20"/>
          </w:rPr>
          <w:t>https://www.itsanhonour.gov.au/coat-arms/index.cfm</w:t>
        </w:r>
      </w:hyperlink>
    </w:p>
    <w:p w14:paraId="4193AFB5" w14:textId="77777777" w:rsidR="00A26E98" w:rsidRDefault="00A26E98" w:rsidP="00090A49">
      <w:pPr>
        <w:pStyle w:val="Normalmorespace"/>
        <w:jc w:val="both"/>
      </w:pPr>
      <w:r>
        <w:t>If you are deaf or have a hearing or speech impairment, you can use the National Relay Service to contact any of the Department of Social Services listed phone numbers.</w:t>
      </w:r>
    </w:p>
    <w:p w14:paraId="59C89642" w14:textId="77777777" w:rsidR="00A26E98" w:rsidRDefault="00A26E98" w:rsidP="00090A49">
      <w:pPr>
        <w:pStyle w:val="Normalmorespace"/>
        <w:jc w:val="both"/>
      </w:pPr>
      <w:r>
        <w:t>TTY users — phone 133 677 and ask for the phone number you wish to contact.</w:t>
      </w:r>
    </w:p>
    <w:p w14:paraId="7F394434" w14:textId="77777777" w:rsidR="00A26E98" w:rsidRDefault="00A26E98" w:rsidP="00090A49">
      <w:pPr>
        <w:pStyle w:val="Normalmorespace"/>
        <w:jc w:val="both"/>
      </w:pPr>
      <w:r>
        <w:t>Speak and Listen users — phone 1300 555 727 and ask for the phone number you wish to contact.</w:t>
      </w:r>
    </w:p>
    <w:p w14:paraId="52FA841D" w14:textId="77777777" w:rsidR="00A26E98" w:rsidRDefault="00A26E98" w:rsidP="00090A49">
      <w:pPr>
        <w:pStyle w:val="Normalmorespace"/>
        <w:jc w:val="both"/>
      </w:pPr>
      <w:r>
        <w:t xml:space="preserve">Internet relay users — visit the National Relay Service </w:t>
      </w:r>
      <w:r w:rsidRPr="0087333D">
        <w:t xml:space="preserve">at </w:t>
      </w:r>
      <w:hyperlink r:id="rId18" w:history="1">
        <w:r w:rsidRPr="00623B67">
          <w:rPr>
            <w:rStyle w:val="Hyperlink"/>
            <w:sz w:val="20"/>
          </w:rPr>
          <w:t>https://www.communications.gov.au/what-we-do/phone/services-people-disability/accesshub/national-relay-service</w:t>
        </w:r>
      </w:hyperlink>
    </w:p>
    <w:p w14:paraId="42AA4896" w14:textId="77777777" w:rsidR="00A26E98" w:rsidRDefault="00A26E98" w:rsidP="00A26E98">
      <w:pPr>
        <w:pStyle w:val="ListBullet"/>
        <w:numPr>
          <w:ilvl w:val="0"/>
          <w:numId w:val="0"/>
        </w:numPr>
        <w:ind w:left="170" w:hanging="170"/>
      </w:pPr>
    </w:p>
    <w:p w14:paraId="19AF772A" w14:textId="77777777" w:rsidR="004F77F4" w:rsidRDefault="004F77F4" w:rsidP="006960CA">
      <w:pPr>
        <w:spacing w:before="0" w:after="200" w:line="276" w:lineRule="auto"/>
      </w:pPr>
      <w:r>
        <w:br w:type="page"/>
      </w:r>
    </w:p>
    <w:p w14:paraId="7B7B4379" w14:textId="3ACF612A" w:rsidR="008E32D4" w:rsidRPr="00AE4E9D" w:rsidRDefault="00700EBD" w:rsidP="00AE4E9D">
      <w:pPr>
        <w:pStyle w:val="Heading1"/>
        <w:spacing w:after="40"/>
        <w:contextualSpacing w:val="0"/>
        <w:rPr>
          <w:sz w:val="48"/>
          <w:szCs w:val="48"/>
        </w:rPr>
      </w:pPr>
      <w:bookmarkStart w:id="1" w:name="_Toc144385527"/>
      <w:bookmarkStart w:id="2" w:name="_Toc395536194"/>
      <w:r>
        <w:rPr>
          <w:noProof/>
        </w:rPr>
        <w:drawing>
          <wp:anchor distT="0" distB="0" distL="114300" distR="114300" simplePos="0" relativeHeight="251685939" behindDoc="0" locked="0" layoutInCell="1" allowOverlap="1" wp14:anchorId="0C070A1B" wp14:editId="767B5730">
            <wp:simplePos x="0" y="0"/>
            <wp:positionH relativeFrom="margin">
              <wp:posOffset>4626610</wp:posOffset>
            </wp:positionH>
            <wp:positionV relativeFrom="margin">
              <wp:posOffset>8255</wp:posOffset>
            </wp:positionV>
            <wp:extent cx="1193800" cy="1333500"/>
            <wp:effectExtent l="0" t="0" r="6350" b="0"/>
            <wp:wrapSquare wrapText="bothSides"/>
            <wp:docPr id="4" name="Picture 4" descr="This image contains a photo of Secretary Ray Griggs." title="Photo of Secretary Grig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l="10043" r="7860" b="1870"/>
                    <a:stretch/>
                  </pic:blipFill>
                  <pic:spPr bwMode="auto">
                    <a:xfrm>
                      <a:off x="0" y="0"/>
                      <a:ext cx="1193800" cy="133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6574" w:rsidRPr="00FE242B">
        <w:rPr>
          <w:sz w:val="48"/>
          <w:szCs w:val="48"/>
        </w:rPr>
        <w:t>Secreta</w:t>
      </w:r>
      <w:r w:rsidR="00316574" w:rsidRPr="00AE4E9D">
        <w:rPr>
          <w:sz w:val="48"/>
          <w:szCs w:val="48"/>
        </w:rPr>
        <w:t>ry’s f</w:t>
      </w:r>
      <w:r w:rsidR="00F93639" w:rsidRPr="00AE4E9D">
        <w:rPr>
          <w:sz w:val="48"/>
          <w:szCs w:val="48"/>
        </w:rPr>
        <w:t>orewo</w:t>
      </w:r>
      <w:r w:rsidR="008E32D4" w:rsidRPr="00AE4E9D">
        <w:rPr>
          <w:sz w:val="48"/>
          <w:szCs w:val="48"/>
        </w:rPr>
        <w:t>rd</w:t>
      </w:r>
      <w:bookmarkEnd w:id="1"/>
    </w:p>
    <w:p w14:paraId="42D86228" w14:textId="2003548D" w:rsidR="006960CA" w:rsidRPr="006960CA" w:rsidRDefault="006960CA" w:rsidP="00B81E0C">
      <w:pPr>
        <w:pStyle w:val="Normalmorespace"/>
        <w:rPr>
          <w:color w:val="auto"/>
        </w:rPr>
      </w:pPr>
      <w:r w:rsidRPr="006960CA">
        <w:t>I am pleased to present the Department of Social Services’ (the</w:t>
      </w:r>
      <w:r w:rsidR="00CE2F87">
        <w:t xml:space="preserve"> </w:t>
      </w:r>
      <w:r w:rsidRPr="006960CA">
        <w:t>department’s) 202</w:t>
      </w:r>
      <w:r w:rsidR="00C107F6">
        <w:t>3</w:t>
      </w:r>
      <w:r w:rsidRPr="006960CA">
        <w:t>–</w:t>
      </w:r>
      <w:r w:rsidR="00572596">
        <w:t>2</w:t>
      </w:r>
      <w:r w:rsidR="00565E62">
        <w:t>4</w:t>
      </w:r>
      <w:r w:rsidRPr="006960CA">
        <w:t xml:space="preserve"> Corporate Plan </w:t>
      </w:r>
      <w:r w:rsidR="00700EBD" w:rsidRPr="006960CA">
        <w:t xml:space="preserve">  </w:t>
      </w:r>
      <w:r w:rsidRPr="006960CA">
        <w:t xml:space="preserve">(the Plan), which covers the reporting period </w:t>
      </w:r>
      <w:r w:rsidR="00E476CB">
        <w:t xml:space="preserve">financial years </w:t>
      </w:r>
      <w:r w:rsidRPr="006960CA">
        <w:t>202</w:t>
      </w:r>
      <w:r w:rsidR="00C107F6">
        <w:t>3</w:t>
      </w:r>
      <w:r w:rsidRPr="006960CA">
        <w:t>–2</w:t>
      </w:r>
      <w:r w:rsidR="00C107F6">
        <w:t>4</w:t>
      </w:r>
      <w:r w:rsidRPr="006960CA">
        <w:t xml:space="preserve"> </w:t>
      </w:r>
      <w:r w:rsidRPr="006960CA">
        <w:rPr>
          <w:color w:val="auto"/>
        </w:rPr>
        <w:t>to 202</w:t>
      </w:r>
      <w:r w:rsidR="00C107F6">
        <w:rPr>
          <w:color w:val="auto"/>
        </w:rPr>
        <w:t>6</w:t>
      </w:r>
      <w:r w:rsidRPr="006960CA">
        <w:t>–</w:t>
      </w:r>
      <w:r w:rsidRPr="006960CA">
        <w:rPr>
          <w:color w:val="auto"/>
        </w:rPr>
        <w:t>2</w:t>
      </w:r>
      <w:r w:rsidR="00C107F6">
        <w:rPr>
          <w:color w:val="auto"/>
        </w:rPr>
        <w:t>7</w:t>
      </w:r>
      <w:r w:rsidRPr="006960CA">
        <w:rPr>
          <w:color w:val="auto"/>
        </w:rPr>
        <w:t>, as required under paragraph 35</w:t>
      </w:r>
      <w:r w:rsidR="00CE2F87">
        <w:rPr>
          <w:color w:val="auto"/>
        </w:rPr>
        <w:t xml:space="preserve"> </w:t>
      </w:r>
      <w:r w:rsidRPr="006960CA">
        <w:rPr>
          <w:color w:val="auto"/>
        </w:rPr>
        <w:t>(1)</w:t>
      </w:r>
      <w:r w:rsidR="00CE2F87">
        <w:rPr>
          <w:color w:val="auto"/>
        </w:rPr>
        <w:t xml:space="preserve"> </w:t>
      </w:r>
      <w:r w:rsidRPr="006960CA">
        <w:rPr>
          <w:color w:val="auto"/>
        </w:rPr>
        <w:t xml:space="preserve">(b) of the </w:t>
      </w:r>
      <w:r w:rsidRPr="006960CA">
        <w:rPr>
          <w:i/>
          <w:color w:val="auto"/>
        </w:rPr>
        <w:t>Public Governance, Performance and Accountability Act 2013</w:t>
      </w:r>
      <w:r w:rsidRPr="006960CA">
        <w:rPr>
          <w:color w:val="auto"/>
        </w:rPr>
        <w:t xml:space="preserve"> (PGPA Act).</w:t>
      </w:r>
    </w:p>
    <w:p w14:paraId="023A7346" w14:textId="333FF552" w:rsidR="006960CA" w:rsidRPr="006960CA" w:rsidRDefault="006960CA" w:rsidP="00B81E0C">
      <w:pPr>
        <w:pStyle w:val="Normalmorespace"/>
        <w:rPr>
          <w:rFonts w:eastAsia="Arial" w:cs="Arial"/>
        </w:rPr>
      </w:pPr>
      <w:r w:rsidRPr="006960CA">
        <w:rPr>
          <w:rFonts w:cstheme="minorBidi"/>
          <w:color w:val="auto"/>
        </w:rPr>
        <w:t>The Plan is the department’s primary planning document and outlines our purpose and key activities for the next 4 years</w:t>
      </w:r>
      <w:r w:rsidR="00CE2F87">
        <w:rPr>
          <w:rFonts w:cs="Arial"/>
          <w:color w:val="auto"/>
        </w:rPr>
        <w:t xml:space="preserve">. It sets out how we </w:t>
      </w:r>
      <w:r w:rsidRPr="006960CA">
        <w:rPr>
          <w:rFonts w:cs="Arial"/>
          <w:color w:val="auto"/>
        </w:rPr>
        <w:t>will deliver and measure our key activities to support</w:t>
      </w:r>
      <w:r w:rsidR="00AA77A8">
        <w:rPr>
          <w:rFonts w:cs="Arial"/>
          <w:color w:val="auto"/>
        </w:rPr>
        <w:t xml:space="preserve"> and improve</w:t>
      </w:r>
      <w:r w:rsidRPr="006960CA">
        <w:rPr>
          <w:rFonts w:cs="Arial"/>
          <w:color w:val="auto"/>
        </w:rPr>
        <w:t xml:space="preserve"> the </w:t>
      </w:r>
      <w:r w:rsidR="00243B56">
        <w:rPr>
          <w:rFonts w:cs="Arial"/>
          <w:color w:val="auto"/>
        </w:rPr>
        <w:t xml:space="preserve">economic and </w:t>
      </w:r>
      <w:r w:rsidR="0032201C">
        <w:rPr>
          <w:rFonts w:cs="Arial"/>
          <w:color w:val="auto"/>
        </w:rPr>
        <w:t xml:space="preserve">social </w:t>
      </w:r>
      <w:r w:rsidRPr="006960CA">
        <w:rPr>
          <w:rFonts w:cs="Arial"/>
          <w:color w:val="auto"/>
        </w:rPr>
        <w:t xml:space="preserve">wellbeing of </w:t>
      </w:r>
      <w:r w:rsidRPr="006960CA">
        <w:rPr>
          <w:rFonts w:eastAsia="Arial" w:cs="Arial"/>
        </w:rPr>
        <w:t>individuals</w:t>
      </w:r>
      <w:r w:rsidR="002D320F">
        <w:rPr>
          <w:rFonts w:eastAsia="Arial" w:cs="Arial"/>
        </w:rPr>
        <w:t>,</w:t>
      </w:r>
      <w:r w:rsidRPr="006960CA">
        <w:rPr>
          <w:rFonts w:eastAsia="Arial" w:cs="Arial"/>
        </w:rPr>
        <w:t xml:space="preserve"> families</w:t>
      </w:r>
      <w:r w:rsidR="002D320F">
        <w:rPr>
          <w:rFonts w:eastAsia="Arial" w:cs="Arial"/>
        </w:rPr>
        <w:t xml:space="preserve"> </w:t>
      </w:r>
      <w:r w:rsidR="002D320F">
        <w:t xml:space="preserve">and vulnerable members of </w:t>
      </w:r>
      <w:r w:rsidR="002D320F" w:rsidRPr="0032201C">
        <w:t>Australian communities</w:t>
      </w:r>
      <w:r w:rsidRPr="006960CA">
        <w:rPr>
          <w:rFonts w:eastAsia="Arial" w:cs="Arial"/>
        </w:rPr>
        <w:t>.</w:t>
      </w:r>
    </w:p>
    <w:p w14:paraId="1764F6A2" w14:textId="390D2B33" w:rsidR="006960CA" w:rsidRPr="006960CA" w:rsidRDefault="006960CA" w:rsidP="00B81E0C">
      <w:pPr>
        <w:pStyle w:val="Normalmorespace"/>
      </w:pPr>
      <w:r w:rsidRPr="006960CA">
        <w:t>How we engage</w:t>
      </w:r>
      <w:r w:rsidR="007161E9">
        <w:t>, build and maintain our relationships</w:t>
      </w:r>
      <w:r w:rsidRPr="006960CA">
        <w:t xml:space="preserve"> with stakeholders is fundamental to our success. </w:t>
      </w:r>
      <w:r w:rsidR="0025329B">
        <w:t>W</w:t>
      </w:r>
      <w:r w:rsidRPr="006960CA">
        <w:t>e have a number of portfolio agencies who are our essential partners</w:t>
      </w:r>
      <w:r w:rsidR="0025329B">
        <w:t xml:space="preserve"> that strengthen </w:t>
      </w:r>
      <w:r w:rsidR="00513E72">
        <w:t>the</w:t>
      </w:r>
      <w:r w:rsidR="0025329B">
        <w:t xml:space="preserve"> ability to meet </w:t>
      </w:r>
      <w:r w:rsidRPr="006960CA">
        <w:t xml:space="preserve">our policy, program and service delivery responsibilities. We are committed to </w:t>
      </w:r>
      <w:r w:rsidR="00E476CB">
        <w:t xml:space="preserve">maintaining and enhancing </w:t>
      </w:r>
      <w:r w:rsidRPr="006960CA">
        <w:t xml:space="preserve">productive </w:t>
      </w:r>
      <w:r w:rsidR="00E476CB">
        <w:t xml:space="preserve">partnerships and </w:t>
      </w:r>
      <w:r w:rsidRPr="006960CA">
        <w:t xml:space="preserve">relationships and consulting with state and territory governments, Australian Government agencies, third parties and key peak bodies in </w:t>
      </w:r>
      <w:r w:rsidR="00CE2F87">
        <w:t xml:space="preserve">the development and delivery of </w:t>
      </w:r>
      <w:r w:rsidRPr="006960CA">
        <w:t>policy solutions.</w:t>
      </w:r>
    </w:p>
    <w:p w14:paraId="2D976956" w14:textId="77777777" w:rsidR="00CE2F87" w:rsidRDefault="00CE2F87" w:rsidP="00B81E0C">
      <w:pPr>
        <w:pStyle w:val="Normalmorespace"/>
      </w:pPr>
      <w:r>
        <w:t>The department will continue to be agile in providing advice to government and implementing responses to environmental factors such as cost of living pressures, labour mobility and natural disasters to support individuals and families in Australian communities.</w:t>
      </w:r>
    </w:p>
    <w:p w14:paraId="6A8C88E4" w14:textId="6A8E79CB" w:rsidR="006960CA" w:rsidRPr="006960CA" w:rsidRDefault="006960CA" w:rsidP="00B81E0C">
      <w:pPr>
        <w:pStyle w:val="Normalmorespace"/>
      </w:pPr>
      <w:r w:rsidRPr="006960CA">
        <w:t>Our people are critical in delivering the key priorities of the department.</w:t>
      </w:r>
      <w:r w:rsidR="00CE2F87">
        <w:t xml:space="preserve"> We have a significant focus on </w:t>
      </w:r>
      <w:r w:rsidRPr="006960CA">
        <w:t>developing our workforce capability and implementing strategies to support a diverse and inclusive workforce</w:t>
      </w:r>
      <w:r w:rsidR="00AA77A8">
        <w:t xml:space="preserve"> with a strong pro integrity culture</w:t>
      </w:r>
      <w:r w:rsidRPr="006960CA">
        <w:t xml:space="preserve">. </w:t>
      </w:r>
    </w:p>
    <w:p w14:paraId="2C6C77FC" w14:textId="6F519D88" w:rsidR="006960CA" w:rsidRPr="006960CA" w:rsidRDefault="006960CA" w:rsidP="00B81E0C">
      <w:pPr>
        <w:pStyle w:val="Normalmorespace"/>
        <w:spacing w:before="0"/>
        <w:rPr>
          <w:b/>
          <w:i/>
        </w:rPr>
      </w:pPr>
      <w:r w:rsidRPr="006960CA">
        <w:rPr>
          <w:b/>
          <w:i/>
        </w:rPr>
        <w:t>Our Priorities for 202</w:t>
      </w:r>
      <w:r w:rsidR="00C107F6">
        <w:rPr>
          <w:b/>
          <w:i/>
        </w:rPr>
        <w:t>3</w:t>
      </w:r>
      <w:r w:rsidRPr="006960CA">
        <w:rPr>
          <w:b/>
          <w:i/>
        </w:rPr>
        <w:t>-2</w:t>
      </w:r>
      <w:r w:rsidR="00C107F6">
        <w:rPr>
          <w:b/>
          <w:i/>
        </w:rPr>
        <w:t>4</w:t>
      </w:r>
    </w:p>
    <w:p w14:paraId="5843BA43" w14:textId="4C588E10" w:rsidR="006960CA" w:rsidRDefault="006960CA" w:rsidP="00B81E0C">
      <w:pPr>
        <w:pStyle w:val="Normalmorespace"/>
      </w:pPr>
      <w:r w:rsidRPr="006960CA">
        <w:t>The key priorities that we will deliver on behalf of the Australian Government are:</w:t>
      </w:r>
    </w:p>
    <w:p w14:paraId="78BA6A14" w14:textId="77777777" w:rsidR="00CE2F87" w:rsidRDefault="00CE2F87" w:rsidP="00B81E0C">
      <w:pPr>
        <w:pStyle w:val="ListParagraph"/>
        <w:numPr>
          <w:ilvl w:val="0"/>
          <w:numId w:val="3"/>
        </w:numPr>
        <w:spacing w:before="0" w:after="120" w:line="240" w:lineRule="auto"/>
        <w:ind w:left="641" w:hanging="357"/>
        <w:contextualSpacing w:val="0"/>
        <w:rPr>
          <w:sz w:val="20"/>
          <w:szCs w:val="20"/>
        </w:rPr>
      </w:pPr>
      <w:r>
        <w:rPr>
          <w:sz w:val="20"/>
          <w:szCs w:val="20"/>
        </w:rPr>
        <w:t xml:space="preserve">ensuring the social security payment system provides support to people when they need it most </w:t>
      </w:r>
    </w:p>
    <w:p w14:paraId="22846718" w14:textId="77777777" w:rsidR="00CE2F87" w:rsidRDefault="00CE2F87" w:rsidP="00B81E0C">
      <w:pPr>
        <w:pStyle w:val="ListParagraph"/>
        <w:numPr>
          <w:ilvl w:val="0"/>
          <w:numId w:val="3"/>
        </w:numPr>
        <w:spacing w:before="0" w:after="120" w:line="240" w:lineRule="auto"/>
        <w:ind w:left="641" w:hanging="357"/>
        <w:contextualSpacing w:val="0"/>
        <w:rPr>
          <w:sz w:val="20"/>
          <w:szCs w:val="20"/>
        </w:rPr>
      </w:pPr>
      <w:r>
        <w:rPr>
          <w:sz w:val="20"/>
          <w:szCs w:val="20"/>
        </w:rPr>
        <w:t xml:space="preserve">delivering the National Redress Scheme for Institutional Child Sexual Abuse ensuring applicants are provided with timely and trauma informed support </w:t>
      </w:r>
    </w:p>
    <w:p w14:paraId="4C73D7DD" w14:textId="35F93110" w:rsidR="00CE2F87" w:rsidRDefault="00CE2F87" w:rsidP="00B81E0C">
      <w:pPr>
        <w:pStyle w:val="ListParagraph"/>
        <w:numPr>
          <w:ilvl w:val="0"/>
          <w:numId w:val="3"/>
        </w:numPr>
        <w:spacing w:before="0" w:after="120" w:line="240" w:lineRule="auto"/>
        <w:ind w:left="641" w:hanging="357"/>
        <w:contextualSpacing w:val="0"/>
        <w:rPr>
          <w:sz w:val="20"/>
          <w:szCs w:val="20"/>
        </w:rPr>
      </w:pPr>
      <w:r>
        <w:rPr>
          <w:sz w:val="20"/>
          <w:szCs w:val="20"/>
        </w:rPr>
        <w:t>work</w:t>
      </w:r>
      <w:r w:rsidR="0032201C">
        <w:rPr>
          <w:sz w:val="20"/>
          <w:szCs w:val="20"/>
        </w:rPr>
        <w:t>ing</w:t>
      </w:r>
      <w:r>
        <w:rPr>
          <w:sz w:val="20"/>
          <w:szCs w:val="20"/>
        </w:rPr>
        <w:t xml:space="preserve"> with key stakeholders to</w:t>
      </w:r>
      <w:r w:rsidR="008C07B4">
        <w:rPr>
          <w:sz w:val="20"/>
          <w:szCs w:val="20"/>
        </w:rPr>
        <w:t xml:space="preserve"> </w:t>
      </w:r>
      <w:r w:rsidR="00167583">
        <w:rPr>
          <w:sz w:val="20"/>
          <w:szCs w:val="20"/>
        </w:rPr>
        <w:t>deliver</w:t>
      </w:r>
      <w:r w:rsidR="008C07B4">
        <w:rPr>
          <w:sz w:val="20"/>
          <w:szCs w:val="20"/>
        </w:rPr>
        <w:t xml:space="preserve"> </w:t>
      </w:r>
      <w:r>
        <w:rPr>
          <w:sz w:val="20"/>
          <w:szCs w:val="20"/>
        </w:rPr>
        <w:t xml:space="preserve">the First Action Plan, the Aboriginal and Torres Strait Islander Action Plan and the Outcomes Framework under the National Plan to End Violence against Women and Children 2022-32 </w:t>
      </w:r>
    </w:p>
    <w:p w14:paraId="132D1274" w14:textId="1A7CBB41" w:rsidR="00CE2F87" w:rsidRDefault="00452D67" w:rsidP="00B81E0C">
      <w:pPr>
        <w:pStyle w:val="ListParagraph"/>
        <w:numPr>
          <w:ilvl w:val="0"/>
          <w:numId w:val="3"/>
        </w:numPr>
        <w:spacing w:before="0" w:after="120" w:line="240" w:lineRule="auto"/>
        <w:ind w:left="641" w:hanging="357"/>
        <w:contextualSpacing w:val="0"/>
        <w:rPr>
          <w:sz w:val="20"/>
          <w:szCs w:val="20"/>
        </w:rPr>
      </w:pPr>
      <w:r>
        <w:rPr>
          <w:sz w:val="20"/>
          <w:szCs w:val="20"/>
        </w:rPr>
        <w:t>continu</w:t>
      </w:r>
      <w:r w:rsidR="00E277F7">
        <w:rPr>
          <w:sz w:val="20"/>
          <w:szCs w:val="20"/>
        </w:rPr>
        <w:t>ing</w:t>
      </w:r>
      <w:r>
        <w:rPr>
          <w:sz w:val="20"/>
          <w:szCs w:val="20"/>
        </w:rPr>
        <w:t xml:space="preserve"> to </w:t>
      </w:r>
      <w:r w:rsidR="00CE2F87">
        <w:rPr>
          <w:sz w:val="20"/>
          <w:szCs w:val="20"/>
        </w:rPr>
        <w:t xml:space="preserve">embed the Priority Reforms of the Closing the Gap National Agreement </w:t>
      </w:r>
      <w:r w:rsidR="00E476CB">
        <w:rPr>
          <w:sz w:val="20"/>
          <w:szCs w:val="20"/>
        </w:rPr>
        <w:t xml:space="preserve">in the work we do </w:t>
      </w:r>
      <w:r w:rsidR="00CE2F87">
        <w:rPr>
          <w:sz w:val="20"/>
          <w:szCs w:val="20"/>
        </w:rPr>
        <w:t xml:space="preserve">and </w:t>
      </w:r>
      <w:r w:rsidR="00AA77A8">
        <w:rPr>
          <w:sz w:val="20"/>
          <w:szCs w:val="20"/>
        </w:rPr>
        <w:t>deliver on our part of</w:t>
      </w:r>
      <w:r w:rsidR="00CE2F87">
        <w:rPr>
          <w:sz w:val="20"/>
          <w:szCs w:val="20"/>
        </w:rPr>
        <w:t xml:space="preserve"> 3</w:t>
      </w:r>
      <w:r w:rsidR="00E476CB">
        <w:rPr>
          <w:sz w:val="20"/>
          <w:szCs w:val="20"/>
        </w:rPr>
        <w:t xml:space="preserve"> of the Closing the Gap</w:t>
      </w:r>
      <w:r w:rsidR="00CE2F87">
        <w:rPr>
          <w:sz w:val="20"/>
          <w:szCs w:val="20"/>
        </w:rPr>
        <w:t xml:space="preserve"> targets (targets 9</w:t>
      </w:r>
      <w:r w:rsidR="00F77521">
        <w:rPr>
          <w:sz w:val="20"/>
          <w:szCs w:val="20"/>
        </w:rPr>
        <w:t xml:space="preserve"> (a)</w:t>
      </w:r>
      <w:r w:rsidR="00CE2F87">
        <w:rPr>
          <w:sz w:val="20"/>
          <w:szCs w:val="20"/>
        </w:rPr>
        <w:t xml:space="preserve"> - housing, 12 - out-of-home care, and 13 - family violence) and the cross-cutting outco</w:t>
      </w:r>
      <w:r w:rsidR="00613C45">
        <w:rPr>
          <w:sz w:val="20"/>
          <w:szCs w:val="20"/>
        </w:rPr>
        <w:t>me of disability to transform</w:t>
      </w:r>
      <w:r w:rsidR="00CE2F87">
        <w:rPr>
          <w:sz w:val="20"/>
          <w:szCs w:val="20"/>
        </w:rPr>
        <w:t xml:space="preserve"> the way we work and partner with First Nations people, communities and organisations</w:t>
      </w:r>
    </w:p>
    <w:p w14:paraId="1B0A6010" w14:textId="57967654" w:rsidR="00CE0DD8" w:rsidRPr="00E3238A" w:rsidRDefault="00E3238A" w:rsidP="00B81E0C">
      <w:pPr>
        <w:pStyle w:val="ListParagraph"/>
        <w:numPr>
          <w:ilvl w:val="0"/>
          <w:numId w:val="3"/>
        </w:numPr>
        <w:spacing w:before="0" w:after="120" w:line="240" w:lineRule="auto"/>
        <w:ind w:left="641" w:hanging="357"/>
        <w:contextualSpacing w:val="0"/>
        <w:rPr>
          <w:sz w:val="20"/>
          <w:szCs w:val="20"/>
        </w:rPr>
      </w:pPr>
      <w:r w:rsidRPr="00E3238A">
        <w:rPr>
          <w:sz w:val="20"/>
          <w:szCs w:val="20"/>
        </w:rPr>
        <w:t>working across g</w:t>
      </w:r>
      <w:r w:rsidR="00CE0DD8" w:rsidRPr="00E3238A">
        <w:rPr>
          <w:sz w:val="20"/>
          <w:szCs w:val="20"/>
        </w:rPr>
        <w:t xml:space="preserve">overnment to </w:t>
      </w:r>
      <w:r w:rsidRPr="00E3238A">
        <w:rPr>
          <w:sz w:val="20"/>
          <w:szCs w:val="20"/>
        </w:rPr>
        <w:t>support the Government response to</w:t>
      </w:r>
      <w:r w:rsidR="00CE0DD8" w:rsidRPr="00E3238A">
        <w:rPr>
          <w:sz w:val="20"/>
          <w:szCs w:val="20"/>
        </w:rPr>
        <w:t xml:space="preserve"> the recommendations of the </w:t>
      </w:r>
      <w:r w:rsidR="00CE0DD8" w:rsidRPr="00E3238A">
        <w:rPr>
          <w:i/>
          <w:sz w:val="20"/>
          <w:szCs w:val="20"/>
        </w:rPr>
        <w:t>Royal Commission into the Robodebt Scheme</w:t>
      </w:r>
      <w:r w:rsidR="00CE0DD8" w:rsidRPr="00E3238A">
        <w:rPr>
          <w:sz w:val="20"/>
          <w:szCs w:val="20"/>
        </w:rPr>
        <w:t xml:space="preserve"> and the </w:t>
      </w:r>
      <w:r w:rsidR="00CE0DD8" w:rsidRPr="00E3238A">
        <w:rPr>
          <w:i/>
          <w:sz w:val="20"/>
          <w:szCs w:val="20"/>
        </w:rPr>
        <w:t>Royal Commission into Violence, Abuse, Neglect and Exploitation of People with Disability</w:t>
      </w:r>
    </w:p>
    <w:p w14:paraId="4329A576" w14:textId="111F058A" w:rsidR="00CE2F87" w:rsidRDefault="00CE2F87" w:rsidP="00B81E0C">
      <w:pPr>
        <w:pStyle w:val="ListParagraph"/>
        <w:numPr>
          <w:ilvl w:val="0"/>
          <w:numId w:val="3"/>
        </w:numPr>
        <w:spacing w:before="0" w:after="120" w:line="240" w:lineRule="auto"/>
        <w:ind w:left="641" w:hanging="357"/>
        <w:contextualSpacing w:val="0"/>
        <w:rPr>
          <w:sz w:val="20"/>
          <w:szCs w:val="20"/>
        </w:rPr>
      </w:pPr>
      <w:r>
        <w:rPr>
          <w:sz w:val="20"/>
          <w:szCs w:val="20"/>
        </w:rPr>
        <w:t xml:space="preserve">working closely with the autistic community, sector and families </w:t>
      </w:r>
      <w:r w:rsidR="00AA77A8">
        <w:rPr>
          <w:sz w:val="20"/>
          <w:szCs w:val="20"/>
        </w:rPr>
        <w:t xml:space="preserve">to </w:t>
      </w:r>
      <w:r>
        <w:rPr>
          <w:sz w:val="20"/>
          <w:szCs w:val="20"/>
        </w:rPr>
        <w:t>develop the National Autism Strategy</w:t>
      </w:r>
    </w:p>
    <w:p w14:paraId="2FBD77FC" w14:textId="3E285EBE" w:rsidR="00CE2F87" w:rsidRDefault="00CE2F87" w:rsidP="00B81E0C">
      <w:pPr>
        <w:pStyle w:val="ListParagraph"/>
        <w:numPr>
          <w:ilvl w:val="0"/>
          <w:numId w:val="3"/>
        </w:numPr>
        <w:spacing w:before="0" w:after="120"/>
        <w:contextualSpacing w:val="0"/>
        <w:rPr>
          <w:sz w:val="20"/>
          <w:szCs w:val="20"/>
        </w:rPr>
      </w:pPr>
      <w:r>
        <w:rPr>
          <w:sz w:val="20"/>
          <w:szCs w:val="20"/>
        </w:rPr>
        <w:t xml:space="preserve">ensuring the National Disability Insurance Scheme (NDIS) can continue to provide life-changing outcomes for future generations of Australians with disability through </w:t>
      </w:r>
      <w:r w:rsidR="00AA77A8">
        <w:rPr>
          <w:sz w:val="20"/>
          <w:szCs w:val="20"/>
        </w:rPr>
        <w:t>responding</w:t>
      </w:r>
      <w:r>
        <w:rPr>
          <w:sz w:val="20"/>
          <w:szCs w:val="20"/>
        </w:rPr>
        <w:t xml:space="preserve"> to the </w:t>
      </w:r>
      <w:r w:rsidR="00AA77A8">
        <w:rPr>
          <w:sz w:val="20"/>
          <w:szCs w:val="20"/>
        </w:rPr>
        <w:t xml:space="preserve">recommendations in the </w:t>
      </w:r>
      <w:r>
        <w:rPr>
          <w:sz w:val="20"/>
          <w:szCs w:val="20"/>
        </w:rPr>
        <w:t>NDIS Review</w:t>
      </w:r>
    </w:p>
    <w:p w14:paraId="12B0C967" w14:textId="63F4ADC1" w:rsidR="00CE2F87" w:rsidRDefault="00CE2F87" w:rsidP="00B81E0C">
      <w:pPr>
        <w:pStyle w:val="ListParagraph"/>
        <w:numPr>
          <w:ilvl w:val="0"/>
          <w:numId w:val="3"/>
        </w:numPr>
        <w:spacing w:before="0" w:after="120"/>
        <w:contextualSpacing w:val="0"/>
        <w:rPr>
          <w:sz w:val="20"/>
          <w:szCs w:val="20"/>
        </w:rPr>
      </w:pPr>
      <w:r>
        <w:rPr>
          <w:sz w:val="20"/>
          <w:szCs w:val="20"/>
        </w:rPr>
        <w:t>work</w:t>
      </w:r>
      <w:r w:rsidR="0032201C">
        <w:rPr>
          <w:sz w:val="20"/>
          <w:szCs w:val="20"/>
        </w:rPr>
        <w:t>ing</w:t>
      </w:r>
      <w:r>
        <w:rPr>
          <w:sz w:val="20"/>
          <w:szCs w:val="20"/>
        </w:rPr>
        <w:t xml:space="preserve"> with states and territories and key stakeholders to develop future Commonwealth-State funding arrangements to replace the National Housing and Homelessness Agreement and lead the development of a National Housing and Homelessness Plan</w:t>
      </w:r>
    </w:p>
    <w:p w14:paraId="26F3FD57" w14:textId="5FA3825F" w:rsidR="005B7E34" w:rsidRDefault="005B7E34" w:rsidP="00B81E0C">
      <w:pPr>
        <w:pStyle w:val="ListParagraph"/>
        <w:numPr>
          <w:ilvl w:val="0"/>
          <w:numId w:val="3"/>
        </w:numPr>
        <w:spacing w:before="0" w:after="120"/>
        <w:contextualSpacing w:val="0"/>
        <w:rPr>
          <w:sz w:val="20"/>
          <w:szCs w:val="20"/>
        </w:rPr>
      </w:pPr>
      <w:r>
        <w:rPr>
          <w:sz w:val="20"/>
          <w:szCs w:val="20"/>
        </w:rPr>
        <w:t>working in partnership with the National Aboriginal and Torres Strait Islander Housing Association through the Housing Policy Partnership, to improve housing and homelessness outcomes and support the Indigenous community-controlled housing sector</w:t>
      </w:r>
    </w:p>
    <w:p w14:paraId="3CBAC3F8" w14:textId="3D8EB64A" w:rsidR="003A3CD2" w:rsidRDefault="003A3CD2" w:rsidP="00B81E0C">
      <w:pPr>
        <w:pStyle w:val="ListParagraph"/>
        <w:numPr>
          <w:ilvl w:val="0"/>
          <w:numId w:val="3"/>
        </w:numPr>
        <w:spacing w:before="0" w:after="120"/>
        <w:contextualSpacing w:val="0"/>
        <w:rPr>
          <w:sz w:val="20"/>
          <w:szCs w:val="20"/>
        </w:rPr>
      </w:pPr>
      <w:r>
        <w:rPr>
          <w:sz w:val="20"/>
          <w:szCs w:val="20"/>
        </w:rPr>
        <w:t>continuing to engage and work with communities and their leaders to shape the future of support services with the Income Management Reform including implementation of the Social Security (Administration) Amendment (Income Management Reform) Bill 2023 (the Bill)</w:t>
      </w:r>
    </w:p>
    <w:p w14:paraId="4C49CF79" w14:textId="77777777" w:rsidR="00CE2F87" w:rsidRDefault="00CE2F87" w:rsidP="00B81E0C">
      <w:pPr>
        <w:pStyle w:val="ListParagraph"/>
        <w:numPr>
          <w:ilvl w:val="0"/>
          <w:numId w:val="3"/>
        </w:numPr>
        <w:spacing w:before="0" w:after="120" w:line="240" w:lineRule="auto"/>
        <w:ind w:left="641" w:hanging="357"/>
        <w:contextualSpacing w:val="0"/>
        <w:rPr>
          <w:sz w:val="20"/>
          <w:szCs w:val="20"/>
        </w:rPr>
      </w:pPr>
      <w:r>
        <w:rPr>
          <w:sz w:val="20"/>
          <w:szCs w:val="20"/>
        </w:rPr>
        <w:t>developing the Early Years Strategy to create an enduring vision for Australia’s children and their families</w:t>
      </w:r>
    </w:p>
    <w:p w14:paraId="46A924FB" w14:textId="77777777" w:rsidR="00CE2F87" w:rsidRDefault="00CE2F87" w:rsidP="00B81E0C">
      <w:pPr>
        <w:pStyle w:val="ListParagraph"/>
        <w:numPr>
          <w:ilvl w:val="0"/>
          <w:numId w:val="3"/>
        </w:numPr>
        <w:spacing w:before="0" w:after="120" w:line="240" w:lineRule="auto"/>
        <w:ind w:left="641" w:hanging="357"/>
        <w:contextualSpacing w:val="0"/>
        <w:rPr>
          <w:sz w:val="20"/>
          <w:szCs w:val="20"/>
        </w:rPr>
      </w:pPr>
      <w:r>
        <w:rPr>
          <w:sz w:val="20"/>
          <w:szCs w:val="20"/>
        </w:rPr>
        <w:t xml:space="preserve">leading implementation of Action Plans under </w:t>
      </w:r>
      <w:r>
        <w:rPr>
          <w:i/>
          <w:sz w:val="20"/>
          <w:szCs w:val="20"/>
        </w:rPr>
        <w:t>Safe &amp; Supported: the National Framework for Protecting Australia’s Children 2021-31</w:t>
      </w:r>
    </w:p>
    <w:p w14:paraId="61FC8AB9" w14:textId="2DC7665B" w:rsidR="00CE2F87" w:rsidRDefault="00CE2F87" w:rsidP="00B81E0C">
      <w:pPr>
        <w:pStyle w:val="ListParagraph"/>
        <w:numPr>
          <w:ilvl w:val="0"/>
          <w:numId w:val="3"/>
        </w:numPr>
        <w:spacing w:before="0" w:after="120" w:line="240" w:lineRule="auto"/>
        <w:ind w:left="641" w:hanging="357"/>
        <w:contextualSpacing w:val="0"/>
        <w:rPr>
          <w:sz w:val="20"/>
          <w:szCs w:val="20"/>
        </w:rPr>
      </w:pPr>
      <w:r>
        <w:rPr>
          <w:sz w:val="20"/>
          <w:szCs w:val="20"/>
        </w:rPr>
        <w:t>tackling entrenched disadvantage through community partnerships and social impact investment</w:t>
      </w:r>
    </w:p>
    <w:p w14:paraId="213D1BAD" w14:textId="4B9718C0" w:rsidR="008C07B4" w:rsidRDefault="00CE2F87" w:rsidP="00B81E0C">
      <w:pPr>
        <w:pStyle w:val="ListParagraph"/>
        <w:numPr>
          <w:ilvl w:val="0"/>
          <w:numId w:val="3"/>
        </w:numPr>
        <w:spacing w:after="120" w:line="240" w:lineRule="auto"/>
        <w:ind w:left="641" w:hanging="357"/>
        <w:contextualSpacing w:val="0"/>
        <w:rPr>
          <w:sz w:val="20"/>
          <w:szCs w:val="20"/>
        </w:rPr>
      </w:pPr>
      <w:r>
        <w:rPr>
          <w:sz w:val="20"/>
          <w:szCs w:val="20"/>
        </w:rPr>
        <w:t>provid</w:t>
      </w:r>
      <w:r w:rsidR="0032201C">
        <w:rPr>
          <w:sz w:val="20"/>
          <w:szCs w:val="20"/>
        </w:rPr>
        <w:t>ing</w:t>
      </w:r>
      <w:r>
        <w:rPr>
          <w:sz w:val="20"/>
          <w:szCs w:val="20"/>
        </w:rPr>
        <w:t xml:space="preserve"> Emergency Relief/Food Relief to Australian individuals and families</w:t>
      </w:r>
    </w:p>
    <w:p w14:paraId="4055C827" w14:textId="4048CA02" w:rsidR="007F14CF" w:rsidRDefault="008C07B4" w:rsidP="00B81E0C">
      <w:pPr>
        <w:pStyle w:val="ListParagraph"/>
        <w:numPr>
          <w:ilvl w:val="0"/>
          <w:numId w:val="3"/>
        </w:numPr>
        <w:spacing w:after="120" w:line="240" w:lineRule="auto"/>
        <w:ind w:left="641" w:hanging="357"/>
        <w:contextualSpacing w:val="0"/>
        <w:rPr>
          <w:sz w:val="20"/>
          <w:szCs w:val="20"/>
        </w:rPr>
      </w:pPr>
      <w:r>
        <w:rPr>
          <w:sz w:val="20"/>
          <w:szCs w:val="20"/>
        </w:rPr>
        <w:t>lead</w:t>
      </w:r>
      <w:r w:rsidR="0032201C">
        <w:rPr>
          <w:sz w:val="20"/>
          <w:szCs w:val="20"/>
        </w:rPr>
        <w:t>ing</w:t>
      </w:r>
      <w:r>
        <w:rPr>
          <w:sz w:val="20"/>
          <w:szCs w:val="20"/>
        </w:rPr>
        <w:t xml:space="preserve"> the Commonwealth’s implementation of Australia’s Disability Strategy 2021-2031, including the first planned review of the Strategy and establish</w:t>
      </w:r>
      <w:r w:rsidR="00AA77A8">
        <w:rPr>
          <w:sz w:val="20"/>
          <w:szCs w:val="20"/>
        </w:rPr>
        <w:t>ing</w:t>
      </w:r>
      <w:r>
        <w:rPr>
          <w:sz w:val="20"/>
          <w:szCs w:val="20"/>
        </w:rPr>
        <w:t xml:space="preserve"> central coordination of disability policy in the department</w:t>
      </w:r>
    </w:p>
    <w:p w14:paraId="56217B05" w14:textId="70381330" w:rsidR="00CE2F87" w:rsidRPr="007F14CF" w:rsidRDefault="007F14CF" w:rsidP="00B81E0C">
      <w:pPr>
        <w:pStyle w:val="ListParagraph"/>
        <w:numPr>
          <w:ilvl w:val="0"/>
          <w:numId w:val="3"/>
        </w:numPr>
        <w:spacing w:after="120" w:line="240" w:lineRule="auto"/>
        <w:ind w:left="641" w:hanging="357"/>
        <w:contextualSpacing w:val="0"/>
        <w:rPr>
          <w:sz w:val="20"/>
          <w:szCs w:val="20"/>
        </w:rPr>
      </w:pPr>
      <w:r w:rsidRPr="007F14CF">
        <w:rPr>
          <w:sz w:val="20"/>
          <w:szCs w:val="20"/>
        </w:rPr>
        <w:t>implement</w:t>
      </w:r>
      <w:r w:rsidR="00E277F7">
        <w:rPr>
          <w:sz w:val="20"/>
          <w:szCs w:val="20"/>
        </w:rPr>
        <w:t>ing</w:t>
      </w:r>
      <w:r w:rsidRPr="007F14CF">
        <w:rPr>
          <w:sz w:val="20"/>
          <w:szCs w:val="20"/>
        </w:rPr>
        <w:t xml:space="preserve"> the development of a new quality frame</w:t>
      </w:r>
      <w:r w:rsidRPr="00B9072F">
        <w:rPr>
          <w:sz w:val="20"/>
          <w:szCs w:val="20"/>
        </w:rPr>
        <w:t xml:space="preserve">work to </w:t>
      </w:r>
      <w:r w:rsidRPr="007F14CF">
        <w:rPr>
          <w:sz w:val="20"/>
          <w:szCs w:val="20"/>
        </w:rPr>
        <w:t>drive improvement in existing Disability Employment Services, ahead of the introduction of a new employment service in July</w:t>
      </w:r>
      <w:r w:rsidR="00DC0DD8">
        <w:rPr>
          <w:sz w:val="20"/>
          <w:szCs w:val="20"/>
        </w:rPr>
        <w:t> </w:t>
      </w:r>
      <w:r w:rsidRPr="007F14CF">
        <w:rPr>
          <w:sz w:val="20"/>
          <w:szCs w:val="20"/>
        </w:rPr>
        <w:t>2025 that supports better outcomes for people with disability and employers</w:t>
      </w:r>
      <w:r w:rsidR="00CE0DD8" w:rsidRPr="007F14CF">
        <w:rPr>
          <w:sz w:val="20"/>
          <w:szCs w:val="20"/>
        </w:rPr>
        <w:t>.</w:t>
      </w:r>
    </w:p>
    <w:p w14:paraId="3D418B13" w14:textId="72E51B9A" w:rsidR="006960CA" w:rsidRDefault="006960CA" w:rsidP="00B81E0C">
      <w:pPr>
        <w:pStyle w:val="Normalmorespace"/>
      </w:pPr>
      <w:r w:rsidRPr="006960CA">
        <w:t>I look forward to working with our Portfolio Ministers and Assistant Ministers, their staff, portfolio agencies, external partners, and stakeholders to deliver the outcomes set out in this Plan.</w:t>
      </w:r>
    </w:p>
    <w:p w14:paraId="1681375D" w14:textId="77777777" w:rsidR="00AE4E9D" w:rsidRDefault="00AE4E9D">
      <w:pPr>
        <w:spacing w:before="0" w:after="200" w:line="276" w:lineRule="auto"/>
        <w:rPr>
          <w:color w:val="000000" w:themeColor="text1"/>
          <w:spacing w:val="0"/>
          <w:sz w:val="20"/>
          <w:szCs w:val="20"/>
        </w:rPr>
      </w:pPr>
      <w:r>
        <w:br w:type="page"/>
      </w:r>
    </w:p>
    <w:p w14:paraId="7635ADFE" w14:textId="77777777" w:rsidR="00AE4E9D" w:rsidRPr="00AE4E9D" w:rsidRDefault="00AE4E9D" w:rsidP="00AE4E9D">
      <w:pPr>
        <w:pStyle w:val="Heading1"/>
        <w:spacing w:after="40"/>
        <w:contextualSpacing w:val="0"/>
        <w:rPr>
          <w:sz w:val="48"/>
          <w:szCs w:val="48"/>
        </w:rPr>
      </w:pPr>
      <w:bookmarkStart w:id="3" w:name="_Toc144385528"/>
      <w:r w:rsidRPr="00AE4E9D">
        <w:rPr>
          <w:sz w:val="48"/>
          <w:szCs w:val="48"/>
        </w:rPr>
        <w:t>S</w:t>
      </w:r>
      <w:r>
        <w:rPr>
          <w:sz w:val="48"/>
          <w:szCs w:val="48"/>
        </w:rPr>
        <w:t xml:space="preserve">tatement of </w:t>
      </w:r>
      <w:r w:rsidRPr="00BE4296">
        <w:rPr>
          <w:sz w:val="48"/>
          <w:szCs w:val="48"/>
        </w:rPr>
        <w:t>preparation</w:t>
      </w:r>
      <w:bookmarkEnd w:id="3"/>
      <w:r>
        <w:rPr>
          <w:sz w:val="48"/>
          <w:szCs w:val="48"/>
        </w:rPr>
        <w:t xml:space="preserve"> </w:t>
      </w:r>
    </w:p>
    <w:p w14:paraId="0460E6DB" w14:textId="25E4C246" w:rsidR="00AE4E9D" w:rsidRDefault="00AE4E9D" w:rsidP="00B81E0C">
      <w:pPr>
        <w:pStyle w:val="Normalmorespace"/>
      </w:pPr>
      <w:r>
        <w:t xml:space="preserve">I, Ray Griggs, as the accountable authority of the Department of Social Services present the </w:t>
      </w:r>
      <w:r w:rsidR="00200C27">
        <w:t>2023-24</w:t>
      </w:r>
      <w:r>
        <w:t xml:space="preserve"> Department of Social Services Corporate Plan (the Plan), which covers the </w:t>
      </w:r>
      <w:r w:rsidR="0032201C">
        <w:t xml:space="preserve">financial years </w:t>
      </w:r>
      <w:r w:rsidR="00200C27">
        <w:t>2023-24 to 2026-27</w:t>
      </w:r>
      <w:r>
        <w:t xml:space="preserve">, as required under paragraph 35(1)(b) of the </w:t>
      </w:r>
      <w:r w:rsidRPr="0CA382EB">
        <w:rPr>
          <w:rStyle w:val="BodytextITALIC"/>
        </w:rPr>
        <w:t xml:space="preserve">Public Governance, Performance and Accountability Act 2013 </w:t>
      </w:r>
      <w:r>
        <w:t xml:space="preserve">(PGPA Act). The Plan is prepared in accordance with the </w:t>
      </w:r>
      <w:r w:rsidRPr="0CA382EB">
        <w:rPr>
          <w:rStyle w:val="BodytextITALIC"/>
        </w:rPr>
        <w:t xml:space="preserve">Public Governance, Performance and Accountability Rule 2014 </w:t>
      </w:r>
      <w:r>
        <w:t>(PGPA Rule). This Plan has been compiled for the 202</w:t>
      </w:r>
      <w:r w:rsidR="00200C27">
        <w:t>3-24</w:t>
      </w:r>
      <w:r>
        <w:t xml:space="preserve"> financial year.</w:t>
      </w:r>
    </w:p>
    <w:p w14:paraId="53FDAE5A" w14:textId="77777777" w:rsidR="00AF04D5" w:rsidRDefault="00AF04D5" w:rsidP="00B81E0C">
      <w:pPr>
        <w:pStyle w:val="Normalmorespace"/>
      </w:pPr>
    </w:p>
    <w:p w14:paraId="52B0757D" w14:textId="31122165" w:rsidR="00AE4E9D" w:rsidRDefault="003A093B" w:rsidP="00B81E0C">
      <w:pPr>
        <w:pStyle w:val="Normalmorespace"/>
        <w:rPr>
          <w:rFonts w:cstheme="minorBidi"/>
        </w:rPr>
      </w:pPr>
      <w:r w:rsidRPr="003A093B">
        <w:rPr>
          <w:rFonts w:cstheme="minorBidi"/>
          <w:noProof/>
        </w:rPr>
        <w:drawing>
          <wp:inline distT="0" distB="0" distL="0" distR="0" wp14:anchorId="43415A06" wp14:editId="02B67A9B">
            <wp:extent cx="1427002" cy="690466"/>
            <wp:effectExtent l="0" t="0" r="1905" b="0"/>
            <wp:docPr id="8" name="Picture 8" title="Ray Griggs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0080\AppData\Local\Microsoft\Windows\INetCache\Content.Outlook\QOC9BXRT\SEC-Sig.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52710" cy="702905"/>
                    </a:xfrm>
                    <a:prstGeom prst="rect">
                      <a:avLst/>
                    </a:prstGeom>
                    <a:noFill/>
                    <a:ln>
                      <a:noFill/>
                    </a:ln>
                  </pic:spPr>
                </pic:pic>
              </a:graphicData>
            </a:graphic>
          </wp:inline>
        </w:drawing>
      </w:r>
    </w:p>
    <w:p w14:paraId="5B7A8D39" w14:textId="10B03369" w:rsidR="00AE4E9D" w:rsidRDefault="00AE4E9D" w:rsidP="00B81E0C">
      <w:pPr>
        <w:pStyle w:val="Normalmorespace"/>
        <w:rPr>
          <w:rFonts w:cstheme="minorBidi"/>
          <w:b/>
          <w:bCs/>
        </w:rPr>
      </w:pPr>
      <w:r w:rsidRPr="0CA382EB">
        <w:rPr>
          <w:rFonts w:cstheme="minorBidi"/>
          <w:b/>
          <w:bCs/>
        </w:rPr>
        <w:t>Ray Griggs AO CSC</w:t>
      </w:r>
      <w:r>
        <w:br/>
      </w:r>
      <w:r w:rsidRPr="0CA382EB">
        <w:rPr>
          <w:rFonts w:cstheme="minorBidi"/>
        </w:rPr>
        <w:t>Secretary</w:t>
      </w:r>
    </w:p>
    <w:p w14:paraId="0788AFC2" w14:textId="77777777" w:rsidR="00AE4E9D" w:rsidRDefault="00AE4E9D" w:rsidP="00B81E0C">
      <w:pPr>
        <w:pStyle w:val="Normalmorespace"/>
      </w:pPr>
      <w:r>
        <w:t>August 2023</w:t>
      </w:r>
    </w:p>
    <w:p w14:paraId="21CB561B" w14:textId="77777777" w:rsidR="008E32D4" w:rsidRDefault="008E32D4" w:rsidP="00586246">
      <w:pPr>
        <w:pStyle w:val="Heading1"/>
      </w:pPr>
      <w:r>
        <w:br w:type="page"/>
      </w:r>
      <w:bookmarkStart w:id="4" w:name="_GoBack"/>
      <w:bookmarkEnd w:id="4"/>
    </w:p>
    <w:bookmarkEnd w:id="2" w:displacedByCustomXml="next"/>
    <w:sdt>
      <w:sdtPr>
        <w:rPr>
          <w:rFonts w:ascii="Arial" w:eastAsia="Times New Roman" w:hAnsi="Arial" w:cs="Times New Roman"/>
          <w:bCs w:val="0"/>
          <w:color w:val="auto"/>
          <w:sz w:val="18"/>
          <w:szCs w:val="18"/>
          <w:lang w:bidi="ar-SA"/>
        </w:rPr>
        <w:id w:val="-1183588702"/>
        <w:docPartObj>
          <w:docPartGallery w:val="Table of Contents"/>
          <w:docPartUnique/>
        </w:docPartObj>
      </w:sdtPr>
      <w:sdtEndPr>
        <w:rPr>
          <w:rFonts w:asciiTheme="minorHAnsi" w:hAnsiTheme="minorHAnsi" w:cstheme="minorHAnsi"/>
          <w:b/>
          <w:noProof/>
        </w:rPr>
      </w:sdtEndPr>
      <w:sdtContent>
        <w:p w14:paraId="71936D8E" w14:textId="0942A4D5" w:rsidR="009B2458" w:rsidRPr="00E81CDE" w:rsidRDefault="009B2458" w:rsidP="00E81CDE">
          <w:pPr>
            <w:pStyle w:val="TOCHeading"/>
            <w:jc w:val="both"/>
            <w:rPr>
              <w:sz w:val="48"/>
              <w:szCs w:val="48"/>
            </w:rPr>
          </w:pPr>
          <w:r w:rsidRPr="00E81CDE">
            <w:rPr>
              <w:sz w:val="48"/>
              <w:szCs w:val="48"/>
            </w:rPr>
            <w:t>Contents</w:t>
          </w:r>
        </w:p>
        <w:p w14:paraId="11DE5739" w14:textId="534F8755" w:rsidR="003A093B" w:rsidRPr="003A093B" w:rsidRDefault="009B2458" w:rsidP="003A093B">
          <w:pPr>
            <w:pStyle w:val="TOC1"/>
            <w:spacing w:before="16" w:after="16" w:line="240" w:lineRule="auto"/>
            <w:rPr>
              <w:rFonts w:asciiTheme="minorHAnsi" w:eastAsiaTheme="minorEastAsia" w:hAnsiTheme="minorHAnsi" w:cstheme="minorHAnsi"/>
              <w:noProof/>
              <w:spacing w:val="0"/>
              <w:sz w:val="18"/>
              <w:szCs w:val="18"/>
            </w:rPr>
          </w:pPr>
          <w:r w:rsidRPr="003A093B">
            <w:rPr>
              <w:rFonts w:asciiTheme="minorHAnsi" w:hAnsiTheme="minorHAnsi" w:cstheme="minorHAnsi"/>
              <w:sz w:val="18"/>
              <w:szCs w:val="18"/>
            </w:rPr>
            <w:fldChar w:fldCharType="begin"/>
          </w:r>
          <w:r w:rsidR="003A093B" w:rsidRPr="003A093B">
            <w:rPr>
              <w:rFonts w:asciiTheme="minorHAnsi" w:hAnsiTheme="minorHAnsi" w:cstheme="minorHAnsi"/>
              <w:sz w:val="18"/>
              <w:szCs w:val="18"/>
            </w:rPr>
            <w:instrText xml:space="preserve"> TOC \o "1-2</w:instrText>
          </w:r>
          <w:r w:rsidRPr="003A093B">
            <w:rPr>
              <w:rFonts w:asciiTheme="minorHAnsi" w:hAnsiTheme="minorHAnsi" w:cstheme="minorHAnsi"/>
              <w:sz w:val="18"/>
              <w:szCs w:val="18"/>
            </w:rPr>
            <w:instrText xml:space="preserve">" \h \z \u </w:instrText>
          </w:r>
          <w:r w:rsidRPr="003A093B">
            <w:rPr>
              <w:rFonts w:asciiTheme="minorHAnsi" w:hAnsiTheme="minorHAnsi" w:cstheme="minorHAnsi"/>
              <w:sz w:val="18"/>
              <w:szCs w:val="18"/>
            </w:rPr>
            <w:fldChar w:fldCharType="separate"/>
          </w:r>
          <w:hyperlink w:anchor="_Toc144385527" w:history="1">
            <w:r w:rsidR="003A093B" w:rsidRPr="003A093B">
              <w:rPr>
                <w:rStyle w:val="Hyperlink"/>
                <w:rFonts w:asciiTheme="minorHAnsi" w:eastAsiaTheme="majorEastAsia" w:hAnsiTheme="minorHAnsi" w:cstheme="minorHAnsi"/>
                <w:noProof/>
                <w:sz w:val="18"/>
                <w:szCs w:val="18"/>
              </w:rPr>
              <w:t>Secretary’s foreword</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_Toc144385527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sidR="005F7F5E">
              <w:rPr>
                <w:rFonts w:asciiTheme="minorHAnsi" w:hAnsiTheme="minorHAnsi" w:cstheme="minorHAnsi"/>
                <w:noProof/>
                <w:webHidden/>
                <w:sz w:val="18"/>
                <w:szCs w:val="18"/>
              </w:rPr>
              <w:t>2</w:t>
            </w:r>
            <w:r w:rsidR="003A093B" w:rsidRPr="003A093B">
              <w:rPr>
                <w:rFonts w:asciiTheme="minorHAnsi" w:hAnsiTheme="minorHAnsi" w:cstheme="minorHAnsi"/>
                <w:noProof/>
                <w:webHidden/>
                <w:sz w:val="18"/>
                <w:szCs w:val="18"/>
              </w:rPr>
              <w:fldChar w:fldCharType="end"/>
            </w:r>
          </w:hyperlink>
        </w:p>
        <w:p w14:paraId="19C4D97C" w14:textId="14A9B42B" w:rsidR="003A093B" w:rsidRPr="003A093B" w:rsidRDefault="005F7F5E" w:rsidP="003A093B">
          <w:pPr>
            <w:pStyle w:val="TOC1"/>
            <w:spacing w:before="16" w:after="16" w:line="240" w:lineRule="auto"/>
            <w:rPr>
              <w:rFonts w:asciiTheme="minorHAnsi" w:eastAsiaTheme="minorEastAsia" w:hAnsiTheme="minorHAnsi" w:cstheme="minorHAnsi"/>
              <w:noProof/>
              <w:spacing w:val="0"/>
              <w:sz w:val="18"/>
              <w:szCs w:val="18"/>
            </w:rPr>
          </w:pPr>
          <w:hyperlink w:anchor="_Toc144385528" w:history="1">
            <w:r w:rsidR="003A093B" w:rsidRPr="003A093B">
              <w:rPr>
                <w:rStyle w:val="Hyperlink"/>
                <w:rFonts w:asciiTheme="minorHAnsi" w:eastAsiaTheme="majorEastAsia" w:hAnsiTheme="minorHAnsi" w:cstheme="minorHAnsi"/>
                <w:noProof/>
                <w:sz w:val="18"/>
                <w:szCs w:val="18"/>
              </w:rPr>
              <w:t>Statement of preparation</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_Toc144385528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4</w:t>
            </w:r>
            <w:r w:rsidR="003A093B" w:rsidRPr="003A093B">
              <w:rPr>
                <w:rFonts w:asciiTheme="minorHAnsi" w:hAnsiTheme="minorHAnsi" w:cstheme="minorHAnsi"/>
                <w:noProof/>
                <w:webHidden/>
                <w:sz w:val="18"/>
                <w:szCs w:val="18"/>
              </w:rPr>
              <w:fldChar w:fldCharType="end"/>
            </w:r>
          </w:hyperlink>
        </w:p>
        <w:p w14:paraId="2FD8313B" w14:textId="1788970D" w:rsidR="003A093B" w:rsidRPr="003A093B" w:rsidRDefault="005F7F5E" w:rsidP="003A093B">
          <w:pPr>
            <w:pStyle w:val="TOC1"/>
            <w:spacing w:before="16" w:after="16" w:line="240" w:lineRule="auto"/>
            <w:rPr>
              <w:rFonts w:asciiTheme="minorHAnsi" w:eastAsiaTheme="minorEastAsia" w:hAnsiTheme="minorHAnsi" w:cstheme="minorHAnsi"/>
              <w:noProof/>
              <w:spacing w:val="0"/>
              <w:sz w:val="18"/>
              <w:szCs w:val="18"/>
            </w:rPr>
          </w:pPr>
          <w:hyperlink w:anchor="_Toc144385529" w:history="1">
            <w:r w:rsidR="003A093B" w:rsidRPr="003A093B">
              <w:rPr>
                <w:rStyle w:val="Hyperlink"/>
                <w:rFonts w:asciiTheme="minorHAnsi" w:eastAsiaTheme="majorEastAsia" w:hAnsiTheme="minorHAnsi" w:cstheme="minorHAnsi"/>
                <w:noProof/>
                <w:sz w:val="18"/>
                <w:szCs w:val="18"/>
              </w:rPr>
              <w:t>Acknowledgement of Country</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_Toc144385529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6</w:t>
            </w:r>
            <w:r w:rsidR="003A093B" w:rsidRPr="003A093B">
              <w:rPr>
                <w:rFonts w:asciiTheme="minorHAnsi" w:hAnsiTheme="minorHAnsi" w:cstheme="minorHAnsi"/>
                <w:noProof/>
                <w:webHidden/>
                <w:sz w:val="18"/>
                <w:szCs w:val="18"/>
              </w:rPr>
              <w:fldChar w:fldCharType="end"/>
            </w:r>
          </w:hyperlink>
        </w:p>
        <w:p w14:paraId="13E56D58" w14:textId="17204F10" w:rsidR="003A093B" w:rsidRPr="003A093B" w:rsidRDefault="005F7F5E" w:rsidP="003A093B">
          <w:pPr>
            <w:pStyle w:val="TOC1"/>
            <w:spacing w:before="16" w:after="16" w:line="240" w:lineRule="auto"/>
            <w:rPr>
              <w:rFonts w:asciiTheme="minorHAnsi" w:eastAsiaTheme="minorEastAsia" w:hAnsiTheme="minorHAnsi" w:cstheme="minorHAnsi"/>
              <w:noProof/>
              <w:spacing w:val="0"/>
              <w:sz w:val="18"/>
              <w:szCs w:val="18"/>
            </w:rPr>
          </w:pPr>
          <w:hyperlink w:anchor="_Toc144385530" w:history="1">
            <w:r w:rsidR="003A093B" w:rsidRPr="003A093B">
              <w:rPr>
                <w:rStyle w:val="Hyperlink"/>
                <w:rFonts w:asciiTheme="minorHAnsi" w:eastAsiaTheme="majorEastAsia" w:hAnsiTheme="minorHAnsi" w:cstheme="minorHAnsi"/>
                <w:noProof/>
                <w:sz w:val="18"/>
                <w:szCs w:val="18"/>
              </w:rPr>
              <w:t>Our Mission</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_Toc144385530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6</w:t>
            </w:r>
            <w:r w:rsidR="003A093B" w:rsidRPr="003A093B">
              <w:rPr>
                <w:rFonts w:asciiTheme="minorHAnsi" w:hAnsiTheme="minorHAnsi" w:cstheme="minorHAnsi"/>
                <w:noProof/>
                <w:webHidden/>
                <w:sz w:val="18"/>
                <w:szCs w:val="18"/>
              </w:rPr>
              <w:fldChar w:fldCharType="end"/>
            </w:r>
          </w:hyperlink>
        </w:p>
        <w:p w14:paraId="63A07254" w14:textId="242B5FD4" w:rsidR="003A093B" w:rsidRPr="003A093B" w:rsidRDefault="005F7F5E" w:rsidP="003A093B">
          <w:pPr>
            <w:pStyle w:val="TOC1"/>
            <w:spacing w:before="16" w:after="16" w:line="240" w:lineRule="auto"/>
            <w:rPr>
              <w:rFonts w:asciiTheme="minorHAnsi" w:eastAsiaTheme="minorEastAsia" w:hAnsiTheme="minorHAnsi" w:cstheme="minorHAnsi"/>
              <w:noProof/>
              <w:spacing w:val="0"/>
              <w:sz w:val="18"/>
              <w:szCs w:val="18"/>
            </w:rPr>
          </w:pPr>
          <w:hyperlink w:anchor="_Toc144385531" w:history="1">
            <w:r w:rsidR="003A093B" w:rsidRPr="003A093B">
              <w:rPr>
                <w:rStyle w:val="Hyperlink"/>
                <w:rFonts w:asciiTheme="minorHAnsi" w:eastAsiaTheme="majorEastAsia" w:hAnsiTheme="minorHAnsi" w:cstheme="minorHAnsi"/>
                <w:noProof/>
                <w:sz w:val="18"/>
                <w:szCs w:val="18"/>
              </w:rPr>
              <w:t>Our Purpose</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_Toc144385531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6</w:t>
            </w:r>
            <w:r w:rsidR="003A093B" w:rsidRPr="003A093B">
              <w:rPr>
                <w:rFonts w:asciiTheme="minorHAnsi" w:hAnsiTheme="minorHAnsi" w:cstheme="minorHAnsi"/>
                <w:noProof/>
                <w:webHidden/>
                <w:sz w:val="18"/>
                <w:szCs w:val="18"/>
              </w:rPr>
              <w:fldChar w:fldCharType="end"/>
            </w:r>
          </w:hyperlink>
        </w:p>
        <w:p w14:paraId="1D4EE48C" w14:textId="630B02A1" w:rsidR="003A093B" w:rsidRPr="003A093B" w:rsidRDefault="005F7F5E" w:rsidP="003A093B">
          <w:pPr>
            <w:pStyle w:val="TOC1"/>
            <w:spacing w:before="16" w:after="16" w:line="240" w:lineRule="auto"/>
            <w:rPr>
              <w:rFonts w:asciiTheme="minorHAnsi" w:eastAsiaTheme="minorEastAsia" w:hAnsiTheme="minorHAnsi" w:cstheme="minorHAnsi"/>
              <w:noProof/>
              <w:spacing w:val="0"/>
              <w:sz w:val="18"/>
              <w:szCs w:val="18"/>
            </w:rPr>
          </w:pPr>
          <w:hyperlink w:anchor="_Toc144385532" w:history="1">
            <w:r w:rsidR="003A093B" w:rsidRPr="003A093B">
              <w:rPr>
                <w:rStyle w:val="Hyperlink"/>
                <w:rFonts w:asciiTheme="minorHAnsi" w:eastAsiaTheme="majorEastAsia" w:hAnsiTheme="minorHAnsi" w:cstheme="minorHAnsi"/>
                <w:noProof/>
                <w:sz w:val="18"/>
                <w:szCs w:val="18"/>
              </w:rPr>
              <w:t>Our Values</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_Toc144385532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6</w:t>
            </w:r>
            <w:r w:rsidR="003A093B" w:rsidRPr="003A093B">
              <w:rPr>
                <w:rFonts w:asciiTheme="minorHAnsi" w:hAnsiTheme="minorHAnsi" w:cstheme="minorHAnsi"/>
                <w:noProof/>
                <w:webHidden/>
                <w:sz w:val="18"/>
                <w:szCs w:val="18"/>
              </w:rPr>
              <w:fldChar w:fldCharType="end"/>
            </w:r>
          </w:hyperlink>
        </w:p>
        <w:p w14:paraId="76A29524" w14:textId="59FEA6F1" w:rsidR="003A093B" w:rsidRPr="003A093B" w:rsidRDefault="005F7F5E" w:rsidP="003A093B">
          <w:pPr>
            <w:pStyle w:val="TOC1"/>
            <w:spacing w:before="16" w:after="16" w:line="240" w:lineRule="auto"/>
            <w:rPr>
              <w:rFonts w:asciiTheme="minorHAnsi" w:eastAsiaTheme="minorEastAsia" w:hAnsiTheme="minorHAnsi" w:cstheme="minorHAnsi"/>
              <w:noProof/>
              <w:spacing w:val="0"/>
              <w:sz w:val="18"/>
              <w:szCs w:val="18"/>
            </w:rPr>
          </w:pPr>
          <w:hyperlink w:anchor="_Toc144385533" w:history="1">
            <w:r w:rsidR="003A093B" w:rsidRPr="003A093B">
              <w:rPr>
                <w:rStyle w:val="Hyperlink"/>
                <w:rFonts w:asciiTheme="minorHAnsi" w:eastAsiaTheme="majorEastAsia" w:hAnsiTheme="minorHAnsi" w:cstheme="minorHAnsi"/>
                <w:noProof/>
                <w:sz w:val="18"/>
                <w:szCs w:val="18"/>
              </w:rPr>
              <w:t>Our Integrity</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_Toc144385533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6</w:t>
            </w:r>
            <w:r w:rsidR="003A093B" w:rsidRPr="003A093B">
              <w:rPr>
                <w:rFonts w:asciiTheme="minorHAnsi" w:hAnsiTheme="minorHAnsi" w:cstheme="minorHAnsi"/>
                <w:noProof/>
                <w:webHidden/>
                <w:sz w:val="18"/>
                <w:szCs w:val="18"/>
              </w:rPr>
              <w:fldChar w:fldCharType="end"/>
            </w:r>
          </w:hyperlink>
        </w:p>
        <w:p w14:paraId="56406E74" w14:textId="44589BA3" w:rsidR="003A093B" w:rsidRPr="003A093B" w:rsidRDefault="005F7F5E" w:rsidP="003A093B">
          <w:pPr>
            <w:pStyle w:val="TOC1"/>
            <w:spacing w:before="16" w:after="16" w:line="240" w:lineRule="auto"/>
            <w:rPr>
              <w:rFonts w:asciiTheme="minorHAnsi" w:eastAsiaTheme="minorEastAsia" w:hAnsiTheme="minorHAnsi" w:cstheme="minorHAnsi"/>
              <w:noProof/>
              <w:spacing w:val="0"/>
              <w:sz w:val="18"/>
              <w:szCs w:val="18"/>
            </w:rPr>
          </w:pPr>
          <w:hyperlink w:anchor="_Toc144385534" w:history="1">
            <w:r w:rsidR="003A093B" w:rsidRPr="003A093B">
              <w:rPr>
                <w:rStyle w:val="Hyperlink"/>
                <w:rFonts w:asciiTheme="minorHAnsi" w:eastAsiaTheme="majorEastAsia" w:hAnsiTheme="minorHAnsi" w:cstheme="minorHAnsi"/>
                <w:noProof/>
                <w:sz w:val="18"/>
                <w:szCs w:val="18"/>
              </w:rPr>
              <w:t>Our outcomes</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_Toc144385534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7</w:t>
            </w:r>
            <w:r w:rsidR="003A093B" w:rsidRPr="003A093B">
              <w:rPr>
                <w:rFonts w:asciiTheme="minorHAnsi" w:hAnsiTheme="minorHAnsi" w:cstheme="minorHAnsi"/>
                <w:noProof/>
                <w:webHidden/>
                <w:sz w:val="18"/>
                <w:szCs w:val="18"/>
              </w:rPr>
              <w:fldChar w:fldCharType="end"/>
            </w:r>
          </w:hyperlink>
        </w:p>
        <w:p w14:paraId="00DA3308" w14:textId="3A43DBD3" w:rsidR="003A093B" w:rsidRPr="003A093B" w:rsidRDefault="005F7F5E" w:rsidP="003A093B">
          <w:pPr>
            <w:pStyle w:val="TOC1"/>
            <w:spacing w:before="16" w:after="16" w:line="240" w:lineRule="auto"/>
            <w:rPr>
              <w:rFonts w:asciiTheme="minorHAnsi" w:eastAsiaTheme="minorEastAsia" w:hAnsiTheme="minorHAnsi" w:cstheme="minorHAnsi"/>
              <w:noProof/>
              <w:spacing w:val="0"/>
              <w:sz w:val="18"/>
              <w:szCs w:val="18"/>
            </w:rPr>
          </w:pPr>
          <w:hyperlink w:anchor="_Toc144385535" w:history="1">
            <w:r w:rsidR="003A093B" w:rsidRPr="003A093B">
              <w:rPr>
                <w:rStyle w:val="Hyperlink"/>
                <w:rFonts w:asciiTheme="minorHAnsi" w:eastAsiaTheme="majorEastAsia" w:hAnsiTheme="minorHAnsi" w:cstheme="minorHAnsi"/>
                <w:noProof/>
                <w:sz w:val="18"/>
                <w:szCs w:val="18"/>
              </w:rPr>
              <w:t>Operational Context</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_Toc144385535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7</w:t>
            </w:r>
            <w:r w:rsidR="003A093B" w:rsidRPr="003A093B">
              <w:rPr>
                <w:rFonts w:asciiTheme="minorHAnsi" w:hAnsiTheme="minorHAnsi" w:cstheme="minorHAnsi"/>
                <w:noProof/>
                <w:webHidden/>
                <w:sz w:val="18"/>
                <w:szCs w:val="18"/>
              </w:rPr>
              <w:fldChar w:fldCharType="end"/>
            </w:r>
          </w:hyperlink>
        </w:p>
        <w:p w14:paraId="4DE47A0B" w14:textId="52776E26" w:rsidR="003A093B" w:rsidRPr="003A093B" w:rsidRDefault="005F7F5E" w:rsidP="003A093B">
          <w:pPr>
            <w:pStyle w:val="TOC1"/>
            <w:spacing w:before="16" w:after="16" w:line="240" w:lineRule="auto"/>
            <w:rPr>
              <w:rFonts w:asciiTheme="minorHAnsi" w:eastAsiaTheme="minorEastAsia" w:hAnsiTheme="minorHAnsi" w:cstheme="minorHAnsi"/>
              <w:noProof/>
              <w:spacing w:val="0"/>
              <w:sz w:val="18"/>
              <w:szCs w:val="18"/>
            </w:rPr>
          </w:pPr>
          <w:hyperlink w:anchor="_Toc144385536" w:history="1">
            <w:r w:rsidR="003A093B" w:rsidRPr="003A093B">
              <w:rPr>
                <w:rStyle w:val="Hyperlink"/>
                <w:rFonts w:asciiTheme="minorHAnsi" w:eastAsiaTheme="majorEastAsia" w:hAnsiTheme="minorHAnsi" w:cstheme="minorHAnsi"/>
                <w:noProof/>
                <w:sz w:val="18"/>
                <w:szCs w:val="18"/>
              </w:rPr>
              <w:t>Our structure</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_Toc144385536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8</w:t>
            </w:r>
            <w:r w:rsidR="003A093B" w:rsidRPr="003A093B">
              <w:rPr>
                <w:rFonts w:asciiTheme="minorHAnsi" w:hAnsiTheme="minorHAnsi" w:cstheme="minorHAnsi"/>
                <w:noProof/>
                <w:webHidden/>
                <w:sz w:val="18"/>
                <w:szCs w:val="18"/>
              </w:rPr>
              <w:fldChar w:fldCharType="end"/>
            </w:r>
          </w:hyperlink>
        </w:p>
        <w:p w14:paraId="512AE46B" w14:textId="321A4A9C"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37" w:history="1">
            <w:r w:rsidR="003A093B" w:rsidRPr="003A093B">
              <w:rPr>
                <w:rStyle w:val="Hyperlink"/>
                <w:rFonts w:asciiTheme="minorHAnsi" w:eastAsiaTheme="majorEastAsia" w:hAnsiTheme="minorHAnsi" w:cstheme="minorHAnsi"/>
                <w:noProof/>
                <w:sz w:val="18"/>
                <w:szCs w:val="18"/>
              </w:rPr>
              <w:t>Our environment</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_Toc144385537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8</w:t>
            </w:r>
            <w:r w:rsidR="003A093B" w:rsidRPr="003A093B">
              <w:rPr>
                <w:rFonts w:asciiTheme="minorHAnsi" w:hAnsiTheme="minorHAnsi" w:cstheme="minorHAnsi"/>
                <w:noProof/>
                <w:webHidden/>
                <w:sz w:val="18"/>
                <w:szCs w:val="18"/>
              </w:rPr>
              <w:fldChar w:fldCharType="end"/>
            </w:r>
          </w:hyperlink>
        </w:p>
        <w:p w14:paraId="7589BBCD" w14:textId="4D8D5ADD"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38" w:history="1">
            <w:r w:rsidR="003A093B" w:rsidRPr="003A093B">
              <w:rPr>
                <w:rStyle w:val="Hyperlink"/>
                <w:rFonts w:asciiTheme="minorHAnsi" w:eastAsiaTheme="majorEastAsia" w:hAnsiTheme="minorHAnsi" w:cstheme="minorHAnsi"/>
                <w:noProof/>
                <w:sz w:val="18"/>
                <w:szCs w:val="18"/>
              </w:rPr>
              <w:t>Cost of living</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_Toc144385538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8</w:t>
            </w:r>
            <w:r w:rsidR="003A093B" w:rsidRPr="003A093B">
              <w:rPr>
                <w:rFonts w:asciiTheme="minorHAnsi" w:hAnsiTheme="minorHAnsi" w:cstheme="minorHAnsi"/>
                <w:noProof/>
                <w:webHidden/>
                <w:sz w:val="18"/>
                <w:szCs w:val="18"/>
              </w:rPr>
              <w:fldChar w:fldCharType="end"/>
            </w:r>
          </w:hyperlink>
        </w:p>
        <w:p w14:paraId="3FF6ACFF" w14:textId="34F0C90E"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39" w:history="1">
            <w:r w:rsidR="003A093B" w:rsidRPr="003A093B">
              <w:rPr>
                <w:rStyle w:val="Hyperlink"/>
                <w:rFonts w:asciiTheme="minorHAnsi" w:eastAsiaTheme="majorEastAsia" w:hAnsiTheme="minorHAnsi" w:cstheme="minorHAnsi"/>
                <w:noProof/>
                <w:sz w:val="18"/>
                <w:szCs w:val="18"/>
              </w:rPr>
              <w:t>COVID-19</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_Toc144385539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9</w:t>
            </w:r>
            <w:r w:rsidR="003A093B" w:rsidRPr="003A093B">
              <w:rPr>
                <w:rFonts w:asciiTheme="minorHAnsi" w:hAnsiTheme="minorHAnsi" w:cstheme="minorHAnsi"/>
                <w:noProof/>
                <w:webHidden/>
                <w:sz w:val="18"/>
                <w:szCs w:val="18"/>
              </w:rPr>
              <w:fldChar w:fldCharType="end"/>
            </w:r>
          </w:hyperlink>
        </w:p>
        <w:p w14:paraId="7557807C" w14:textId="712E7119"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40" w:history="1">
            <w:r w:rsidR="003A093B" w:rsidRPr="003A093B">
              <w:rPr>
                <w:rStyle w:val="Hyperlink"/>
                <w:rFonts w:asciiTheme="minorHAnsi" w:eastAsiaTheme="majorEastAsia" w:hAnsiTheme="minorHAnsi" w:cstheme="minorHAnsi"/>
                <w:noProof/>
                <w:sz w:val="18"/>
                <w:szCs w:val="18"/>
              </w:rPr>
              <w:t>Natural disasters</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_Toc144385540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9</w:t>
            </w:r>
            <w:r w:rsidR="003A093B" w:rsidRPr="003A093B">
              <w:rPr>
                <w:rFonts w:asciiTheme="minorHAnsi" w:hAnsiTheme="minorHAnsi" w:cstheme="minorHAnsi"/>
                <w:noProof/>
                <w:webHidden/>
                <w:sz w:val="18"/>
                <w:szCs w:val="18"/>
              </w:rPr>
              <w:fldChar w:fldCharType="end"/>
            </w:r>
          </w:hyperlink>
        </w:p>
        <w:p w14:paraId="38E90AAF" w14:textId="6184E89C"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41" w:history="1">
            <w:r w:rsidR="003A093B" w:rsidRPr="003A093B">
              <w:rPr>
                <w:rStyle w:val="Hyperlink"/>
                <w:rFonts w:asciiTheme="minorHAnsi" w:eastAsiaTheme="majorEastAsia" w:hAnsiTheme="minorHAnsi" w:cstheme="minorHAnsi"/>
                <w:noProof/>
                <w:sz w:val="18"/>
                <w:szCs w:val="18"/>
              </w:rPr>
              <w:t>Longer life expectancy</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_Toc144385541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9</w:t>
            </w:r>
            <w:r w:rsidR="003A093B" w:rsidRPr="003A093B">
              <w:rPr>
                <w:rFonts w:asciiTheme="minorHAnsi" w:hAnsiTheme="minorHAnsi" w:cstheme="minorHAnsi"/>
                <w:noProof/>
                <w:webHidden/>
                <w:sz w:val="18"/>
                <w:szCs w:val="18"/>
              </w:rPr>
              <w:fldChar w:fldCharType="end"/>
            </w:r>
          </w:hyperlink>
        </w:p>
        <w:p w14:paraId="5F4BBC4E" w14:textId="24EB9AB2"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42" w:history="1">
            <w:r w:rsidR="003A093B" w:rsidRPr="003A093B">
              <w:rPr>
                <w:rStyle w:val="Hyperlink"/>
                <w:rFonts w:asciiTheme="minorHAnsi" w:eastAsiaTheme="majorEastAsia" w:hAnsiTheme="minorHAnsi" w:cstheme="minorHAnsi"/>
                <w:noProof/>
                <w:sz w:val="18"/>
                <w:szCs w:val="18"/>
              </w:rPr>
              <w:t>Reconciliation</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_Toc144385542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9</w:t>
            </w:r>
            <w:r w:rsidR="003A093B" w:rsidRPr="003A093B">
              <w:rPr>
                <w:rFonts w:asciiTheme="minorHAnsi" w:hAnsiTheme="minorHAnsi" w:cstheme="minorHAnsi"/>
                <w:noProof/>
                <w:webHidden/>
                <w:sz w:val="18"/>
                <w:szCs w:val="18"/>
              </w:rPr>
              <w:fldChar w:fldCharType="end"/>
            </w:r>
          </w:hyperlink>
        </w:p>
        <w:p w14:paraId="7783E947" w14:textId="29F99F71"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43" w:history="1">
            <w:r w:rsidR="003A093B" w:rsidRPr="003A093B">
              <w:rPr>
                <w:rStyle w:val="Hyperlink"/>
                <w:rFonts w:asciiTheme="minorHAnsi" w:eastAsiaTheme="majorEastAsia" w:hAnsiTheme="minorHAnsi" w:cstheme="minorHAnsi"/>
                <w:noProof/>
                <w:sz w:val="18"/>
                <w:szCs w:val="18"/>
              </w:rPr>
              <w:t>Workforce</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_Toc144385543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9</w:t>
            </w:r>
            <w:r w:rsidR="003A093B" w:rsidRPr="003A093B">
              <w:rPr>
                <w:rFonts w:asciiTheme="minorHAnsi" w:hAnsiTheme="minorHAnsi" w:cstheme="minorHAnsi"/>
                <w:noProof/>
                <w:webHidden/>
                <w:sz w:val="18"/>
                <w:szCs w:val="18"/>
              </w:rPr>
              <w:fldChar w:fldCharType="end"/>
            </w:r>
          </w:hyperlink>
        </w:p>
        <w:p w14:paraId="1A994D0B" w14:textId="3F960C92"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44" w:history="1">
            <w:r w:rsidR="003A093B" w:rsidRPr="003A093B">
              <w:rPr>
                <w:rStyle w:val="Hyperlink"/>
                <w:rFonts w:asciiTheme="minorHAnsi" w:eastAsiaTheme="majorEastAsia" w:hAnsiTheme="minorHAnsi" w:cstheme="minorHAnsi"/>
                <w:noProof/>
                <w:sz w:val="18"/>
                <w:szCs w:val="18"/>
              </w:rPr>
              <w:t>Collaboration</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_Toc144385544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10</w:t>
            </w:r>
            <w:r w:rsidR="003A093B" w:rsidRPr="003A093B">
              <w:rPr>
                <w:rFonts w:asciiTheme="minorHAnsi" w:hAnsiTheme="minorHAnsi" w:cstheme="minorHAnsi"/>
                <w:noProof/>
                <w:webHidden/>
                <w:sz w:val="18"/>
                <w:szCs w:val="18"/>
              </w:rPr>
              <w:fldChar w:fldCharType="end"/>
            </w:r>
          </w:hyperlink>
        </w:p>
        <w:p w14:paraId="062D6967" w14:textId="470ABC4A" w:rsidR="003A093B" w:rsidRPr="003A093B" w:rsidRDefault="005F7F5E" w:rsidP="003A093B">
          <w:pPr>
            <w:pStyle w:val="TOC1"/>
            <w:spacing w:before="16" w:after="16" w:line="240" w:lineRule="auto"/>
            <w:rPr>
              <w:rFonts w:asciiTheme="minorHAnsi" w:eastAsiaTheme="minorEastAsia" w:hAnsiTheme="minorHAnsi" w:cstheme="minorHAnsi"/>
              <w:noProof/>
              <w:spacing w:val="0"/>
              <w:sz w:val="18"/>
              <w:szCs w:val="18"/>
            </w:rPr>
          </w:pPr>
          <w:hyperlink w:anchor="_Toc144385545" w:history="1">
            <w:r w:rsidR="003A093B" w:rsidRPr="003A093B">
              <w:rPr>
                <w:rStyle w:val="Hyperlink"/>
                <w:rFonts w:asciiTheme="minorHAnsi" w:eastAsiaTheme="majorEastAsia" w:hAnsiTheme="minorHAnsi" w:cstheme="minorHAnsi"/>
                <w:noProof/>
                <w:sz w:val="18"/>
                <w:szCs w:val="18"/>
              </w:rPr>
              <w:t>Cross government priorities</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_Toc144385545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10</w:t>
            </w:r>
            <w:r w:rsidR="003A093B" w:rsidRPr="003A093B">
              <w:rPr>
                <w:rFonts w:asciiTheme="minorHAnsi" w:hAnsiTheme="minorHAnsi" w:cstheme="minorHAnsi"/>
                <w:noProof/>
                <w:webHidden/>
                <w:sz w:val="18"/>
                <w:szCs w:val="18"/>
              </w:rPr>
              <w:fldChar w:fldCharType="end"/>
            </w:r>
          </w:hyperlink>
        </w:p>
        <w:p w14:paraId="1731560F" w14:textId="7744676E"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46" w:history="1">
            <w:r w:rsidR="003A093B" w:rsidRPr="003A093B">
              <w:rPr>
                <w:rStyle w:val="Hyperlink"/>
                <w:rFonts w:asciiTheme="minorHAnsi" w:eastAsiaTheme="majorEastAsia" w:hAnsiTheme="minorHAnsi" w:cstheme="minorHAnsi"/>
                <w:noProof/>
                <w:sz w:val="18"/>
                <w:szCs w:val="18"/>
              </w:rPr>
              <w:t>Australia’s Disability Strategy 2021-2031</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_Toc144385546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10</w:t>
            </w:r>
            <w:r w:rsidR="003A093B" w:rsidRPr="003A093B">
              <w:rPr>
                <w:rFonts w:asciiTheme="minorHAnsi" w:hAnsiTheme="minorHAnsi" w:cstheme="minorHAnsi"/>
                <w:noProof/>
                <w:webHidden/>
                <w:sz w:val="18"/>
                <w:szCs w:val="18"/>
              </w:rPr>
              <w:fldChar w:fldCharType="end"/>
            </w:r>
          </w:hyperlink>
        </w:p>
        <w:p w14:paraId="5ABF356B" w14:textId="516FF043"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47" w:history="1">
            <w:r w:rsidR="003A093B" w:rsidRPr="003A093B">
              <w:rPr>
                <w:rStyle w:val="Hyperlink"/>
                <w:rFonts w:asciiTheme="minorHAnsi" w:eastAsiaTheme="majorEastAsia" w:hAnsiTheme="minorHAnsi" w:cstheme="minorHAnsi"/>
                <w:noProof/>
                <w:sz w:val="18"/>
                <w:szCs w:val="18"/>
              </w:rPr>
              <w:t>The National Agreement on Closing the Gap</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_Toc144385547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11</w:t>
            </w:r>
            <w:r w:rsidR="003A093B" w:rsidRPr="003A093B">
              <w:rPr>
                <w:rFonts w:asciiTheme="minorHAnsi" w:hAnsiTheme="minorHAnsi" w:cstheme="minorHAnsi"/>
                <w:noProof/>
                <w:webHidden/>
                <w:sz w:val="18"/>
                <w:szCs w:val="18"/>
              </w:rPr>
              <w:fldChar w:fldCharType="end"/>
            </w:r>
          </w:hyperlink>
        </w:p>
        <w:p w14:paraId="74713E02" w14:textId="7E2790AE"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48" w:history="1">
            <w:r w:rsidR="003A093B" w:rsidRPr="003A093B">
              <w:rPr>
                <w:rStyle w:val="Hyperlink"/>
                <w:rFonts w:asciiTheme="minorHAnsi" w:eastAsiaTheme="majorEastAsia" w:hAnsiTheme="minorHAnsi" w:cstheme="minorHAnsi"/>
                <w:noProof/>
                <w:sz w:val="18"/>
                <w:szCs w:val="18"/>
              </w:rPr>
              <w:t>Safe &amp; Supported: the National Framework for Protecting Australia’s Children 2021-2031</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_Toc144385548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12</w:t>
            </w:r>
            <w:r w:rsidR="003A093B" w:rsidRPr="003A093B">
              <w:rPr>
                <w:rFonts w:asciiTheme="minorHAnsi" w:hAnsiTheme="minorHAnsi" w:cstheme="minorHAnsi"/>
                <w:noProof/>
                <w:webHidden/>
                <w:sz w:val="18"/>
                <w:szCs w:val="18"/>
              </w:rPr>
              <w:fldChar w:fldCharType="end"/>
            </w:r>
          </w:hyperlink>
        </w:p>
        <w:p w14:paraId="3764C166" w14:textId="771C0FB4"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49" w:history="1">
            <w:r w:rsidR="003A093B" w:rsidRPr="003A093B">
              <w:rPr>
                <w:rStyle w:val="Hyperlink"/>
                <w:rFonts w:asciiTheme="minorHAnsi" w:eastAsiaTheme="majorEastAsia" w:hAnsiTheme="minorHAnsi" w:cstheme="minorHAnsi"/>
                <w:noProof/>
                <w:sz w:val="18"/>
                <w:szCs w:val="18"/>
              </w:rPr>
              <w:t>The National Plan to End Violence against Women and Children 2022-2032</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_Toc144385549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12</w:t>
            </w:r>
            <w:r w:rsidR="003A093B" w:rsidRPr="003A093B">
              <w:rPr>
                <w:rFonts w:asciiTheme="minorHAnsi" w:hAnsiTheme="minorHAnsi" w:cstheme="minorHAnsi"/>
                <w:noProof/>
                <w:webHidden/>
                <w:sz w:val="18"/>
                <w:szCs w:val="18"/>
              </w:rPr>
              <w:fldChar w:fldCharType="end"/>
            </w:r>
          </w:hyperlink>
        </w:p>
        <w:p w14:paraId="2F5C2479" w14:textId="534705B9" w:rsidR="003A093B" w:rsidRPr="003A093B" w:rsidRDefault="005F7F5E" w:rsidP="003A093B">
          <w:pPr>
            <w:pStyle w:val="TOC1"/>
            <w:spacing w:before="16" w:after="16" w:line="240" w:lineRule="auto"/>
            <w:rPr>
              <w:rFonts w:asciiTheme="minorHAnsi" w:eastAsiaTheme="minorEastAsia" w:hAnsiTheme="minorHAnsi" w:cstheme="minorHAnsi"/>
              <w:noProof/>
              <w:spacing w:val="0"/>
              <w:sz w:val="18"/>
              <w:szCs w:val="18"/>
            </w:rPr>
          </w:pPr>
          <w:hyperlink w:anchor="_Toc144385550" w:history="1">
            <w:r w:rsidR="003A093B" w:rsidRPr="003A093B">
              <w:rPr>
                <w:rStyle w:val="Hyperlink"/>
                <w:rFonts w:asciiTheme="minorHAnsi" w:eastAsiaTheme="majorEastAsia" w:hAnsiTheme="minorHAnsi" w:cstheme="minorHAnsi"/>
                <w:noProof/>
                <w:sz w:val="18"/>
                <w:szCs w:val="18"/>
              </w:rPr>
              <w:t>Our portfolio agencies</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_Toc144385550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13</w:t>
            </w:r>
            <w:r w:rsidR="003A093B" w:rsidRPr="003A093B">
              <w:rPr>
                <w:rFonts w:asciiTheme="minorHAnsi" w:hAnsiTheme="minorHAnsi" w:cstheme="minorHAnsi"/>
                <w:noProof/>
                <w:webHidden/>
                <w:sz w:val="18"/>
                <w:szCs w:val="18"/>
              </w:rPr>
              <w:fldChar w:fldCharType="end"/>
            </w:r>
          </w:hyperlink>
        </w:p>
        <w:p w14:paraId="7CEFF531" w14:textId="0C458432"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51" w:history="1">
            <w:r w:rsidR="003A093B" w:rsidRPr="003A093B">
              <w:rPr>
                <w:rStyle w:val="Hyperlink"/>
                <w:rFonts w:asciiTheme="minorHAnsi" w:eastAsiaTheme="majorEastAsia" w:hAnsiTheme="minorHAnsi" w:cstheme="minorHAnsi"/>
                <w:noProof/>
                <w:sz w:val="18"/>
                <w:szCs w:val="18"/>
                <w:lang w:val="en"/>
              </w:rPr>
              <w:t>Australian Institute of Family Studies</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_Toc144385551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13</w:t>
            </w:r>
            <w:r w:rsidR="003A093B" w:rsidRPr="003A093B">
              <w:rPr>
                <w:rFonts w:asciiTheme="minorHAnsi" w:hAnsiTheme="minorHAnsi" w:cstheme="minorHAnsi"/>
                <w:noProof/>
                <w:webHidden/>
                <w:sz w:val="18"/>
                <w:szCs w:val="18"/>
              </w:rPr>
              <w:fldChar w:fldCharType="end"/>
            </w:r>
          </w:hyperlink>
        </w:p>
        <w:p w14:paraId="1C9E64B2" w14:textId="64A11587"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52" w:history="1">
            <w:r w:rsidR="003A093B" w:rsidRPr="003A093B">
              <w:rPr>
                <w:rStyle w:val="Hyperlink"/>
                <w:rFonts w:asciiTheme="minorHAnsi" w:eastAsiaTheme="majorEastAsia" w:hAnsiTheme="minorHAnsi" w:cstheme="minorHAnsi"/>
                <w:noProof/>
                <w:sz w:val="18"/>
                <w:szCs w:val="18"/>
              </w:rPr>
              <w:t>National Disability Insurance Agency</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_Toc144385552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13</w:t>
            </w:r>
            <w:r w:rsidR="003A093B" w:rsidRPr="003A093B">
              <w:rPr>
                <w:rFonts w:asciiTheme="minorHAnsi" w:hAnsiTheme="minorHAnsi" w:cstheme="minorHAnsi"/>
                <w:noProof/>
                <w:webHidden/>
                <w:sz w:val="18"/>
                <w:szCs w:val="18"/>
              </w:rPr>
              <w:fldChar w:fldCharType="end"/>
            </w:r>
          </w:hyperlink>
        </w:p>
        <w:p w14:paraId="0389B8F0" w14:textId="7DCE5B1A"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53" w:history="1">
            <w:r w:rsidR="003A093B" w:rsidRPr="003A093B">
              <w:rPr>
                <w:rStyle w:val="Hyperlink"/>
                <w:rFonts w:asciiTheme="minorHAnsi" w:eastAsiaTheme="majorEastAsia" w:hAnsiTheme="minorHAnsi" w:cstheme="minorHAnsi"/>
                <w:noProof/>
                <w:sz w:val="18"/>
                <w:szCs w:val="18"/>
              </w:rPr>
              <w:t>NDIS Quality and Safeguards Commission</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_Toc144385553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13</w:t>
            </w:r>
            <w:r w:rsidR="003A093B" w:rsidRPr="003A093B">
              <w:rPr>
                <w:rFonts w:asciiTheme="minorHAnsi" w:hAnsiTheme="minorHAnsi" w:cstheme="minorHAnsi"/>
                <w:noProof/>
                <w:webHidden/>
                <w:sz w:val="18"/>
                <w:szCs w:val="18"/>
              </w:rPr>
              <w:fldChar w:fldCharType="end"/>
            </w:r>
          </w:hyperlink>
        </w:p>
        <w:p w14:paraId="55889279" w14:textId="74145D29"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54" w:history="1">
            <w:r w:rsidR="003A093B" w:rsidRPr="003A093B">
              <w:rPr>
                <w:rStyle w:val="Hyperlink"/>
                <w:rFonts w:asciiTheme="minorHAnsi" w:eastAsiaTheme="majorEastAsia" w:hAnsiTheme="minorHAnsi" w:cstheme="minorHAnsi"/>
                <w:noProof/>
                <w:sz w:val="18"/>
                <w:szCs w:val="18"/>
              </w:rPr>
              <w:t>Services Australia</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_Toc144385554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13</w:t>
            </w:r>
            <w:r w:rsidR="003A093B" w:rsidRPr="003A093B">
              <w:rPr>
                <w:rFonts w:asciiTheme="minorHAnsi" w:hAnsiTheme="minorHAnsi" w:cstheme="minorHAnsi"/>
                <w:noProof/>
                <w:webHidden/>
                <w:sz w:val="18"/>
                <w:szCs w:val="18"/>
              </w:rPr>
              <w:fldChar w:fldCharType="end"/>
            </w:r>
          </w:hyperlink>
        </w:p>
        <w:p w14:paraId="73680A24" w14:textId="5582A559"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55" w:history="1">
            <w:r w:rsidR="003A093B" w:rsidRPr="003A093B">
              <w:rPr>
                <w:rStyle w:val="Hyperlink"/>
                <w:rFonts w:asciiTheme="minorHAnsi" w:eastAsiaTheme="majorEastAsia" w:hAnsiTheme="minorHAnsi" w:cstheme="minorHAnsi"/>
                <w:noProof/>
                <w:sz w:val="18"/>
                <w:szCs w:val="18"/>
              </w:rPr>
              <w:t>Hearing Australia</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_Toc144385555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13</w:t>
            </w:r>
            <w:r w:rsidR="003A093B" w:rsidRPr="003A093B">
              <w:rPr>
                <w:rFonts w:asciiTheme="minorHAnsi" w:hAnsiTheme="minorHAnsi" w:cstheme="minorHAnsi"/>
                <w:noProof/>
                <w:webHidden/>
                <w:sz w:val="18"/>
                <w:szCs w:val="18"/>
              </w:rPr>
              <w:fldChar w:fldCharType="end"/>
            </w:r>
          </w:hyperlink>
        </w:p>
        <w:p w14:paraId="7959ED47" w14:textId="0C1AE421"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56" w:history="1">
            <w:r w:rsidR="003A093B" w:rsidRPr="003A093B">
              <w:rPr>
                <w:rStyle w:val="Hyperlink"/>
                <w:rFonts w:asciiTheme="minorHAnsi" w:eastAsiaTheme="majorEastAsia" w:hAnsiTheme="minorHAnsi" w:cstheme="minorHAnsi"/>
                <w:noProof/>
                <w:sz w:val="18"/>
                <w:szCs w:val="18"/>
              </w:rPr>
              <w:t>Domestic, Family and Sexual Violence Commission</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_Toc144385556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13</w:t>
            </w:r>
            <w:r w:rsidR="003A093B" w:rsidRPr="003A093B">
              <w:rPr>
                <w:rFonts w:asciiTheme="minorHAnsi" w:hAnsiTheme="minorHAnsi" w:cstheme="minorHAnsi"/>
                <w:noProof/>
                <w:webHidden/>
                <w:sz w:val="18"/>
                <w:szCs w:val="18"/>
              </w:rPr>
              <w:fldChar w:fldCharType="end"/>
            </w:r>
          </w:hyperlink>
        </w:p>
        <w:p w14:paraId="09F0B3B5" w14:textId="0839E79A" w:rsidR="003A093B" w:rsidRPr="003A093B" w:rsidRDefault="005F7F5E" w:rsidP="003A093B">
          <w:pPr>
            <w:pStyle w:val="TOC1"/>
            <w:spacing w:before="16" w:after="16" w:line="240" w:lineRule="auto"/>
            <w:rPr>
              <w:rFonts w:asciiTheme="minorHAnsi" w:eastAsiaTheme="minorEastAsia" w:hAnsiTheme="minorHAnsi" w:cstheme="minorHAnsi"/>
              <w:noProof/>
              <w:spacing w:val="0"/>
              <w:sz w:val="18"/>
              <w:szCs w:val="18"/>
            </w:rPr>
          </w:pPr>
          <w:hyperlink w:anchor="_Toc144385557" w:history="1">
            <w:r w:rsidR="003A093B" w:rsidRPr="003A093B">
              <w:rPr>
                <w:rStyle w:val="Hyperlink"/>
                <w:rFonts w:asciiTheme="minorHAnsi" w:eastAsiaTheme="majorEastAsia" w:hAnsiTheme="minorHAnsi" w:cstheme="minorHAnsi"/>
                <w:noProof/>
                <w:sz w:val="18"/>
                <w:szCs w:val="18"/>
              </w:rPr>
              <w:t>Our capability</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_Toc144385557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14</w:t>
            </w:r>
            <w:r w:rsidR="003A093B" w:rsidRPr="003A093B">
              <w:rPr>
                <w:rFonts w:asciiTheme="minorHAnsi" w:hAnsiTheme="minorHAnsi" w:cstheme="minorHAnsi"/>
                <w:noProof/>
                <w:webHidden/>
                <w:sz w:val="18"/>
                <w:szCs w:val="18"/>
              </w:rPr>
              <w:fldChar w:fldCharType="end"/>
            </w:r>
          </w:hyperlink>
        </w:p>
        <w:p w14:paraId="722AE46B" w14:textId="555FA2A1"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58" w:history="1">
            <w:r w:rsidR="003A093B" w:rsidRPr="003A093B">
              <w:rPr>
                <w:rStyle w:val="Hyperlink"/>
                <w:rFonts w:asciiTheme="minorHAnsi" w:eastAsiaTheme="majorEastAsia" w:hAnsiTheme="minorHAnsi" w:cstheme="minorHAnsi"/>
                <w:noProof/>
                <w:sz w:val="18"/>
                <w:szCs w:val="18"/>
              </w:rPr>
              <w:t>Our workforce</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_Toc144385558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14</w:t>
            </w:r>
            <w:r w:rsidR="003A093B" w:rsidRPr="003A093B">
              <w:rPr>
                <w:rFonts w:asciiTheme="minorHAnsi" w:hAnsiTheme="minorHAnsi" w:cstheme="minorHAnsi"/>
                <w:noProof/>
                <w:webHidden/>
                <w:sz w:val="18"/>
                <w:szCs w:val="18"/>
              </w:rPr>
              <w:fldChar w:fldCharType="end"/>
            </w:r>
          </w:hyperlink>
        </w:p>
        <w:p w14:paraId="7289C984" w14:textId="75FB24AF"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59" w:history="1">
            <w:r w:rsidR="003A093B" w:rsidRPr="003A093B">
              <w:rPr>
                <w:rStyle w:val="Hyperlink"/>
                <w:rFonts w:asciiTheme="minorHAnsi" w:eastAsiaTheme="majorEastAsia" w:hAnsiTheme="minorHAnsi" w:cstheme="minorHAnsi"/>
                <w:noProof/>
                <w:sz w:val="18"/>
                <w:szCs w:val="18"/>
              </w:rPr>
              <w:t>Our diversity</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_Toc144385559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14</w:t>
            </w:r>
            <w:r w:rsidR="003A093B" w:rsidRPr="003A093B">
              <w:rPr>
                <w:rFonts w:asciiTheme="minorHAnsi" w:hAnsiTheme="minorHAnsi" w:cstheme="minorHAnsi"/>
                <w:noProof/>
                <w:webHidden/>
                <w:sz w:val="18"/>
                <w:szCs w:val="18"/>
              </w:rPr>
              <w:fldChar w:fldCharType="end"/>
            </w:r>
          </w:hyperlink>
        </w:p>
        <w:p w14:paraId="2B04B57B" w14:textId="313F2D14"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60" w:history="1">
            <w:r w:rsidR="003A093B" w:rsidRPr="003A093B">
              <w:rPr>
                <w:rStyle w:val="Hyperlink"/>
                <w:rFonts w:asciiTheme="minorHAnsi" w:eastAsiaTheme="majorEastAsia" w:hAnsiTheme="minorHAnsi" w:cstheme="minorHAnsi"/>
                <w:noProof/>
                <w:sz w:val="18"/>
                <w:szCs w:val="18"/>
              </w:rPr>
              <w:t>Grants capability</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_Toc144385560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15</w:t>
            </w:r>
            <w:r w:rsidR="003A093B" w:rsidRPr="003A093B">
              <w:rPr>
                <w:rFonts w:asciiTheme="minorHAnsi" w:hAnsiTheme="minorHAnsi" w:cstheme="minorHAnsi"/>
                <w:noProof/>
                <w:webHidden/>
                <w:sz w:val="18"/>
                <w:szCs w:val="18"/>
              </w:rPr>
              <w:fldChar w:fldCharType="end"/>
            </w:r>
          </w:hyperlink>
        </w:p>
        <w:p w14:paraId="6EB2F224" w14:textId="28EDC93C"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61" w:history="1">
            <w:r w:rsidR="003A093B" w:rsidRPr="003A093B">
              <w:rPr>
                <w:rStyle w:val="Hyperlink"/>
                <w:rFonts w:asciiTheme="minorHAnsi" w:eastAsiaTheme="majorEastAsia" w:hAnsiTheme="minorHAnsi" w:cstheme="minorHAnsi"/>
                <w:noProof/>
                <w:sz w:val="18"/>
                <w:szCs w:val="18"/>
              </w:rPr>
              <w:t>Data capability</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_Toc144385561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15</w:t>
            </w:r>
            <w:r w:rsidR="003A093B" w:rsidRPr="003A093B">
              <w:rPr>
                <w:rFonts w:asciiTheme="minorHAnsi" w:hAnsiTheme="minorHAnsi" w:cstheme="minorHAnsi"/>
                <w:noProof/>
                <w:webHidden/>
                <w:sz w:val="18"/>
                <w:szCs w:val="18"/>
              </w:rPr>
              <w:fldChar w:fldCharType="end"/>
            </w:r>
          </w:hyperlink>
        </w:p>
        <w:p w14:paraId="620053B3" w14:textId="573B8934"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62" w:history="1">
            <w:r w:rsidR="003A093B" w:rsidRPr="003A093B">
              <w:rPr>
                <w:rStyle w:val="Hyperlink"/>
                <w:rFonts w:asciiTheme="minorHAnsi" w:eastAsiaTheme="majorEastAsia" w:hAnsiTheme="minorHAnsi" w:cstheme="minorHAnsi"/>
                <w:noProof/>
                <w:sz w:val="18"/>
                <w:szCs w:val="18"/>
              </w:rPr>
              <w:t>Financial capability</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_Toc144385562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16</w:t>
            </w:r>
            <w:r w:rsidR="003A093B" w:rsidRPr="003A093B">
              <w:rPr>
                <w:rFonts w:asciiTheme="minorHAnsi" w:hAnsiTheme="minorHAnsi" w:cstheme="minorHAnsi"/>
                <w:noProof/>
                <w:webHidden/>
                <w:sz w:val="18"/>
                <w:szCs w:val="18"/>
              </w:rPr>
              <w:fldChar w:fldCharType="end"/>
            </w:r>
          </w:hyperlink>
        </w:p>
        <w:p w14:paraId="4197E759" w14:textId="2E4AF56C"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63" w:history="1">
            <w:r w:rsidR="003A093B" w:rsidRPr="003A093B">
              <w:rPr>
                <w:rStyle w:val="Hyperlink"/>
                <w:rFonts w:asciiTheme="minorHAnsi" w:eastAsiaTheme="majorEastAsia" w:hAnsiTheme="minorHAnsi" w:cstheme="minorHAnsi"/>
                <w:noProof/>
                <w:sz w:val="18"/>
                <w:szCs w:val="18"/>
              </w:rPr>
              <w:t>Governance capability</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_Toc144385563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16</w:t>
            </w:r>
            <w:r w:rsidR="003A093B" w:rsidRPr="003A093B">
              <w:rPr>
                <w:rFonts w:asciiTheme="minorHAnsi" w:hAnsiTheme="minorHAnsi" w:cstheme="minorHAnsi"/>
                <w:noProof/>
                <w:webHidden/>
                <w:sz w:val="18"/>
                <w:szCs w:val="18"/>
              </w:rPr>
              <w:fldChar w:fldCharType="end"/>
            </w:r>
          </w:hyperlink>
        </w:p>
        <w:p w14:paraId="7B931BB1" w14:textId="3B7451B1" w:rsidR="003A093B" w:rsidRPr="003A093B" w:rsidRDefault="005F7F5E" w:rsidP="003A093B">
          <w:pPr>
            <w:pStyle w:val="TOC1"/>
            <w:spacing w:before="16" w:after="16" w:line="240" w:lineRule="auto"/>
            <w:rPr>
              <w:rFonts w:asciiTheme="minorHAnsi" w:eastAsiaTheme="minorEastAsia" w:hAnsiTheme="minorHAnsi" w:cstheme="minorHAnsi"/>
              <w:noProof/>
              <w:spacing w:val="0"/>
              <w:sz w:val="18"/>
              <w:szCs w:val="18"/>
            </w:rPr>
          </w:pPr>
          <w:hyperlink w:anchor="_Toc144385564" w:history="1">
            <w:r w:rsidR="003A093B" w:rsidRPr="003A093B">
              <w:rPr>
                <w:rStyle w:val="Hyperlink"/>
                <w:rFonts w:asciiTheme="minorHAnsi" w:eastAsiaTheme="majorEastAsia" w:hAnsiTheme="minorHAnsi" w:cstheme="minorHAnsi"/>
                <w:noProof/>
                <w:sz w:val="18"/>
                <w:szCs w:val="18"/>
              </w:rPr>
              <w:t>Risk oversight and management</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_Toc144385564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18</w:t>
            </w:r>
            <w:r w:rsidR="003A093B" w:rsidRPr="003A093B">
              <w:rPr>
                <w:rFonts w:asciiTheme="minorHAnsi" w:hAnsiTheme="minorHAnsi" w:cstheme="minorHAnsi"/>
                <w:noProof/>
                <w:webHidden/>
                <w:sz w:val="18"/>
                <w:szCs w:val="18"/>
              </w:rPr>
              <w:fldChar w:fldCharType="end"/>
            </w:r>
          </w:hyperlink>
        </w:p>
        <w:p w14:paraId="559A57C0" w14:textId="4CB55BC7"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65" w:history="1">
            <w:r w:rsidR="003A093B" w:rsidRPr="003A093B">
              <w:rPr>
                <w:rStyle w:val="Hyperlink"/>
                <w:rFonts w:asciiTheme="minorHAnsi" w:eastAsiaTheme="majorEastAsia" w:hAnsiTheme="minorHAnsi" w:cstheme="minorHAnsi"/>
                <w:noProof/>
                <w:sz w:val="18"/>
                <w:szCs w:val="18"/>
              </w:rPr>
              <w:t>Our risk management</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_Toc144385565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18</w:t>
            </w:r>
            <w:r w:rsidR="003A093B" w:rsidRPr="003A093B">
              <w:rPr>
                <w:rFonts w:asciiTheme="minorHAnsi" w:hAnsiTheme="minorHAnsi" w:cstheme="minorHAnsi"/>
                <w:noProof/>
                <w:webHidden/>
                <w:sz w:val="18"/>
                <w:szCs w:val="18"/>
              </w:rPr>
              <w:fldChar w:fldCharType="end"/>
            </w:r>
          </w:hyperlink>
        </w:p>
        <w:p w14:paraId="1D2543BC" w14:textId="52911A51"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66" w:history="1">
            <w:r w:rsidR="003A093B" w:rsidRPr="003A093B">
              <w:rPr>
                <w:rStyle w:val="Hyperlink"/>
                <w:rFonts w:asciiTheme="minorHAnsi" w:eastAsiaTheme="majorEastAsia" w:hAnsiTheme="minorHAnsi" w:cstheme="minorHAnsi"/>
                <w:noProof/>
                <w:sz w:val="18"/>
                <w:szCs w:val="18"/>
              </w:rPr>
              <w:t>Our strategic risks</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_Toc144385566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18</w:t>
            </w:r>
            <w:r w:rsidR="003A093B" w:rsidRPr="003A093B">
              <w:rPr>
                <w:rFonts w:asciiTheme="minorHAnsi" w:hAnsiTheme="minorHAnsi" w:cstheme="minorHAnsi"/>
                <w:noProof/>
                <w:webHidden/>
                <w:sz w:val="18"/>
                <w:szCs w:val="18"/>
              </w:rPr>
              <w:fldChar w:fldCharType="end"/>
            </w:r>
          </w:hyperlink>
        </w:p>
        <w:p w14:paraId="39A434C0" w14:textId="0334513E"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67" w:history="1">
            <w:r w:rsidR="003A093B" w:rsidRPr="003A093B">
              <w:rPr>
                <w:rStyle w:val="Hyperlink"/>
                <w:rFonts w:asciiTheme="minorHAnsi" w:eastAsiaTheme="majorEastAsia" w:hAnsiTheme="minorHAnsi" w:cstheme="minorHAnsi"/>
                <w:noProof/>
                <w:sz w:val="18"/>
                <w:szCs w:val="18"/>
              </w:rPr>
              <w:t>Our risk governance</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_Toc144385567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19</w:t>
            </w:r>
            <w:r w:rsidR="003A093B" w:rsidRPr="003A093B">
              <w:rPr>
                <w:rFonts w:asciiTheme="minorHAnsi" w:hAnsiTheme="minorHAnsi" w:cstheme="minorHAnsi"/>
                <w:noProof/>
                <w:webHidden/>
                <w:sz w:val="18"/>
                <w:szCs w:val="18"/>
              </w:rPr>
              <w:fldChar w:fldCharType="end"/>
            </w:r>
          </w:hyperlink>
        </w:p>
        <w:p w14:paraId="6B887F17" w14:textId="46098E6B" w:rsidR="003A093B" w:rsidRPr="003A093B" w:rsidRDefault="005F7F5E" w:rsidP="003A093B">
          <w:pPr>
            <w:pStyle w:val="TOC1"/>
            <w:spacing w:before="16" w:after="16" w:line="240" w:lineRule="auto"/>
            <w:rPr>
              <w:rFonts w:asciiTheme="minorHAnsi" w:eastAsiaTheme="minorEastAsia" w:hAnsiTheme="minorHAnsi" w:cstheme="minorHAnsi"/>
              <w:noProof/>
              <w:spacing w:val="0"/>
              <w:sz w:val="18"/>
              <w:szCs w:val="18"/>
            </w:rPr>
          </w:pPr>
          <w:hyperlink w:anchor="_Toc144385568" w:history="1">
            <w:r w:rsidR="003A093B" w:rsidRPr="003A093B">
              <w:rPr>
                <w:rStyle w:val="Hyperlink"/>
                <w:rFonts w:asciiTheme="minorHAnsi" w:eastAsiaTheme="majorEastAsia" w:hAnsiTheme="minorHAnsi" w:cstheme="minorHAnsi"/>
                <w:noProof/>
                <w:sz w:val="18"/>
                <w:szCs w:val="18"/>
              </w:rPr>
              <w:t>Our performance</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_Toc144385568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20</w:t>
            </w:r>
            <w:r w:rsidR="003A093B" w:rsidRPr="003A093B">
              <w:rPr>
                <w:rFonts w:asciiTheme="minorHAnsi" w:hAnsiTheme="minorHAnsi" w:cstheme="minorHAnsi"/>
                <w:noProof/>
                <w:webHidden/>
                <w:sz w:val="18"/>
                <w:szCs w:val="18"/>
              </w:rPr>
              <w:fldChar w:fldCharType="end"/>
            </w:r>
          </w:hyperlink>
        </w:p>
        <w:p w14:paraId="6E809149" w14:textId="3D3A6040"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69" w:history="1">
            <w:r w:rsidR="003A093B" w:rsidRPr="003A093B">
              <w:rPr>
                <w:rStyle w:val="Hyperlink"/>
                <w:rFonts w:asciiTheme="minorHAnsi" w:eastAsiaTheme="majorEastAsia" w:hAnsiTheme="minorHAnsi" w:cstheme="minorHAnsi"/>
                <w:noProof/>
                <w:sz w:val="18"/>
                <w:szCs w:val="18"/>
              </w:rPr>
              <w:t>Key Activities</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_Toc144385569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20</w:t>
            </w:r>
            <w:r w:rsidR="003A093B" w:rsidRPr="003A093B">
              <w:rPr>
                <w:rFonts w:asciiTheme="minorHAnsi" w:hAnsiTheme="minorHAnsi" w:cstheme="minorHAnsi"/>
                <w:noProof/>
                <w:webHidden/>
                <w:sz w:val="18"/>
                <w:szCs w:val="18"/>
              </w:rPr>
              <w:fldChar w:fldCharType="end"/>
            </w:r>
          </w:hyperlink>
        </w:p>
        <w:p w14:paraId="55528824" w14:textId="110F03E9"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70" w:history="1">
            <w:r w:rsidR="003A093B" w:rsidRPr="003A093B">
              <w:rPr>
                <w:rStyle w:val="Hyperlink"/>
                <w:rFonts w:asciiTheme="minorHAnsi" w:eastAsiaTheme="majorEastAsia" w:hAnsiTheme="minorHAnsi" w:cstheme="minorHAnsi"/>
                <w:noProof/>
                <w:sz w:val="18"/>
                <w:szCs w:val="18"/>
              </w:rPr>
              <w:t>Performance and Reporting Framework</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_Toc144385570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21</w:t>
            </w:r>
            <w:r w:rsidR="003A093B" w:rsidRPr="003A093B">
              <w:rPr>
                <w:rFonts w:asciiTheme="minorHAnsi" w:hAnsiTheme="minorHAnsi" w:cstheme="minorHAnsi"/>
                <w:noProof/>
                <w:webHidden/>
                <w:sz w:val="18"/>
                <w:szCs w:val="18"/>
              </w:rPr>
              <w:fldChar w:fldCharType="end"/>
            </w:r>
          </w:hyperlink>
        </w:p>
        <w:p w14:paraId="5A3DB933" w14:textId="47AF0B72"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71" w:history="1">
            <w:r w:rsidR="003A093B" w:rsidRPr="003A093B">
              <w:rPr>
                <w:rStyle w:val="Hyperlink"/>
                <w:rFonts w:asciiTheme="minorHAnsi" w:eastAsiaTheme="majorEastAsia" w:hAnsiTheme="minorHAnsi" w:cstheme="minorHAnsi"/>
                <w:noProof/>
                <w:sz w:val="18"/>
                <w:szCs w:val="18"/>
              </w:rPr>
              <w:t>Categorising Data Sources</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_Toc144385571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22</w:t>
            </w:r>
            <w:r w:rsidR="003A093B" w:rsidRPr="003A093B">
              <w:rPr>
                <w:rFonts w:asciiTheme="minorHAnsi" w:hAnsiTheme="minorHAnsi" w:cstheme="minorHAnsi"/>
                <w:noProof/>
                <w:webHidden/>
                <w:sz w:val="18"/>
                <w:szCs w:val="18"/>
              </w:rPr>
              <w:fldChar w:fldCharType="end"/>
            </w:r>
          </w:hyperlink>
        </w:p>
        <w:p w14:paraId="0CF6B77E" w14:textId="1F32C2F6" w:rsidR="003A093B" w:rsidRPr="003A093B" w:rsidRDefault="005F7F5E" w:rsidP="003A093B">
          <w:pPr>
            <w:pStyle w:val="TOC1"/>
            <w:spacing w:before="16" w:after="16" w:line="240" w:lineRule="auto"/>
            <w:rPr>
              <w:rFonts w:asciiTheme="minorHAnsi" w:eastAsiaTheme="minorEastAsia" w:hAnsiTheme="minorHAnsi" w:cstheme="minorHAnsi"/>
              <w:noProof/>
              <w:spacing w:val="0"/>
              <w:sz w:val="18"/>
              <w:szCs w:val="18"/>
            </w:rPr>
          </w:pPr>
          <w:hyperlink w:anchor="_Toc144385572" w:history="1">
            <w:r w:rsidR="003A093B" w:rsidRPr="003A093B">
              <w:rPr>
                <w:rStyle w:val="Hyperlink"/>
                <w:rFonts w:asciiTheme="minorHAnsi" w:eastAsiaTheme="majorEastAsia" w:hAnsiTheme="minorHAnsi" w:cstheme="minorHAnsi"/>
                <w:noProof/>
                <w:sz w:val="18"/>
                <w:szCs w:val="18"/>
              </w:rPr>
              <w:t>Outcome 1: Social Security</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_Toc144385572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23</w:t>
            </w:r>
            <w:r w:rsidR="003A093B" w:rsidRPr="003A093B">
              <w:rPr>
                <w:rFonts w:asciiTheme="minorHAnsi" w:hAnsiTheme="minorHAnsi" w:cstheme="minorHAnsi"/>
                <w:noProof/>
                <w:webHidden/>
                <w:sz w:val="18"/>
                <w:szCs w:val="18"/>
              </w:rPr>
              <w:fldChar w:fldCharType="end"/>
            </w:r>
          </w:hyperlink>
        </w:p>
        <w:p w14:paraId="6FEA07B4" w14:textId="0DF34E86"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73" w:history="1">
            <w:r w:rsidR="003A093B" w:rsidRPr="003A093B">
              <w:rPr>
                <w:rStyle w:val="Hyperlink"/>
                <w:rFonts w:asciiTheme="minorHAnsi" w:eastAsiaTheme="majorEastAsia" w:hAnsiTheme="minorHAnsi" w:cstheme="minorHAnsi"/>
                <w:noProof/>
                <w:sz w:val="18"/>
                <w:szCs w:val="18"/>
              </w:rPr>
              <w:t>Programs and activities</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_Toc144385573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23</w:t>
            </w:r>
            <w:r w:rsidR="003A093B" w:rsidRPr="003A093B">
              <w:rPr>
                <w:rFonts w:asciiTheme="minorHAnsi" w:hAnsiTheme="minorHAnsi" w:cstheme="minorHAnsi"/>
                <w:noProof/>
                <w:webHidden/>
                <w:sz w:val="18"/>
                <w:szCs w:val="18"/>
              </w:rPr>
              <w:fldChar w:fldCharType="end"/>
            </w:r>
          </w:hyperlink>
        </w:p>
        <w:p w14:paraId="003687AB" w14:textId="1A32B73E" w:rsidR="003A093B" w:rsidRPr="003A093B" w:rsidRDefault="005F7F5E" w:rsidP="003A093B">
          <w:pPr>
            <w:pStyle w:val="TOC1"/>
            <w:spacing w:before="16" w:after="16" w:line="240" w:lineRule="auto"/>
            <w:rPr>
              <w:rFonts w:asciiTheme="minorHAnsi" w:eastAsiaTheme="minorEastAsia" w:hAnsiTheme="minorHAnsi" w:cstheme="minorHAnsi"/>
              <w:noProof/>
              <w:spacing w:val="0"/>
              <w:sz w:val="18"/>
              <w:szCs w:val="18"/>
            </w:rPr>
          </w:pPr>
          <w:hyperlink w:anchor="_Toc144385574" w:history="1">
            <w:r w:rsidR="003A093B" w:rsidRPr="003A093B">
              <w:rPr>
                <w:rStyle w:val="Hyperlink"/>
                <w:rFonts w:asciiTheme="minorHAnsi" w:hAnsiTheme="minorHAnsi" w:cstheme="minorHAnsi"/>
                <w:noProof/>
                <w:sz w:val="18"/>
                <w:szCs w:val="18"/>
              </w:rPr>
              <w:t>Outcome 2: Families and Communities</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_Toc144385574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43</w:t>
            </w:r>
            <w:r w:rsidR="003A093B" w:rsidRPr="003A093B">
              <w:rPr>
                <w:rFonts w:asciiTheme="minorHAnsi" w:hAnsiTheme="minorHAnsi" w:cstheme="minorHAnsi"/>
                <w:noProof/>
                <w:webHidden/>
                <w:sz w:val="18"/>
                <w:szCs w:val="18"/>
              </w:rPr>
              <w:fldChar w:fldCharType="end"/>
            </w:r>
          </w:hyperlink>
        </w:p>
        <w:p w14:paraId="46FF6797" w14:textId="40CA90C2"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75" w:history="1">
            <w:r w:rsidR="003A093B" w:rsidRPr="003A093B">
              <w:rPr>
                <w:rStyle w:val="Hyperlink"/>
                <w:rFonts w:asciiTheme="minorHAnsi" w:hAnsiTheme="minorHAnsi" w:cstheme="minorHAnsi"/>
                <w:noProof/>
                <w:sz w:val="18"/>
                <w:szCs w:val="18"/>
              </w:rPr>
              <w:t xml:space="preserve">Programs </w:t>
            </w:r>
            <w:r w:rsidR="003A093B" w:rsidRPr="003A093B">
              <w:rPr>
                <w:rStyle w:val="Hyperlink"/>
                <w:rFonts w:asciiTheme="minorHAnsi" w:eastAsiaTheme="majorEastAsia" w:hAnsiTheme="minorHAnsi" w:cstheme="minorHAnsi"/>
                <w:noProof/>
                <w:sz w:val="18"/>
                <w:szCs w:val="18"/>
              </w:rPr>
              <w:t>and</w:t>
            </w:r>
            <w:r w:rsidR="003A093B" w:rsidRPr="003A093B">
              <w:rPr>
                <w:rStyle w:val="Hyperlink"/>
                <w:rFonts w:asciiTheme="minorHAnsi" w:hAnsiTheme="minorHAnsi" w:cstheme="minorHAnsi"/>
                <w:noProof/>
                <w:sz w:val="18"/>
                <w:szCs w:val="18"/>
              </w:rPr>
              <w:t xml:space="preserve"> activities</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_Toc144385575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43</w:t>
            </w:r>
            <w:r w:rsidR="003A093B" w:rsidRPr="003A093B">
              <w:rPr>
                <w:rFonts w:asciiTheme="minorHAnsi" w:hAnsiTheme="minorHAnsi" w:cstheme="minorHAnsi"/>
                <w:noProof/>
                <w:webHidden/>
                <w:sz w:val="18"/>
                <w:szCs w:val="18"/>
              </w:rPr>
              <w:fldChar w:fldCharType="end"/>
            </w:r>
          </w:hyperlink>
        </w:p>
        <w:p w14:paraId="4F35D5BC" w14:textId="0FD328CA" w:rsidR="003A093B" w:rsidRPr="003A093B" w:rsidRDefault="005F7F5E" w:rsidP="003A093B">
          <w:pPr>
            <w:pStyle w:val="TOC1"/>
            <w:spacing w:before="16" w:after="16" w:line="240" w:lineRule="auto"/>
            <w:rPr>
              <w:rFonts w:asciiTheme="minorHAnsi" w:eastAsiaTheme="minorEastAsia" w:hAnsiTheme="minorHAnsi" w:cstheme="minorHAnsi"/>
              <w:noProof/>
              <w:spacing w:val="0"/>
              <w:sz w:val="18"/>
              <w:szCs w:val="18"/>
            </w:rPr>
          </w:pPr>
          <w:hyperlink w:anchor="_Toc144385576" w:history="1">
            <w:r w:rsidR="003A093B" w:rsidRPr="003A093B">
              <w:rPr>
                <w:rStyle w:val="Hyperlink"/>
                <w:rFonts w:asciiTheme="minorHAnsi" w:hAnsiTheme="minorHAnsi" w:cstheme="minorHAnsi"/>
                <w:noProof/>
                <w:sz w:val="18"/>
                <w:szCs w:val="18"/>
              </w:rPr>
              <w:t>Outcome 3: Disability and Carers</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_Toc144385576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56</w:t>
            </w:r>
            <w:r w:rsidR="003A093B" w:rsidRPr="003A093B">
              <w:rPr>
                <w:rFonts w:asciiTheme="minorHAnsi" w:hAnsiTheme="minorHAnsi" w:cstheme="minorHAnsi"/>
                <w:noProof/>
                <w:webHidden/>
                <w:sz w:val="18"/>
                <w:szCs w:val="18"/>
              </w:rPr>
              <w:fldChar w:fldCharType="end"/>
            </w:r>
          </w:hyperlink>
        </w:p>
        <w:p w14:paraId="5F557944" w14:textId="02BB974E"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77" w:history="1">
            <w:r w:rsidR="003A093B" w:rsidRPr="003A093B">
              <w:rPr>
                <w:rStyle w:val="Hyperlink"/>
                <w:rFonts w:asciiTheme="minorHAnsi" w:hAnsiTheme="minorHAnsi" w:cstheme="minorHAnsi"/>
                <w:noProof/>
                <w:sz w:val="18"/>
                <w:szCs w:val="18"/>
              </w:rPr>
              <w:t>Programs and activities</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_Toc144385577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56</w:t>
            </w:r>
            <w:r w:rsidR="003A093B" w:rsidRPr="003A093B">
              <w:rPr>
                <w:rFonts w:asciiTheme="minorHAnsi" w:hAnsiTheme="minorHAnsi" w:cstheme="minorHAnsi"/>
                <w:noProof/>
                <w:webHidden/>
                <w:sz w:val="18"/>
                <w:szCs w:val="18"/>
              </w:rPr>
              <w:fldChar w:fldCharType="end"/>
            </w:r>
          </w:hyperlink>
        </w:p>
        <w:p w14:paraId="6D1A1C16" w14:textId="60A66A68" w:rsidR="003A093B" w:rsidRPr="003A093B" w:rsidRDefault="005F7F5E" w:rsidP="003A093B">
          <w:pPr>
            <w:pStyle w:val="TOC1"/>
            <w:spacing w:before="16" w:after="16" w:line="240" w:lineRule="auto"/>
            <w:rPr>
              <w:rFonts w:asciiTheme="minorHAnsi" w:eastAsiaTheme="minorEastAsia" w:hAnsiTheme="minorHAnsi" w:cstheme="minorHAnsi"/>
              <w:noProof/>
              <w:spacing w:val="0"/>
              <w:sz w:val="18"/>
              <w:szCs w:val="18"/>
            </w:rPr>
          </w:pPr>
          <w:hyperlink w:anchor="_Toc144385578" w:history="1">
            <w:r w:rsidR="003A093B" w:rsidRPr="003A093B">
              <w:rPr>
                <w:rStyle w:val="Hyperlink"/>
                <w:rFonts w:asciiTheme="minorHAnsi" w:eastAsiaTheme="majorEastAsia" w:hAnsiTheme="minorHAnsi" w:cstheme="minorHAnsi"/>
                <w:noProof/>
                <w:sz w:val="18"/>
                <w:szCs w:val="18"/>
              </w:rPr>
              <w:t>Outcome 4: Housing</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_Toc144385578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68</w:t>
            </w:r>
            <w:r w:rsidR="003A093B" w:rsidRPr="003A093B">
              <w:rPr>
                <w:rFonts w:asciiTheme="minorHAnsi" w:hAnsiTheme="minorHAnsi" w:cstheme="minorHAnsi"/>
                <w:noProof/>
                <w:webHidden/>
                <w:sz w:val="18"/>
                <w:szCs w:val="18"/>
              </w:rPr>
              <w:fldChar w:fldCharType="end"/>
            </w:r>
          </w:hyperlink>
        </w:p>
        <w:p w14:paraId="1DB477E6" w14:textId="01AA74C4" w:rsidR="003A093B" w:rsidRPr="003A093B" w:rsidRDefault="005F7F5E" w:rsidP="003A093B">
          <w:pPr>
            <w:pStyle w:val="TOC2"/>
            <w:tabs>
              <w:tab w:val="right" w:leader="dot" w:pos="9344"/>
            </w:tabs>
            <w:spacing w:before="16" w:after="16" w:line="240" w:lineRule="auto"/>
            <w:rPr>
              <w:rFonts w:asciiTheme="minorHAnsi" w:eastAsiaTheme="minorEastAsia" w:hAnsiTheme="minorHAnsi" w:cstheme="minorHAnsi"/>
              <w:noProof/>
              <w:spacing w:val="0"/>
              <w:sz w:val="18"/>
              <w:szCs w:val="18"/>
            </w:rPr>
          </w:pPr>
          <w:hyperlink w:anchor="_Toc144385579" w:history="1">
            <w:r w:rsidR="003A093B" w:rsidRPr="003A093B">
              <w:rPr>
                <w:rStyle w:val="Hyperlink"/>
                <w:rFonts w:asciiTheme="minorHAnsi" w:eastAsiaTheme="majorEastAsia" w:hAnsiTheme="minorHAnsi" w:cstheme="minorHAnsi"/>
                <w:noProof/>
                <w:sz w:val="18"/>
                <w:szCs w:val="18"/>
              </w:rPr>
              <w:t>Programs and activities</w:t>
            </w:r>
            <w:r w:rsidR="003A093B" w:rsidRPr="003A093B">
              <w:rPr>
                <w:rFonts w:asciiTheme="minorHAnsi" w:hAnsiTheme="minorHAnsi" w:cstheme="minorHAnsi"/>
                <w:noProof/>
                <w:webHidden/>
                <w:sz w:val="18"/>
                <w:szCs w:val="18"/>
              </w:rPr>
              <w:tab/>
            </w:r>
            <w:r w:rsidR="003A093B" w:rsidRPr="003A093B">
              <w:rPr>
                <w:rFonts w:asciiTheme="minorHAnsi" w:hAnsiTheme="minorHAnsi" w:cstheme="minorHAnsi"/>
                <w:noProof/>
                <w:webHidden/>
                <w:sz w:val="18"/>
                <w:szCs w:val="18"/>
              </w:rPr>
              <w:fldChar w:fldCharType="begin"/>
            </w:r>
            <w:r w:rsidR="003A093B" w:rsidRPr="003A093B">
              <w:rPr>
                <w:rFonts w:asciiTheme="minorHAnsi" w:hAnsiTheme="minorHAnsi" w:cstheme="minorHAnsi"/>
                <w:noProof/>
                <w:webHidden/>
                <w:sz w:val="18"/>
                <w:szCs w:val="18"/>
              </w:rPr>
              <w:instrText xml:space="preserve"> PAGEREF _Toc144385579 \h </w:instrText>
            </w:r>
            <w:r w:rsidR="003A093B" w:rsidRPr="003A093B">
              <w:rPr>
                <w:rFonts w:asciiTheme="minorHAnsi" w:hAnsiTheme="minorHAnsi" w:cstheme="minorHAnsi"/>
                <w:noProof/>
                <w:webHidden/>
                <w:sz w:val="18"/>
                <w:szCs w:val="18"/>
              </w:rPr>
            </w:r>
            <w:r w:rsidR="003A093B" w:rsidRPr="003A093B">
              <w:rPr>
                <w:rFonts w:asciiTheme="minorHAnsi" w:hAnsiTheme="minorHAnsi" w:cstheme="minorHAnsi"/>
                <w:noProof/>
                <w:webHidden/>
                <w:sz w:val="18"/>
                <w:szCs w:val="18"/>
              </w:rPr>
              <w:fldChar w:fldCharType="separate"/>
            </w:r>
            <w:r>
              <w:rPr>
                <w:rFonts w:asciiTheme="minorHAnsi" w:hAnsiTheme="minorHAnsi" w:cstheme="minorHAnsi"/>
                <w:noProof/>
                <w:webHidden/>
                <w:sz w:val="18"/>
                <w:szCs w:val="18"/>
              </w:rPr>
              <w:t>68</w:t>
            </w:r>
            <w:r w:rsidR="003A093B" w:rsidRPr="003A093B">
              <w:rPr>
                <w:rFonts w:asciiTheme="minorHAnsi" w:hAnsiTheme="minorHAnsi" w:cstheme="minorHAnsi"/>
                <w:noProof/>
                <w:webHidden/>
                <w:sz w:val="18"/>
                <w:szCs w:val="18"/>
              </w:rPr>
              <w:fldChar w:fldCharType="end"/>
            </w:r>
          </w:hyperlink>
        </w:p>
        <w:p w14:paraId="3FDEDF8D" w14:textId="5127851B" w:rsidR="009B2458" w:rsidRPr="003A093B" w:rsidRDefault="009B2458" w:rsidP="003A093B">
          <w:pPr>
            <w:spacing w:before="16" w:after="16" w:line="240" w:lineRule="auto"/>
            <w:jc w:val="both"/>
            <w:rPr>
              <w:rFonts w:asciiTheme="minorHAnsi" w:hAnsiTheme="minorHAnsi" w:cstheme="minorHAnsi"/>
              <w:sz w:val="18"/>
              <w:szCs w:val="18"/>
            </w:rPr>
          </w:pPr>
          <w:r w:rsidRPr="003A093B">
            <w:rPr>
              <w:rFonts w:asciiTheme="minorHAnsi" w:hAnsiTheme="minorHAnsi" w:cstheme="minorHAnsi"/>
              <w:b/>
              <w:bCs/>
              <w:noProof/>
              <w:sz w:val="18"/>
              <w:szCs w:val="18"/>
            </w:rPr>
            <w:fldChar w:fldCharType="end"/>
          </w:r>
        </w:p>
      </w:sdtContent>
    </w:sdt>
    <w:p w14:paraId="03A2C38E" w14:textId="77777777" w:rsidR="008D277E" w:rsidRDefault="008D277E">
      <w:pPr>
        <w:spacing w:before="0" w:after="200" w:line="276" w:lineRule="auto"/>
        <w:rPr>
          <w:rFonts w:ascii="Georgia" w:hAnsi="Georgia"/>
          <w:color w:val="005A70"/>
          <w:sz w:val="48"/>
          <w:szCs w:val="48"/>
        </w:rPr>
      </w:pPr>
      <w:r>
        <w:rPr>
          <w:rFonts w:ascii="Georgia" w:hAnsi="Georgia"/>
          <w:color w:val="005A70"/>
          <w:sz w:val="48"/>
          <w:szCs w:val="48"/>
        </w:rPr>
        <w:br w:type="page"/>
      </w:r>
    </w:p>
    <w:p w14:paraId="4DF77393" w14:textId="6013205B" w:rsidR="009B2458" w:rsidRPr="003A093B" w:rsidRDefault="009B2458" w:rsidP="000C71AD">
      <w:pPr>
        <w:rPr>
          <w:rFonts w:ascii="Georgia" w:hAnsi="Georgia"/>
          <w:color w:val="005A70"/>
          <w:sz w:val="20"/>
          <w:szCs w:val="48"/>
        </w:rPr>
      </w:pPr>
      <w:r w:rsidRPr="003A093B">
        <w:rPr>
          <w:noProof/>
          <w:sz w:val="8"/>
        </w:rPr>
        <w:drawing>
          <wp:anchor distT="0" distB="0" distL="114300" distR="114300" simplePos="0" relativeHeight="251669555" behindDoc="0" locked="0" layoutInCell="1" allowOverlap="1" wp14:anchorId="61C564A0" wp14:editId="13752EE7">
            <wp:simplePos x="0" y="0"/>
            <wp:positionH relativeFrom="column">
              <wp:posOffset>-344170</wp:posOffset>
            </wp:positionH>
            <wp:positionV relativeFrom="paragraph">
              <wp:posOffset>160655</wp:posOffset>
            </wp:positionV>
            <wp:extent cx="1400175" cy="1433830"/>
            <wp:effectExtent l="0" t="0" r="9525" b="0"/>
            <wp:wrapSquare wrapText="bothSides"/>
            <wp:docPr id="2" name="Picture 2" descr="This is an image of Australia depicted as an indigenous design of paths coming together as connected communities.." title="An image of Australia as an indigenous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AP Australia map.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0175" cy="1433830"/>
                    </a:xfrm>
                    <a:prstGeom prst="rect">
                      <a:avLst/>
                    </a:prstGeom>
                  </pic:spPr>
                </pic:pic>
              </a:graphicData>
            </a:graphic>
            <wp14:sizeRelH relativeFrom="margin">
              <wp14:pctWidth>0</wp14:pctWidth>
            </wp14:sizeRelH>
            <wp14:sizeRelV relativeFrom="margin">
              <wp14:pctHeight>0</wp14:pctHeight>
            </wp14:sizeRelV>
          </wp:anchor>
        </w:drawing>
      </w:r>
    </w:p>
    <w:p w14:paraId="06CDF328" w14:textId="471BE99E" w:rsidR="000C71AD" w:rsidRPr="00E81CDE" w:rsidRDefault="000C71AD" w:rsidP="00E81CDE">
      <w:pPr>
        <w:pStyle w:val="Heading1"/>
        <w:rPr>
          <w:sz w:val="48"/>
          <w:szCs w:val="48"/>
        </w:rPr>
      </w:pPr>
      <w:bookmarkStart w:id="5" w:name="_Toc144385529"/>
      <w:r w:rsidRPr="00E81CDE">
        <w:rPr>
          <w:sz w:val="48"/>
          <w:szCs w:val="48"/>
        </w:rPr>
        <w:t>Acknowledgement of Country</w:t>
      </w:r>
      <w:bookmarkEnd w:id="5"/>
      <w:r w:rsidR="009F0E05" w:rsidRPr="00E81CDE">
        <w:rPr>
          <w:sz w:val="48"/>
          <w:szCs w:val="48"/>
        </w:rPr>
        <w:t xml:space="preserve"> </w:t>
      </w:r>
    </w:p>
    <w:p w14:paraId="1D966D0D" w14:textId="3E93768F" w:rsidR="009B2458" w:rsidRDefault="000C71AD" w:rsidP="00B81E0C">
      <w:pPr>
        <w:pStyle w:val="Normalmorespace"/>
      </w:pPr>
      <w:r w:rsidRPr="0032201C">
        <w:t xml:space="preserve">The department acknowledges the </w:t>
      </w:r>
      <w:r w:rsidR="004F3CE5">
        <w:t>T</w:t>
      </w:r>
      <w:r w:rsidRPr="0032201C">
        <w:t xml:space="preserve">raditional </w:t>
      </w:r>
      <w:r w:rsidR="004F3CE5">
        <w:t xml:space="preserve">Owners and Custodians of Country </w:t>
      </w:r>
      <w:r w:rsidRPr="0032201C">
        <w:t>throughout Aust</w:t>
      </w:r>
      <w:r w:rsidR="007713B1" w:rsidRPr="0032201C">
        <w:t xml:space="preserve">ralia </w:t>
      </w:r>
      <w:r w:rsidR="004F3CE5">
        <w:t>and acknowledges their continuing connection to land, waters and community. W</w:t>
      </w:r>
      <w:r w:rsidRPr="0032201C">
        <w:t xml:space="preserve">e pay our respects to </w:t>
      </w:r>
      <w:r w:rsidR="004F3CE5">
        <w:t xml:space="preserve">the people, </w:t>
      </w:r>
      <w:r w:rsidR="00167583">
        <w:t xml:space="preserve">the </w:t>
      </w:r>
      <w:r w:rsidR="004F3CE5">
        <w:t xml:space="preserve">cultures and the Elders past </w:t>
      </w:r>
      <w:r w:rsidR="00462679">
        <w:t xml:space="preserve">and </w:t>
      </w:r>
      <w:r w:rsidR="004F3CE5">
        <w:t>pre</w:t>
      </w:r>
      <w:r w:rsidR="00462679">
        <w:t>sent</w:t>
      </w:r>
      <w:r w:rsidR="004F3CE5">
        <w:t>.</w:t>
      </w:r>
    </w:p>
    <w:p w14:paraId="648A2014" w14:textId="77777777" w:rsidR="009B2458" w:rsidRPr="0032201C" w:rsidRDefault="009B2458" w:rsidP="002D685D">
      <w:pPr>
        <w:pStyle w:val="Normalmorespace"/>
      </w:pPr>
    </w:p>
    <w:p w14:paraId="73B7F769" w14:textId="77777777" w:rsidR="003132CB" w:rsidRPr="00E81CDE" w:rsidRDefault="003132CB" w:rsidP="00E81CDE">
      <w:pPr>
        <w:pStyle w:val="Heading1"/>
        <w:rPr>
          <w:sz w:val="48"/>
          <w:szCs w:val="48"/>
        </w:rPr>
      </w:pPr>
      <w:bookmarkStart w:id="6" w:name="_Toc144385530"/>
      <w:r w:rsidRPr="00E81CDE">
        <w:rPr>
          <w:sz w:val="48"/>
          <w:szCs w:val="48"/>
        </w:rPr>
        <w:t>Our Mission</w:t>
      </w:r>
      <w:bookmarkEnd w:id="6"/>
      <w:r w:rsidRPr="00E81CDE">
        <w:rPr>
          <w:sz w:val="48"/>
          <w:szCs w:val="48"/>
        </w:rPr>
        <w:t xml:space="preserve"> </w:t>
      </w:r>
    </w:p>
    <w:p w14:paraId="739B64B0" w14:textId="713104E2" w:rsidR="003132CB" w:rsidRPr="0032201C" w:rsidRDefault="00D24892" w:rsidP="002D685D">
      <w:pPr>
        <w:pStyle w:val="Normalmorespace"/>
      </w:pPr>
      <w:r>
        <w:t xml:space="preserve">Our mission </w:t>
      </w:r>
      <w:r w:rsidR="00335F98">
        <w:t>is to improve</w:t>
      </w:r>
      <w:r w:rsidR="003132CB" w:rsidRPr="0032201C">
        <w:t xml:space="preserve"> the economic and social wellbeing of individuals</w:t>
      </w:r>
      <w:r w:rsidR="00335F98">
        <w:t xml:space="preserve">, </w:t>
      </w:r>
      <w:r w:rsidR="003132CB" w:rsidRPr="0032201C">
        <w:t xml:space="preserve">families </w:t>
      </w:r>
      <w:r w:rsidR="00335F98">
        <w:t xml:space="preserve">and vulnerable members of </w:t>
      </w:r>
      <w:r w:rsidR="003132CB" w:rsidRPr="0032201C">
        <w:t xml:space="preserve">Australian communities. </w:t>
      </w:r>
    </w:p>
    <w:p w14:paraId="2B72AEBF" w14:textId="77777777" w:rsidR="003132CB" w:rsidRPr="00E81CDE" w:rsidRDefault="003132CB" w:rsidP="00E81CDE">
      <w:pPr>
        <w:pStyle w:val="Heading1"/>
        <w:rPr>
          <w:sz w:val="48"/>
          <w:szCs w:val="48"/>
        </w:rPr>
      </w:pPr>
      <w:bookmarkStart w:id="7" w:name="_Toc144385531"/>
      <w:r w:rsidRPr="00E81CDE">
        <w:rPr>
          <w:sz w:val="48"/>
          <w:szCs w:val="48"/>
        </w:rPr>
        <w:t>Our Purpose</w:t>
      </w:r>
      <w:bookmarkEnd w:id="7"/>
      <w:r w:rsidRPr="00E81CDE">
        <w:rPr>
          <w:sz w:val="48"/>
          <w:szCs w:val="48"/>
        </w:rPr>
        <w:t xml:space="preserve"> </w:t>
      </w:r>
    </w:p>
    <w:p w14:paraId="1B52DFAB" w14:textId="6ED5E7E0" w:rsidR="00825F57" w:rsidRPr="0032201C" w:rsidRDefault="003132CB" w:rsidP="002D685D">
      <w:pPr>
        <w:pStyle w:val="Normalmorespace"/>
      </w:pPr>
      <w:r w:rsidRPr="0032201C">
        <w:t xml:space="preserve">Work in partnership with government, non-government organisations and communities to ensure the effective development, management and delivery of payments, evidence based policies, programs, and services to </w:t>
      </w:r>
      <w:r w:rsidR="00CE0DD8" w:rsidRPr="0032201C">
        <w:t>support</w:t>
      </w:r>
      <w:r w:rsidRPr="0032201C">
        <w:t xml:space="preserve"> individuals and families.</w:t>
      </w:r>
    </w:p>
    <w:p w14:paraId="70065692" w14:textId="2A6E77B8" w:rsidR="003132CB" w:rsidRPr="00E81CDE" w:rsidRDefault="003132CB" w:rsidP="00E81CDE">
      <w:pPr>
        <w:pStyle w:val="Heading1"/>
        <w:rPr>
          <w:sz w:val="48"/>
          <w:szCs w:val="48"/>
        </w:rPr>
      </w:pPr>
      <w:bookmarkStart w:id="8" w:name="_Toc144385532"/>
      <w:bookmarkStart w:id="9" w:name="_Toc111026101"/>
      <w:bookmarkStart w:id="10" w:name="_Toc47604293"/>
      <w:r w:rsidRPr="00E81CDE">
        <w:rPr>
          <w:sz w:val="48"/>
          <w:szCs w:val="48"/>
        </w:rPr>
        <w:t xml:space="preserve">Our </w:t>
      </w:r>
      <w:r w:rsidR="00700EBD">
        <w:rPr>
          <w:sz w:val="48"/>
          <w:szCs w:val="48"/>
        </w:rPr>
        <w:t>V</w:t>
      </w:r>
      <w:r w:rsidRPr="00E81CDE">
        <w:rPr>
          <w:sz w:val="48"/>
          <w:szCs w:val="48"/>
        </w:rPr>
        <w:t>alues</w:t>
      </w:r>
      <w:bookmarkEnd w:id="8"/>
      <w:r w:rsidRPr="00E81CDE">
        <w:rPr>
          <w:sz w:val="48"/>
          <w:szCs w:val="48"/>
        </w:rPr>
        <w:t xml:space="preserve"> </w:t>
      </w:r>
    </w:p>
    <w:p w14:paraId="3E341B7F" w14:textId="684E90CB" w:rsidR="003132CB" w:rsidRDefault="003132CB" w:rsidP="00B81E0C">
      <w:pPr>
        <w:pStyle w:val="Normalmorespace"/>
      </w:pPr>
      <w:r w:rsidRPr="00FF5F4C">
        <w:t>Our values are those of the Australian Public Service (APS). The APS values require us to be</w:t>
      </w:r>
      <w:r w:rsidR="00066FDE">
        <w:t>:</w:t>
      </w:r>
      <w:r w:rsidRPr="00FF5F4C">
        <w:t xml:space="preserve"> </w:t>
      </w:r>
    </w:p>
    <w:p w14:paraId="700FA5BC" w14:textId="2915AB64" w:rsidR="003132CB" w:rsidRPr="00DD7ABF" w:rsidRDefault="003132CB" w:rsidP="00B81E0C">
      <w:pPr>
        <w:pStyle w:val="ListParagraph"/>
        <w:numPr>
          <w:ilvl w:val="0"/>
          <w:numId w:val="3"/>
        </w:numPr>
        <w:spacing w:after="120" w:line="259" w:lineRule="auto"/>
        <w:ind w:left="641" w:hanging="357"/>
        <w:contextualSpacing w:val="0"/>
        <w:rPr>
          <w:rStyle w:val="BodytextBOLD"/>
          <w:b w:val="0"/>
          <w:sz w:val="20"/>
          <w:szCs w:val="20"/>
        </w:rPr>
      </w:pPr>
      <w:r w:rsidRPr="00DD7ABF">
        <w:rPr>
          <w:rStyle w:val="BodytextBOLD"/>
          <w:b w:val="0"/>
          <w:sz w:val="20"/>
          <w:szCs w:val="20"/>
        </w:rPr>
        <w:t xml:space="preserve">impartial </w:t>
      </w:r>
    </w:p>
    <w:p w14:paraId="23560BE5" w14:textId="3F5CE788" w:rsidR="003132CB" w:rsidRPr="00DD7ABF" w:rsidRDefault="003132CB" w:rsidP="00B81E0C">
      <w:pPr>
        <w:pStyle w:val="ListParagraph"/>
        <w:numPr>
          <w:ilvl w:val="0"/>
          <w:numId w:val="3"/>
        </w:numPr>
        <w:spacing w:after="120" w:line="259" w:lineRule="auto"/>
        <w:ind w:left="641" w:hanging="357"/>
        <w:contextualSpacing w:val="0"/>
        <w:rPr>
          <w:rStyle w:val="BodytextBOLD"/>
          <w:b w:val="0"/>
          <w:sz w:val="20"/>
          <w:szCs w:val="20"/>
        </w:rPr>
      </w:pPr>
      <w:r w:rsidRPr="00DD7ABF">
        <w:rPr>
          <w:rStyle w:val="BodytextBOLD"/>
          <w:b w:val="0"/>
          <w:sz w:val="20"/>
          <w:szCs w:val="20"/>
        </w:rPr>
        <w:t xml:space="preserve">committed to service </w:t>
      </w:r>
    </w:p>
    <w:p w14:paraId="37130790" w14:textId="6A2B1BD4" w:rsidR="003132CB" w:rsidRPr="00DD7ABF" w:rsidRDefault="003132CB" w:rsidP="00B81E0C">
      <w:pPr>
        <w:pStyle w:val="ListParagraph"/>
        <w:numPr>
          <w:ilvl w:val="0"/>
          <w:numId w:val="3"/>
        </w:numPr>
        <w:spacing w:after="120" w:line="259" w:lineRule="auto"/>
        <w:ind w:left="641" w:hanging="357"/>
        <w:contextualSpacing w:val="0"/>
        <w:rPr>
          <w:rStyle w:val="BodytextBOLD"/>
          <w:b w:val="0"/>
          <w:sz w:val="20"/>
          <w:szCs w:val="20"/>
        </w:rPr>
      </w:pPr>
      <w:r w:rsidRPr="00DD7ABF">
        <w:rPr>
          <w:rStyle w:val="BodytextBOLD"/>
          <w:b w:val="0"/>
          <w:sz w:val="20"/>
          <w:szCs w:val="20"/>
        </w:rPr>
        <w:t xml:space="preserve">accountable </w:t>
      </w:r>
    </w:p>
    <w:p w14:paraId="70160211" w14:textId="04D130EC" w:rsidR="003132CB" w:rsidRPr="00DD7ABF" w:rsidRDefault="003132CB" w:rsidP="00B81E0C">
      <w:pPr>
        <w:pStyle w:val="ListParagraph"/>
        <w:numPr>
          <w:ilvl w:val="0"/>
          <w:numId w:val="3"/>
        </w:numPr>
        <w:spacing w:after="120" w:line="259" w:lineRule="auto"/>
        <w:ind w:left="641" w:hanging="357"/>
        <w:contextualSpacing w:val="0"/>
        <w:rPr>
          <w:rStyle w:val="BodytextBOLD"/>
          <w:b w:val="0"/>
          <w:sz w:val="20"/>
          <w:szCs w:val="20"/>
        </w:rPr>
      </w:pPr>
      <w:r w:rsidRPr="00DD7ABF">
        <w:rPr>
          <w:rStyle w:val="BodytextBOLD"/>
          <w:b w:val="0"/>
          <w:sz w:val="20"/>
          <w:szCs w:val="20"/>
        </w:rPr>
        <w:t xml:space="preserve">respectful  </w:t>
      </w:r>
    </w:p>
    <w:p w14:paraId="175A2F74" w14:textId="12D7828A" w:rsidR="003132CB" w:rsidRPr="00DD7ABF" w:rsidRDefault="003132CB" w:rsidP="00B81E0C">
      <w:pPr>
        <w:pStyle w:val="ListParagraph"/>
        <w:numPr>
          <w:ilvl w:val="0"/>
          <w:numId w:val="3"/>
        </w:numPr>
        <w:spacing w:after="120" w:line="259" w:lineRule="auto"/>
        <w:ind w:left="641" w:hanging="357"/>
        <w:contextualSpacing w:val="0"/>
        <w:rPr>
          <w:rStyle w:val="BodytextBOLD"/>
          <w:b w:val="0"/>
          <w:sz w:val="20"/>
          <w:szCs w:val="20"/>
        </w:rPr>
      </w:pPr>
      <w:r w:rsidRPr="00DD7ABF">
        <w:rPr>
          <w:rStyle w:val="BodytextBOLD"/>
          <w:b w:val="0"/>
          <w:sz w:val="20"/>
          <w:szCs w:val="20"/>
        </w:rPr>
        <w:t xml:space="preserve">ethical </w:t>
      </w:r>
    </w:p>
    <w:p w14:paraId="79DB308E" w14:textId="77777777" w:rsidR="003132CB" w:rsidRDefault="003132CB" w:rsidP="00B81E0C">
      <w:pPr>
        <w:pStyle w:val="Normalmorespace"/>
      </w:pPr>
      <w:r w:rsidRPr="00FF5F4C">
        <w:t xml:space="preserve">These are central to the way we work with our Ministers, colleagues and stakeholders. </w:t>
      </w:r>
    </w:p>
    <w:p w14:paraId="68E2B95C" w14:textId="77777777" w:rsidR="003132CB" w:rsidRPr="00E81CDE" w:rsidRDefault="003132CB" w:rsidP="00E81CDE">
      <w:pPr>
        <w:pStyle w:val="Heading1"/>
        <w:rPr>
          <w:sz w:val="48"/>
          <w:szCs w:val="48"/>
        </w:rPr>
      </w:pPr>
      <w:bookmarkStart w:id="11" w:name="_Toc144385533"/>
      <w:r w:rsidRPr="00E81CDE">
        <w:rPr>
          <w:sz w:val="48"/>
          <w:szCs w:val="48"/>
        </w:rPr>
        <w:t xml:space="preserve">Our </w:t>
      </w:r>
      <w:r w:rsidRPr="003A093B">
        <w:rPr>
          <w:sz w:val="48"/>
          <w:szCs w:val="48"/>
        </w:rPr>
        <w:t>Integrity</w:t>
      </w:r>
      <w:bookmarkEnd w:id="11"/>
    </w:p>
    <w:p w14:paraId="5CEDEF56" w14:textId="6A72ADE0" w:rsidR="003132CB" w:rsidRDefault="003132CB" w:rsidP="00B81E0C">
      <w:pPr>
        <w:pStyle w:val="Normalmorespace"/>
      </w:pPr>
      <w:r>
        <w:t xml:space="preserve">The current APS reform agenda includes a significant focus on a pro-integrity culture. To ensure we embed a culture of integrity and deliver better outcomes for the community, we will </w:t>
      </w:r>
      <w:r w:rsidR="00462E0F">
        <w:t xml:space="preserve">continue to develop a workplace culture that supports the contemporary operating environment through having staff that </w:t>
      </w:r>
      <w:r>
        <w:t>enable</w:t>
      </w:r>
      <w:r w:rsidR="00261536">
        <w:t xml:space="preserve"> an adaptive workplace culture by</w:t>
      </w:r>
      <w:r>
        <w:t xml:space="preserve"> demonstrating</w:t>
      </w:r>
      <w:r w:rsidR="00E27AAE">
        <w:t xml:space="preserve"> we;</w:t>
      </w:r>
    </w:p>
    <w:p w14:paraId="2F03AC2E" w14:textId="5856551F" w:rsidR="003132CB" w:rsidRPr="00354C8A" w:rsidRDefault="00E27AAE" w:rsidP="00B81E0C">
      <w:pPr>
        <w:pStyle w:val="ListParagraph"/>
        <w:numPr>
          <w:ilvl w:val="0"/>
          <w:numId w:val="3"/>
        </w:numPr>
        <w:spacing w:after="120" w:line="259" w:lineRule="auto"/>
        <w:ind w:left="641" w:hanging="357"/>
        <w:contextualSpacing w:val="0"/>
        <w:rPr>
          <w:rStyle w:val="BodytextBOLD"/>
          <w:b w:val="0"/>
        </w:rPr>
      </w:pPr>
      <w:r>
        <w:rPr>
          <w:rStyle w:val="BodytextBOLD"/>
          <w:b w:val="0"/>
          <w:sz w:val="20"/>
          <w:szCs w:val="20"/>
        </w:rPr>
        <w:t>a</w:t>
      </w:r>
      <w:r w:rsidR="00462E0F" w:rsidRPr="00385E00">
        <w:rPr>
          <w:rStyle w:val="BodytextBOLD"/>
          <w:b w:val="0"/>
          <w:sz w:val="20"/>
          <w:szCs w:val="20"/>
        </w:rPr>
        <w:t xml:space="preserve">re </w:t>
      </w:r>
      <w:r w:rsidR="003132CB" w:rsidRPr="003A093B">
        <w:rPr>
          <w:rStyle w:val="BodytextBOLD"/>
          <w:color w:val="24596E"/>
          <w:sz w:val="20"/>
          <w:szCs w:val="20"/>
        </w:rPr>
        <w:t>Curio</w:t>
      </w:r>
      <w:r w:rsidR="008C4212" w:rsidRPr="003A093B">
        <w:rPr>
          <w:rStyle w:val="BodytextBOLD"/>
          <w:color w:val="24596E"/>
          <w:sz w:val="20"/>
          <w:szCs w:val="20"/>
        </w:rPr>
        <w:t>u</w:t>
      </w:r>
      <w:r w:rsidR="003132CB" w:rsidRPr="003A093B">
        <w:rPr>
          <w:rStyle w:val="BodytextBOLD"/>
          <w:color w:val="24596E"/>
          <w:sz w:val="20"/>
          <w:szCs w:val="20"/>
        </w:rPr>
        <w:t>s</w:t>
      </w:r>
      <w:r w:rsidR="003132CB" w:rsidRPr="003A093B">
        <w:rPr>
          <w:rStyle w:val="BodytextBOLD"/>
          <w:b w:val="0"/>
          <w:color w:val="24596E"/>
          <w:sz w:val="20"/>
          <w:szCs w:val="20"/>
        </w:rPr>
        <w:t xml:space="preserve"> </w:t>
      </w:r>
      <w:r w:rsidR="003132CB" w:rsidRPr="00354C8A">
        <w:rPr>
          <w:rStyle w:val="BodytextBOLD"/>
          <w:b w:val="0"/>
          <w:sz w:val="20"/>
          <w:szCs w:val="20"/>
        </w:rPr>
        <w:t>by</w:t>
      </w:r>
      <w:r w:rsidR="003132CB">
        <w:rPr>
          <w:rStyle w:val="BodytextBOLD"/>
          <w:b w:val="0"/>
          <w:sz w:val="20"/>
          <w:szCs w:val="20"/>
        </w:rPr>
        <w:t xml:space="preserve"> seeking </w:t>
      </w:r>
      <w:r w:rsidR="00462E0F">
        <w:rPr>
          <w:rStyle w:val="BodytextBOLD"/>
          <w:b w:val="0"/>
          <w:sz w:val="20"/>
          <w:szCs w:val="20"/>
        </w:rPr>
        <w:t>to understand what is happening in their role and how to improve what they do</w:t>
      </w:r>
    </w:p>
    <w:p w14:paraId="3AF136CE" w14:textId="4D85990B" w:rsidR="003132CB" w:rsidRPr="003B61D1" w:rsidRDefault="00E27AAE" w:rsidP="00B81E0C">
      <w:pPr>
        <w:pStyle w:val="ListParagraph"/>
        <w:numPr>
          <w:ilvl w:val="0"/>
          <w:numId w:val="3"/>
        </w:numPr>
        <w:spacing w:after="120" w:line="259" w:lineRule="auto"/>
        <w:ind w:left="641" w:hanging="357"/>
        <w:contextualSpacing w:val="0"/>
        <w:rPr>
          <w:sz w:val="20"/>
          <w:szCs w:val="20"/>
        </w:rPr>
      </w:pPr>
      <w:r>
        <w:rPr>
          <w:rStyle w:val="BodytextBOLD"/>
          <w:b w:val="0"/>
          <w:sz w:val="20"/>
          <w:szCs w:val="20"/>
        </w:rPr>
        <w:t>w</w:t>
      </w:r>
      <w:r w:rsidR="00462E0F">
        <w:rPr>
          <w:rStyle w:val="BodytextBOLD"/>
          <w:b w:val="0"/>
          <w:sz w:val="20"/>
          <w:szCs w:val="20"/>
        </w:rPr>
        <w:t xml:space="preserve">ill </w:t>
      </w:r>
      <w:r w:rsidR="00462E0F" w:rsidRPr="003A093B">
        <w:rPr>
          <w:rStyle w:val="BodytextBOLD"/>
          <w:color w:val="24596E"/>
          <w:sz w:val="20"/>
          <w:szCs w:val="20"/>
        </w:rPr>
        <w:t>Contest</w:t>
      </w:r>
      <w:r w:rsidR="00462E0F" w:rsidRPr="003A093B">
        <w:rPr>
          <w:rStyle w:val="BodytextBOLD"/>
          <w:b w:val="0"/>
          <w:color w:val="24596E"/>
          <w:sz w:val="20"/>
          <w:szCs w:val="20"/>
        </w:rPr>
        <w:t xml:space="preserve"> </w:t>
      </w:r>
      <w:r w:rsidR="00462E0F">
        <w:rPr>
          <w:rStyle w:val="BodytextBOLD"/>
          <w:b w:val="0"/>
          <w:sz w:val="20"/>
          <w:szCs w:val="20"/>
        </w:rPr>
        <w:t>respect</w:t>
      </w:r>
      <w:r w:rsidR="00167583">
        <w:rPr>
          <w:rStyle w:val="BodytextBOLD"/>
          <w:b w:val="0"/>
          <w:sz w:val="20"/>
          <w:szCs w:val="20"/>
        </w:rPr>
        <w:t>fully</w:t>
      </w:r>
      <w:r w:rsidR="00462E0F">
        <w:rPr>
          <w:rStyle w:val="BodytextBOLD"/>
          <w:b w:val="0"/>
          <w:sz w:val="20"/>
          <w:szCs w:val="20"/>
        </w:rPr>
        <w:t xml:space="preserve"> to challenge and enhance ideas and proposals</w:t>
      </w:r>
    </w:p>
    <w:p w14:paraId="52D04B5C" w14:textId="74463DBA" w:rsidR="003132CB" w:rsidRPr="003B61D1" w:rsidRDefault="00E27AAE" w:rsidP="00B81E0C">
      <w:pPr>
        <w:pStyle w:val="ListParagraph"/>
        <w:numPr>
          <w:ilvl w:val="0"/>
          <w:numId w:val="3"/>
        </w:numPr>
        <w:spacing w:after="120" w:line="259" w:lineRule="auto"/>
        <w:ind w:left="641" w:hanging="357"/>
        <w:contextualSpacing w:val="0"/>
        <w:rPr>
          <w:rStyle w:val="BodytextBOLD"/>
          <w:b w:val="0"/>
          <w:sz w:val="20"/>
          <w:szCs w:val="20"/>
        </w:rPr>
      </w:pPr>
      <w:r>
        <w:rPr>
          <w:rStyle w:val="BodytextBOLD"/>
          <w:b w:val="0"/>
          <w:sz w:val="20"/>
          <w:szCs w:val="20"/>
        </w:rPr>
        <w:t>w</w:t>
      </w:r>
      <w:r w:rsidR="003132CB" w:rsidRPr="00354C8A">
        <w:rPr>
          <w:rStyle w:val="BodytextBOLD"/>
          <w:b w:val="0"/>
          <w:sz w:val="20"/>
          <w:szCs w:val="20"/>
        </w:rPr>
        <w:t xml:space="preserve">ork in </w:t>
      </w:r>
      <w:r w:rsidR="003132CB" w:rsidRPr="003A093B">
        <w:rPr>
          <w:rStyle w:val="BodytextBOLD"/>
          <w:color w:val="24596E"/>
          <w:sz w:val="20"/>
          <w:szCs w:val="20"/>
        </w:rPr>
        <w:t>Collaboration</w:t>
      </w:r>
      <w:r w:rsidR="003132CB" w:rsidRPr="003A093B">
        <w:rPr>
          <w:rStyle w:val="BodytextBOLD"/>
          <w:b w:val="0"/>
          <w:color w:val="24596E"/>
          <w:sz w:val="20"/>
          <w:szCs w:val="20"/>
        </w:rPr>
        <w:t xml:space="preserve"> </w:t>
      </w:r>
      <w:r w:rsidR="003132CB" w:rsidRPr="00354C8A">
        <w:rPr>
          <w:rStyle w:val="BodytextBOLD"/>
          <w:b w:val="0"/>
          <w:sz w:val="20"/>
          <w:szCs w:val="20"/>
        </w:rPr>
        <w:t>with</w:t>
      </w:r>
      <w:r w:rsidR="003132CB">
        <w:rPr>
          <w:rStyle w:val="BodytextBOLD"/>
          <w:b w:val="0"/>
          <w:sz w:val="20"/>
          <w:szCs w:val="20"/>
        </w:rPr>
        <w:t xml:space="preserve"> others to achieve </w:t>
      </w:r>
      <w:r w:rsidR="00462E0F">
        <w:rPr>
          <w:rStyle w:val="BodytextBOLD"/>
          <w:b w:val="0"/>
          <w:sz w:val="20"/>
          <w:szCs w:val="20"/>
        </w:rPr>
        <w:t>more comprehensive, integrated outcomes</w:t>
      </w:r>
    </w:p>
    <w:p w14:paraId="73EC1A18" w14:textId="7EAB2342" w:rsidR="00843398" w:rsidRPr="00E277F7" w:rsidRDefault="00E27AAE" w:rsidP="00B81E0C">
      <w:pPr>
        <w:pStyle w:val="ListParagraph"/>
        <w:numPr>
          <w:ilvl w:val="0"/>
          <w:numId w:val="3"/>
        </w:numPr>
        <w:spacing w:before="0" w:after="200" w:line="276" w:lineRule="auto"/>
        <w:ind w:left="641" w:hanging="357"/>
        <w:contextualSpacing w:val="0"/>
        <w:rPr>
          <w:sz w:val="20"/>
          <w:szCs w:val="20"/>
        </w:rPr>
      </w:pPr>
      <w:r>
        <w:rPr>
          <w:rStyle w:val="BodytextBOLD"/>
          <w:b w:val="0"/>
          <w:sz w:val="20"/>
          <w:szCs w:val="20"/>
        </w:rPr>
        <w:t>h</w:t>
      </w:r>
      <w:r w:rsidR="003132CB" w:rsidRPr="00E277F7">
        <w:rPr>
          <w:rStyle w:val="BodytextBOLD"/>
          <w:b w:val="0"/>
          <w:sz w:val="20"/>
          <w:szCs w:val="20"/>
        </w:rPr>
        <w:t xml:space="preserve">ave the </w:t>
      </w:r>
      <w:r w:rsidR="003132CB" w:rsidRPr="003A093B">
        <w:rPr>
          <w:rStyle w:val="BodytextBOLD"/>
          <w:color w:val="24596E"/>
          <w:sz w:val="20"/>
          <w:szCs w:val="20"/>
        </w:rPr>
        <w:t>Courage</w:t>
      </w:r>
      <w:r w:rsidR="003132CB" w:rsidRPr="003A093B">
        <w:rPr>
          <w:color w:val="24596E"/>
          <w:sz w:val="20"/>
          <w:szCs w:val="20"/>
        </w:rPr>
        <w:t xml:space="preserve"> </w:t>
      </w:r>
      <w:r w:rsidR="003132CB" w:rsidRPr="00E277F7">
        <w:rPr>
          <w:sz w:val="20"/>
          <w:szCs w:val="20"/>
        </w:rPr>
        <w:t xml:space="preserve">to </w:t>
      </w:r>
      <w:r w:rsidR="00462E0F" w:rsidRPr="00E277F7">
        <w:rPr>
          <w:sz w:val="20"/>
          <w:szCs w:val="20"/>
        </w:rPr>
        <w:t>put forward advice and ideas because it is the right thing to do</w:t>
      </w:r>
      <w:r w:rsidR="003132CB" w:rsidRPr="00E277F7">
        <w:rPr>
          <w:sz w:val="20"/>
          <w:szCs w:val="20"/>
        </w:rPr>
        <w:t>.</w:t>
      </w:r>
    </w:p>
    <w:p w14:paraId="0312C29A" w14:textId="3CBF4BCB" w:rsidR="00274FAB" w:rsidRPr="00E81CDE" w:rsidRDefault="00274FAB" w:rsidP="00E81CDE">
      <w:pPr>
        <w:pStyle w:val="Heading1"/>
        <w:rPr>
          <w:sz w:val="48"/>
          <w:szCs w:val="48"/>
        </w:rPr>
      </w:pPr>
      <w:bookmarkStart w:id="12" w:name="_Toc144385534"/>
      <w:r w:rsidRPr="00E81CDE">
        <w:rPr>
          <w:sz w:val="48"/>
          <w:szCs w:val="48"/>
        </w:rPr>
        <w:t>Our outcomes</w:t>
      </w:r>
      <w:bookmarkEnd w:id="12"/>
      <w:r w:rsidR="009F0E05" w:rsidRPr="00E81CDE">
        <w:rPr>
          <w:sz w:val="48"/>
          <w:szCs w:val="48"/>
        </w:rPr>
        <w:t xml:space="preserve"> </w:t>
      </w:r>
    </w:p>
    <w:p w14:paraId="6BD23C9E" w14:textId="77777777" w:rsidR="008D3751" w:rsidRDefault="008D3751" w:rsidP="008D3751">
      <w:pPr>
        <w:pStyle w:val="Normalmorespace"/>
      </w:pPr>
      <w:r>
        <w:t>Our purpose is delivered under 4 outcomes areas, including</w:t>
      </w:r>
      <w:r w:rsidRPr="009F24BE">
        <w:t>:</w:t>
      </w:r>
    </w:p>
    <w:p w14:paraId="3E4F9527" w14:textId="3158F5C1" w:rsidR="008D3751" w:rsidRPr="00E0136E" w:rsidRDefault="008D3751" w:rsidP="00274FAB">
      <w:pPr>
        <w:rPr>
          <w:rFonts w:asciiTheme="majorHAnsi" w:hAnsiTheme="majorHAnsi"/>
          <w:color w:val="005A70"/>
          <w:sz w:val="40"/>
          <w:szCs w:val="40"/>
        </w:rPr>
      </w:pPr>
      <w:r w:rsidRPr="008D3751">
        <w:rPr>
          <w:rFonts w:asciiTheme="majorHAnsi" w:hAnsiTheme="majorHAnsi"/>
          <w:noProof/>
          <w:color w:val="005A70"/>
          <w:sz w:val="40"/>
          <w:szCs w:val="40"/>
        </w:rPr>
        <w:drawing>
          <wp:inline distT="0" distB="0" distL="0" distR="0" wp14:anchorId="3CD8ABD4" wp14:editId="7672A079">
            <wp:extent cx="5626100" cy="4827956"/>
            <wp:effectExtent l="0" t="0" r="0" b="0"/>
            <wp:docPr id="240" name="Picture 240" descr="Outcome 1 Social Security: A sustainable social security system that incentivises self-reliance and supports people who cannot fully support themselves by providing targeted payments and assistance&#10;Outcome 2 Families and Communities: Contribute to stronger and more resilient individuals, families, and communities by providing targeted support.&#10;Outcome 3 Disability and Carers: Supporting the independence of, and economic participation by, people with disability and carers by providing targeted supports.&#10;OUTCOME 4&#10;Housing:  Improving housing affordability, supporting social housing for individuals, and preventing and addressing homelessness by providing targeted supports.&#10;&#10;" title="Table of Departmental purposes and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42289" cy="4841848"/>
                    </a:xfrm>
                    <a:prstGeom prst="rect">
                      <a:avLst/>
                    </a:prstGeom>
                  </pic:spPr>
                </pic:pic>
              </a:graphicData>
            </a:graphic>
          </wp:inline>
        </w:drawing>
      </w:r>
    </w:p>
    <w:p w14:paraId="373011A9" w14:textId="77777777" w:rsidR="00DD7ABF" w:rsidRPr="00DD7ABF" w:rsidRDefault="00DD7ABF" w:rsidP="009278B4">
      <w:pPr>
        <w:pStyle w:val="Heading1"/>
        <w:spacing w:after="40"/>
        <w:contextualSpacing w:val="0"/>
        <w:rPr>
          <w:sz w:val="20"/>
          <w:szCs w:val="48"/>
        </w:rPr>
      </w:pPr>
      <w:bookmarkStart w:id="13" w:name="_Toc111026110"/>
      <w:bookmarkStart w:id="14" w:name="_Toc47604296"/>
      <w:bookmarkStart w:id="15" w:name="_Toc47604294"/>
    </w:p>
    <w:p w14:paraId="45F4DAD8" w14:textId="0F9DE392" w:rsidR="009278B4" w:rsidRDefault="009278B4" w:rsidP="009278B4">
      <w:pPr>
        <w:pStyle w:val="Heading1"/>
        <w:spacing w:after="40"/>
        <w:contextualSpacing w:val="0"/>
        <w:rPr>
          <w:sz w:val="48"/>
          <w:szCs w:val="48"/>
        </w:rPr>
      </w:pPr>
      <w:bookmarkStart w:id="16" w:name="_Toc144385535"/>
      <w:r>
        <w:rPr>
          <w:sz w:val="48"/>
          <w:szCs w:val="48"/>
        </w:rPr>
        <w:t>Operational Context</w:t>
      </w:r>
      <w:bookmarkEnd w:id="16"/>
    </w:p>
    <w:p w14:paraId="066245A6" w14:textId="51D76408" w:rsidR="006364CB" w:rsidRDefault="006364CB" w:rsidP="00B81E0C">
      <w:pPr>
        <w:pStyle w:val="Normalmorespace"/>
        <w:rPr>
          <w:rFonts w:cstheme="minorBidi"/>
        </w:rPr>
      </w:pPr>
      <w:r w:rsidRPr="00C52E24">
        <w:t xml:space="preserve">The </w:t>
      </w:r>
      <w:r>
        <w:t>d</w:t>
      </w:r>
      <w:r w:rsidRPr="00C52E24">
        <w:t>epartment operates in a complex, interconnected and evolving environment</w:t>
      </w:r>
      <w:r w:rsidR="003132CB">
        <w:t xml:space="preserve"> that presents both challenges and opportunities</w:t>
      </w:r>
      <w:r w:rsidRPr="00C52E24">
        <w:t xml:space="preserve">. </w:t>
      </w:r>
      <w:r w:rsidRPr="00C52E24">
        <w:rPr>
          <w:rFonts w:cstheme="minorBidi"/>
        </w:rPr>
        <w:t>Our success is contingent on our ability to anticipate, adapt and respond to the changing environment</w:t>
      </w:r>
      <w:r>
        <w:rPr>
          <w:rFonts w:cstheme="minorBidi"/>
        </w:rPr>
        <w:t xml:space="preserve">. Our focus is </w:t>
      </w:r>
      <w:r w:rsidRPr="00C52E24">
        <w:rPr>
          <w:rFonts w:cstheme="minorBidi"/>
        </w:rPr>
        <w:t xml:space="preserve">on </w:t>
      </w:r>
      <w:r>
        <w:rPr>
          <w:rFonts w:cstheme="minorBidi"/>
        </w:rPr>
        <w:t>supporting</w:t>
      </w:r>
      <w:r w:rsidRPr="00C52E24">
        <w:rPr>
          <w:rFonts w:cstheme="minorBidi"/>
        </w:rPr>
        <w:t xml:space="preserve"> individuals</w:t>
      </w:r>
      <w:r w:rsidR="004E31FB">
        <w:rPr>
          <w:rFonts w:cstheme="minorBidi"/>
        </w:rPr>
        <w:t>,</w:t>
      </w:r>
      <w:r w:rsidRPr="00C52E24">
        <w:rPr>
          <w:rFonts w:cstheme="minorBidi"/>
        </w:rPr>
        <w:t xml:space="preserve"> families </w:t>
      </w:r>
      <w:r w:rsidR="002F0B2E">
        <w:rPr>
          <w:rFonts w:cstheme="minorBidi"/>
        </w:rPr>
        <w:t>and vulnerable members of</w:t>
      </w:r>
      <w:r w:rsidRPr="00C52E24">
        <w:rPr>
          <w:rFonts w:cstheme="minorBidi"/>
        </w:rPr>
        <w:t xml:space="preserve"> Australian communities</w:t>
      </w:r>
      <w:r>
        <w:rPr>
          <w:rFonts w:cstheme="minorBidi"/>
        </w:rPr>
        <w:t xml:space="preserve"> using person-centred approaches</w:t>
      </w:r>
      <w:r w:rsidRPr="00C52E24">
        <w:rPr>
          <w:rFonts w:cstheme="minorBidi"/>
        </w:rPr>
        <w:t>. We use our networks</w:t>
      </w:r>
      <w:r w:rsidR="002F0B2E">
        <w:rPr>
          <w:rFonts w:cstheme="minorBidi"/>
        </w:rPr>
        <w:t>, partnerships</w:t>
      </w:r>
      <w:r w:rsidRPr="00C52E24">
        <w:rPr>
          <w:rFonts w:cstheme="minorBidi"/>
        </w:rPr>
        <w:t xml:space="preserve"> and expertise to inform mainstream policy and programs, legislative and structural reform and funding of priority programs.</w:t>
      </w:r>
    </w:p>
    <w:p w14:paraId="4C63A14F" w14:textId="4B656F12" w:rsidR="008D3751" w:rsidRDefault="008D3751">
      <w:pPr>
        <w:spacing w:before="0" w:after="200" w:line="276" w:lineRule="auto"/>
        <w:rPr>
          <w:rFonts w:cstheme="minorBidi"/>
          <w:color w:val="000000" w:themeColor="text1"/>
          <w:spacing w:val="0"/>
          <w:sz w:val="20"/>
          <w:szCs w:val="20"/>
        </w:rPr>
      </w:pPr>
      <w:r>
        <w:rPr>
          <w:rFonts w:cstheme="minorBidi"/>
        </w:rPr>
        <w:br w:type="page"/>
      </w:r>
    </w:p>
    <w:p w14:paraId="14654894" w14:textId="0093BAF5" w:rsidR="00B652F7" w:rsidRPr="009B2458" w:rsidRDefault="008D3751" w:rsidP="00B652F7">
      <w:pPr>
        <w:pStyle w:val="Heading1"/>
        <w:rPr>
          <w:rFonts w:asciiTheme="minorHAnsi" w:hAnsiTheme="minorHAnsi" w:cstheme="minorHAnsi"/>
          <w:sz w:val="48"/>
          <w:szCs w:val="48"/>
        </w:rPr>
      </w:pPr>
      <w:bookmarkStart w:id="17" w:name="_Toc144385536"/>
      <w:r w:rsidRPr="009B2458">
        <w:rPr>
          <w:sz w:val="48"/>
          <w:szCs w:val="48"/>
        </w:rPr>
        <w:t>Our structure</w:t>
      </w:r>
      <w:bookmarkEnd w:id="17"/>
    </w:p>
    <w:p w14:paraId="0C9E1CA7" w14:textId="60D450BE" w:rsidR="00B652F7" w:rsidRDefault="00B652F7" w:rsidP="00B81E0C">
      <w:pPr>
        <w:pStyle w:val="Normalmorespace"/>
      </w:pPr>
      <w:r w:rsidRPr="002C3F65">
        <w:t xml:space="preserve">Our </w:t>
      </w:r>
      <w:r>
        <w:t>department is organised into 4 streams:</w:t>
      </w:r>
    </w:p>
    <w:p w14:paraId="2AF1430C" w14:textId="77777777" w:rsidR="0074756B" w:rsidRPr="00013CF0" w:rsidRDefault="005D06A7" w:rsidP="00B81E0C">
      <w:pPr>
        <w:pStyle w:val="Normalmorespace"/>
        <w:rPr>
          <w:color w:val="24596E"/>
        </w:rPr>
      </w:pPr>
      <w:r w:rsidRPr="00013CF0">
        <w:rPr>
          <w:b/>
          <w:bCs/>
          <w:color w:val="24596E"/>
          <w:lang w:val="en-US"/>
        </w:rPr>
        <w:t>Social Security Stream</w:t>
      </w:r>
    </w:p>
    <w:p w14:paraId="04A5EF1B" w14:textId="2D845D5C" w:rsidR="0074756B" w:rsidRDefault="005D06A7" w:rsidP="00B81E0C">
      <w:pPr>
        <w:pStyle w:val="Normalmorespace"/>
      </w:pPr>
      <w:r w:rsidRPr="00BA2C80">
        <w:t xml:space="preserve">The Social </w:t>
      </w:r>
      <w:r w:rsidR="00341717">
        <w:t>Security</w:t>
      </w:r>
      <w:r w:rsidR="00341717" w:rsidRPr="00BA2C80">
        <w:t xml:space="preserve"> </w:t>
      </w:r>
      <w:r w:rsidRPr="00BA2C80">
        <w:t xml:space="preserve">Stream manages income support policies and programs that support families, carers, the aged, people with disability, students and apprentices, as well as people of working age. The stream also manages housing and homelessness policies and programs, along with the department’s centralised data strategy and evaluations function. </w:t>
      </w:r>
    </w:p>
    <w:p w14:paraId="77E0BB51" w14:textId="77777777" w:rsidR="0074756B" w:rsidRPr="00013CF0" w:rsidRDefault="005D06A7" w:rsidP="00B81E0C">
      <w:pPr>
        <w:pStyle w:val="Normalmorespace"/>
        <w:rPr>
          <w:color w:val="24596E"/>
        </w:rPr>
      </w:pPr>
      <w:r w:rsidRPr="00013CF0">
        <w:rPr>
          <w:b/>
          <w:bCs/>
          <w:color w:val="24596E"/>
          <w:lang w:val="en-US"/>
        </w:rPr>
        <w:t>Families and Communities Stream</w:t>
      </w:r>
    </w:p>
    <w:p w14:paraId="037EF975" w14:textId="775DD32C" w:rsidR="0074756B" w:rsidRDefault="005D06A7" w:rsidP="00B81E0C">
      <w:pPr>
        <w:pStyle w:val="Normalmorespace"/>
      </w:pPr>
      <w:r w:rsidRPr="00BA2C80">
        <w:t xml:space="preserve">The Families and Communities stream supports vulnerable communities, families and children, and promotes family safety. It is responsible for the </w:t>
      </w:r>
      <w:r w:rsidR="000F232F">
        <w:t>National Plan to E</w:t>
      </w:r>
      <w:r w:rsidR="002F0B2E">
        <w:t xml:space="preserve">nd Violence against Women and Children, </w:t>
      </w:r>
      <w:r w:rsidRPr="00BA2C80">
        <w:t xml:space="preserve">National Redress Scheme, Early Years Strategy, </w:t>
      </w:r>
      <w:r w:rsidR="002F0B2E">
        <w:t xml:space="preserve">addressing </w:t>
      </w:r>
      <w:r w:rsidRPr="00BA2C80">
        <w:t>problem gambling, financial wellbeing policy, programs to support families, women and children to be safe and thriving.</w:t>
      </w:r>
    </w:p>
    <w:p w14:paraId="3B4CD8D4" w14:textId="77777777" w:rsidR="0074756B" w:rsidRPr="00013CF0" w:rsidRDefault="005D06A7" w:rsidP="00B81E0C">
      <w:pPr>
        <w:pStyle w:val="Normalmorespace"/>
        <w:rPr>
          <w:color w:val="24596E"/>
        </w:rPr>
      </w:pPr>
      <w:r w:rsidRPr="00013CF0">
        <w:rPr>
          <w:b/>
          <w:bCs/>
          <w:color w:val="24596E"/>
          <w:lang w:val="en-US"/>
        </w:rPr>
        <w:t>Disability and Carers Stream</w:t>
      </w:r>
    </w:p>
    <w:p w14:paraId="0E270639" w14:textId="651F38DD" w:rsidR="0074756B" w:rsidRDefault="005D06A7" w:rsidP="00B81E0C">
      <w:pPr>
        <w:pStyle w:val="Normalmorespace"/>
      </w:pPr>
      <w:r w:rsidRPr="00BA2C80">
        <w:t xml:space="preserve">The Disability and Carers stream oversees policy and programs providing targeted supports and services for people with disability and carers. This includes policy related to the National Disability Insurance scheme (NDIS), Disability Employment Services (DES) and the Australian Disability Strategy (ADS). </w:t>
      </w:r>
    </w:p>
    <w:p w14:paraId="0993456F" w14:textId="77777777" w:rsidR="0074756B" w:rsidRPr="00013CF0" w:rsidRDefault="005D06A7" w:rsidP="00B81E0C">
      <w:pPr>
        <w:pStyle w:val="Normalmorespace"/>
        <w:rPr>
          <w:color w:val="24596E"/>
        </w:rPr>
      </w:pPr>
      <w:r w:rsidRPr="00013CF0">
        <w:rPr>
          <w:b/>
          <w:bCs/>
          <w:color w:val="24596E"/>
          <w:lang w:val="en-US"/>
        </w:rPr>
        <w:t>Chief Operating Officer Stream</w:t>
      </w:r>
    </w:p>
    <w:p w14:paraId="5625AE7E" w14:textId="2A1B7D4D" w:rsidR="00DD7ABF" w:rsidRPr="00BA2C80" w:rsidRDefault="005D06A7" w:rsidP="00D4571B">
      <w:pPr>
        <w:pStyle w:val="Normalmorespace"/>
      </w:pPr>
      <w:r w:rsidRPr="00BA2C80">
        <w:t>The Chief Operating Officer stream has a key role of overs</w:t>
      </w:r>
      <w:r w:rsidR="002F0B2E">
        <w:t>eeing</w:t>
      </w:r>
      <w:r w:rsidRPr="00BA2C80">
        <w:t xml:space="preserve"> the department’s </w:t>
      </w:r>
      <w:r w:rsidR="00DD7ABF">
        <w:t>C</w:t>
      </w:r>
      <w:r w:rsidR="00DD7ABF" w:rsidRPr="00BA2C80">
        <w:t>orporate</w:t>
      </w:r>
      <w:r w:rsidRPr="00BA2C80">
        <w:t xml:space="preserve"> functions, the Chief Counsel’s office, the Chief Financial Officer and the Portfolio Coordination function.</w:t>
      </w:r>
      <w:r w:rsidRPr="00BA2C80">
        <w:br/>
        <w:t>The Community Grants Hub, which delivers community-based grants funding on behalf of Australian Government client departments and agencies, is also in this stream.</w:t>
      </w:r>
    </w:p>
    <w:p w14:paraId="7129DA92" w14:textId="5BE3B010" w:rsidR="00F765B4" w:rsidRPr="00E81CDE" w:rsidRDefault="00F765B4" w:rsidP="00F765B4">
      <w:pPr>
        <w:pStyle w:val="Heading2"/>
        <w:rPr>
          <w:sz w:val="48"/>
          <w:szCs w:val="48"/>
        </w:rPr>
      </w:pPr>
      <w:bookmarkStart w:id="18" w:name="_Toc144385537"/>
      <w:r w:rsidRPr="00E81CDE">
        <w:rPr>
          <w:sz w:val="48"/>
          <w:szCs w:val="48"/>
        </w:rPr>
        <w:t>Our environment</w:t>
      </w:r>
      <w:bookmarkEnd w:id="13"/>
      <w:bookmarkEnd w:id="18"/>
    </w:p>
    <w:p w14:paraId="6DB30078" w14:textId="6E759310" w:rsidR="00F765B4" w:rsidRPr="004C3F74" w:rsidRDefault="00F765B4" w:rsidP="00E81CDE">
      <w:pPr>
        <w:pStyle w:val="Heading2"/>
      </w:pPr>
      <w:bookmarkStart w:id="19" w:name="_Toc144385538"/>
      <w:r w:rsidRPr="005A1678">
        <w:t>Cost of living</w:t>
      </w:r>
      <w:bookmarkEnd w:id="19"/>
      <w:r w:rsidR="00EB3538">
        <w:t xml:space="preserve"> </w:t>
      </w:r>
    </w:p>
    <w:p w14:paraId="0725F3B5" w14:textId="7404693E" w:rsidR="00F765B4" w:rsidRDefault="00F765B4" w:rsidP="00B81E0C">
      <w:pPr>
        <w:pStyle w:val="Normalmorespace"/>
      </w:pPr>
      <w:r w:rsidRPr="00D430A5">
        <w:t>A range of factors have contributed to increased pressures on the cost of living.</w:t>
      </w:r>
    </w:p>
    <w:p w14:paraId="6846763E" w14:textId="04005917" w:rsidR="00FB1FB6" w:rsidRDefault="00FB1FB6" w:rsidP="00B81E0C">
      <w:pPr>
        <w:pStyle w:val="Normalmorespace"/>
      </w:pPr>
      <w:r>
        <w:t>While inflation is expected to ease over the next year, growth in the Consumer Price Index remains considerably higher than the Reserve Bank’s target range of 2 to 3 per cent. Indexation continues to play a crucial role in ensuring social security payments keep up with increases in living costs.</w:t>
      </w:r>
    </w:p>
    <w:p w14:paraId="1C666FAB" w14:textId="052FC40D" w:rsidR="00FB1FB6" w:rsidRDefault="00FB1FB6" w:rsidP="00B81E0C">
      <w:pPr>
        <w:pStyle w:val="Normalmorespace"/>
      </w:pPr>
      <w:r>
        <w:t>Access to safe and affordable housing remains a crucial issue. The pandemic brought material and labour shortages, causing some builders to go into voluntary administration. These supply constraints have placed additional demands on Australia’s housing market.</w:t>
      </w:r>
    </w:p>
    <w:p w14:paraId="1480EA9C" w14:textId="7BE834E7" w:rsidR="00FB1FB6" w:rsidRDefault="00FB1FB6" w:rsidP="00B81E0C">
      <w:pPr>
        <w:pStyle w:val="Normalmorespace"/>
      </w:pPr>
      <w:r>
        <w:t>The Government has a broad-ranging housing agenda designed to ease these market pressures.</w:t>
      </w:r>
    </w:p>
    <w:p w14:paraId="164282A6" w14:textId="6AC0713E" w:rsidR="00FB1FB6" w:rsidRDefault="00FB1FB6" w:rsidP="00B81E0C">
      <w:pPr>
        <w:pStyle w:val="Normalmorespace"/>
      </w:pPr>
      <w:r>
        <w:t xml:space="preserve">We work with Treasury and state and territory governments, to improve housing supply and affordability, and strengthen renters’ </w:t>
      </w:r>
      <w:r w:rsidR="00080D84">
        <w:t xml:space="preserve">rights </w:t>
      </w:r>
      <w:r>
        <w:t xml:space="preserve">across Australia, including through the National Housing and Homelessness Agreement (NHHA), Commonwealth Rent Assistance (CRA), and </w:t>
      </w:r>
      <w:r w:rsidR="00080D84">
        <w:t xml:space="preserve">initiatives emerging from </w:t>
      </w:r>
      <w:r>
        <w:t>National Cabinet.</w:t>
      </w:r>
    </w:p>
    <w:p w14:paraId="787E876C" w14:textId="5C083387" w:rsidR="00FB1FB6" w:rsidRPr="00D430A5" w:rsidRDefault="00FB1FB6" w:rsidP="00B81E0C">
      <w:pPr>
        <w:pStyle w:val="Normalmorespace"/>
      </w:pPr>
      <w:r>
        <w:t>The development of a National Housing and Homelessness plan will set out the key short, medium and longer term reforms needed to address housing challenges.</w:t>
      </w:r>
    </w:p>
    <w:p w14:paraId="54D31C8C" w14:textId="77777777" w:rsidR="00DD7ABF" w:rsidRDefault="00DD7ABF">
      <w:pPr>
        <w:spacing w:before="0" w:after="200" w:line="276" w:lineRule="auto"/>
        <w:rPr>
          <w:rFonts w:ascii="Georgia" w:eastAsiaTheme="majorEastAsia" w:hAnsi="Georgia" w:cstheme="majorBidi"/>
          <w:bCs/>
          <w:color w:val="005A70"/>
          <w:sz w:val="32"/>
          <w:szCs w:val="26"/>
        </w:rPr>
      </w:pPr>
      <w:r>
        <w:br w:type="page"/>
      </w:r>
    </w:p>
    <w:p w14:paraId="560320D3" w14:textId="0A009EA7" w:rsidR="00F765B4" w:rsidRPr="004C3F74" w:rsidRDefault="00F765B4" w:rsidP="00E81CDE">
      <w:pPr>
        <w:pStyle w:val="Heading2"/>
      </w:pPr>
      <w:bookmarkStart w:id="20" w:name="_Toc144385539"/>
      <w:r w:rsidRPr="004C3F74">
        <w:t>COVID-19</w:t>
      </w:r>
      <w:bookmarkEnd w:id="20"/>
    </w:p>
    <w:p w14:paraId="55BBD91B" w14:textId="12C76DCA" w:rsidR="00133D36" w:rsidRPr="00EC690F" w:rsidRDefault="00133D36" w:rsidP="00B81E0C">
      <w:pPr>
        <w:spacing w:after="120" w:line="252" w:lineRule="auto"/>
        <w:rPr>
          <w:rFonts w:cs="Arial"/>
          <w:spacing w:val="0"/>
          <w:sz w:val="20"/>
          <w:szCs w:val="20"/>
        </w:rPr>
      </w:pPr>
      <w:r w:rsidRPr="002D685D">
        <w:rPr>
          <w:rStyle w:val="NormalmorespaceChar"/>
        </w:rPr>
        <w:t>For many people life has returned to normal however</w:t>
      </w:r>
      <w:r w:rsidR="00D57588" w:rsidRPr="002D685D">
        <w:rPr>
          <w:rStyle w:val="NormalmorespaceChar"/>
        </w:rPr>
        <w:t>,</w:t>
      </w:r>
      <w:r w:rsidRPr="002D685D">
        <w:rPr>
          <w:rStyle w:val="NormalmorespaceChar"/>
        </w:rPr>
        <w:t xml:space="preserve"> COVID-19 continues to pose a significant risk to many Australians including </w:t>
      </w:r>
      <w:r w:rsidR="003132CB" w:rsidRPr="002D685D">
        <w:rPr>
          <w:rStyle w:val="NormalmorespaceChar"/>
        </w:rPr>
        <w:t>our most vulnerable</w:t>
      </w:r>
      <w:r w:rsidRPr="002D685D">
        <w:rPr>
          <w:rStyle w:val="NormalmorespaceChar"/>
        </w:rPr>
        <w:t>. Public measures such as vaccinations and antiviral treatments continue to provide strong protection to Australians against severe illness and death. The</w:t>
      </w:r>
      <w:r w:rsidRPr="00EC690F">
        <w:rPr>
          <w:rFonts w:cs="Arial"/>
          <w:sz w:val="20"/>
          <w:szCs w:val="20"/>
        </w:rPr>
        <w:t xml:space="preserve"> </w:t>
      </w:r>
      <w:r w:rsidRPr="002D685D">
        <w:rPr>
          <w:rStyle w:val="NormalmorespaceChar"/>
        </w:rPr>
        <w:t>portfolio continues to review and adjust its response to ensure available supports remain effective. The department continues to support coordinated actions across the Commonwealth that seek to safeguard the health and wellbeing of people with disability during the Pandemic, while respecting their rights, informed choices and dignity.</w:t>
      </w:r>
      <w:r w:rsidRPr="00EC690F">
        <w:rPr>
          <w:rFonts w:cs="Arial"/>
          <w:sz w:val="20"/>
          <w:szCs w:val="20"/>
        </w:rPr>
        <w:t xml:space="preserve"> </w:t>
      </w:r>
    </w:p>
    <w:p w14:paraId="49DB1A93" w14:textId="619FB8CC" w:rsidR="00F765B4" w:rsidRPr="004C3F74" w:rsidRDefault="00F765B4" w:rsidP="00E81CDE">
      <w:pPr>
        <w:pStyle w:val="Heading2"/>
      </w:pPr>
      <w:bookmarkStart w:id="21" w:name="_Toc144385540"/>
      <w:r w:rsidRPr="004C3F74">
        <w:t>Natural disasters</w:t>
      </w:r>
      <w:bookmarkEnd w:id="21"/>
    </w:p>
    <w:p w14:paraId="75976898" w14:textId="0B50C180" w:rsidR="00F765B4" w:rsidRDefault="00F765B4" w:rsidP="00B81E0C">
      <w:pPr>
        <w:pStyle w:val="Normalmorespace"/>
      </w:pPr>
      <w:r w:rsidRPr="00D430A5">
        <w:t>The frequency and intensity of natural disasters in recent years has been challenging for the Australian people. These events have</w:t>
      </w:r>
      <w:r w:rsidR="00B22FAE">
        <w:t xml:space="preserve"> impacted our most vulnerable disproportionately.</w:t>
      </w:r>
      <w:r w:rsidRPr="00D430A5">
        <w:t xml:space="preserve"> </w:t>
      </w:r>
      <w:r w:rsidRPr="00D53324">
        <w:t xml:space="preserve">We </w:t>
      </w:r>
      <w:r w:rsidR="00B22FAE">
        <w:t xml:space="preserve">continue to </w:t>
      </w:r>
      <w:r w:rsidRPr="00D53324">
        <w:t xml:space="preserve">collaborate with Australian Government agencies such as the National </w:t>
      </w:r>
      <w:r w:rsidR="00F62A75">
        <w:t xml:space="preserve">Emergency Management </w:t>
      </w:r>
      <w:r w:rsidRPr="00D53324">
        <w:t xml:space="preserve">Agency to </w:t>
      </w:r>
      <w:r w:rsidR="00B22FAE">
        <w:t xml:space="preserve">prepare for and </w:t>
      </w:r>
      <w:r w:rsidRPr="00D53324">
        <w:t>respond to natural disasters</w:t>
      </w:r>
      <w:r>
        <w:t xml:space="preserve">. </w:t>
      </w:r>
      <w:r w:rsidRPr="00D430A5">
        <w:t>Our portfolio agency, Services Australia, helps people directly affected by natural disaster events with targeted support such as Australian Government Disaster Recovery Payment and Disaster Recovery Allowance.</w:t>
      </w:r>
    </w:p>
    <w:p w14:paraId="4C947E56" w14:textId="77777777" w:rsidR="00F765B4" w:rsidRPr="004C3F74" w:rsidRDefault="00F765B4" w:rsidP="00E81CDE">
      <w:pPr>
        <w:pStyle w:val="Heading2"/>
      </w:pPr>
      <w:bookmarkStart w:id="22" w:name="_Toc144385541"/>
      <w:r w:rsidRPr="004C3F74">
        <w:t>Longer life expectancy</w:t>
      </w:r>
      <w:bookmarkEnd w:id="22"/>
    </w:p>
    <w:p w14:paraId="005722BB" w14:textId="18F9FC39" w:rsidR="000A10A3" w:rsidRPr="00D430A5" w:rsidRDefault="00F765B4" w:rsidP="00B81E0C">
      <w:pPr>
        <w:pStyle w:val="Normalmorespace"/>
      </w:pPr>
      <w:r>
        <w:t>As people</w:t>
      </w:r>
      <w:r w:rsidRPr="00D430A5">
        <w:t xml:space="preserve"> are living longer </w:t>
      </w:r>
      <w:r>
        <w:t xml:space="preserve">we </w:t>
      </w:r>
      <w:r w:rsidRPr="00D430A5">
        <w:t>must remain responsive to</w:t>
      </w:r>
      <w:r>
        <w:t> </w:t>
      </w:r>
      <w:r w:rsidRPr="00D430A5">
        <w:t xml:space="preserve">how these changes affect the outcome areas of the department, the relative demand for services and the sustainability of the </w:t>
      </w:r>
      <w:r>
        <w:t xml:space="preserve">social security </w:t>
      </w:r>
      <w:r w:rsidRPr="00D430A5">
        <w:t xml:space="preserve">system. </w:t>
      </w:r>
      <w:r w:rsidR="002C5CCF">
        <w:t xml:space="preserve">While the proportion of older Australians is increasing, longer working lives and the maturation of the superannuation system will result in </w:t>
      </w:r>
      <w:r w:rsidRPr="00D430A5">
        <w:t xml:space="preserve">gradual reduction </w:t>
      </w:r>
      <w:r w:rsidR="002C5CCF">
        <w:t>in</w:t>
      </w:r>
      <w:r w:rsidRPr="00D430A5">
        <w:t xml:space="preserve"> the proportion of senior Australians receiving the </w:t>
      </w:r>
      <w:r>
        <w:t xml:space="preserve">full rate of </w:t>
      </w:r>
      <w:r w:rsidRPr="00D430A5">
        <w:t xml:space="preserve">Age Pension. </w:t>
      </w:r>
      <w:r w:rsidR="002C5CCF">
        <w:t>The Age Pension will remain an important safety net for seniors who have not been able to accumulate sufficient retirement savings and for those whose savings are depleted over their retirement.</w:t>
      </w:r>
    </w:p>
    <w:p w14:paraId="0B3C7579" w14:textId="5F24B1AC" w:rsidR="00F765B4" w:rsidRPr="004C3F74" w:rsidRDefault="00F765B4" w:rsidP="00E81CDE">
      <w:pPr>
        <w:pStyle w:val="Heading2"/>
      </w:pPr>
      <w:bookmarkStart w:id="23" w:name="_Toc144385542"/>
      <w:r w:rsidRPr="005A1678">
        <w:t>Reconciliation</w:t>
      </w:r>
      <w:bookmarkEnd w:id="23"/>
      <w:r w:rsidR="00EB3538">
        <w:t xml:space="preserve"> </w:t>
      </w:r>
    </w:p>
    <w:p w14:paraId="66F320FF" w14:textId="3210F705" w:rsidR="00C24046" w:rsidRDefault="00F765B4" w:rsidP="00B81E0C">
      <w:pPr>
        <w:pStyle w:val="Normalmorespace"/>
      </w:pPr>
      <w:r w:rsidRPr="00D430A5">
        <w:t xml:space="preserve">The </w:t>
      </w:r>
      <w:r>
        <w:t>d</w:t>
      </w:r>
      <w:r w:rsidRPr="00D430A5">
        <w:t xml:space="preserve">epartment </w:t>
      </w:r>
      <w:r>
        <w:t>is committed to partnering effectively with</w:t>
      </w:r>
      <w:r w:rsidRPr="00D430A5">
        <w:t xml:space="preserve"> Aboriginal and Torres Strait Islander peoples. We</w:t>
      </w:r>
      <w:r>
        <w:t> </w:t>
      </w:r>
      <w:r w:rsidRPr="00D430A5">
        <w:t>take a leadership role in reconciliation processes based on relationships, respect and opportunity. The</w:t>
      </w:r>
      <w:r>
        <w:t> </w:t>
      </w:r>
      <w:r w:rsidR="00F9411B">
        <w:t xml:space="preserve">department is over half way into its </w:t>
      </w:r>
      <w:r w:rsidRPr="00D430A5">
        <w:t>Reconciliation Action Plan (stretch) 2021-2024</w:t>
      </w:r>
      <w:r w:rsidR="00F9411B">
        <w:t>.</w:t>
      </w:r>
      <w:r w:rsidRPr="00D430A5">
        <w:t xml:space="preserve"> This includes an Aboriginal and Torres Strait Islander specific action plan in partnership with community leaders through </w:t>
      </w:r>
      <w:r w:rsidRPr="006D54A1">
        <w:t>Safe and Supported: the National Framework for Protecting Australia’s Children</w:t>
      </w:r>
      <w:r w:rsidRPr="00424098">
        <w:t xml:space="preserve"> </w:t>
      </w:r>
      <w:r w:rsidRPr="00D430A5">
        <w:t>(2021-2031), a framework that embeds the 4 Priority Reforms of the National Agreement on Closing the Gap</w:t>
      </w:r>
      <w:r w:rsidR="00C24046">
        <w:t xml:space="preserve"> and</w:t>
      </w:r>
      <w:r w:rsidR="00C24046" w:rsidRPr="00C24046">
        <w:t xml:space="preserve"> </w:t>
      </w:r>
      <w:r w:rsidR="00C24046">
        <w:t>the National Plan to End Violence against Women and Children (2022-2032)</w:t>
      </w:r>
      <w:r w:rsidRPr="00D430A5">
        <w:t xml:space="preserve">. </w:t>
      </w:r>
      <w:r>
        <w:t xml:space="preserve">Implementation of the Closing the Gap Disability </w:t>
      </w:r>
      <w:r w:rsidR="005F5C38">
        <w:t xml:space="preserve">and Housing </w:t>
      </w:r>
      <w:r>
        <w:t>Sector Strengthening Plans puts into practice the Priority Reforms of working in partnership with First Nations people and building the First Nations community controlled sector.</w:t>
      </w:r>
      <w:r w:rsidRPr="00D430A5">
        <w:t xml:space="preserve"> </w:t>
      </w:r>
    </w:p>
    <w:p w14:paraId="29736485" w14:textId="73E6590C" w:rsidR="00F765B4" w:rsidRPr="00D430A5" w:rsidRDefault="00F765B4" w:rsidP="00B81E0C">
      <w:pPr>
        <w:pStyle w:val="Normalmorespace"/>
      </w:pPr>
      <w:r w:rsidRPr="00D430A5">
        <w:t xml:space="preserve">Our procurement </w:t>
      </w:r>
      <w:r w:rsidR="0043206C">
        <w:t>practices</w:t>
      </w:r>
      <w:r w:rsidRPr="00D430A5">
        <w:t xml:space="preserve"> also demonstrate active investment </w:t>
      </w:r>
      <w:r w:rsidRPr="005A1678">
        <w:t>into sustainable economic empowerment of Aboriginal and Torres Strait Islander peoples.</w:t>
      </w:r>
      <w:r w:rsidR="005F5C38" w:rsidRPr="005A1678">
        <w:t xml:space="preserve"> Under Priority Reform One of the National Agreement on Closing the Gap, the department is co-chairing, with the National Aboriginal and Torres Strait Islander Housing Association, a Housing Policy Partnership to provide a forum for Indigenous Australians to have a genuine say in the design and delivery of housing services.</w:t>
      </w:r>
    </w:p>
    <w:p w14:paraId="4AE419AF" w14:textId="77777777" w:rsidR="00F765B4" w:rsidRPr="004C3F74" w:rsidRDefault="00F765B4" w:rsidP="00E81CDE">
      <w:pPr>
        <w:pStyle w:val="Heading2"/>
      </w:pPr>
      <w:bookmarkStart w:id="24" w:name="_Toc144385543"/>
      <w:r w:rsidRPr="004C3F74">
        <w:t>Workforce</w:t>
      </w:r>
      <w:bookmarkEnd w:id="24"/>
    </w:p>
    <w:p w14:paraId="5FF7EA3C" w14:textId="77777777" w:rsidR="00460E3E" w:rsidRDefault="00460E3E" w:rsidP="00B81E0C">
      <w:pPr>
        <w:pStyle w:val="Normalmorespace"/>
      </w:pPr>
      <w:r>
        <w:t xml:space="preserve">The national unemployment figures, whilst low have stabilised. Labour markets are competitive across all sectors, presenting challenges for employers to attract and retain diverse talent. Through our workforce and business planning processes, the department is looking for ways to address those challenges, with a particular focus on skills shortages within Data and Digital capabilities. </w:t>
      </w:r>
    </w:p>
    <w:p w14:paraId="44E1FC67" w14:textId="321C90FB" w:rsidR="00460E3E" w:rsidRDefault="00080D84" w:rsidP="00B81E0C">
      <w:pPr>
        <w:pStyle w:val="Normalmorespace"/>
      </w:pPr>
      <w:r>
        <w:t>Our use</w:t>
      </w:r>
      <w:r w:rsidR="00460E3E">
        <w:t xml:space="preserve"> of flexible work arrangements</w:t>
      </w:r>
      <w:r>
        <w:t xml:space="preserve"> and leveraging our geographic dispersion</w:t>
      </w:r>
      <w:r w:rsidR="00460E3E">
        <w:t xml:space="preserve"> has yielded significant benefits, broadening talent pools and </w:t>
      </w:r>
      <w:r>
        <w:t>building capability</w:t>
      </w:r>
      <w:r w:rsidR="00460E3E">
        <w:t>.</w:t>
      </w:r>
      <w:r>
        <w:t xml:space="preserve"> L</w:t>
      </w:r>
      <w:r w:rsidR="00460E3E">
        <w:t xml:space="preserve">eaders and managers </w:t>
      </w:r>
      <w:r>
        <w:t>have focused on</w:t>
      </w:r>
      <w:r w:rsidR="00460E3E">
        <w:t xml:space="preserve"> maintaining and strengthening team communication and cohesion, ensuring data security and capability building within a virtual environment. </w:t>
      </w:r>
    </w:p>
    <w:p w14:paraId="2C9CD7E2" w14:textId="77777777" w:rsidR="00460E3E" w:rsidRDefault="00460E3E" w:rsidP="00B81E0C">
      <w:pPr>
        <w:pStyle w:val="Normalmorespace"/>
      </w:pPr>
      <w:r>
        <w:t>The APS reform agenda is transforming the way the APS workforce operates. The reform initiatives present new and innovative opportunities as we look to the future and the department must ensure we have the resources and capability for the enduring changes which lie ahead.</w:t>
      </w:r>
    </w:p>
    <w:p w14:paraId="70EC9AF1" w14:textId="77777777" w:rsidR="00304C83" w:rsidRPr="00E81CDE" w:rsidRDefault="00304C83" w:rsidP="00E81CDE">
      <w:pPr>
        <w:pStyle w:val="Heading2"/>
      </w:pPr>
      <w:bookmarkStart w:id="25" w:name="_Toc144385544"/>
      <w:r w:rsidRPr="00E81CDE">
        <w:t>Collaboration</w:t>
      </w:r>
      <w:bookmarkEnd w:id="25"/>
    </w:p>
    <w:p w14:paraId="40010869" w14:textId="7540080D" w:rsidR="00304C83" w:rsidRPr="00B119DF" w:rsidRDefault="00304C83" w:rsidP="00B81E0C">
      <w:pPr>
        <w:pStyle w:val="Normalmorespace"/>
        <w:rPr>
          <w:iCs/>
        </w:rPr>
      </w:pPr>
      <w:r w:rsidRPr="00B119DF">
        <w:rPr>
          <w:iCs/>
        </w:rPr>
        <w:t xml:space="preserve">The successful implementation of </w:t>
      </w:r>
      <w:r w:rsidR="0032201C">
        <w:rPr>
          <w:iCs/>
        </w:rPr>
        <w:t>c</w:t>
      </w:r>
      <w:r w:rsidRPr="00B119DF">
        <w:rPr>
          <w:iCs/>
        </w:rPr>
        <w:t xml:space="preserve">ross government policy initiatives is contingent on inter-governmental collaboration and alignment. This requires fostering productive relationships with state and territory governments and other </w:t>
      </w:r>
      <w:r>
        <w:rPr>
          <w:iCs/>
        </w:rPr>
        <w:t xml:space="preserve">Australian Government </w:t>
      </w:r>
      <w:r w:rsidRPr="00B119DF">
        <w:rPr>
          <w:iCs/>
        </w:rPr>
        <w:t>agencies to fulfil our purpose. National scale changes necessitate effective relationship building with the community, so that shared values and commitments can be achieved. In</w:t>
      </w:r>
      <w:r w:rsidR="00C95E0E">
        <w:rPr>
          <w:iCs/>
        </w:rPr>
        <w:t xml:space="preserve"> </w:t>
      </w:r>
      <w:r w:rsidRPr="00B119DF">
        <w:rPr>
          <w:iCs/>
        </w:rPr>
        <w:t>pursuing outcomes, the department cultivates open and respectful relationships with the private sector, not</w:t>
      </w:r>
      <w:r>
        <w:rPr>
          <w:iCs/>
        </w:rPr>
        <w:noBreakHyphen/>
      </w:r>
      <w:r w:rsidRPr="00B119DF">
        <w:rPr>
          <w:iCs/>
        </w:rPr>
        <w:t>for-profit organisations and Australia’s diverse communities.</w:t>
      </w:r>
    </w:p>
    <w:p w14:paraId="246BE5BD" w14:textId="77777777" w:rsidR="00781125" w:rsidRPr="00E81CDE" w:rsidRDefault="00781125" w:rsidP="00E81CDE">
      <w:pPr>
        <w:pStyle w:val="Heading1"/>
        <w:rPr>
          <w:sz w:val="48"/>
          <w:szCs w:val="48"/>
        </w:rPr>
      </w:pPr>
      <w:bookmarkStart w:id="26" w:name="_Toc111026102"/>
      <w:bookmarkStart w:id="27" w:name="_Toc144385545"/>
      <w:r w:rsidRPr="00E81CDE">
        <w:rPr>
          <w:sz w:val="48"/>
          <w:szCs w:val="48"/>
        </w:rPr>
        <w:t>Cross government priorities</w:t>
      </w:r>
      <w:bookmarkEnd w:id="26"/>
      <w:bookmarkEnd w:id="27"/>
    </w:p>
    <w:p w14:paraId="5A59533C" w14:textId="70F8D587" w:rsidR="00781125" w:rsidRDefault="00781125" w:rsidP="00B81E0C">
      <w:pPr>
        <w:pStyle w:val="Normalmorespace"/>
      </w:pPr>
      <w:r w:rsidRPr="00B119DF">
        <w:t xml:space="preserve">The </w:t>
      </w:r>
      <w:r>
        <w:t>d</w:t>
      </w:r>
      <w:r w:rsidRPr="00B119DF">
        <w:t xml:space="preserve">epartment has a </w:t>
      </w:r>
      <w:r w:rsidR="0032201C">
        <w:t>leadership</w:t>
      </w:r>
      <w:r w:rsidRPr="00B119DF">
        <w:t xml:space="preserve"> role in delivering nationally consistent approaches to address </w:t>
      </w:r>
      <w:r w:rsidRPr="00FD7908">
        <w:t>contemporary social policy issues across both portfolios and different levels of government.</w:t>
      </w:r>
      <w:r w:rsidR="00FD7908" w:rsidRPr="00FD7908">
        <w:t xml:space="preserve"> This includes </w:t>
      </w:r>
      <w:r w:rsidRPr="00FD7908">
        <w:t xml:space="preserve">ensuring those in need have access to appropriate social services </w:t>
      </w:r>
      <w:r w:rsidR="00FD7908" w:rsidRPr="00FD7908">
        <w:t>through</w:t>
      </w:r>
      <w:r w:rsidRPr="00FD7908">
        <w:t xml:space="preserve"> Australia’s Disability Strategy 2021-2031, </w:t>
      </w:r>
      <w:r w:rsidR="0032201C">
        <w:t xml:space="preserve">the National Agreement on Closing the Gap, </w:t>
      </w:r>
      <w:r w:rsidRPr="00FD7908">
        <w:t>Safe &amp; Supported: the National Framework for Protecting Australia’s Children 2021-2031</w:t>
      </w:r>
      <w:r w:rsidR="0032201C">
        <w:t xml:space="preserve"> and</w:t>
      </w:r>
      <w:r w:rsidR="00FB1314">
        <w:t xml:space="preserve"> </w:t>
      </w:r>
      <w:r w:rsidRPr="00FD7908">
        <w:t>the National Plan to End Violence against Women and Children 2022-2032.</w:t>
      </w:r>
    </w:p>
    <w:p w14:paraId="1792B8A1" w14:textId="77777777" w:rsidR="00781125" w:rsidRPr="00B119DF" w:rsidRDefault="00781125" w:rsidP="00781125">
      <w:pPr>
        <w:pStyle w:val="Heading2"/>
      </w:pPr>
      <w:bookmarkStart w:id="28" w:name="_Toc111026103"/>
      <w:bookmarkStart w:id="29" w:name="_Toc144385546"/>
      <w:r w:rsidRPr="00B119DF">
        <w:t>Australia’</w:t>
      </w:r>
      <w:r>
        <w:t>s Disability Strategy 2021-2031</w:t>
      </w:r>
      <w:bookmarkEnd w:id="28"/>
      <w:bookmarkEnd w:id="29"/>
    </w:p>
    <w:p w14:paraId="72C1AE0F" w14:textId="77777777" w:rsidR="00781125" w:rsidRPr="00B119DF" w:rsidRDefault="00781125" w:rsidP="00B81E0C">
      <w:pPr>
        <w:pStyle w:val="Normalmorespace"/>
      </w:pPr>
      <w:r w:rsidRPr="00973441">
        <w:rPr>
          <w:i/>
        </w:rPr>
        <w:t>Australia’s Disability Strategy 2021-2031</w:t>
      </w:r>
      <w:r w:rsidRPr="00B119DF">
        <w:t xml:space="preserve"> (the Strategy) provides a national framework against which all levels of government have agreed to focus on improving outcomes for people with disability over the next </w:t>
      </w:r>
      <w:r>
        <w:t>decade</w:t>
      </w:r>
      <w:r w:rsidRPr="00B119DF">
        <w:t xml:space="preserve">. The department has a leadership </w:t>
      </w:r>
      <w:r>
        <w:t xml:space="preserve">and central coordination </w:t>
      </w:r>
      <w:r w:rsidRPr="00B119DF">
        <w:t>role in supporting implementation of the Strategy, including working across all governments and Australian Government agencies</w:t>
      </w:r>
      <w:r>
        <w:t>, and with people with disability</w:t>
      </w:r>
      <w:r w:rsidRPr="00B119DF">
        <w:t>.</w:t>
      </w:r>
    </w:p>
    <w:p w14:paraId="0B3F70C9" w14:textId="77777777" w:rsidR="00781125" w:rsidRPr="00B119DF" w:rsidRDefault="00781125" w:rsidP="00B81E0C">
      <w:pPr>
        <w:pStyle w:val="Normalmorespace"/>
      </w:pPr>
      <w:r w:rsidRPr="00B119DF">
        <w:t>The Strategy recognises the diversity of people with disability and the intersectional impacts affecting different groups of people with disability. The Strategy complements the commitment and endorsement by all levels of government on Closing the Gap, providing an opportunity to drive national action and improve outcomes with and for Aboriginal and Torres Strait Islander peoples with disability.</w:t>
      </w:r>
    </w:p>
    <w:p w14:paraId="1BD681E6" w14:textId="77777777" w:rsidR="00781125" w:rsidRPr="00B119DF" w:rsidRDefault="00781125" w:rsidP="00B81E0C">
      <w:pPr>
        <w:pStyle w:val="Normalmorespace"/>
      </w:pPr>
      <w:r w:rsidRPr="00B119DF">
        <w:t xml:space="preserve">In </w:t>
      </w:r>
      <w:r>
        <w:t>2023-24</w:t>
      </w:r>
      <w:r w:rsidRPr="00B119DF">
        <w:t xml:space="preserve">, the department </w:t>
      </w:r>
      <w:r>
        <w:t>will</w:t>
      </w:r>
      <w:r w:rsidRPr="00B119DF">
        <w:t xml:space="preserve"> </w:t>
      </w:r>
      <w:r>
        <w:t xml:space="preserve">continue </w:t>
      </w:r>
      <w:r w:rsidRPr="00B119DF">
        <w:t>work</w:t>
      </w:r>
      <w:r>
        <w:t xml:space="preserve"> internally and with other departments and agencies to embed</w:t>
      </w:r>
      <w:r w:rsidRPr="00B119DF">
        <w:t xml:space="preserve"> the Strategy’s </w:t>
      </w:r>
      <w:r>
        <w:t xml:space="preserve">shared leadership </w:t>
      </w:r>
      <w:r w:rsidRPr="00B119DF">
        <w:t>approach</w:t>
      </w:r>
      <w:r>
        <w:t xml:space="preserve"> across government.</w:t>
      </w:r>
      <w:r w:rsidRPr="00B119DF">
        <w:t xml:space="preserve"> </w:t>
      </w:r>
      <w:r>
        <w:t xml:space="preserve">We will </w:t>
      </w:r>
      <w:r w:rsidRPr="00B119DF">
        <w:t>us</w:t>
      </w:r>
      <w:r>
        <w:t>e</w:t>
      </w:r>
      <w:r w:rsidRPr="00B119DF">
        <w:t xml:space="preserve"> the guiding principles when developing </w:t>
      </w:r>
      <w:r>
        <w:t>and evaluating policies</w:t>
      </w:r>
      <w:r w:rsidRPr="00B119DF">
        <w:t xml:space="preserve">, programs, services </w:t>
      </w:r>
      <w:r>
        <w:t>and</w:t>
      </w:r>
      <w:r w:rsidRPr="00B119DF">
        <w:t xml:space="preserve"> systems to uphold the rights of people with disability, and improv</w:t>
      </w:r>
      <w:r>
        <w:t>e</w:t>
      </w:r>
      <w:r w:rsidRPr="00B119DF">
        <w:t xml:space="preserve"> the way the department conducts consultations to be more inclusive and accessible to people with disability. The department will also be working across its programs to</w:t>
      </w:r>
      <w:r>
        <w:t> </w:t>
      </w:r>
      <w:r w:rsidRPr="00B119DF">
        <w:t>progress the following policy priorities in the Strategy:</w:t>
      </w:r>
    </w:p>
    <w:p w14:paraId="0F4214D9" w14:textId="77777777" w:rsidR="00781125" w:rsidRPr="000D76E4" w:rsidRDefault="00781125" w:rsidP="00B81E0C">
      <w:pPr>
        <w:pStyle w:val="ListParagraph"/>
        <w:numPr>
          <w:ilvl w:val="0"/>
          <w:numId w:val="3"/>
        </w:numPr>
        <w:spacing w:after="120" w:line="259" w:lineRule="auto"/>
        <w:ind w:left="641" w:hanging="357"/>
        <w:contextualSpacing w:val="0"/>
        <w:rPr>
          <w:sz w:val="20"/>
          <w:szCs w:val="20"/>
        </w:rPr>
      </w:pPr>
      <w:r w:rsidRPr="000D76E4">
        <w:rPr>
          <w:sz w:val="20"/>
          <w:szCs w:val="20"/>
        </w:rPr>
        <w:t xml:space="preserve">increase employment of people with disability </w:t>
      </w:r>
    </w:p>
    <w:p w14:paraId="75267676" w14:textId="77777777" w:rsidR="00781125" w:rsidRPr="000D76E4" w:rsidRDefault="00781125" w:rsidP="00B81E0C">
      <w:pPr>
        <w:pStyle w:val="ListParagraph"/>
        <w:numPr>
          <w:ilvl w:val="0"/>
          <w:numId w:val="3"/>
        </w:numPr>
        <w:spacing w:after="120" w:line="259" w:lineRule="auto"/>
        <w:ind w:left="641" w:hanging="357"/>
        <w:contextualSpacing w:val="0"/>
        <w:rPr>
          <w:sz w:val="20"/>
          <w:szCs w:val="20"/>
        </w:rPr>
      </w:pPr>
      <w:r w:rsidRPr="000D76E4">
        <w:rPr>
          <w:sz w:val="20"/>
          <w:szCs w:val="20"/>
        </w:rPr>
        <w:t xml:space="preserve">improve transition of young people with disability from education to employment </w:t>
      </w:r>
    </w:p>
    <w:p w14:paraId="5F9B7E75" w14:textId="77777777" w:rsidR="00781125" w:rsidRPr="000D76E4" w:rsidRDefault="00781125" w:rsidP="00B81E0C">
      <w:pPr>
        <w:pStyle w:val="ListParagraph"/>
        <w:numPr>
          <w:ilvl w:val="0"/>
          <w:numId w:val="3"/>
        </w:numPr>
        <w:spacing w:after="120" w:line="259" w:lineRule="auto"/>
        <w:ind w:left="641" w:hanging="357"/>
        <w:contextualSpacing w:val="0"/>
        <w:rPr>
          <w:sz w:val="20"/>
          <w:szCs w:val="20"/>
        </w:rPr>
      </w:pPr>
      <w:r w:rsidRPr="000D76E4">
        <w:rPr>
          <w:sz w:val="20"/>
          <w:szCs w:val="20"/>
        </w:rPr>
        <w:t>strengthen financial independence for people with disability</w:t>
      </w:r>
    </w:p>
    <w:p w14:paraId="6B4F366D" w14:textId="77777777" w:rsidR="00781125" w:rsidRPr="000D76E4" w:rsidRDefault="00781125" w:rsidP="00B81E0C">
      <w:pPr>
        <w:pStyle w:val="ListParagraph"/>
        <w:numPr>
          <w:ilvl w:val="0"/>
          <w:numId w:val="3"/>
        </w:numPr>
        <w:spacing w:after="120" w:line="259" w:lineRule="auto"/>
        <w:ind w:left="641" w:hanging="357"/>
        <w:contextualSpacing w:val="0"/>
        <w:rPr>
          <w:sz w:val="20"/>
          <w:szCs w:val="20"/>
        </w:rPr>
      </w:pPr>
      <w:r w:rsidRPr="000D76E4">
        <w:rPr>
          <w:sz w:val="20"/>
          <w:szCs w:val="20"/>
        </w:rPr>
        <w:t>increase the availability of affordable housing</w:t>
      </w:r>
    </w:p>
    <w:p w14:paraId="58E7F153" w14:textId="77777777" w:rsidR="00781125" w:rsidRPr="000D76E4" w:rsidRDefault="00781125" w:rsidP="00B81E0C">
      <w:pPr>
        <w:pStyle w:val="ListParagraph"/>
        <w:numPr>
          <w:ilvl w:val="0"/>
          <w:numId w:val="3"/>
        </w:numPr>
        <w:spacing w:after="120" w:line="259" w:lineRule="auto"/>
        <w:ind w:left="641" w:hanging="357"/>
        <w:contextualSpacing w:val="0"/>
        <w:rPr>
          <w:sz w:val="20"/>
          <w:szCs w:val="20"/>
        </w:rPr>
      </w:pPr>
      <w:r w:rsidRPr="000D76E4">
        <w:rPr>
          <w:sz w:val="20"/>
          <w:szCs w:val="20"/>
        </w:rPr>
        <w:t>people with disability are able to access supports that meet their needs</w:t>
      </w:r>
    </w:p>
    <w:p w14:paraId="5521F590" w14:textId="77777777" w:rsidR="00781125" w:rsidRPr="000D76E4" w:rsidRDefault="00781125" w:rsidP="00B81E0C">
      <w:pPr>
        <w:pStyle w:val="ListParagraph"/>
        <w:numPr>
          <w:ilvl w:val="0"/>
          <w:numId w:val="3"/>
        </w:numPr>
        <w:spacing w:after="120" w:line="259" w:lineRule="auto"/>
        <w:ind w:left="641" w:hanging="357"/>
        <w:contextualSpacing w:val="0"/>
        <w:rPr>
          <w:sz w:val="20"/>
          <w:szCs w:val="20"/>
        </w:rPr>
      </w:pPr>
      <w:r w:rsidRPr="000D76E4">
        <w:rPr>
          <w:sz w:val="20"/>
          <w:szCs w:val="20"/>
        </w:rPr>
        <w:t>the NDIS provides eligible people with permanent and significant disability with access to reasonable and necessary disability supports</w:t>
      </w:r>
    </w:p>
    <w:p w14:paraId="12D66B2F" w14:textId="77777777" w:rsidR="00781125" w:rsidRPr="000D76E4" w:rsidRDefault="00781125" w:rsidP="00B81E0C">
      <w:pPr>
        <w:pStyle w:val="ListParagraph"/>
        <w:numPr>
          <w:ilvl w:val="0"/>
          <w:numId w:val="3"/>
        </w:numPr>
        <w:spacing w:after="120" w:line="259" w:lineRule="auto"/>
        <w:ind w:left="641" w:hanging="357"/>
        <w:contextualSpacing w:val="0"/>
        <w:rPr>
          <w:sz w:val="20"/>
          <w:szCs w:val="20"/>
        </w:rPr>
      </w:pPr>
      <w:r w:rsidRPr="000D76E4">
        <w:rPr>
          <w:sz w:val="20"/>
          <w:szCs w:val="20"/>
        </w:rPr>
        <w:t>people with disability are supported to access assistive technology</w:t>
      </w:r>
    </w:p>
    <w:p w14:paraId="46DAA3B2" w14:textId="77777777" w:rsidR="00781125" w:rsidRPr="000D76E4" w:rsidRDefault="00781125" w:rsidP="00B81E0C">
      <w:pPr>
        <w:pStyle w:val="ListParagraph"/>
        <w:numPr>
          <w:ilvl w:val="0"/>
          <w:numId w:val="3"/>
        </w:numPr>
        <w:spacing w:after="120" w:line="259" w:lineRule="auto"/>
        <w:ind w:left="641" w:hanging="357"/>
        <w:contextualSpacing w:val="0"/>
        <w:rPr>
          <w:sz w:val="20"/>
          <w:szCs w:val="20"/>
        </w:rPr>
      </w:pPr>
      <w:r w:rsidRPr="000D76E4">
        <w:rPr>
          <w:sz w:val="20"/>
          <w:szCs w:val="20"/>
        </w:rPr>
        <w:t>the role of informal support is acknowledged and supported</w:t>
      </w:r>
    </w:p>
    <w:p w14:paraId="4CC6B14A" w14:textId="77777777" w:rsidR="00781125" w:rsidRDefault="00781125" w:rsidP="00B81E0C">
      <w:pPr>
        <w:pStyle w:val="ListParagraph"/>
        <w:numPr>
          <w:ilvl w:val="0"/>
          <w:numId w:val="3"/>
        </w:numPr>
        <w:spacing w:after="120" w:line="259" w:lineRule="auto"/>
        <w:ind w:left="641" w:hanging="357"/>
        <w:contextualSpacing w:val="0"/>
        <w:rPr>
          <w:sz w:val="20"/>
          <w:szCs w:val="20"/>
        </w:rPr>
      </w:pPr>
      <w:r w:rsidRPr="000D76E4">
        <w:rPr>
          <w:sz w:val="20"/>
          <w:szCs w:val="20"/>
        </w:rPr>
        <w:t>people with disability are safe and feel safe from violence, abuse, neglect and exploitation</w:t>
      </w:r>
    </w:p>
    <w:p w14:paraId="7D8C449D" w14:textId="77777777" w:rsidR="00781125" w:rsidRPr="000D76E4" w:rsidRDefault="00781125" w:rsidP="00B81E0C">
      <w:pPr>
        <w:pStyle w:val="ListParagraph"/>
        <w:numPr>
          <w:ilvl w:val="0"/>
          <w:numId w:val="3"/>
        </w:numPr>
        <w:spacing w:after="120" w:line="259" w:lineRule="auto"/>
        <w:ind w:left="641" w:hanging="357"/>
        <w:contextualSpacing w:val="0"/>
        <w:rPr>
          <w:sz w:val="20"/>
          <w:szCs w:val="20"/>
        </w:rPr>
      </w:pPr>
      <w:r>
        <w:rPr>
          <w:sz w:val="20"/>
          <w:szCs w:val="20"/>
        </w:rPr>
        <w:t>improving the evidence base through the National Disability Data Asset</w:t>
      </w:r>
    </w:p>
    <w:p w14:paraId="093127FC" w14:textId="77777777" w:rsidR="00781125" w:rsidRDefault="00781125" w:rsidP="00B81E0C">
      <w:pPr>
        <w:pStyle w:val="ListParagraph"/>
        <w:numPr>
          <w:ilvl w:val="0"/>
          <w:numId w:val="3"/>
        </w:numPr>
        <w:spacing w:after="120" w:line="259" w:lineRule="auto"/>
        <w:ind w:left="641" w:hanging="357"/>
        <w:contextualSpacing w:val="0"/>
        <w:rPr>
          <w:sz w:val="20"/>
          <w:szCs w:val="20"/>
        </w:rPr>
      </w:pPr>
      <w:r w:rsidRPr="000D76E4">
        <w:rPr>
          <w:sz w:val="20"/>
          <w:szCs w:val="20"/>
        </w:rPr>
        <w:t>policies, processes and programs provide better responses to people with disability who have experienced trauma</w:t>
      </w:r>
    </w:p>
    <w:p w14:paraId="3DD7A638" w14:textId="77777777" w:rsidR="00781125" w:rsidRPr="000D76E4" w:rsidRDefault="00781125" w:rsidP="00B81E0C">
      <w:pPr>
        <w:pStyle w:val="ListParagraph"/>
        <w:numPr>
          <w:ilvl w:val="0"/>
          <w:numId w:val="3"/>
        </w:numPr>
        <w:spacing w:after="120" w:line="259" w:lineRule="auto"/>
        <w:ind w:left="641" w:hanging="357"/>
        <w:contextualSpacing w:val="0"/>
        <w:rPr>
          <w:sz w:val="20"/>
          <w:szCs w:val="20"/>
        </w:rPr>
      </w:pPr>
      <w:r>
        <w:rPr>
          <w:sz w:val="20"/>
          <w:szCs w:val="20"/>
        </w:rPr>
        <w:t>strengthen information, guidance and the capability and capacity of key services and systems to support parents and carers to make informed, evidence-based choices about their child</w:t>
      </w:r>
    </w:p>
    <w:p w14:paraId="15108A9D" w14:textId="77777777" w:rsidR="00781125" w:rsidRPr="000D76E4" w:rsidRDefault="00781125" w:rsidP="00B81E0C">
      <w:pPr>
        <w:pStyle w:val="ListParagraph"/>
        <w:numPr>
          <w:ilvl w:val="0"/>
          <w:numId w:val="3"/>
        </w:numPr>
        <w:spacing w:after="120" w:line="259" w:lineRule="auto"/>
        <w:ind w:left="641" w:hanging="357"/>
        <w:contextualSpacing w:val="0"/>
        <w:rPr>
          <w:sz w:val="20"/>
          <w:szCs w:val="20"/>
        </w:rPr>
      </w:pPr>
      <w:r w:rsidRPr="000D76E4">
        <w:rPr>
          <w:sz w:val="20"/>
          <w:szCs w:val="20"/>
        </w:rPr>
        <w:t>policies, processes and programs for people with disability promote gender equality and prevent violence against groups at heightened risk, including women and their children</w:t>
      </w:r>
    </w:p>
    <w:p w14:paraId="36A25B76" w14:textId="77777777" w:rsidR="00781125" w:rsidRPr="000D76E4" w:rsidRDefault="00781125" w:rsidP="00B81E0C">
      <w:pPr>
        <w:pStyle w:val="ListParagraph"/>
        <w:numPr>
          <w:ilvl w:val="0"/>
          <w:numId w:val="3"/>
        </w:numPr>
        <w:spacing w:after="120" w:line="259" w:lineRule="auto"/>
        <w:ind w:left="641" w:hanging="357"/>
        <w:contextualSpacing w:val="0"/>
        <w:rPr>
          <w:sz w:val="20"/>
          <w:szCs w:val="20"/>
        </w:rPr>
      </w:pPr>
      <w:r w:rsidRPr="000D76E4">
        <w:rPr>
          <w:sz w:val="20"/>
          <w:szCs w:val="20"/>
        </w:rPr>
        <w:t>the rights of people with disability are promoted, upheld and protected.</w:t>
      </w:r>
    </w:p>
    <w:p w14:paraId="0D9BA113" w14:textId="0CF2A9E1" w:rsidR="00781125" w:rsidRDefault="00781125" w:rsidP="00B81E0C">
      <w:pPr>
        <w:pStyle w:val="Normalmorespace"/>
        <w:rPr>
          <w:i/>
          <w:iCs/>
        </w:rPr>
      </w:pPr>
      <w:r w:rsidRPr="00B119DF">
        <w:t>The department is also responsible for reporting on the Strategy. This includes an annual Targeted Action Plan report and an Outcomes Framework report, which will track progress against the Strategy’s Policy Priorities. In late 2023</w:t>
      </w:r>
      <w:r>
        <w:t>,</w:t>
      </w:r>
      <w:r w:rsidRPr="00B119DF">
        <w:t xml:space="preserve"> the first biennial implementation report </w:t>
      </w:r>
      <w:r>
        <w:t>is expected to</w:t>
      </w:r>
      <w:r w:rsidRPr="00B119DF">
        <w:t xml:space="preserve"> be </w:t>
      </w:r>
      <w:r>
        <w:t>tabled in</w:t>
      </w:r>
      <w:r w:rsidRPr="00B119DF">
        <w:t xml:space="preserve"> the Australian Parliament</w:t>
      </w:r>
      <w:r>
        <w:t>.</w:t>
      </w:r>
      <w:r w:rsidRPr="00B119DF">
        <w:t xml:space="preserve"> </w:t>
      </w:r>
      <w:r>
        <w:t>T</w:t>
      </w:r>
      <w:r w:rsidRPr="00B119DF">
        <w:t>his will show what progress has been made and what actions have been taken by governments. All reports will be publicly available through the Australia’s Disability Strategy Hub at</w:t>
      </w:r>
      <w:r w:rsidRPr="00C95E0E">
        <w:t> </w:t>
      </w:r>
      <w:hyperlink r:id="rId23" w:history="1">
        <w:r w:rsidRPr="00C95E0E">
          <w:rPr>
            <w:rStyle w:val="Hyperlink"/>
            <w:sz w:val="20"/>
          </w:rPr>
          <w:t>www.disabilitygateway.gov.au/ads</w:t>
        </w:r>
      </w:hyperlink>
      <w:r w:rsidRPr="00B119DF">
        <w:rPr>
          <w:i/>
          <w:iCs/>
        </w:rPr>
        <w:t>.</w:t>
      </w:r>
    </w:p>
    <w:p w14:paraId="57B4D202" w14:textId="46EEF1D7" w:rsidR="0032201C" w:rsidRPr="004D0D63" w:rsidRDefault="0032201C" w:rsidP="00E81CDE">
      <w:pPr>
        <w:pStyle w:val="Heading2"/>
      </w:pPr>
      <w:bookmarkStart w:id="30" w:name="_Toc144385547"/>
      <w:r w:rsidRPr="004D0D63">
        <w:t>The National Agreement on Closing the Gap</w:t>
      </w:r>
      <w:bookmarkEnd w:id="30"/>
    </w:p>
    <w:p w14:paraId="4EE9773C" w14:textId="06A85423" w:rsidR="0032201C" w:rsidRPr="004D0D63" w:rsidRDefault="0032201C" w:rsidP="00B81E0C">
      <w:pPr>
        <w:pStyle w:val="Normalmorespace"/>
      </w:pPr>
      <w:r w:rsidRPr="00AA4468">
        <w:rPr>
          <w:i/>
        </w:rPr>
        <w:t>The National Agreement on Closing the Gap</w:t>
      </w:r>
      <w:r w:rsidRPr="004D0D63">
        <w:t xml:space="preserve"> (National Agreement</w:t>
      </w:r>
      <w:r w:rsidR="00261536">
        <w:t>)</w:t>
      </w:r>
      <w:r w:rsidRPr="004D0D63">
        <w:t xml:space="preserve"> acknowledges that to close the gap, Aboriginal and Torres Strait Islander people must determine, drive and own the desired outcomes, alongside all governments. There is a deep commitment across the department to work in new ways with First Nations people, communities and organisations and to embed strong First Nations voices in the development of the department’s policy, programs and services.</w:t>
      </w:r>
    </w:p>
    <w:p w14:paraId="6D9010D6" w14:textId="77777777" w:rsidR="0032201C" w:rsidRPr="004D0D63" w:rsidRDefault="0032201C" w:rsidP="00B81E0C">
      <w:pPr>
        <w:pStyle w:val="Normalmorespace"/>
      </w:pPr>
      <w:r w:rsidRPr="004D0D63">
        <w:t>The National Agreement includes 17 socio-economic outcomes, 3 cross-cutting areas and 4 priority reforms. It is acknowledged that the driver for genuine transformation rests on the actions government departments are taking to embed the 4 priority reforms. The department has a lead role and is focused on embedding Priority Reform 3, and is working across the portfolio to transform the way we work with First Nations people and communities. The priority reforms focus on:</w:t>
      </w:r>
    </w:p>
    <w:p w14:paraId="4AE2CBFD" w14:textId="52F29543" w:rsidR="0032201C" w:rsidRPr="004D0D63" w:rsidRDefault="00261536" w:rsidP="00B81E0C">
      <w:pPr>
        <w:pStyle w:val="ListParagraph"/>
        <w:numPr>
          <w:ilvl w:val="0"/>
          <w:numId w:val="9"/>
        </w:numPr>
        <w:spacing w:after="120" w:line="259" w:lineRule="auto"/>
        <w:ind w:left="714" w:hanging="357"/>
        <w:contextualSpacing w:val="0"/>
        <w:rPr>
          <w:sz w:val="20"/>
          <w:szCs w:val="20"/>
        </w:rPr>
      </w:pPr>
      <w:r>
        <w:rPr>
          <w:sz w:val="20"/>
          <w:szCs w:val="20"/>
        </w:rPr>
        <w:t>f</w:t>
      </w:r>
      <w:r w:rsidR="0032201C" w:rsidRPr="004D0D63">
        <w:rPr>
          <w:sz w:val="20"/>
          <w:szCs w:val="20"/>
        </w:rPr>
        <w:t xml:space="preserve">ormal partnership and shared decision-making </w:t>
      </w:r>
    </w:p>
    <w:p w14:paraId="79B898A0" w14:textId="02D7D9BA" w:rsidR="0032201C" w:rsidRPr="004D0D63" w:rsidRDefault="00261536" w:rsidP="00B81E0C">
      <w:pPr>
        <w:pStyle w:val="ListParagraph"/>
        <w:numPr>
          <w:ilvl w:val="0"/>
          <w:numId w:val="9"/>
        </w:numPr>
        <w:spacing w:after="120" w:line="259" w:lineRule="auto"/>
        <w:ind w:left="714" w:hanging="357"/>
        <w:contextualSpacing w:val="0"/>
        <w:rPr>
          <w:sz w:val="20"/>
          <w:szCs w:val="20"/>
        </w:rPr>
      </w:pPr>
      <w:r>
        <w:rPr>
          <w:sz w:val="20"/>
          <w:szCs w:val="20"/>
        </w:rPr>
        <w:t>b</w:t>
      </w:r>
      <w:r w:rsidR="0032201C" w:rsidRPr="004D0D63">
        <w:rPr>
          <w:sz w:val="20"/>
          <w:szCs w:val="20"/>
        </w:rPr>
        <w:t xml:space="preserve">uilding the community-controlled sector </w:t>
      </w:r>
    </w:p>
    <w:p w14:paraId="39C42BA9" w14:textId="4F8401E3" w:rsidR="0032201C" w:rsidRPr="004D0D63" w:rsidRDefault="00261536" w:rsidP="00B81E0C">
      <w:pPr>
        <w:pStyle w:val="ListParagraph"/>
        <w:numPr>
          <w:ilvl w:val="0"/>
          <w:numId w:val="9"/>
        </w:numPr>
        <w:spacing w:after="120" w:line="259" w:lineRule="auto"/>
        <w:ind w:left="714" w:hanging="357"/>
        <w:contextualSpacing w:val="0"/>
        <w:rPr>
          <w:sz w:val="20"/>
          <w:szCs w:val="20"/>
        </w:rPr>
      </w:pPr>
      <w:r>
        <w:rPr>
          <w:sz w:val="20"/>
          <w:szCs w:val="20"/>
        </w:rPr>
        <w:t>t</w:t>
      </w:r>
      <w:r w:rsidR="0032201C" w:rsidRPr="004D0D63">
        <w:rPr>
          <w:sz w:val="20"/>
          <w:szCs w:val="20"/>
        </w:rPr>
        <w:t xml:space="preserve">ransforming government organisations </w:t>
      </w:r>
    </w:p>
    <w:p w14:paraId="35CBBDD9" w14:textId="095ABAC6" w:rsidR="0032201C" w:rsidRPr="004D0D63" w:rsidRDefault="00261536" w:rsidP="00B81E0C">
      <w:pPr>
        <w:pStyle w:val="ListParagraph"/>
        <w:numPr>
          <w:ilvl w:val="0"/>
          <w:numId w:val="9"/>
        </w:numPr>
        <w:spacing w:after="120" w:line="259" w:lineRule="auto"/>
        <w:ind w:left="714" w:hanging="357"/>
        <w:contextualSpacing w:val="0"/>
        <w:rPr>
          <w:sz w:val="20"/>
          <w:szCs w:val="20"/>
        </w:rPr>
      </w:pPr>
      <w:r>
        <w:rPr>
          <w:sz w:val="20"/>
          <w:szCs w:val="20"/>
        </w:rPr>
        <w:t>shared a</w:t>
      </w:r>
      <w:r w:rsidR="0032201C" w:rsidRPr="004D0D63">
        <w:rPr>
          <w:sz w:val="20"/>
          <w:szCs w:val="20"/>
        </w:rPr>
        <w:t>ccess to data and information at a regional level</w:t>
      </w:r>
      <w:r>
        <w:rPr>
          <w:sz w:val="20"/>
          <w:szCs w:val="20"/>
        </w:rPr>
        <w:t>.</w:t>
      </w:r>
    </w:p>
    <w:p w14:paraId="643F044C" w14:textId="7AF23847" w:rsidR="0032201C" w:rsidRPr="004D0D63" w:rsidRDefault="0032201C" w:rsidP="00B81E0C">
      <w:pPr>
        <w:pStyle w:val="Normalmorespace"/>
      </w:pPr>
      <w:r w:rsidRPr="004D0D63">
        <w:t>In support of this work, the department performs a key strategic coordination role across the Social Services portfolio agencies. Together, within formalised governance arrangements, agencies collaborate to embed the priority reforms, share ideas and lessons learned, and leverage the extensive systems and service footprint that interacts with First Nations people, communities and organisations across Australia.</w:t>
      </w:r>
    </w:p>
    <w:p w14:paraId="6094C8F9" w14:textId="77777777" w:rsidR="0032201C" w:rsidRDefault="0032201C" w:rsidP="00B81E0C">
      <w:pPr>
        <w:pStyle w:val="Normalmorespace"/>
      </w:pPr>
      <w:r w:rsidRPr="004D0D63">
        <w:t>The department has taken a lead role in driving the alignment of Commonwealth government actions to the disability cross-cutting outcome. This is in recognition of the need for all areas of the department and portfolio agencies to respond to the National Agreement and Australia’s Disability Strategy and focus on improving outcomes for Aboriginal and Torres Strait Islander peoples and people with disability</w:t>
      </w:r>
      <w:r>
        <w:t>.</w:t>
      </w:r>
    </w:p>
    <w:p w14:paraId="1D8F8968" w14:textId="77777777" w:rsidR="00D229C5" w:rsidRDefault="00D229C5" w:rsidP="00090A49">
      <w:pPr>
        <w:spacing w:before="0" w:after="200" w:line="276" w:lineRule="auto"/>
        <w:jc w:val="both"/>
        <w:rPr>
          <w:rFonts w:ascii="Georgia" w:eastAsiaTheme="majorEastAsia" w:hAnsi="Georgia" w:cstheme="majorBidi"/>
          <w:bCs/>
          <w:color w:val="005A70"/>
          <w:sz w:val="32"/>
          <w:szCs w:val="26"/>
        </w:rPr>
      </w:pPr>
      <w:bookmarkStart w:id="31" w:name="_Toc111026104"/>
      <w:r>
        <w:br w:type="page"/>
      </w:r>
    </w:p>
    <w:p w14:paraId="267F1C43" w14:textId="58FDD98B" w:rsidR="00781125" w:rsidRPr="00E81CDE" w:rsidRDefault="00781125" w:rsidP="00E81CDE">
      <w:pPr>
        <w:pStyle w:val="Heading2"/>
      </w:pPr>
      <w:bookmarkStart w:id="32" w:name="_Toc144385548"/>
      <w:r w:rsidRPr="00E81CDE">
        <w:t>Safe &amp; Supported: the National Framework for Protecting Australia’s Children 2021-2031</w:t>
      </w:r>
      <w:bookmarkEnd w:id="31"/>
      <w:bookmarkEnd w:id="32"/>
      <w:r w:rsidRPr="00E81CDE">
        <w:t xml:space="preserve"> </w:t>
      </w:r>
    </w:p>
    <w:p w14:paraId="756BFF51" w14:textId="77777777" w:rsidR="00781125" w:rsidRDefault="00781125" w:rsidP="00B81E0C">
      <w:pPr>
        <w:pStyle w:val="Normalmorespace"/>
      </w:pPr>
      <w:r w:rsidRPr="00973441">
        <w:rPr>
          <w:i/>
        </w:rPr>
        <w:t>Safe &amp; Supported: the National Framework for Protecting Australia’s Children 2021-2031</w:t>
      </w:r>
      <w:r w:rsidRPr="00B119DF">
        <w:t xml:space="preserve"> (Safe and Supported</w:t>
      </w:r>
      <w:r>
        <w:t>) sets out how all governments will work in partnership with First Nations representatives, and in close collaboration with the non-government sector to help children, young people and families in need of support, particularly those who are experiencing disadvantage or are vulnerable to abuse or neglect</w:t>
      </w:r>
      <w:r w:rsidRPr="00B119DF">
        <w:t xml:space="preserve">. </w:t>
      </w:r>
    </w:p>
    <w:p w14:paraId="4B2EC37B" w14:textId="77777777" w:rsidR="00781125" w:rsidRPr="005A1678" w:rsidRDefault="00781125" w:rsidP="00B81E0C">
      <w:pPr>
        <w:pStyle w:val="Normalmorespace"/>
      </w:pPr>
      <w:r>
        <w:t xml:space="preserve">Safe &amp; Supported </w:t>
      </w:r>
      <w:r w:rsidRPr="00B119DF">
        <w:t xml:space="preserve">was developed </w:t>
      </w:r>
      <w:r>
        <w:t xml:space="preserve">in partnership with </w:t>
      </w:r>
      <w:r w:rsidRPr="00B119DF">
        <w:t>state and territory governments</w:t>
      </w:r>
      <w:r>
        <w:t>,</w:t>
      </w:r>
      <w:r w:rsidRPr="00B119DF">
        <w:t xml:space="preserve"> </w:t>
      </w:r>
      <w:r>
        <w:t xml:space="preserve">the Aboriginal and Torres Strait Islander Leadership Group, and </w:t>
      </w:r>
      <w:r w:rsidRPr="00B119DF">
        <w:t xml:space="preserve">SNAICC – </w:t>
      </w:r>
      <w:r w:rsidRPr="005A1678">
        <w:t xml:space="preserve">National Voice for our Children. </w:t>
      </w:r>
    </w:p>
    <w:p w14:paraId="5C0E25AA" w14:textId="52AD38DC" w:rsidR="00781125" w:rsidRDefault="00781125" w:rsidP="00B81E0C">
      <w:pPr>
        <w:pStyle w:val="Normalmorespace"/>
      </w:pPr>
      <w:r w:rsidRPr="005A1678">
        <w:t>Safe &amp; Supported has 4 focus areas</w:t>
      </w:r>
      <w:r w:rsidR="00EB4A37" w:rsidRPr="005A1678">
        <w:t xml:space="preserve"> to achieve outcomes</w:t>
      </w:r>
      <w:r w:rsidRPr="005A1678">
        <w:t>:</w:t>
      </w:r>
    </w:p>
    <w:p w14:paraId="25C7DEC0" w14:textId="77777777" w:rsidR="00781125" w:rsidRDefault="00781125" w:rsidP="00B81E0C">
      <w:pPr>
        <w:pStyle w:val="Normalmorespace"/>
        <w:numPr>
          <w:ilvl w:val="0"/>
          <w:numId w:val="6"/>
        </w:numPr>
      </w:pPr>
      <w:r>
        <w:t>a national approach to early intervention and targeted support for children and families experiencing vulnerability or disadvantage</w:t>
      </w:r>
    </w:p>
    <w:p w14:paraId="7FB9261E" w14:textId="77777777" w:rsidR="00781125" w:rsidRDefault="00781125" w:rsidP="00B81E0C">
      <w:pPr>
        <w:pStyle w:val="Normalmorespace"/>
        <w:numPr>
          <w:ilvl w:val="0"/>
          <w:numId w:val="6"/>
        </w:numPr>
      </w:pPr>
      <w:r>
        <w:t>addressing the over-representation of Aboriginal and Torres Strait Islander children in child protection systems</w:t>
      </w:r>
    </w:p>
    <w:p w14:paraId="7CF839D7" w14:textId="77777777" w:rsidR="00781125" w:rsidRDefault="00781125" w:rsidP="00B81E0C">
      <w:pPr>
        <w:pStyle w:val="Normalmorespace"/>
        <w:numPr>
          <w:ilvl w:val="0"/>
          <w:numId w:val="6"/>
        </w:numPr>
      </w:pPr>
      <w:r>
        <w:t>improving information sharing, data development and analysis</w:t>
      </w:r>
    </w:p>
    <w:p w14:paraId="59CFF181" w14:textId="77777777" w:rsidR="00781125" w:rsidRDefault="00781125" w:rsidP="00B81E0C">
      <w:pPr>
        <w:pStyle w:val="Normalmorespace"/>
        <w:numPr>
          <w:ilvl w:val="0"/>
          <w:numId w:val="6"/>
        </w:numPr>
      </w:pPr>
      <w:r>
        <w:t>strengthening the child and family sector and workforce capability.</w:t>
      </w:r>
    </w:p>
    <w:p w14:paraId="54ECB084" w14:textId="15A326D9" w:rsidR="00781125" w:rsidRPr="00B119DF" w:rsidRDefault="00781125" w:rsidP="00B81E0C">
      <w:pPr>
        <w:pStyle w:val="Normalmorespace"/>
      </w:pPr>
      <w:r>
        <w:t>Safe &amp; Supported embeds the Priority Reforms of the National Agreement on Closing the Gap, to transform how governments work to support improved outcomes for Aboriginal and Torres Strait Islander children, young people and families. It will be a key mechanism in responding to the Closing the Gap Target 12 to reduce the rate of over-representation of Aboriginal and Torres Strait Islander children in out-of-home care by 45</w:t>
      </w:r>
      <w:r w:rsidR="00071617">
        <w:t xml:space="preserve"> per cent</w:t>
      </w:r>
      <w:r>
        <w:t xml:space="preserve"> over 10 years. </w:t>
      </w:r>
    </w:p>
    <w:p w14:paraId="1C351235" w14:textId="3906C2FB" w:rsidR="00EB4A37" w:rsidRPr="00B119DF" w:rsidRDefault="00781125" w:rsidP="00B81E0C">
      <w:pPr>
        <w:pStyle w:val="Normalmorespace"/>
        <w:ind w:right="-143"/>
      </w:pPr>
      <w:r w:rsidRPr="00B119DF">
        <w:rPr>
          <w:iCs/>
        </w:rPr>
        <w:t xml:space="preserve">Safe &amp; Supported </w:t>
      </w:r>
      <w:r>
        <w:rPr>
          <w:iCs/>
        </w:rPr>
        <w:t xml:space="preserve">is being </w:t>
      </w:r>
      <w:r w:rsidRPr="00B119DF">
        <w:t xml:space="preserve">delivered </w:t>
      </w:r>
      <w:r>
        <w:t>through</w:t>
      </w:r>
      <w:r w:rsidRPr="00B119DF">
        <w:t xml:space="preserve"> 2 Action Plans</w:t>
      </w:r>
      <w:r>
        <w:t xml:space="preserve">: </w:t>
      </w:r>
      <w:r w:rsidRPr="00973441">
        <w:rPr>
          <w:i/>
        </w:rPr>
        <w:t>Safe &amp; Supported: Aboriginal and Torres Strait Islander First Action Plan 2023-2026</w:t>
      </w:r>
      <w:r>
        <w:t xml:space="preserve">, and </w:t>
      </w:r>
      <w:r w:rsidRPr="00973441">
        <w:rPr>
          <w:i/>
        </w:rPr>
        <w:t>Safe &amp; Supported: First Action Plan 2023-2026</w:t>
      </w:r>
      <w:r w:rsidRPr="00B119DF">
        <w:t xml:space="preserve">. </w:t>
      </w:r>
    </w:p>
    <w:p w14:paraId="0AE85C74" w14:textId="77777777" w:rsidR="00781125" w:rsidRPr="00B119DF" w:rsidRDefault="00781125" w:rsidP="00781125">
      <w:pPr>
        <w:pStyle w:val="Heading2"/>
      </w:pPr>
      <w:bookmarkStart w:id="33" w:name="_Toc111026105"/>
      <w:bookmarkStart w:id="34" w:name="_Toc144385549"/>
      <w:r>
        <w:t xml:space="preserve">The </w:t>
      </w:r>
      <w:r w:rsidRPr="00530576">
        <w:t>National</w:t>
      </w:r>
      <w:r w:rsidRPr="00B119DF">
        <w:t xml:space="preserve"> Plan to End Violence against Women and Children 2022-2032</w:t>
      </w:r>
      <w:bookmarkEnd w:id="33"/>
      <w:bookmarkEnd w:id="34"/>
      <w:r w:rsidRPr="00B119DF">
        <w:t xml:space="preserve"> </w:t>
      </w:r>
    </w:p>
    <w:p w14:paraId="0F2F9075" w14:textId="77777777" w:rsidR="00781125" w:rsidRDefault="00781125" w:rsidP="00B81E0C">
      <w:pPr>
        <w:pStyle w:val="Normalmorespace"/>
        <w:rPr>
          <w:iCs/>
        </w:rPr>
      </w:pPr>
      <w:r w:rsidRPr="00973441">
        <w:rPr>
          <w:i/>
        </w:rPr>
        <w:t>The National Plan to End Violence against Women and Children 2022-2032</w:t>
      </w:r>
      <w:r>
        <w:t xml:space="preserve"> (National Plan) is the cornerstone of the Government’s strategy to address family, domestic and sexual violence. It sets the national policy agenda for the next 10 years guiding the work of Commonwealth, state and territory governments, family safety experts and front-line services, and importantly commits to ongoing engagement with victim-survivors in the development of policies and solution. The National Plan addresses violence across the continuum from prevention, early invention and response, through to recovery and healing.</w:t>
      </w:r>
    </w:p>
    <w:p w14:paraId="044A82B4" w14:textId="77777777" w:rsidR="00723605" w:rsidRDefault="00781125" w:rsidP="00B81E0C">
      <w:pPr>
        <w:pStyle w:val="Normalmorespace"/>
        <w:rPr>
          <w:iCs/>
        </w:rPr>
      </w:pPr>
      <w:r w:rsidRPr="00B119DF">
        <w:rPr>
          <w:iCs/>
        </w:rPr>
        <w:t xml:space="preserve">The </w:t>
      </w:r>
      <w:r>
        <w:rPr>
          <w:iCs/>
        </w:rPr>
        <w:t xml:space="preserve">10 </w:t>
      </w:r>
      <w:r w:rsidRPr="00B119DF">
        <w:rPr>
          <w:iCs/>
        </w:rPr>
        <w:t xml:space="preserve">year National Plan </w:t>
      </w:r>
      <w:r>
        <w:rPr>
          <w:iCs/>
        </w:rPr>
        <w:t>is</w:t>
      </w:r>
      <w:r w:rsidRPr="00B119DF">
        <w:rPr>
          <w:iCs/>
        </w:rPr>
        <w:t xml:space="preserve"> underpinned by </w:t>
      </w:r>
      <w:r>
        <w:rPr>
          <w:iCs/>
        </w:rPr>
        <w:t xml:space="preserve">2, 5 </w:t>
      </w:r>
      <w:r w:rsidRPr="00B119DF">
        <w:rPr>
          <w:iCs/>
        </w:rPr>
        <w:t xml:space="preserve">year action plans, </w:t>
      </w:r>
      <w:r>
        <w:rPr>
          <w:iCs/>
        </w:rPr>
        <w:t xml:space="preserve">as well as a dedicated </w:t>
      </w:r>
      <w:r w:rsidRPr="00B119DF">
        <w:rPr>
          <w:iCs/>
        </w:rPr>
        <w:t>Aboriginal and Torres Strait Islander Action Plan. The Action Plans detail the priority focus areas for implementation and investment</w:t>
      </w:r>
      <w:r>
        <w:rPr>
          <w:iCs/>
        </w:rPr>
        <w:t xml:space="preserve"> across all governments</w:t>
      </w:r>
      <w:r w:rsidRPr="00B119DF">
        <w:rPr>
          <w:iCs/>
        </w:rPr>
        <w:t>.</w:t>
      </w:r>
      <w:r>
        <w:rPr>
          <w:iCs/>
        </w:rPr>
        <w:t xml:space="preserve"> </w:t>
      </w:r>
    </w:p>
    <w:p w14:paraId="2EC58277" w14:textId="6F6B5937" w:rsidR="00781125" w:rsidRDefault="00781125" w:rsidP="00B81E0C">
      <w:pPr>
        <w:pStyle w:val="Normalmorespace"/>
        <w:rPr>
          <w:iCs/>
        </w:rPr>
      </w:pPr>
      <w:r>
        <w:rPr>
          <w:iCs/>
        </w:rPr>
        <w:t>The Aboriginal and Torres Strait Islander Action Plan, jointly developed with the Aboriginal and Torres Strait Islander Advisory Council on family, domestic and sexual violence, both addresses current family safety needs and provides a foundation for the standalone First Nations National Plan for family safety.</w:t>
      </w:r>
    </w:p>
    <w:p w14:paraId="661344F2" w14:textId="77777777" w:rsidR="00530576" w:rsidRDefault="00530576" w:rsidP="00C95E0E">
      <w:pPr>
        <w:jc w:val="both"/>
        <w:rPr>
          <w:iCs/>
          <w:color w:val="000000" w:themeColor="text1"/>
          <w:sz w:val="20"/>
          <w:szCs w:val="20"/>
        </w:rPr>
      </w:pPr>
    </w:p>
    <w:p w14:paraId="746D1EF6" w14:textId="4BFDBB70" w:rsidR="00B652F7" w:rsidRDefault="00B652F7" w:rsidP="00781125">
      <w:pPr>
        <w:rPr>
          <w:iCs/>
          <w:color w:val="000000" w:themeColor="text1"/>
          <w:sz w:val="20"/>
          <w:szCs w:val="20"/>
        </w:rPr>
      </w:pPr>
    </w:p>
    <w:p w14:paraId="600CA3BC" w14:textId="77777777" w:rsidR="00E81CDE" w:rsidRDefault="00E81CDE" w:rsidP="00781125">
      <w:pPr>
        <w:rPr>
          <w:iCs/>
          <w:color w:val="000000" w:themeColor="text1"/>
          <w:sz w:val="20"/>
          <w:szCs w:val="20"/>
        </w:rPr>
      </w:pPr>
    </w:p>
    <w:p w14:paraId="4970302D" w14:textId="2092683E" w:rsidR="00261536" w:rsidRPr="00E81CDE" w:rsidRDefault="00B652F7" w:rsidP="00E81CDE">
      <w:pPr>
        <w:pStyle w:val="Heading1"/>
        <w:rPr>
          <w:rFonts w:ascii="Arial" w:hAnsi="Arial" w:cs="Arial"/>
          <w:b/>
          <w:color w:val="auto"/>
          <w:sz w:val="20"/>
          <w:szCs w:val="20"/>
          <w:lang w:val="en"/>
        </w:rPr>
      </w:pPr>
      <w:bookmarkStart w:id="35" w:name="_Toc144385550"/>
      <w:r w:rsidRPr="00E81CDE">
        <w:rPr>
          <w:sz w:val="48"/>
          <w:szCs w:val="48"/>
        </w:rPr>
        <w:t>Our portfolio agencies</w:t>
      </w:r>
      <w:bookmarkEnd w:id="35"/>
    </w:p>
    <w:p w14:paraId="081555CE" w14:textId="7EE38606" w:rsidR="00261536" w:rsidRDefault="00261536" w:rsidP="00B81E0C">
      <w:pPr>
        <w:pStyle w:val="Normalmorespace"/>
      </w:pPr>
      <w:r w:rsidRPr="004A6CDD">
        <w:t>The department is established as a Department of State under the Administrative Arrangements Order</w:t>
      </w:r>
      <w:r w:rsidR="003872B0">
        <w:t xml:space="preserve"> and w</w:t>
      </w:r>
      <w:r w:rsidRPr="004A6CDD">
        <w:t>e deliver our key services through our portfolio agencies</w:t>
      </w:r>
      <w:r w:rsidR="003872B0">
        <w:t>. Our</w:t>
      </w:r>
      <w:r w:rsidRPr="004A6CDD">
        <w:t xml:space="preserve"> success is in collaborating with</w:t>
      </w:r>
      <w:r w:rsidR="002D685D">
        <w:t>,</w:t>
      </w:r>
      <w:r w:rsidRPr="004A6CDD">
        <w:t xml:space="preserve"> and in demonstrating our work across the portfolio agencies and the wider Commonwealth.</w:t>
      </w:r>
    </w:p>
    <w:p w14:paraId="1DCC792D" w14:textId="2FED91C3" w:rsidR="00C215F9" w:rsidRDefault="00B652F7" w:rsidP="00B81E0C">
      <w:pPr>
        <w:pStyle w:val="Normalmorespace"/>
        <w:rPr>
          <w:rFonts w:cs="Arial"/>
          <w:lang w:val="en"/>
        </w:rPr>
      </w:pPr>
      <w:r>
        <w:rPr>
          <w:rFonts w:cs="Arial"/>
          <w:lang w:val="en"/>
        </w:rPr>
        <w:t>T</w:t>
      </w:r>
      <w:r w:rsidRPr="000F547D">
        <w:rPr>
          <w:rFonts w:cs="Arial"/>
          <w:lang w:val="en"/>
        </w:rPr>
        <w:t xml:space="preserve">he </w:t>
      </w:r>
      <w:r>
        <w:rPr>
          <w:rFonts w:cs="Arial"/>
          <w:lang w:val="en"/>
        </w:rPr>
        <w:t>Social Services p</w:t>
      </w:r>
      <w:r w:rsidRPr="000F547D">
        <w:rPr>
          <w:rFonts w:cs="Arial"/>
          <w:lang w:val="en"/>
        </w:rPr>
        <w:t xml:space="preserve">ortfolio comprises the following </w:t>
      </w:r>
      <w:r>
        <w:rPr>
          <w:rFonts w:cs="Arial"/>
          <w:lang w:val="en"/>
        </w:rPr>
        <w:t>p</w:t>
      </w:r>
      <w:r w:rsidRPr="000F547D">
        <w:rPr>
          <w:rFonts w:cs="Arial"/>
          <w:lang w:val="en"/>
        </w:rPr>
        <w:t xml:space="preserve">ortfolio </w:t>
      </w:r>
      <w:r>
        <w:rPr>
          <w:rFonts w:cs="Arial"/>
          <w:lang w:val="en"/>
        </w:rPr>
        <w:t>bodies:</w:t>
      </w:r>
    </w:p>
    <w:p w14:paraId="47FDA6E1" w14:textId="0F077A24" w:rsidR="00C215F9" w:rsidRPr="002D685D" w:rsidRDefault="00C215F9" w:rsidP="00E81CDE">
      <w:pPr>
        <w:pStyle w:val="Heading2"/>
        <w:rPr>
          <w:lang w:val="en"/>
        </w:rPr>
      </w:pPr>
      <w:bookmarkStart w:id="36" w:name="_Toc144385551"/>
      <w:r w:rsidRPr="002D685D">
        <w:rPr>
          <w:lang w:val="en"/>
        </w:rPr>
        <w:t>Australian Institute of Family Studies</w:t>
      </w:r>
      <w:bookmarkEnd w:id="36"/>
    </w:p>
    <w:p w14:paraId="4AC5DD35" w14:textId="77777777" w:rsidR="00C215F9" w:rsidRPr="00C215F9" w:rsidRDefault="00C215F9" w:rsidP="00B81E0C">
      <w:pPr>
        <w:pStyle w:val="Normalmorespace"/>
      </w:pPr>
      <w:r w:rsidRPr="00C215F9">
        <w:t>The Australian Institute of Family Studies (AIFS) is a statutory body established under the Family Law Act 1975. The AIFS conducts impartial research into the wellbeing of Australian families, and provides an evidence base for developing policy and practice relating to the wellbeing of families in Australia.</w:t>
      </w:r>
    </w:p>
    <w:p w14:paraId="6A9FAFB8" w14:textId="77777777" w:rsidR="00C215F9" w:rsidRPr="002D685D" w:rsidRDefault="00C215F9" w:rsidP="00E81CDE">
      <w:pPr>
        <w:pStyle w:val="Heading2"/>
      </w:pPr>
      <w:bookmarkStart w:id="37" w:name="_Toc144385552"/>
      <w:r w:rsidRPr="002D685D">
        <w:t>National Disability Insurance Agency</w:t>
      </w:r>
      <w:bookmarkEnd w:id="37"/>
    </w:p>
    <w:p w14:paraId="0B252021" w14:textId="77777777" w:rsidR="00C215F9" w:rsidRPr="00C215F9" w:rsidRDefault="00C215F9" w:rsidP="00B81E0C">
      <w:pPr>
        <w:pStyle w:val="Normalmorespace"/>
      </w:pPr>
      <w:r w:rsidRPr="00C215F9">
        <w:t>The National Disability Insurance Agency is an independent statutory agency, established under the National Disability Insurance Scheme Act 2013 to deliver the National Disability Insurance Scheme (NDIS) which supports a better life for Australians with a significant and permanent disability and their families and carers.</w:t>
      </w:r>
    </w:p>
    <w:p w14:paraId="2A4E5640" w14:textId="77777777" w:rsidR="00C215F9" w:rsidRPr="002D685D" w:rsidRDefault="00C215F9" w:rsidP="00E81CDE">
      <w:pPr>
        <w:pStyle w:val="Heading2"/>
      </w:pPr>
      <w:bookmarkStart w:id="38" w:name="_Toc144385553"/>
      <w:r w:rsidRPr="002D685D">
        <w:t>NDIS Quality and Safeguards Commission</w:t>
      </w:r>
      <w:bookmarkEnd w:id="38"/>
    </w:p>
    <w:p w14:paraId="1A4F9AF0" w14:textId="77777777" w:rsidR="00C215F9" w:rsidRPr="00C215F9" w:rsidRDefault="00C215F9" w:rsidP="00B81E0C">
      <w:pPr>
        <w:pStyle w:val="Normalmorespace"/>
      </w:pPr>
      <w:r w:rsidRPr="00C215F9">
        <w:t xml:space="preserve">The NDIS Quality and Safeguards Commission (the Commission) is an independent agency established to improve the quality and safety of NDIS supports and services. The Commission works with NDIS participants, service providers, workers and the community to implement a new nationally consistent approach so that across Australia participants can access services and supports that promote choice, control and dignity. </w:t>
      </w:r>
    </w:p>
    <w:p w14:paraId="7AF799D0" w14:textId="77777777" w:rsidR="00C215F9" w:rsidRPr="002D685D" w:rsidRDefault="00C215F9" w:rsidP="00E81CDE">
      <w:pPr>
        <w:pStyle w:val="Heading2"/>
      </w:pPr>
      <w:bookmarkStart w:id="39" w:name="_Toc144385554"/>
      <w:r w:rsidRPr="002D685D">
        <w:t>Services Australia</w:t>
      </w:r>
      <w:bookmarkEnd w:id="39"/>
    </w:p>
    <w:p w14:paraId="07D4BC59" w14:textId="77777777" w:rsidR="00C215F9" w:rsidRPr="00C215F9" w:rsidRDefault="00C215F9" w:rsidP="00B81E0C">
      <w:pPr>
        <w:pStyle w:val="Normalmorespace"/>
      </w:pPr>
      <w:r w:rsidRPr="00C215F9">
        <w:t>Services Australia provides advice and high quality accessible social, health and child support services and payments to individuals, families, businesses and communities. Services Australia administers the programs – Centrelink, Medicare, Child Support and My Gov.</w:t>
      </w:r>
    </w:p>
    <w:p w14:paraId="074A5882" w14:textId="77777777" w:rsidR="00C215F9" w:rsidRPr="002D685D" w:rsidRDefault="00C215F9" w:rsidP="00E81CDE">
      <w:pPr>
        <w:pStyle w:val="Heading2"/>
      </w:pPr>
      <w:bookmarkStart w:id="40" w:name="_Toc144385555"/>
      <w:r w:rsidRPr="002D685D">
        <w:t>Hearing Australia</w:t>
      </w:r>
      <w:bookmarkEnd w:id="40"/>
    </w:p>
    <w:p w14:paraId="4A323337" w14:textId="77777777" w:rsidR="00C215F9" w:rsidRPr="00C215F9" w:rsidRDefault="00C215F9" w:rsidP="00B81E0C">
      <w:pPr>
        <w:pStyle w:val="Normalmorespace"/>
      </w:pPr>
      <w:r w:rsidRPr="00C215F9">
        <w:t xml:space="preserve">Hearing Australia is a Public Non-financial Corporation (Trading) entity established under the Australian Hearing Services Act 1991. Hearing Australia provides research and hearing services for the wellbeing of all Australians. </w:t>
      </w:r>
    </w:p>
    <w:p w14:paraId="02E3A378" w14:textId="77777777" w:rsidR="00C215F9" w:rsidRPr="002D685D" w:rsidRDefault="00C215F9" w:rsidP="00E81CDE">
      <w:pPr>
        <w:pStyle w:val="Heading2"/>
      </w:pPr>
      <w:bookmarkStart w:id="41" w:name="_Toc144385556"/>
      <w:r w:rsidRPr="002D685D">
        <w:t>Domestic, Family and Sexual Violence Commission</w:t>
      </w:r>
      <w:bookmarkEnd w:id="41"/>
    </w:p>
    <w:p w14:paraId="2CE57CC3" w14:textId="7202E7F1" w:rsidR="00C215F9" w:rsidRPr="00C215F9" w:rsidRDefault="00C215F9" w:rsidP="00B81E0C">
      <w:pPr>
        <w:pStyle w:val="Normalmorespace"/>
      </w:pPr>
      <w:r w:rsidRPr="00C215F9">
        <w:t>Domestic, Family and Sexual Violence Commission oversees the implementation of the National Plan to End Violence against Women and Children. It provides policy leadership, developing and fostering relationships across the sector and ensures cooperation and transparency between the Commonwealth, states and territories in delivering the targets and objectives of the National Plan.</w:t>
      </w:r>
    </w:p>
    <w:p w14:paraId="68B24C77" w14:textId="749F7381" w:rsidR="00C215F9" w:rsidRDefault="00C215F9" w:rsidP="002D685D">
      <w:pPr>
        <w:pStyle w:val="Normalmorespace"/>
        <w:jc w:val="both"/>
      </w:pPr>
      <w:r>
        <w:br w:type="page"/>
      </w:r>
    </w:p>
    <w:p w14:paraId="619FF03A" w14:textId="77777777" w:rsidR="00EE3AA1" w:rsidRPr="00A97017" w:rsidRDefault="00EE3AA1" w:rsidP="00EE3AA1">
      <w:pPr>
        <w:pStyle w:val="Heading1"/>
        <w:contextualSpacing w:val="0"/>
        <w:rPr>
          <w:sz w:val="48"/>
          <w:szCs w:val="48"/>
        </w:rPr>
      </w:pPr>
      <w:bookmarkStart w:id="42" w:name="_Toc47604316"/>
      <w:bookmarkStart w:id="43" w:name="_Toc111026111"/>
      <w:bookmarkStart w:id="44" w:name="_Toc144385557"/>
      <w:r w:rsidRPr="00A97017">
        <w:rPr>
          <w:sz w:val="48"/>
          <w:szCs w:val="48"/>
        </w:rPr>
        <w:t>Our capability</w:t>
      </w:r>
      <w:bookmarkStart w:id="45" w:name="_Toc521500226"/>
      <w:bookmarkStart w:id="46" w:name="_Toc15893571"/>
      <w:bookmarkEnd w:id="42"/>
      <w:bookmarkEnd w:id="43"/>
      <w:bookmarkEnd w:id="44"/>
    </w:p>
    <w:p w14:paraId="49E49E6E" w14:textId="77777777" w:rsidR="00EE3AA1" w:rsidRPr="00E0136E" w:rsidRDefault="00EE3AA1" w:rsidP="00EE3AA1">
      <w:pPr>
        <w:pStyle w:val="Heading2"/>
        <w:rPr>
          <w:szCs w:val="32"/>
        </w:rPr>
      </w:pPr>
      <w:bookmarkStart w:id="47" w:name="_Toc111026113"/>
      <w:bookmarkStart w:id="48" w:name="_Toc144385558"/>
      <w:bookmarkEnd w:id="45"/>
      <w:bookmarkEnd w:id="46"/>
      <w:r w:rsidRPr="00E0136E">
        <w:rPr>
          <w:szCs w:val="32"/>
        </w:rPr>
        <w:t>Our workforce</w:t>
      </w:r>
      <w:bookmarkEnd w:id="47"/>
      <w:bookmarkEnd w:id="48"/>
    </w:p>
    <w:p w14:paraId="528D58A0" w14:textId="546BD529" w:rsidR="003655FF" w:rsidRPr="00671E53" w:rsidRDefault="00373444" w:rsidP="00B81E0C">
      <w:pPr>
        <w:pStyle w:val="Normalmorespace"/>
      </w:pPr>
      <w:r>
        <w:t xml:space="preserve">Our workforce </w:t>
      </w:r>
      <w:r w:rsidR="003655FF">
        <w:t>plan</w:t>
      </w:r>
      <w:r w:rsidR="003655FF" w:rsidRPr="00671E53">
        <w:t xml:space="preserve"> is designed to:</w:t>
      </w:r>
    </w:p>
    <w:p w14:paraId="138DCAB1" w14:textId="77777777" w:rsidR="003655FF" w:rsidRPr="00671E53" w:rsidRDefault="003655FF" w:rsidP="00B81E0C">
      <w:pPr>
        <w:pStyle w:val="Normalmorespace"/>
        <w:numPr>
          <w:ilvl w:val="0"/>
          <w:numId w:val="43"/>
        </w:numPr>
      </w:pPr>
      <w:r w:rsidRPr="00671E53">
        <w:t xml:space="preserve">support the development of a high performing, future ready workforce </w:t>
      </w:r>
    </w:p>
    <w:p w14:paraId="41A5B69A" w14:textId="77777777" w:rsidR="003655FF" w:rsidRPr="00671E53" w:rsidRDefault="003655FF" w:rsidP="00B81E0C">
      <w:pPr>
        <w:pStyle w:val="Normalmorespace"/>
        <w:numPr>
          <w:ilvl w:val="0"/>
          <w:numId w:val="43"/>
        </w:numPr>
      </w:pPr>
      <w:r w:rsidRPr="00671E53">
        <w:t xml:space="preserve">leverage </w:t>
      </w:r>
      <w:r>
        <w:t>c</w:t>
      </w:r>
      <w:r w:rsidRPr="00671E53">
        <w:t xml:space="preserve">apability </w:t>
      </w:r>
      <w:r>
        <w:t>d</w:t>
      </w:r>
      <w:r w:rsidRPr="00671E53">
        <w:t xml:space="preserve">evelopment to support attraction, engagement and retention of key capabilities </w:t>
      </w:r>
    </w:p>
    <w:p w14:paraId="0D5B04AB" w14:textId="77777777" w:rsidR="003655FF" w:rsidRPr="00671E53" w:rsidRDefault="003655FF" w:rsidP="00B81E0C">
      <w:pPr>
        <w:pStyle w:val="Normalmorespace"/>
        <w:numPr>
          <w:ilvl w:val="0"/>
          <w:numId w:val="43"/>
        </w:numPr>
      </w:pPr>
      <w:r w:rsidRPr="00671E53">
        <w:t>foster a continuous learning culture and address identified capability gaps.</w:t>
      </w:r>
    </w:p>
    <w:p w14:paraId="77CEDBF9" w14:textId="5093CFD7" w:rsidR="003655FF" w:rsidRDefault="000F232F" w:rsidP="00B81E0C">
      <w:pPr>
        <w:pStyle w:val="Normalmorespace"/>
      </w:pPr>
      <w:r>
        <w:t>We monitor</w:t>
      </w:r>
      <w:r w:rsidR="003655FF" w:rsidRPr="00671E53">
        <w:t xml:space="preserve"> the capability requirements</w:t>
      </w:r>
      <w:r w:rsidR="003655FF">
        <w:t xml:space="preserve"> of the d</w:t>
      </w:r>
      <w:r w:rsidR="003655FF" w:rsidRPr="00671E53">
        <w:t>epartment</w:t>
      </w:r>
      <w:r w:rsidR="003655FF">
        <w:t xml:space="preserve"> </w:t>
      </w:r>
      <w:r>
        <w:t>and</w:t>
      </w:r>
      <w:r w:rsidR="003655FF" w:rsidRPr="00671E53">
        <w:t xml:space="preserve"> workforce metrics</w:t>
      </w:r>
      <w:r w:rsidR="003655FF">
        <w:t xml:space="preserve"> to ensure senior leaders and managers can support our people and effectively build capability to support the delivery of our outcomes.</w:t>
      </w:r>
    </w:p>
    <w:p w14:paraId="55D9E714" w14:textId="77777777" w:rsidR="003655FF" w:rsidRPr="00FB6188" w:rsidRDefault="003655FF" w:rsidP="00B81E0C">
      <w:pPr>
        <w:pStyle w:val="Normalmorespace"/>
        <w:rPr>
          <w:rFonts w:ascii="Calibri" w:hAnsi="Calibri"/>
        </w:rPr>
      </w:pPr>
      <w:r w:rsidRPr="00FB6188">
        <w:t>T</w:t>
      </w:r>
      <w:r>
        <w:t xml:space="preserve">he value and importance of the </w:t>
      </w:r>
      <w:r w:rsidRPr="00FB6188">
        <w:t>4Cs: Curiosity, Contestabi</w:t>
      </w:r>
      <w:r>
        <w:t>lity, Collaboration and Courage are at the heart of building a high performing and future ready workforce.</w:t>
      </w:r>
      <w:r w:rsidRPr="00FB6188">
        <w:t xml:space="preserve"> Together, these </w:t>
      </w:r>
      <w:r>
        <w:t>ensure</w:t>
      </w:r>
      <w:r w:rsidRPr="00FB6188">
        <w:t xml:space="preserve"> a workplace environment that values and invests in </w:t>
      </w:r>
      <w:r>
        <w:t>capability</w:t>
      </w:r>
      <w:r w:rsidRPr="00FB6188">
        <w:t xml:space="preserve"> through their application. As a collective, these 4 elements enable a culture that:</w:t>
      </w:r>
    </w:p>
    <w:p w14:paraId="2382BB6A" w14:textId="77777777" w:rsidR="003655FF" w:rsidRPr="007D6F51" w:rsidRDefault="003655FF" w:rsidP="00B81E0C">
      <w:pPr>
        <w:pStyle w:val="Normalmorespace"/>
        <w:numPr>
          <w:ilvl w:val="0"/>
          <w:numId w:val="43"/>
        </w:numPr>
      </w:pPr>
      <w:r w:rsidRPr="007D6F51">
        <w:t>helps us adapt and be ready for reform</w:t>
      </w:r>
    </w:p>
    <w:p w14:paraId="695CA07B" w14:textId="77777777" w:rsidR="003655FF" w:rsidRDefault="003655FF" w:rsidP="00B81E0C">
      <w:pPr>
        <w:pStyle w:val="Normalmorespace"/>
        <w:numPr>
          <w:ilvl w:val="0"/>
          <w:numId w:val="43"/>
        </w:numPr>
      </w:pPr>
      <w:r w:rsidRPr="006C7501">
        <w:t>results in increased candour and frankness</w:t>
      </w:r>
    </w:p>
    <w:p w14:paraId="218579C2" w14:textId="77777777" w:rsidR="003655FF" w:rsidRDefault="003655FF" w:rsidP="00B81E0C">
      <w:pPr>
        <w:pStyle w:val="Normalmorespace"/>
        <w:numPr>
          <w:ilvl w:val="0"/>
          <w:numId w:val="43"/>
        </w:numPr>
      </w:pPr>
      <w:r>
        <w:t>is active, not passive, with a free flow of information.</w:t>
      </w:r>
    </w:p>
    <w:p w14:paraId="189CD09C" w14:textId="77777777" w:rsidR="003655FF" w:rsidRPr="007D6F51" w:rsidRDefault="003655FF" w:rsidP="00B81E0C">
      <w:pPr>
        <w:pStyle w:val="Normalmorespace"/>
      </w:pPr>
      <w:r w:rsidRPr="007D6F51">
        <w:t xml:space="preserve">It is important that our people are part of a safe, supportive and productive culture to achieve their full potential and thrive. To assist in building this culture, the department is aligned to the APS Mental Health and Capability Framework. Through this framework, the department implements targeted and structured activities with the aim of building a systems-wide approach to mental health promotion, capability and literacy.  One of these activities for 2023-24 is to deliver a Mental Health Strategy outlining the department’s shared commitment to mental health and providing a mentally safe and healthy workplace. </w:t>
      </w:r>
    </w:p>
    <w:p w14:paraId="4B7B6866" w14:textId="77777777" w:rsidR="00EE3AA1" w:rsidRPr="00E0136E" w:rsidRDefault="00EE3AA1" w:rsidP="00EE3AA1">
      <w:pPr>
        <w:pStyle w:val="Heading2"/>
        <w:rPr>
          <w:szCs w:val="32"/>
        </w:rPr>
      </w:pPr>
      <w:bookmarkStart w:id="49" w:name="_Toc111026114"/>
      <w:bookmarkStart w:id="50" w:name="_Toc144385559"/>
      <w:r w:rsidRPr="00E0136E">
        <w:rPr>
          <w:szCs w:val="32"/>
        </w:rPr>
        <w:t>Our diversity</w:t>
      </w:r>
      <w:bookmarkEnd w:id="49"/>
      <w:bookmarkEnd w:id="50"/>
    </w:p>
    <w:p w14:paraId="5860DD68" w14:textId="738100B5" w:rsidR="00EE3AA1" w:rsidRDefault="00EE3AA1" w:rsidP="00B81E0C">
      <w:pPr>
        <w:pStyle w:val="Normalmorespace"/>
        <w:rPr>
          <w:iCs/>
        </w:rPr>
      </w:pPr>
      <w:r w:rsidRPr="003F28F0">
        <w:t>The department has a range of action plans and strategies aimed at supporting our workforce, including a</w:t>
      </w:r>
      <w:r w:rsidR="00C95E0E">
        <w:t xml:space="preserve"> </w:t>
      </w:r>
      <w:r w:rsidRPr="003F28F0">
        <w:t>Reconciliation Action Plan, an Aboriginal and Torres Strait Islander Workforce Action Plan</w:t>
      </w:r>
      <w:r>
        <w:t xml:space="preserve"> and</w:t>
      </w:r>
      <w:r w:rsidRPr="003F28F0">
        <w:t xml:space="preserve"> </w:t>
      </w:r>
      <w:r>
        <w:t>a</w:t>
      </w:r>
      <w:r w:rsidRPr="003F28F0">
        <w:t xml:space="preserve"> Diversity and Inclusion </w:t>
      </w:r>
      <w:r>
        <w:t>Action Plan</w:t>
      </w:r>
      <w:r w:rsidRPr="003F28F0">
        <w:t>. These plans and strategies work in conjunction with the Commonwealth Aboriginal and Torres Strait Islander Workforce Strategy,</w:t>
      </w:r>
      <w:r w:rsidRPr="003F28F0">
        <w:rPr>
          <w:iCs/>
        </w:rPr>
        <w:t xml:space="preserve"> </w:t>
      </w:r>
      <w:r>
        <w:rPr>
          <w:iCs/>
        </w:rPr>
        <w:t xml:space="preserve">APS Disability Employment Strategy, </w:t>
      </w:r>
      <w:r w:rsidRPr="003F28F0">
        <w:rPr>
          <w:iCs/>
        </w:rPr>
        <w:t xml:space="preserve">Australia’s Disability Strategy </w:t>
      </w:r>
      <w:r>
        <w:rPr>
          <w:iCs/>
        </w:rPr>
        <w:t xml:space="preserve">2021-2031, </w:t>
      </w:r>
      <w:r w:rsidRPr="003F28F0">
        <w:rPr>
          <w:iCs/>
        </w:rPr>
        <w:t>and the APS Gender Equality Strategy.</w:t>
      </w:r>
    </w:p>
    <w:p w14:paraId="171ABC25" w14:textId="77777777" w:rsidR="00EE3AA1" w:rsidRPr="00687722" w:rsidRDefault="00EE3AA1" w:rsidP="00B81E0C">
      <w:pPr>
        <w:pStyle w:val="Normalmorespace"/>
        <w:rPr>
          <w:rFonts w:eastAsiaTheme="minorEastAsia" w:cstheme="minorBidi"/>
          <w:color w:val="auto"/>
          <w:szCs w:val="22"/>
          <w:lang w:eastAsia="en-US"/>
        </w:rPr>
      </w:pPr>
      <w:r w:rsidRPr="00687722">
        <w:rPr>
          <w:rFonts w:eastAsiaTheme="minorEastAsia" w:cstheme="minorBidi"/>
          <w:color w:val="auto"/>
          <w:szCs w:val="22"/>
          <w:lang w:eastAsia="en-US"/>
        </w:rPr>
        <w:t xml:space="preserve">As an inclusive </w:t>
      </w:r>
      <w:r>
        <w:rPr>
          <w:rFonts w:eastAsiaTheme="minorEastAsia" w:cstheme="minorBidi"/>
          <w:color w:val="auto"/>
          <w:szCs w:val="22"/>
          <w:lang w:eastAsia="en-US"/>
        </w:rPr>
        <w:t>department</w:t>
      </w:r>
      <w:r w:rsidRPr="00687722">
        <w:rPr>
          <w:rFonts w:eastAsiaTheme="minorEastAsia" w:cstheme="minorBidi"/>
          <w:color w:val="auto"/>
          <w:szCs w:val="22"/>
          <w:lang w:eastAsia="en-US"/>
        </w:rPr>
        <w:t>, we support a number of staff led diversity committees and networks and provide appropriate supports and resources to ensure that we foster a truly diverse and inclusive workforce for all staff including:</w:t>
      </w:r>
    </w:p>
    <w:p w14:paraId="77B0975A" w14:textId="77777777" w:rsidR="00EE3AA1" w:rsidRPr="003B61D1" w:rsidRDefault="00EE3AA1" w:rsidP="00467B8F">
      <w:pPr>
        <w:pStyle w:val="Normalmorespace"/>
        <w:numPr>
          <w:ilvl w:val="0"/>
          <w:numId w:val="43"/>
        </w:numPr>
      </w:pPr>
      <w:r w:rsidRPr="003B61D1">
        <w:t>Aboriginal and Torres Strait Islanders</w:t>
      </w:r>
    </w:p>
    <w:p w14:paraId="4CAB5593" w14:textId="77777777" w:rsidR="00EE3AA1" w:rsidRPr="003B61D1" w:rsidRDefault="00EE3AA1" w:rsidP="00467B8F">
      <w:pPr>
        <w:pStyle w:val="Normalmorespace"/>
        <w:numPr>
          <w:ilvl w:val="0"/>
          <w:numId w:val="43"/>
        </w:numPr>
      </w:pPr>
      <w:r w:rsidRPr="003B61D1">
        <w:t>Culturally and linguistically diverse people</w:t>
      </w:r>
    </w:p>
    <w:p w14:paraId="63FEC83C" w14:textId="77777777" w:rsidR="00EE3AA1" w:rsidRPr="003B61D1" w:rsidRDefault="00EE3AA1" w:rsidP="00467B8F">
      <w:pPr>
        <w:pStyle w:val="Normalmorespace"/>
        <w:numPr>
          <w:ilvl w:val="0"/>
          <w:numId w:val="43"/>
        </w:numPr>
      </w:pPr>
      <w:r w:rsidRPr="003B61D1">
        <w:t>LGBTIQA+ people</w:t>
      </w:r>
    </w:p>
    <w:p w14:paraId="40548BD9" w14:textId="40C5F8BE" w:rsidR="00EE3AA1" w:rsidRDefault="00EE3AA1" w:rsidP="00467B8F">
      <w:pPr>
        <w:pStyle w:val="Normalmorespace"/>
        <w:numPr>
          <w:ilvl w:val="0"/>
          <w:numId w:val="43"/>
        </w:numPr>
      </w:pPr>
      <w:r w:rsidRPr="003B61D1">
        <w:t>People with disability</w:t>
      </w:r>
    </w:p>
    <w:p w14:paraId="05E45EF4" w14:textId="14152987" w:rsidR="00BE4296" w:rsidRDefault="00BE4296">
      <w:pPr>
        <w:spacing w:before="0" w:after="200" w:line="276" w:lineRule="auto"/>
        <w:rPr>
          <w:sz w:val="20"/>
          <w:szCs w:val="20"/>
        </w:rPr>
      </w:pPr>
      <w:r>
        <w:rPr>
          <w:sz w:val="20"/>
          <w:szCs w:val="20"/>
        </w:rPr>
        <w:br w:type="page"/>
      </w:r>
    </w:p>
    <w:p w14:paraId="5ADA8708" w14:textId="592AFCC6" w:rsidR="00EE3AA1" w:rsidRDefault="00EE3AA1" w:rsidP="00C95E0E">
      <w:pPr>
        <w:pStyle w:val="Heading2"/>
        <w:rPr>
          <w:szCs w:val="32"/>
        </w:rPr>
      </w:pPr>
      <w:bookmarkStart w:id="51" w:name="_Toc111026115"/>
      <w:bookmarkStart w:id="52" w:name="_Toc144385560"/>
      <w:r w:rsidRPr="00E0136E">
        <w:rPr>
          <w:szCs w:val="32"/>
        </w:rPr>
        <w:t>Grants capability</w:t>
      </w:r>
      <w:bookmarkEnd w:id="51"/>
      <w:bookmarkEnd w:id="52"/>
    </w:p>
    <w:p w14:paraId="0C7B22D7" w14:textId="40AF3C3F" w:rsidR="00EE3AA1" w:rsidRDefault="00EE3AA1" w:rsidP="00B81E0C">
      <w:pPr>
        <w:pStyle w:val="Normalmorespace"/>
      </w:pPr>
      <w:r w:rsidRPr="00973A3C">
        <w:t>Each year the Government provides grant funding to deliver on its policy objectives for the benefit of</w:t>
      </w:r>
      <w:r w:rsidR="00C95E0E">
        <w:t xml:space="preserve"> </w:t>
      </w:r>
      <w:r w:rsidRPr="00973A3C">
        <w:t xml:space="preserve">Australians. The Community Grants Hub is a centralised grants function with staff based across Australia delivering grants administration services for the department and </w:t>
      </w:r>
      <w:r>
        <w:t>10</w:t>
      </w:r>
      <w:r w:rsidRPr="00973A3C">
        <w:t xml:space="preserve"> other government departments. In</w:t>
      </w:r>
      <w:r w:rsidR="00261536">
        <w:t xml:space="preserve"> </w:t>
      </w:r>
      <w:r w:rsidRPr="00973A3C">
        <w:t>202</w:t>
      </w:r>
      <w:r>
        <w:t>2-23</w:t>
      </w:r>
      <w:r w:rsidRPr="00973A3C">
        <w:t>, the Community Grants Hub managed</w:t>
      </w:r>
      <w:r w:rsidR="00246CC8">
        <w:t xml:space="preserve"> 27,079 </w:t>
      </w:r>
      <w:r w:rsidRPr="00973A3C">
        <w:t>grants of over $</w:t>
      </w:r>
      <w:r w:rsidR="00246CC8">
        <w:t>9.49</w:t>
      </w:r>
      <w:r w:rsidR="00246CC8" w:rsidRPr="00860DBD">
        <w:t xml:space="preserve"> </w:t>
      </w:r>
      <w:r w:rsidRPr="00973A3C">
        <w:t xml:space="preserve">billion in value for the department and other agencies. </w:t>
      </w:r>
    </w:p>
    <w:p w14:paraId="6AF438EB" w14:textId="4D106983" w:rsidR="00EE3AA1" w:rsidRPr="00973A3C" w:rsidRDefault="00EE3AA1" w:rsidP="00B81E0C">
      <w:pPr>
        <w:pStyle w:val="Normalmorespace"/>
        <w:rPr>
          <w:rFonts w:ascii="Calibri" w:hAnsi="Calibri"/>
        </w:rPr>
      </w:pPr>
      <w:r w:rsidRPr="00973A3C">
        <w:t>Through shared services arrangements and partnerships with government departments and funded organisations, the Community Grants Hub drives consistency in grant administration by developing and maintaining standardised tools to support best practice in grants management. Support is</w:t>
      </w:r>
      <w:r w:rsidR="00387F05">
        <w:t xml:space="preserve"> </w:t>
      </w:r>
      <w:r w:rsidRPr="00973A3C">
        <w:t>offered through all stages of the grants administration lifecycle, aiming to reduce duplication and ensure the most effective approaches are used to identify and respond to community needs.</w:t>
      </w:r>
    </w:p>
    <w:p w14:paraId="36386CA8" w14:textId="03AB5EEA" w:rsidR="00EE3AA1" w:rsidRPr="00973A3C" w:rsidRDefault="00EE3AA1" w:rsidP="00B81E0C">
      <w:pPr>
        <w:pStyle w:val="Normalmorespace"/>
        <w:rPr>
          <w:rFonts w:ascii="Calibri" w:hAnsi="Calibri"/>
        </w:rPr>
      </w:pPr>
      <w:r w:rsidRPr="00973A3C">
        <w:t>The Community Grants Hub facilitates strategic engagement between the department and the social, disability, health and aged care services sectors, leveraging opportunities, evidence and engagement to</w:t>
      </w:r>
      <w:r>
        <w:t> </w:t>
      </w:r>
      <w:r w:rsidRPr="00973A3C">
        <w:t>target programs more effectively and maximise outcomes. Through the department’s geographically dispersed network of staff, including Funding Arrangement Managers, based in all states and territories</w:t>
      </w:r>
      <w:r>
        <w:t>,</w:t>
      </w:r>
      <w:r w:rsidRPr="00973A3C">
        <w:t xml:space="preserve"> our aim is to </w:t>
      </w:r>
      <w:r w:rsidR="000F232F">
        <w:t>better understand our operating environment to</w:t>
      </w:r>
      <w:r w:rsidRPr="00973A3C">
        <w:t xml:space="preserve"> support the ongoing development and improvement of the policies, programs and grant activity delivered by the department and client agencies. </w:t>
      </w:r>
    </w:p>
    <w:p w14:paraId="2DAD486B" w14:textId="77777777" w:rsidR="00EE3AA1" w:rsidRPr="00BD27CF" w:rsidRDefault="00EE3AA1" w:rsidP="00C95E0E">
      <w:pPr>
        <w:pStyle w:val="Heading2"/>
      </w:pPr>
      <w:bookmarkStart w:id="53" w:name="_Toc111026116"/>
      <w:bookmarkStart w:id="54" w:name="_Toc144385561"/>
      <w:r>
        <w:t>Data capability</w:t>
      </w:r>
      <w:bookmarkEnd w:id="53"/>
      <w:bookmarkEnd w:id="54"/>
    </w:p>
    <w:p w14:paraId="6BBFED1C" w14:textId="77777777" w:rsidR="00EE3AA1" w:rsidRDefault="00EE3AA1" w:rsidP="00B81E0C">
      <w:pPr>
        <w:pStyle w:val="Normalmorespace"/>
      </w:pPr>
      <w:r>
        <w:t>The department’s data and evaluation capability supports our performance monitoring and reporting. The department draws on extensive data from our policies, programs and services, and applies various analytical techniques, to examine appropriateness, efficiency, and effectiveness of programs and policies.</w:t>
      </w:r>
    </w:p>
    <w:p w14:paraId="1CA9F10A" w14:textId="4F99092B" w:rsidR="00EE3AA1" w:rsidRPr="00C719F3" w:rsidRDefault="00EE3AA1" w:rsidP="00B81E0C">
      <w:pPr>
        <w:pStyle w:val="Normalmorespace"/>
        <w:rPr>
          <w:highlight w:val="lightGray"/>
        </w:rPr>
      </w:pPr>
      <w:r w:rsidRPr="00C719F3">
        <w:t>The DSS Data Strategy 2022-24 sets the strategic direction for the department’s data agenda to deliver the vision of empowering every person in</w:t>
      </w:r>
      <w:r>
        <w:t> </w:t>
      </w:r>
      <w:r w:rsidRPr="00C719F3">
        <w:t xml:space="preserve">the department to achieve more with data. The Strategy outlines the goals to improve and reinforce the department’s data foundations across </w:t>
      </w:r>
      <w:r>
        <w:t>5</w:t>
      </w:r>
      <w:r w:rsidRPr="00C719F3">
        <w:t xml:space="preserve"> themes: capability; governance; culture; data access and sharing; and technology.</w:t>
      </w:r>
    </w:p>
    <w:p w14:paraId="3E90C0EF" w14:textId="0DB2AE35" w:rsidR="00EE3AA1" w:rsidRPr="00C73C32" w:rsidRDefault="00EE3AA1" w:rsidP="00B81E0C">
      <w:pPr>
        <w:pStyle w:val="Normalmorespace"/>
      </w:pPr>
      <w:r w:rsidRPr="00C73C32">
        <w:t>In 202</w:t>
      </w:r>
      <w:r w:rsidR="00492EC7">
        <w:t>3</w:t>
      </w:r>
      <w:r w:rsidRPr="00C73C32">
        <w:t>-2</w:t>
      </w:r>
      <w:r w:rsidR="00492EC7">
        <w:t>4</w:t>
      </w:r>
      <w:r w:rsidRPr="00C73C32">
        <w:t xml:space="preserve">, the </w:t>
      </w:r>
      <w:r>
        <w:t>d</w:t>
      </w:r>
      <w:r w:rsidRPr="00C73C32">
        <w:t>epartment will continue to:</w:t>
      </w:r>
    </w:p>
    <w:p w14:paraId="11FC1239" w14:textId="2BF0FEE8" w:rsidR="00492EC7" w:rsidRDefault="00492EC7" w:rsidP="00B81E0C">
      <w:pPr>
        <w:pStyle w:val="ListParagraph"/>
        <w:numPr>
          <w:ilvl w:val="0"/>
          <w:numId w:val="3"/>
        </w:numPr>
        <w:spacing w:after="120" w:line="259" w:lineRule="auto"/>
        <w:ind w:left="641" w:hanging="357"/>
        <w:contextualSpacing w:val="0"/>
        <w:rPr>
          <w:sz w:val="20"/>
          <w:szCs w:val="20"/>
        </w:rPr>
      </w:pPr>
      <w:r>
        <w:rPr>
          <w:sz w:val="20"/>
          <w:szCs w:val="20"/>
        </w:rPr>
        <w:t>ensure our data governance practices reflect best-practice and enable the use of data in a safe and ethical way</w:t>
      </w:r>
    </w:p>
    <w:p w14:paraId="576FCC97" w14:textId="1B9E1D6A" w:rsidR="00492EC7" w:rsidRDefault="00492EC7" w:rsidP="00B81E0C">
      <w:pPr>
        <w:pStyle w:val="ListParagraph"/>
        <w:numPr>
          <w:ilvl w:val="0"/>
          <w:numId w:val="3"/>
        </w:numPr>
        <w:spacing w:after="120" w:line="259" w:lineRule="auto"/>
        <w:ind w:left="641" w:hanging="357"/>
        <w:contextualSpacing w:val="0"/>
        <w:rPr>
          <w:sz w:val="20"/>
          <w:szCs w:val="20"/>
        </w:rPr>
      </w:pPr>
      <w:r>
        <w:rPr>
          <w:sz w:val="20"/>
          <w:szCs w:val="20"/>
        </w:rPr>
        <w:t>ensure our technology and systems support all aspects of the data lifecycle</w:t>
      </w:r>
    </w:p>
    <w:p w14:paraId="5246626C" w14:textId="5985D62E" w:rsidR="00EE3AA1" w:rsidRPr="003B61D1" w:rsidRDefault="00492EC7" w:rsidP="00B81E0C">
      <w:pPr>
        <w:pStyle w:val="ListParagraph"/>
        <w:numPr>
          <w:ilvl w:val="0"/>
          <w:numId w:val="3"/>
        </w:numPr>
        <w:spacing w:after="120" w:line="259" w:lineRule="auto"/>
        <w:ind w:left="641" w:hanging="357"/>
        <w:contextualSpacing w:val="0"/>
        <w:rPr>
          <w:sz w:val="20"/>
          <w:szCs w:val="20"/>
        </w:rPr>
      </w:pPr>
      <w:r>
        <w:rPr>
          <w:sz w:val="20"/>
          <w:szCs w:val="20"/>
        </w:rPr>
        <w:t>share and leverage data and enable data access, internally and externally, particularly for the National Disability Data Asset</w:t>
      </w:r>
      <w:r w:rsidR="00EE3AA1" w:rsidRPr="003B61D1">
        <w:rPr>
          <w:sz w:val="20"/>
          <w:szCs w:val="20"/>
        </w:rPr>
        <w:t xml:space="preserve"> </w:t>
      </w:r>
    </w:p>
    <w:p w14:paraId="713A9BA7" w14:textId="70F7425A" w:rsidR="00EE3AA1" w:rsidRPr="003B61D1" w:rsidRDefault="00492EC7" w:rsidP="00B81E0C">
      <w:pPr>
        <w:pStyle w:val="ListParagraph"/>
        <w:numPr>
          <w:ilvl w:val="0"/>
          <w:numId w:val="3"/>
        </w:numPr>
        <w:spacing w:after="120" w:line="259" w:lineRule="auto"/>
        <w:ind w:left="641" w:hanging="357"/>
        <w:contextualSpacing w:val="0"/>
        <w:rPr>
          <w:sz w:val="20"/>
          <w:szCs w:val="20"/>
        </w:rPr>
      </w:pPr>
      <w:r>
        <w:rPr>
          <w:sz w:val="20"/>
          <w:szCs w:val="20"/>
        </w:rPr>
        <w:t>increase staff capability and confidence in using data</w:t>
      </w:r>
      <w:r w:rsidR="00EE3AA1" w:rsidRPr="003B61D1">
        <w:rPr>
          <w:sz w:val="20"/>
          <w:szCs w:val="20"/>
        </w:rPr>
        <w:t xml:space="preserve">, particularly to understand </w:t>
      </w:r>
      <w:r w:rsidR="00362BE4">
        <w:rPr>
          <w:sz w:val="20"/>
          <w:szCs w:val="20"/>
        </w:rPr>
        <w:t xml:space="preserve">place-based </w:t>
      </w:r>
      <w:r w:rsidR="00EE3AA1" w:rsidRPr="003B61D1">
        <w:rPr>
          <w:sz w:val="20"/>
          <w:szCs w:val="20"/>
        </w:rPr>
        <w:t>client pathways and outcomes</w:t>
      </w:r>
    </w:p>
    <w:p w14:paraId="70724E60" w14:textId="493454AB" w:rsidR="00EE3AA1" w:rsidRPr="003B61D1" w:rsidRDefault="00EE3AA1" w:rsidP="00B81E0C">
      <w:pPr>
        <w:pStyle w:val="ListParagraph"/>
        <w:numPr>
          <w:ilvl w:val="0"/>
          <w:numId w:val="3"/>
        </w:numPr>
        <w:spacing w:after="120" w:line="259" w:lineRule="auto"/>
        <w:ind w:left="641" w:hanging="357"/>
        <w:contextualSpacing w:val="0"/>
        <w:rPr>
          <w:sz w:val="20"/>
          <w:szCs w:val="20"/>
        </w:rPr>
      </w:pPr>
      <w:r w:rsidRPr="003B61D1">
        <w:rPr>
          <w:sz w:val="20"/>
          <w:szCs w:val="20"/>
        </w:rPr>
        <w:t xml:space="preserve">explore and participate in initiatives related to data, analytics, capability development and evaluation across the Australian Public Service </w:t>
      </w:r>
    </w:p>
    <w:p w14:paraId="61E21ED7" w14:textId="761E01B3" w:rsidR="00EE3AA1" w:rsidRDefault="00362BE4" w:rsidP="00B81E0C">
      <w:pPr>
        <w:pStyle w:val="ListParagraph"/>
        <w:numPr>
          <w:ilvl w:val="0"/>
          <w:numId w:val="3"/>
        </w:numPr>
        <w:spacing w:after="120" w:line="259" w:lineRule="auto"/>
        <w:ind w:left="641" w:hanging="357"/>
        <w:contextualSpacing w:val="0"/>
        <w:rPr>
          <w:sz w:val="20"/>
          <w:szCs w:val="20"/>
        </w:rPr>
      </w:pPr>
      <w:r>
        <w:rPr>
          <w:sz w:val="20"/>
          <w:szCs w:val="20"/>
        </w:rPr>
        <w:t xml:space="preserve">create a culture of data-driven curiosity and enquiry where data is embedded into all aspects for our business. </w:t>
      </w:r>
    </w:p>
    <w:p w14:paraId="783417A6" w14:textId="01C9FF64" w:rsidR="00BE4296" w:rsidRDefault="00BE4296">
      <w:pPr>
        <w:spacing w:before="0" w:after="200" w:line="276" w:lineRule="auto"/>
        <w:rPr>
          <w:sz w:val="20"/>
          <w:szCs w:val="20"/>
        </w:rPr>
      </w:pPr>
      <w:r>
        <w:rPr>
          <w:sz w:val="20"/>
          <w:szCs w:val="20"/>
        </w:rPr>
        <w:br w:type="page"/>
      </w:r>
    </w:p>
    <w:p w14:paraId="3AC61684" w14:textId="77777777" w:rsidR="00EE3AA1" w:rsidRPr="00BD27CF" w:rsidRDefault="00EE3AA1" w:rsidP="00EE3AA1">
      <w:pPr>
        <w:pStyle w:val="Heading2"/>
      </w:pPr>
      <w:bookmarkStart w:id="55" w:name="_Toc111026117"/>
      <w:bookmarkStart w:id="56" w:name="_Toc144385562"/>
      <w:r>
        <w:t>Financial</w:t>
      </w:r>
      <w:r w:rsidRPr="00BD27CF">
        <w:t xml:space="preserve"> </w:t>
      </w:r>
      <w:r>
        <w:t>capability</w:t>
      </w:r>
      <w:bookmarkEnd w:id="55"/>
      <w:bookmarkEnd w:id="56"/>
    </w:p>
    <w:p w14:paraId="5C5A9BD2" w14:textId="17DE073E" w:rsidR="00EE3AA1" w:rsidRPr="000D6C2B" w:rsidRDefault="00EE3AA1" w:rsidP="00B81E0C">
      <w:pPr>
        <w:pStyle w:val="Normalmorespace"/>
      </w:pPr>
      <w:r w:rsidRPr="000D6C2B">
        <w:t xml:space="preserve">Our Finance Group leads the department’s finance capability and ensures compliance with legislative and policy requirements. The </w:t>
      </w:r>
      <w:r>
        <w:t>g</w:t>
      </w:r>
      <w:r w:rsidRPr="000D6C2B">
        <w:t xml:space="preserve">roup facilitates </w:t>
      </w:r>
      <w:r>
        <w:t xml:space="preserve">coordination of budget processes, </w:t>
      </w:r>
      <w:r w:rsidRPr="000D6C2B">
        <w:t xml:space="preserve">allocation of budgets to deliver </w:t>
      </w:r>
      <w:r>
        <w:t xml:space="preserve">the </w:t>
      </w:r>
      <w:r w:rsidRPr="000D6C2B">
        <w:t xml:space="preserve">department’s </w:t>
      </w:r>
      <w:r>
        <w:t>priorities, reports on financial performance and produces the financial statements</w:t>
      </w:r>
      <w:r w:rsidRPr="000D6C2B">
        <w:t xml:space="preserve">. The </w:t>
      </w:r>
      <w:r>
        <w:t>g</w:t>
      </w:r>
      <w:r w:rsidRPr="000D6C2B">
        <w:t xml:space="preserve">roup is a key enabler in </w:t>
      </w:r>
      <w:r>
        <w:t>the financial stewardship of the department</w:t>
      </w:r>
      <w:r w:rsidR="002B1491">
        <w:t>, providing</w:t>
      </w:r>
      <w:r>
        <w:t xml:space="preserve"> </w:t>
      </w:r>
      <w:r w:rsidRPr="000D6C2B">
        <w:t>advice to</w:t>
      </w:r>
      <w:r>
        <w:t xml:space="preserve"> the</w:t>
      </w:r>
      <w:r w:rsidRPr="000D6C2B">
        <w:t xml:space="preserve">: </w:t>
      </w:r>
    </w:p>
    <w:p w14:paraId="1B18A746" w14:textId="77777777" w:rsidR="00EE3AA1" w:rsidRPr="003B61D1" w:rsidRDefault="00EE3AA1" w:rsidP="00B81E0C">
      <w:pPr>
        <w:pStyle w:val="ListParagraph"/>
        <w:numPr>
          <w:ilvl w:val="0"/>
          <w:numId w:val="3"/>
        </w:numPr>
        <w:spacing w:after="120" w:line="259" w:lineRule="auto"/>
        <w:ind w:left="641" w:hanging="357"/>
        <w:contextualSpacing w:val="0"/>
        <w:rPr>
          <w:sz w:val="20"/>
          <w:szCs w:val="20"/>
        </w:rPr>
      </w:pPr>
      <w:r w:rsidRPr="003B61D1">
        <w:rPr>
          <w:sz w:val="20"/>
          <w:szCs w:val="20"/>
        </w:rPr>
        <w:t>Executive Management Group in a timely and accurate manner about financial performance, forecast, pressures and risks</w:t>
      </w:r>
    </w:p>
    <w:p w14:paraId="1BD5F60F" w14:textId="77777777" w:rsidR="00EE3AA1" w:rsidRPr="003B61D1" w:rsidRDefault="00EE3AA1" w:rsidP="00B81E0C">
      <w:pPr>
        <w:pStyle w:val="ListParagraph"/>
        <w:numPr>
          <w:ilvl w:val="0"/>
          <w:numId w:val="3"/>
        </w:numPr>
        <w:spacing w:after="120" w:line="259" w:lineRule="auto"/>
        <w:ind w:left="641" w:hanging="357"/>
        <w:contextualSpacing w:val="0"/>
        <w:rPr>
          <w:sz w:val="20"/>
          <w:szCs w:val="20"/>
        </w:rPr>
      </w:pPr>
      <w:r w:rsidRPr="003B61D1">
        <w:rPr>
          <w:sz w:val="20"/>
          <w:szCs w:val="20"/>
        </w:rPr>
        <w:t>departmental managers, in relation to:</w:t>
      </w:r>
    </w:p>
    <w:p w14:paraId="7A4D57D1" w14:textId="77777777" w:rsidR="00EE3AA1" w:rsidRPr="003B61D1" w:rsidRDefault="00EE3AA1" w:rsidP="00B81E0C">
      <w:pPr>
        <w:pStyle w:val="ListParagraph"/>
        <w:numPr>
          <w:ilvl w:val="1"/>
          <w:numId w:val="4"/>
        </w:numPr>
        <w:spacing w:before="40" w:after="40" w:line="259" w:lineRule="auto"/>
        <w:ind w:hanging="357"/>
        <w:contextualSpacing w:val="0"/>
        <w:rPr>
          <w:sz w:val="20"/>
          <w:szCs w:val="20"/>
        </w:rPr>
      </w:pPr>
      <w:r w:rsidRPr="003B61D1">
        <w:rPr>
          <w:sz w:val="20"/>
          <w:szCs w:val="20"/>
        </w:rPr>
        <w:t>the development of robust and easy to use financial management policies, systems and processes</w:t>
      </w:r>
    </w:p>
    <w:p w14:paraId="042ED9E0" w14:textId="77777777" w:rsidR="00EE3AA1" w:rsidRPr="003B61D1" w:rsidRDefault="00EE3AA1" w:rsidP="00B81E0C">
      <w:pPr>
        <w:pStyle w:val="ListParagraph"/>
        <w:numPr>
          <w:ilvl w:val="1"/>
          <w:numId w:val="4"/>
        </w:numPr>
        <w:spacing w:before="40" w:after="40" w:line="259" w:lineRule="auto"/>
        <w:ind w:hanging="357"/>
        <w:contextualSpacing w:val="0"/>
        <w:rPr>
          <w:sz w:val="20"/>
          <w:szCs w:val="20"/>
        </w:rPr>
      </w:pPr>
      <w:r w:rsidRPr="003B61D1">
        <w:rPr>
          <w:sz w:val="20"/>
          <w:szCs w:val="20"/>
        </w:rPr>
        <w:t>assisting in the development of new policy proposals and coordinating the Budget process</w:t>
      </w:r>
    </w:p>
    <w:p w14:paraId="14691E0D" w14:textId="77777777" w:rsidR="00EE3AA1" w:rsidRPr="003B61D1" w:rsidRDefault="00EE3AA1" w:rsidP="00B81E0C">
      <w:pPr>
        <w:pStyle w:val="ListParagraph"/>
        <w:numPr>
          <w:ilvl w:val="1"/>
          <w:numId w:val="4"/>
        </w:numPr>
        <w:spacing w:before="40" w:after="40" w:line="259" w:lineRule="auto"/>
        <w:ind w:hanging="357"/>
        <w:contextualSpacing w:val="0"/>
        <w:rPr>
          <w:sz w:val="20"/>
          <w:szCs w:val="20"/>
        </w:rPr>
      </w:pPr>
      <w:r w:rsidRPr="003B61D1">
        <w:rPr>
          <w:sz w:val="20"/>
          <w:szCs w:val="20"/>
        </w:rPr>
        <w:t>the provision of timely and accurate financial information, analysis and advice</w:t>
      </w:r>
    </w:p>
    <w:p w14:paraId="1FB28AA1" w14:textId="77777777" w:rsidR="00EE3AA1" w:rsidRPr="003B61D1" w:rsidRDefault="00EE3AA1" w:rsidP="00B81E0C">
      <w:pPr>
        <w:pStyle w:val="ListParagraph"/>
        <w:numPr>
          <w:ilvl w:val="1"/>
          <w:numId w:val="4"/>
        </w:numPr>
        <w:spacing w:before="40" w:after="40" w:line="259" w:lineRule="auto"/>
        <w:ind w:hanging="357"/>
        <w:contextualSpacing w:val="0"/>
        <w:rPr>
          <w:sz w:val="20"/>
          <w:szCs w:val="20"/>
        </w:rPr>
      </w:pPr>
      <w:r w:rsidRPr="003B61D1">
        <w:rPr>
          <w:sz w:val="20"/>
          <w:szCs w:val="20"/>
        </w:rPr>
        <w:t>anticipating financial issues and working collaboratively in developing solutions</w:t>
      </w:r>
    </w:p>
    <w:p w14:paraId="1F7CF4EB" w14:textId="77777777" w:rsidR="00EE3AA1" w:rsidRPr="003B61D1" w:rsidRDefault="00EE3AA1" w:rsidP="00B81E0C">
      <w:pPr>
        <w:pStyle w:val="ListParagraph"/>
        <w:numPr>
          <w:ilvl w:val="1"/>
          <w:numId w:val="4"/>
        </w:numPr>
        <w:spacing w:before="40" w:after="40" w:line="259" w:lineRule="auto"/>
        <w:ind w:hanging="357"/>
        <w:contextualSpacing w:val="0"/>
        <w:rPr>
          <w:sz w:val="20"/>
          <w:szCs w:val="20"/>
        </w:rPr>
      </w:pPr>
      <w:r w:rsidRPr="003B61D1">
        <w:rPr>
          <w:sz w:val="20"/>
          <w:szCs w:val="20"/>
        </w:rPr>
        <w:t>financial literacy training and support to enhance financial knowledge; and</w:t>
      </w:r>
    </w:p>
    <w:p w14:paraId="7B550E5A" w14:textId="6B74DCD6" w:rsidR="00A7418F" w:rsidRDefault="00EE3AA1" w:rsidP="00B81E0C">
      <w:pPr>
        <w:pStyle w:val="ListParagraph"/>
        <w:spacing w:before="40" w:after="40" w:line="259" w:lineRule="auto"/>
        <w:ind w:left="1440"/>
        <w:contextualSpacing w:val="0"/>
        <w:rPr>
          <w:sz w:val="20"/>
          <w:szCs w:val="20"/>
        </w:rPr>
      </w:pPr>
      <w:r w:rsidRPr="003B61D1">
        <w:rPr>
          <w:sz w:val="20"/>
          <w:szCs w:val="20"/>
        </w:rPr>
        <w:t>procurement advice</w:t>
      </w:r>
      <w:r>
        <w:rPr>
          <w:sz w:val="20"/>
          <w:szCs w:val="20"/>
        </w:rPr>
        <w:t>, use of credit cards, travel and fleet management.</w:t>
      </w:r>
    </w:p>
    <w:p w14:paraId="1EF83C57" w14:textId="77777777" w:rsidR="00EE3AA1" w:rsidRPr="006A3A8E" w:rsidRDefault="00EE3AA1" w:rsidP="00EE3AA1">
      <w:pPr>
        <w:pStyle w:val="Heading2"/>
      </w:pPr>
      <w:bookmarkStart w:id="57" w:name="_Toc106780921"/>
      <w:bookmarkStart w:id="58" w:name="_Toc111026118"/>
      <w:bookmarkStart w:id="59" w:name="_Toc144385563"/>
      <w:r w:rsidRPr="006A3A8E">
        <w:t>Governance capability</w:t>
      </w:r>
      <w:bookmarkEnd w:id="57"/>
      <w:bookmarkEnd w:id="58"/>
      <w:bookmarkEnd w:id="59"/>
    </w:p>
    <w:p w14:paraId="489777AB" w14:textId="0CBEF977" w:rsidR="00E90F89" w:rsidRDefault="00E90F89" w:rsidP="00B81E0C">
      <w:pPr>
        <w:pStyle w:val="Normalmorespace"/>
      </w:pPr>
      <w:r>
        <w:t>Our strong governance arrangements support our decision making by ensuring transparency, accountability and integrity are applied to all of our activities.</w:t>
      </w:r>
    </w:p>
    <w:p w14:paraId="4F79D51C" w14:textId="24814E97" w:rsidR="00E90F89" w:rsidRDefault="00E90F89" w:rsidP="00B81E0C">
      <w:pPr>
        <w:pStyle w:val="Normalmorespace"/>
      </w:pPr>
      <w:r>
        <w:t>Our governance structure includes the Executive Management Group and its sub-committees</w:t>
      </w:r>
      <w:r w:rsidR="00FF3861">
        <w:t xml:space="preserve">, </w:t>
      </w:r>
      <w:r>
        <w:t>which cover policy and evaluation, people and culture</w:t>
      </w:r>
      <w:r w:rsidR="003132CB">
        <w:t>, ICT</w:t>
      </w:r>
      <w:r w:rsidR="00FF3861">
        <w:t xml:space="preserve"> and </w:t>
      </w:r>
      <w:r>
        <w:t>program performance</w:t>
      </w:r>
      <w:r w:rsidR="00FF3861">
        <w:t>.</w:t>
      </w:r>
    </w:p>
    <w:p w14:paraId="0FF94EAF" w14:textId="6651D4D6" w:rsidR="00FF3861" w:rsidRDefault="00FF3861" w:rsidP="00B81E0C">
      <w:pPr>
        <w:pStyle w:val="Normalmorespace"/>
      </w:pPr>
      <w:r>
        <w:t xml:space="preserve">Our </w:t>
      </w:r>
      <w:r w:rsidR="003132CB">
        <w:t xml:space="preserve">governance </w:t>
      </w:r>
      <w:r>
        <w:t xml:space="preserve">structure </w:t>
      </w:r>
      <w:r w:rsidR="003132CB">
        <w:t>informs the strategic prioritisation of resources as part of policy setting, program and workforce planning, risk management and audit and compliance activities.</w:t>
      </w:r>
    </w:p>
    <w:p w14:paraId="37F765FC" w14:textId="7A7C47AE" w:rsidR="00EE3AA1" w:rsidRPr="00E81CDE" w:rsidRDefault="00AB1756" w:rsidP="00E81CDE">
      <w:pPr>
        <w:pStyle w:val="Normalmorespace"/>
        <w:rPr>
          <w:rFonts w:asciiTheme="majorHAnsi" w:hAnsiTheme="majorHAnsi"/>
          <w:sz w:val="24"/>
          <w:szCs w:val="24"/>
        </w:rPr>
      </w:pPr>
      <w:r>
        <w:rPr>
          <w:noProof/>
        </w:rPr>
        <w:drawing>
          <wp:anchor distT="0" distB="0" distL="114300" distR="114300" simplePos="0" relativeHeight="251671603" behindDoc="1" locked="0" layoutInCell="1" allowOverlap="1" wp14:anchorId="6CA6DFF2" wp14:editId="42EC43E0">
            <wp:simplePos x="0" y="0"/>
            <wp:positionH relativeFrom="margin">
              <wp:align>left</wp:align>
            </wp:positionH>
            <wp:positionV relativeFrom="paragraph">
              <wp:posOffset>282885</wp:posOffset>
            </wp:positionV>
            <wp:extent cx="5939790" cy="2021851"/>
            <wp:effectExtent l="0" t="0" r="3810" b="0"/>
            <wp:wrapTight wrapText="bothSides">
              <wp:wrapPolygon edited="0">
                <wp:start x="0" y="0"/>
                <wp:lineTo x="0" y="4274"/>
                <wp:lineTo x="5958" y="6513"/>
                <wp:lineTo x="0" y="6716"/>
                <wp:lineTo x="0" y="11193"/>
                <wp:lineTo x="1178" y="13025"/>
                <wp:lineTo x="0" y="13636"/>
                <wp:lineTo x="0" y="21369"/>
                <wp:lineTo x="12539" y="21369"/>
                <wp:lineTo x="12677" y="14246"/>
                <wp:lineTo x="15448" y="13025"/>
                <wp:lineTo x="21545" y="11193"/>
                <wp:lineTo x="21545" y="6920"/>
                <wp:lineTo x="21406" y="6716"/>
                <wp:lineTo x="18635" y="6513"/>
                <wp:lineTo x="21545" y="4274"/>
                <wp:lineTo x="21545" y="0"/>
                <wp:lineTo x="0" y="0"/>
              </wp:wrapPolygon>
            </wp:wrapTight>
            <wp:docPr id="674" name="Picture 674" descr="This diagram outlines the DSS governance structure starting with the Secterary that has two branches underneath.&#10;1. Executive Management Group that feeds down to the People and Evaluation Committee, People and Culture Committee, Program Committee and ICT Committee.&#10;2. Audit and Risk Committee" title="Governance Structur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9790" cy="2021851"/>
                    </a:xfrm>
                    <a:prstGeom prst="rect">
                      <a:avLst/>
                    </a:prstGeom>
                    <a:noFill/>
                  </pic:spPr>
                </pic:pic>
              </a:graphicData>
            </a:graphic>
            <wp14:sizeRelH relativeFrom="page">
              <wp14:pctWidth>0</wp14:pctWidth>
            </wp14:sizeRelH>
            <wp14:sizeRelV relativeFrom="page">
              <wp14:pctHeight>0</wp14:pctHeight>
            </wp14:sizeRelV>
          </wp:anchor>
        </w:drawing>
      </w:r>
      <w:r w:rsidR="00EE3AA1" w:rsidRPr="00E81CDE">
        <w:rPr>
          <w:rFonts w:asciiTheme="majorHAnsi" w:hAnsiTheme="majorHAnsi"/>
          <w:sz w:val="24"/>
          <w:szCs w:val="24"/>
        </w:rPr>
        <w:t>Governance structure diagram</w:t>
      </w:r>
    </w:p>
    <w:p w14:paraId="1AE04A0E" w14:textId="5DED7A5E" w:rsidR="00851653" w:rsidRDefault="00851653" w:rsidP="00B43AF6">
      <w:pPr>
        <w:spacing w:before="0" w:after="200" w:line="276" w:lineRule="auto"/>
        <w:rPr>
          <w:rFonts w:ascii="Georgia" w:hAnsi="Georgia"/>
          <w:color w:val="005A70"/>
          <w:sz w:val="28"/>
          <w:szCs w:val="28"/>
        </w:rPr>
      </w:pPr>
    </w:p>
    <w:p w14:paraId="29CC21D1" w14:textId="35FB9210" w:rsidR="00851653" w:rsidRDefault="00851653" w:rsidP="00B43AF6">
      <w:pPr>
        <w:spacing w:before="0" w:after="200" w:line="276" w:lineRule="auto"/>
        <w:rPr>
          <w:rFonts w:ascii="Georgia" w:hAnsi="Georgia"/>
          <w:color w:val="005A70"/>
          <w:sz w:val="28"/>
          <w:szCs w:val="28"/>
        </w:rPr>
      </w:pPr>
    </w:p>
    <w:p w14:paraId="4CDC3554" w14:textId="2204BAF9" w:rsidR="00851653" w:rsidRDefault="00851653" w:rsidP="00B43AF6">
      <w:pPr>
        <w:spacing w:before="0" w:after="200" w:line="276" w:lineRule="auto"/>
        <w:rPr>
          <w:rFonts w:ascii="Georgia" w:hAnsi="Georgia"/>
          <w:color w:val="005A70"/>
          <w:sz w:val="28"/>
          <w:szCs w:val="28"/>
        </w:rPr>
      </w:pPr>
    </w:p>
    <w:p w14:paraId="09C8FF34" w14:textId="77777777" w:rsidR="00A7418F" w:rsidRPr="00B43AF6" w:rsidRDefault="00A7418F" w:rsidP="00B43AF6">
      <w:pPr>
        <w:spacing w:before="0" w:after="200" w:line="276" w:lineRule="auto"/>
        <w:rPr>
          <w:rFonts w:ascii="Georgia" w:hAnsi="Georgia"/>
          <w:color w:val="005A70"/>
          <w:sz w:val="28"/>
          <w:szCs w:val="28"/>
        </w:rPr>
      </w:pPr>
    </w:p>
    <w:p w14:paraId="4B396026" w14:textId="13B51067" w:rsidR="00433F10" w:rsidRDefault="00433F10">
      <w:pPr>
        <w:spacing w:before="0" w:after="200" w:line="276" w:lineRule="auto"/>
        <w:rPr>
          <w:rFonts w:ascii="Georgia" w:hAnsi="Georgia"/>
          <w:color w:val="005A70"/>
          <w:sz w:val="28"/>
          <w:szCs w:val="28"/>
        </w:rPr>
      </w:pPr>
      <w:bookmarkStart w:id="60" w:name="_Toc46235541"/>
      <w:bookmarkStart w:id="61" w:name="_Toc47604319"/>
      <w:r>
        <w:rPr>
          <w:rFonts w:ascii="Georgia" w:hAnsi="Georgia"/>
          <w:color w:val="005A70"/>
          <w:sz w:val="28"/>
          <w:szCs w:val="28"/>
        </w:rPr>
        <w:br w:type="page"/>
      </w:r>
    </w:p>
    <w:p w14:paraId="29103B35" w14:textId="4BEFD7DF" w:rsidR="00EE3AA1" w:rsidRPr="00013CF0" w:rsidRDefault="00EE3AA1" w:rsidP="00EE3AA1">
      <w:pPr>
        <w:spacing w:after="120"/>
        <w:rPr>
          <w:rFonts w:ascii="Georgia" w:hAnsi="Georgia"/>
          <w:color w:val="24596E"/>
        </w:rPr>
      </w:pPr>
      <w:r w:rsidRPr="00013CF0">
        <w:rPr>
          <w:rFonts w:ascii="Georgia" w:hAnsi="Georgia"/>
          <w:color w:val="24596E"/>
        </w:rPr>
        <w:t>DSS planning and reporting framework</w:t>
      </w:r>
    </w:p>
    <w:p w14:paraId="6EBC1EBE" w14:textId="77777777" w:rsidR="00EE3AA1" w:rsidRDefault="00EE3AA1" w:rsidP="00B81E0C">
      <w:pPr>
        <w:pStyle w:val="Normalmorespace"/>
      </w:pPr>
      <w:r w:rsidRPr="000F7A9A">
        <w:t xml:space="preserve">The </w:t>
      </w:r>
      <w:r>
        <w:t>d</w:t>
      </w:r>
      <w:r w:rsidRPr="000F7A9A">
        <w:t>epartment’s planning and reporting framework supports the delivery of our obligations under the PGPA Act and ensure</w:t>
      </w:r>
      <w:r>
        <w:t>s</w:t>
      </w:r>
      <w:r w:rsidRPr="000F7A9A">
        <w:t xml:space="preserve"> that the business planning, performance measurement and budget processes are aligned. </w:t>
      </w:r>
    </w:p>
    <w:p w14:paraId="41F44B98" w14:textId="07E90A81" w:rsidR="00EE3AA1" w:rsidRDefault="00EE3AA1" w:rsidP="00B81E0C">
      <w:pPr>
        <w:pStyle w:val="Normalmorespace"/>
      </w:pPr>
      <w:r>
        <w:t xml:space="preserve">The Corporate Plan is our primary planning document and it integrates our outcomes, performance, priorities, and workplace values. The detailed group business plans and individual performance plans cascade down from the Corporate Plan, which allows the department to have a clear line of sight between our </w:t>
      </w:r>
      <w:r w:rsidR="00623B67">
        <w:t>purpose</w:t>
      </w:r>
      <w:r>
        <w:t xml:space="preserve"> and performance. We measure and assess performance in contributing</w:t>
      </w:r>
      <w:r w:rsidR="00300480">
        <w:t xml:space="preserve"> to government policy objectives</w:t>
      </w:r>
      <w:r>
        <w:t>.</w:t>
      </w:r>
    </w:p>
    <w:p w14:paraId="4593EAED" w14:textId="4F94C5C9" w:rsidR="007200B7" w:rsidRDefault="007200B7" w:rsidP="00EE3AA1">
      <w:pPr>
        <w:pStyle w:val="Normalmorespace"/>
      </w:pPr>
    </w:p>
    <w:p w14:paraId="427D9678" w14:textId="608A422D" w:rsidR="00D73DA7" w:rsidRDefault="00AC1E15" w:rsidP="00EE3AA1">
      <w:pPr>
        <w:pStyle w:val="Normalmorespace"/>
      </w:pPr>
      <w:r w:rsidRPr="00AC1E15">
        <w:rPr>
          <w:noProof/>
        </w:rPr>
        <w:drawing>
          <wp:inline distT="0" distB="0" distL="0" distR="0" wp14:anchorId="3319B541" wp14:editId="79AC2428">
            <wp:extent cx="5939790" cy="5707380"/>
            <wp:effectExtent l="0" t="0" r="3810" b="7620"/>
            <wp:docPr id="672" name="Picture 672" descr="Image displaying the lifecycle of planning and reporting at DSS." title="DSS planning and reporting frame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39790" cy="5707380"/>
                    </a:xfrm>
                    <a:prstGeom prst="rect">
                      <a:avLst/>
                    </a:prstGeom>
                  </pic:spPr>
                </pic:pic>
              </a:graphicData>
            </a:graphic>
          </wp:inline>
        </w:drawing>
      </w:r>
    </w:p>
    <w:p w14:paraId="5404E7B3" w14:textId="01E3C9CC" w:rsidR="00EE3AA1" w:rsidRPr="00436515" w:rsidRDefault="00EE3AA1" w:rsidP="00EE3AA1">
      <w:pPr>
        <w:tabs>
          <w:tab w:val="left" w:pos="5461"/>
        </w:tabs>
      </w:pPr>
    </w:p>
    <w:p w14:paraId="5B39A3EE" w14:textId="36AEF34E" w:rsidR="00EE3AA1" w:rsidRPr="002E3EE9" w:rsidRDefault="00EE3AA1" w:rsidP="00EE3AA1">
      <w:r>
        <w:br w:type="textWrapping" w:clear="all"/>
      </w:r>
    </w:p>
    <w:p w14:paraId="4D52BC80" w14:textId="77777777" w:rsidR="00EE3AA1" w:rsidRPr="00A97017" w:rsidRDefault="00EE3AA1" w:rsidP="00EE3AA1">
      <w:pPr>
        <w:pStyle w:val="Heading1-NP"/>
        <w:rPr>
          <w:color w:val="005A70"/>
        </w:rPr>
      </w:pPr>
      <w:bookmarkStart w:id="62" w:name="_Toc111026119"/>
      <w:bookmarkStart w:id="63" w:name="_Toc144385564"/>
      <w:r w:rsidRPr="00A97017">
        <w:rPr>
          <w:color w:val="005A70"/>
        </w:rPr>
        <w:t>Risk oversight and management</w:t>
      </w:r>
      <w:bookmarkEnd w:id="60"/>
      <w:bookmarkEnd w:id="61"/>
      <w:bookmarkEnd w:id="62"/>
      <w:bookmarkEnd w:id="63"/>
    </w:p>
    <w:p w14:paraId="7A164892" w14:textId="77777777" w:rsidR="00EE3AA1" w:rsidRPr="00C8452F" w:rsidRDefault="00EE3AA1" w:rsidP="00E81CDE">
      <w:pPr>
        <w:pStyle w:val="Heading2"/>
      </w:pPr>
      <w:bookmarkStart w:id="64" w:name="_Toc111026120"/>
      <w:bookmarkStart w:id="65" w:name="_Toc144385565"/>
      <w:r w:rsidRPr="00C8452F">
        <w:t xml:space="preserve">Our risk </w:t>
      </w:r>
      <w:r>
        <w:t>management</w:t>
      </w:r>
      <w:bookmarkEnd w:id="64"/>
      <w:bookmarkEnd w:id="65"/>
    </w:p>
    <w:p w14:paraId="2C5B0F6D" w14:textId="3175B24A" w:rsidR="00EE3AA1" w:rsidRPr="00DA1886" w:rsidRDefault="00EE3AA1" w:rsidP="00B81E0C">
      <w:pPr>
        <w:pStyle w:val="Normalmorespace"/>
      </w:pPr>
      <w:r>
        <w:t>The department operates in an ever-changing environment of strategic, operational, shared and emerging risks in order to deliver on our purpose.</w:t>
      </w:r>
    </w:p>
    <w:p w14:paraId="3C6B8956" w14:textId="37318695" w:rsidR="00EE3AA1" w:rsidRDefault="00EE3AA1" w:rsidP="00B81E0C">
      <w:pPr>
        <w:pStyle w:val="Normalmorespace"/>
      </w:pPr>
      <w:r>
        <w:t>Our</w:t>
      </w:r>
      <w:r w:rsidR="00300480">
        <w:t xml:space="preserve"> R</w:t>
      </w:r>
      <w:r w:rsidRPr="00EC3FD4">
        <w:t xml:space="preserve">isk </w:t>
      </w:r>
      <w:r w:rsidR="00300480">
        <w:t>M</w:t>
      </w:r>
      <w:r>
        <w:t xml:space="preserve">anagement </w:t>
      </w:r>
      <w:r w:rsidR="00300480">
        <w:t>F</w:t>
      </w:r>
      <w:r w:rsidRPr="00EC3FD4">
        <w:t xml:space="preserve">ramework </w:t>
      </w:r>
      <w:r w:rsidR="00300480">
        <w:t xml:space="preserve">(the framework) </w:t>
      </w:r>
      <w:r>
        <w:t xml:space="preserve">assists staff at all levels across the department to effectively </w:t>
      </w:r>
      <w:r w:rsidR="00300480">
        <w:t xml:space="preserve">identify and </w:t>
      </w:r>
      <w:r>
        <w:t xml:space="preserve">manage risk. </w:t>
      </w:r>
      <w:r w:rsidR="00300480">
        <w:t>The framework</w:t>
      </w:r>
      <w:r>
        <w:t xml:space="preserve"> includes a</w:t>
      </w:r>
      <w:r w:rsidR="00300480">
        <w:t xml:space="preserve"> </w:t>
      </w:r>
      <w:r>
        <w:t>risk management policy,</w:t>
      </w:r>
      <w:r w:rsidR="00300480">
        <w:t xml:space="preserve"> along with </w:t>
      </w:r>
      <w:r>
        <w:t>risk and issues management procedures</w:t>
      </w:r>
      <w:r w:rsidR="00300480">
        <w:t xml:space="preserve">. </w:t>
      </w:r>
      <w:r w:rsidRPr="00EC3FD4">
        <w:t xml:space="preserve">It </w:t>
      </w:r>
      <w:r>
        <w:t xml:space="preserve">also </w:t>
      </w:r>
      <w:r w:rsidRPr="00EC3FD4">
        <w:t xml:space="preserve">provides clear responsibilities for all </w:t>
      </w:r>
      <w:r>
        <w:t xml:space="preserve">our </w:t>
      </w:r>
      <w:r w:rsidRPr="00EC3FD4">
        <w:t xml:space="preserve">staff to </w:t>
      </w:r>
      <w:r>
        <w:t>consistently escalate</w:t>
      </w:r>
      <w:r w:rsidRPr="00EC3FD4">
        <w:t xml:space="preserve"> and report on risk</w:t>
      </w:r>
      <w:r>
        <w:t xml:space="preserve"> and issues</w:t>
      </w:r>
      <w:r w:rsidRPr="00EC3FD4">
        <w:t>.</w:t>
      </w:r>
    </w:p>
    <w:p w14:paraId="04807FB0" w14:textId="77777777" w:rsidR="00EE3AA1" w:rsidRDefault="00EE3AA1" w:rsidP="00B81E0C">
      <w:pPr>
        <w:pStyle w:val="Normalmorespace"/>
      </w:pPr>
      <w:r>
        <w:t xml:space="preserve">Our processes align with the Commonwealth Risk Management Policy and section 16 of the </w:t>
      </w:r>
      <w:r w:rsidRPr="00973441">
        <w:rPr>
          <w:i/>
        </w:rPr>
        <w:t>Public Guidance, Performance and Accountability Act 2013</w:t>
      </w:r>
      <w:r>
        <w:t>.</w:t>
      </w:r>
    </w:p>
    <w:p w14:paraId="50AF3570" w14:textId="77777777" w:rsidR="00EE3AA1" w:rsidRPr="004C3F74" w:rsidRDefault="00EE3AA1" w:rsidP="00E81CDE">
      <w:pPr>
        <w:pStyle w:val="Heading2"/>
      </w:pPr>
      <w:bookmarkStart w:id="66" w:name="_Toc144385566"/>
      <w:r w:rsidRPr="004C3F74">
        <w:t>Our strategic risks</w:t>
      </w:r>
      <w:bookmarkEnd w:id="66"/>
    </w:p>
    <w:p w14:paraId="6CA1F3DC" w14:textId="63A29786" w:rsidR="00EE3AA1" w:rsidRDefault="00EE3AA1" w:rsidP="00B81E0C">
      <w:pPr>
        <w:pStyle w:val="Normalmorespace"/>
      </w:pPr>
      <w:r w:rsidRPr="00295216">
        <w:t xml:space="preserve">The department’s </w:t>
      </w:r>
      <w:r>
        <w:t>6</w:t>
      </w:r>
      <w:r w:rsidRPr="00295216">
        <w:t xml:space="preserve"> </w:t>
      </w:r>
      <w:r>
        <w:t>strategic</w:t>
      </w:r>
      <w:r w:rsidRPr="00295216">
        <w:t xml:space="preserve"> risks</w:t>
      </w:r>
      <w:r>
        <w:t>, identified by the Executive Management Group</w:t>
      </w:r>
      <w:r w:rsidRPr="00295216">
        <w:t xml:space="preserve"> </w:t>
      </w:r>
      <w:r>
        <w:t>have the</w:t>
      </w:r>
      <w:r w:rsidRPr="00295216">
        <w:t xml:space="preserve"> potential to </w:t>
      </w:r>
      <w:r>
        <w:t xml:space="preserve">impact </w:t>
      </w:r>
      <w:r w:rsidRPr="00295216">
        <w:t xml:space="preserve">our mission </w:t>
      </w:r>
      <w:r w:rsidR="003132CB">
        <w:t xml:space="preserve">and </w:t>
      </w:r>
      <w:r w:rsidRPr="00295216">
        <w:t xml:space="preserve">purpose. These risks are </w:t>
      </w:r>
      <w:r>
        <w:t>interdependent</w:t>
      </w:r>
      <w:r w:rsidRPr="00295216">
        <w:t xml:space="preserve"> and cut across organisational boundaries. </w:t>
      </w:r>
      <w:r>
        <w:t xml:space="preserve">Our strategic risks </w:t>
      </w:r>
      <w:r w:rsidRPr="00295216">
        <w:t xml:space="preserve">and </w:t>
      </w:r>
      <w:r>
        <w:t>associated risk treatments are detailed below:</w:t>
      </w:r>
      <w:r w:rsidRPr="00295216">
        <w:t xml:space="preserve"> </w:t>
      </w:r>
    </w:p>
    <w:tbl>
      <w:tblPr>
        <w:tblStyle w:val="TableGrid101"/>
        <w:tblW w:w="5261" w:type="pct"/>
        <w:tblBorders>
          <w:left w:val="none" w:sz="0" w:space="0" w:color="auto"/>
          <w:right w:val="none" w:sz="0" w:space="0" w:color="auto"/>
          <w:insideV w:val="none" w:sz="0" w:space="0" w:color="auto"/>
        </w:tblBorders>
        <w:shd w:val="clear" w:color="auto" w:fill="FFFFFF"/>
        <w:tblLook w:val="0080" w:firstRow="0" w:lastRow="0" w:firstColumn="1" w:lastColumn="0" w:noHBand="0" w:noVBand="0"/>
        <w:tblCaption w:val="Risk rating and mitigations"/>
        <w:tblDescription w:val="This table shows the department's enterprise risks and mitigations.&#10;It has three columns and four rows that describe the enterprise risks and mitigations assoicated with each of our organisational boundaries, which include Delivery, People and Capability, Policy and Data, and Relationships and Influence. "/>
      </w:tblPr>
      <w:tblGrid>
        <w:gridCol w:w="1561"/>
        <w:gridCol w:w="2434"/>
        <w:gridCol w:w="5847"/>
      </w:tblGrid>
      <w:tr w:rsidR="00EE3AA1" w:rsidRPr="00295216" w14:paraId="7461C780" w14:textId="77777777" w:rsidTr="00027309">
        <w:trPr>
          <w:trHeight w:val="454"/>
          <w:tblHeader/>
        </w:trPr>
        <w:tc>
          <w:tcPr>
            <w:tcW w:w="763" w:type="pct"/>
            <w:shd w:val="clear" w:color="auto" w:fill="005667"/>
            <w:vAlign w:val="center"/>
          </w:tcPr>
          <w:p w14:paraId="1C152786" w14:textId="77777777" w:rsidR="00EE3AA1" w:rsidRPr="00205A3C" w:rsidRDefault="00EE3AA1" w:rsidP="005D5E61">
            <w:pPr>
              <w:pStyle w:val="TableH1"/>
              <w:rPr>
                <w:sz w:val="20"/>
                <w:szCs w:val="20"/>
              </w:rPr>
            </w:pPr>
            <w:r w:rsidRPr="00205A3C">
              <w:rPr>
                <w:sz w:val="20"/>
                <w:szCs w:val="20"/>
              </w:rPr>
              <w:t>Strategic Risk</w:t>
            </w:r>
          </w:p>
        </w:tc>
        <w:tc>
          <w:tcPr>
            <w:tcW w:w="1252" w:type="pct"/>
            <w:shd w:val="clear" w:color="auto" w:fill="005667"/>
            <w:vAlign w:val="center"/>
            <w:hideMark/>
          </w:tcPr>
          <w:p w14:paraId="729A0908" w14:textId="77777777" w:rsidR="00EE3AA1" w:rsidRPr="00205A3C" w:rsidRDefault="00EE3AA1" w:rsidP="005D5E61">
            <w:pPr>
              <w:pStyle w:val="TableH1"/>
              <w:rPr>
                <w:sz w:val="20"/>
                <w:szCs w:val="20"/>
              </w:rPr>
            </w:pPr>
            <w:r w:rsidRPr="00205A3C">
              <w:rPr>
                <w:sz w:val="20"/>
                <w:szCs w:val="20"/>
              </w:rPr>
              <w:t>Description</w:t>
            </w:r>
          </w:p>
        </w:tc>
        <w:tc>
          <w:tcPr>
            <w:tcW w:w="2985" w:type="pct"/>
            <w:shd w:val="clear" w:color="auto" w:fill="005667"/>
            <w:vAlign w:val="center"/>
          </w:tcPr>
          <w:p w14:paraId="1A597171" w14:textId="77777777" w:rsidR="00EE3AA1" w:rsidRPr="00205A3C" w:rsidRDefault="00EE3AA1" w:rsidP="005D5E61">
            <w:pPr>
              <w:pStyle w:val="TableH1"/>
              <w:rPr>
                <w:sz w:val="20"/>
                <w:szCs w:val="20"/>
              </w:rPr>
            </w:pPr>
            <w:r w:rsidRPr="00205A3C">
              <w:rPr>
                <w:sz w:val="20"/>
                <w:szCs w:val="20"/>
              </w:rPr>
              <w:t>risk MITIGATIONS</w:t>
            </w:r>
          </w:p>
        </w:tc>
      </w:tr>
      <w:tr w:rsidR="00EE3AA1" w:rsidRPr="00295216" w14:paraId="73E0DB73" w14:textId="77777777" w:rsidTr="00027309">
        <w:trPr>
          <w:trHeight w:val="648"/>
        </w:trPr>
        <w:tc>
          <w:tcPr>
            <w:tcW w:w="763" w:type="pct"/>
            <w:shd w:val="clear" w:color="auto" w:fill="D9D9D9" w:themeFill="background1" w:themeFillShade="D9"/>
          </w:tcPr>
          <w:p w14:paraId="662F7654" w14:textId="77777777" w:rsidR="00EE3AA1" w:rsidRPr="00027309" w:rsidRDefault="00EE3AA1" w:rsidP="006D0F33">
            <w:pPr>
              <w:pStyle w:val="TABLEH2"/>
              <w:rPr>
                <w:color w:val="005667"/>
                <w:sz w:val="20"/>
                <w:szCs w:val="20"/>
              </w:rPr>
            </w:pPr>
            <w:r w:rsidRPr="00027309">
              <w:rPr>
                <w:color w:val="005667"/>
                <w:sz w:val="20"/>
                <w:szCs w:val="20"/>
              </w:rPr>
              <w:t>Government Priorities</w:t>
            </w:r>
          </w:p>
        </w:tc>
        <w:tc>
          <w:tcPr>
            <w:tcW w:w="1252" w:type="pct"/>
            <w:shd w:val="clear" w:color="auto" w:fill="FFFFFF"/>
            <w:hideMark/>
          </w:tcPr>
          <w:p w14:paraId="45DB6608" w14:textId="77777777" w:rsidR="00EE3AA1" w:rsidRPr="006D0F33" w:rsidRDefault="00EE3AA1" w:rsidP="00772BDE">
            <w:pPr>
              <w:pStyle w:val="TABLEBullets"/>
              <w:numPr>
                <w:ilvl w:val="0"/>
                <w:numId w:val="0"/>
              </w:numPr>
              <w:rPr>
                <w:sz w:val="20"/>
                <w:szCs w:val="20"/>
                <w:bdr w:val="nil"/>
              </w:rPr>
            </w:pPr>
            <w:r w:rsidRPr="006D0F33">
              <w:rPr>
                <w:sz w:val="20"/>
                <w:szCs w:val="20"/>
                <w:bdr w:val="nil"/>
              </w:rPr>
              <w:t>There is a risk the department will not provide timely, quality policy advice addressing Government priorities.</w:t>
            </w:r>
          </w:p>
        </w:tc>
        <w:tc>
          <w:tcPr>
            <w:tcW w:w="2985" w:type="pct"/>
            <w:shd w:val="clear" w:color="auto" w:fill="FFFFFF"/>
          </w:tcPr>
          <w:p w14:paraId="0CE621DE" w14:textId="4B0500F2" w:rsidR="00EE3AA1" w:rsidRPr="006D0F33" w:rsidRDefault="00DF3752" w:rsidP="00B81E0C">
            <w:pPr>
              <w:pStyle w:val="TABLEBullets"/>
              <w:rPr>
                <w:sz w:val="20"/>
                <w:szCs w:val="20"/>
                <w:bdr w:val="nil"/>
              </w:rPr>
            </w:pPr>
            <w:r>
              <w:rPr>
                <w:sz w:val="20"/>
                <w:szCs w:val="20"/>
                <w:bdr w:val="nil"/>
              </w:rPr>
              <w:t>Deliver against our 4</w:t>
            </w:r>
            <w:r w:rsidR="00EE3AA1" w:rsidRPr="006D0F33">
              <w:rPr>
                <w:sz w:val="20"/>
                <w:szCs w:val="20"/>
                <w:bdr w:val="nil"/>
              </w:rPr>
              <w:t xml:space="preserve"> outcomes by continuing to implement government priorities in line with relevant legislation, frameworks and guidance.</w:t>
            </w:r>
          </w:p>
          <w:p w14:paraId="73ADF6C5" w14:textId="7C46E6D1" w:rsidR="00EE3AA1" w:rsidRPr="006D0F33" w:rsidRDefault="00EE3AA1" w:rsidP="00B81E0C">
            <w:pPr>
              <w:pStyle w:val="ListParagraph"/>
              <w:numPr>
                <w:ilvl w:val="0"/>
                <w:numId w:val="7"/>
              </w:numPr>
              <w:spacing w:after="120" w:line="240" w:lineRule="auto"/>
              <w:ind w:left="357" w:hanging="357"/>
              <w:contextualSpacing w:val="0"/>
              <w:rPr>
                <w:rFonts w:cs="Calibri"/>
                <w:sz w:val="20"/>
                <w:szCs w:val="20"/>
                <w:bdr w:val="nil"/>
              </w:rPr>
            </w:pPr>
            <w:r w:rsidRPr="006D0F33">
              <w:rPr>
                <w:rFonts w:cs="Calibri"/>
                <w:sz w:val="20"/>
                <w:szCs w:val="20"/>
                <w:bdr w:val="nil"/>
              </w:rPr>
              <w:t>Continue to work collaboratively with our key stakeholders to ensure that all views are considered and policy advice is timely, influential, a</w:t>
            </w:r>
            <w:r w:rsidR="00090A49">
              <w:rPr>
                <w:rFonts w:cs="Calibri"/>
                <w:sz w:val="20"/>
                <w:szCs w:val="20"/>
                <w:bdr w:val="nil"/>
              </w:rPr>
              <w:t xml:space="preserve">nd has a strong evidence base. </w:t>
            </w:r>
          </w:p>
        </w:tc>
      </w:tr>
      <w:tr w:rsidR="00EE3AA1" w:rsidRPr="00295216" w14:paraId="3FAECBF9" w14:textId="77777777" w:rsidTr="00027309">
        <w:trPr>
          <w:trHeight w:val="693"/>
        </w:trPr>
        <w:tc>
          <w:tcPr>
            <w:tcW w:w="763" w:type="pct"/>
            <w:shd w:val="clear" w:color="auto" w:fill="D9D9D9" w:themeFill="background1" w:themeFillShade="D9"/>
          </w:tcPr>
          <w:p w14:paraId="144FBC99" w14:textId="77777777" w:rsidR="00EE3AA1" w:rsidRPr="00027309" w:rsidRDefault="00EE3AA1" w:rsidP="006D0F33">
            <w:pPr>
              <w:pStyle w:val="TABLEH2"/>
              <w:rPr>
                <w:color w:val="005667"/>
                <w:sz w:val="20"/>
                <w:szCs w:val="20"/>
                <w:bdr w:val="nil"/>
              </w:rPr>
            </w:pPr>
            <w:r w:rsidRPr="00027309">
              <w:rPr>
                <w:color w:val="005667"/>
                <w:sz w:val="20"/>
                <w:szCs w:val="20"/>
                <w:bdr w:val="nil"/>
              </w:rPr>
              <w:t xml:space="preserve">Integrity </w:t>
            </w:r>
          </w:p>
        </w:tc>
        <w:tc>
          <w:tcPr>
            <w:tcW w:w="1252" w:type="pct"/>
            <w:shd w:val="clear" w:color="auto" w:fill="FFFFFF"/>
            <w:hideMark/>
          </w:tcPr>
          <w:p w14:paraId="5202E9C3" w14:textId="77777777" w:rsidR="00EE3AA1" w:rsidRPr="006D0F33" w:rsidRDefault="00EE3AA1" w:rsidP="005D5E61">
            <w:pPr>
              <w:pStyle w:val="TABLEBullets"/>
              <w:numPr>
                <w:ilvl w:val="0"/>
                <w:numId w:val="0"/>
              </w:numPr>
              <w:rPr>
                <w:sz w:val="20"/>
                <w:szCs w:val="20"/>
                <w:bdr w:val="nil"/>
              </w:rPr>
            </w:pPr>
            <w:r w:rsidRPr="006D0F33">
              <w:rPr>
                <w:sz w:val="20"/>
                <w:szCs w:val="20"/>
                <w:bdr w:val="nil"/>
              </w:rPr>
              <w:t>There is a risk to the department maintaining the highest standards of integrity, public service values and professionalism in the work we do.</w:t>
            </w:r>
          </w:p>
        </w:tc>
        <w:tc>
          <w:tcPr>
            <w:tcW w:w="2985" w:type="pct"/>
            <w:shd w:val="clear" w:color="auto" w:fill="FFFFFF"/>
          </w:tcPr>
          <w:p w14:paraId="54CEAFCF" w14:textId="77777777" w:rsidR="00EE3AA1" w:rsidRPr="006D0F33" w:rsidRDefault="00EE3AA1" w:rsidP="00B81E0C">
            <w:pPr>
              <w:pStyle w:val="TABLEBullets"/>
              <w:rPr>
                <w:sz w:val="20"/>
                <w:szCs w:val="20"/>
                <w:bdr w:val="nil"/>
              </w:rPr>
            </w:pPr>
            <w:r w:rsidRPr="006D0F33">
              <w:rPr>
                <w:sz w:val="20"/>
                <w:szCs w:val="20"/>
                <w:bdr w:val="nil"/>
              </w:rPr>
              <w:t>Design, develop and implement processes that meet the requirements of the National Anti-Corruption Commission including an Integrity Strategy, Framework and standing up an integrity team within the department.</w:t>
            </w:r>
          </w:p>
          <w:p w14:paraId="183B8D77" w14:textId="77777777" w:rsidR="00EE3AA1" w:rsidRPr="006D0F33" w:rsidRDefault="00EE3AA1" w:rsidP="00B81E0C">
            <w:pPr>
              <w:pStyle w:val="TABLEBullets"/>
              <w:rPr>
                <w:sz w:val="20"/>
                <w:szCs w:val="20"/>
                <w:bdr w:val="nil"/>
              </w:rPr>
            </w:pPr>
            <w:r w:rsidRPr="006D0F33">
              <w:rPr>
                <w:sz w:val="20"/>
                <w:szCs w:val="20"/>
                <w:bdr w:val="nil"/>
              </w:rPr>
              <w:t>Continue educating staff on their responsibilities for maintaining integrity through the delivery of mandatory training on APS values, code of conduct, fraud awareness, employment principles and expectations.</w:t>
            </w:r>
          </w:p>
        </w:tc>
      </w:tr>
      <w:tr w:rsidR="00EE3AA1" w:rsidRPr="00295216" w14:paraId="0CB141FA" w14:textId="77777777" w:rsidTr="00027309">
        <w:trPr>
          <w:trHeight w:val="560"/>
        </w:trPr>
        <w:tc>
          <w:tcPr>
            <w:tcW w:w="763" w:type="pct"/>
            <w:shd w:val="clear" w:color="auto" w:fill="D9D9D9" w:themeFill="background1" w:themeFillShade="D9"/>
          </w:tcPr>
          <w:p w14:paraId="2FD3DCB6" w14:textId="77777777" w:rsidR="00EE3AA1" w:rsidRPr="00027309" w:rsidRDefault="00EE3AA1" w:rsidP="006D0F33">
            <w:pPr>
              <w:pStyle w:val="TABLEH2"/>
              <w:rPr>
                <w:color w:val="005667"/>
                <w:sz w:val="20"/>
                <w:szCs w:val="20"/>
                <w:bdr w:val="nil"/>
              </w:rPr>
            </w:pPr>
            <w:r w:rsidRPr="00027309">
              <w:rPr>
                <w:color w:val="005667"/>
                <w:sz w:val="20"/>
                <w:szCs w:val="20"/>
                <w:bdr w:val="nil"/>
              </w:rPr>
              <w:t xml:space="preserve">Workforce Capability and Safety </w:t>
            </w:r>
          </w:p>
        </w:tc>
        <w:tc>
          <w:tcPr>
            <w:tcW w:w="1252" w:type="pct"/>
            <w:shd w:val="clear" w:color="auto" w:fill="FFFFFF"/>
            <w:hideMark/>
          </w:tcPr>
          <w:p w14:paraId="6DC6F001" w14:textId="77777777" w:rsidR="00EE3AA1" w:rsidRPr="006D0F33" w:rsidRDefault="00EE3AA1" w:rsidP="00090A49">
            <w:pPr>
              <w:pStyle w:val="TABLEBullets"/>
              <w:numPr>
                <w:ilvl w:val="0"/>
                <w:numId w:val="0"/>
              </w:numPr>
              <w:rPr>
                <w:sz w:val="20"/>
                <w:szCs w:val="20"/>
                <w:bdr w:val="nil"/>
              </w:rPr>
            </w:pPr>
            <w:r w:rsidRPr="006D0F33">
              <w:rPr>
                <w:sz w:val="20"/>
                <w:szCs w:val="20"/>
                <w:bdr w:val="nil"/>
              </w:rPr>
              <w:t>There is a risk to the department having the workforce capability needed, including managing the safety, wellbeing and development of staff.</w:t>
            </w:r>
          </w:p>
        </w:tc>
        <w:tc>
          <w:tcPr>
            <w:tcW w:w="2985" w:type="pct"/>
            <w:shd w:val="clear" w:color="auto" w:fill="FFFFFF"/>
          </w:tcPr>
          <w:p w14:paraId="03F257EB" w14:textId="77777777" w:rsidR="00EE3AA1" w:rsidRPr="006D0F33" w:rsidRDefault="00EE3AA1" w:rsidP="00B81E0C">
            <w:pPr>
              <w:pStyle w:val="TABLEBullets"/>
              <w:rPr>
                <w:sz w:val="20"/>
                <w:szCs w:val="20"/>
                <w:bdr w:val="nil"/>
              </w:rPr>
            </w:pPr>
            <w:r w:rsidRPr="006D0F33">
              <w:rPr>
                <w:sz w:val="20"/>
                <w:szCs w:val="20"/>
                <w:bdr w:val="nil"/>
              </w:rPr>
              <w:t>Implement and monitor the department’s Workforce Strategy that sets direction and priorities to support and develop our people.</w:t>
            </w:r>
          </w:p>
          <w:p w14:paraId="03238819" w14:textId="77777777" w:rsidR="00EE3AA1" w:rsidRPr="006D0F33" w:rsidRDefault="00EE3AA1" w:rsidP="00B81E0C">
            <w:pPr>
              <w:pStyle w:val="TABLEBullets"/>
              <w:rPr>
                <w:sz w:val="20"/>
                <w:szCs w:val="20"/>
                <w:bdr w:val="nil"/>
              </w:rPr>
            </w:pPr>
            <w:r w:rsidRPr="006D0F33">
              <w:rPr>
                <w:sz w:val="20"/>
                <w:szCs w:val="20"/>
                <w:bdr w:val="nil"/>
              </w:rPr>
              <w:t>Continue supporting health and wellbeing initiatives in the department by aligning resources such as the department’s Mental Health Forward Work Plan to the APS Mental Health Capability Framework.</w:t>
            </w:r>
          </w:p>
          <w:p w14:paraId="0528E3A1" w14:textId="77777777" w:rsidR="00EE3AA1" w:rsidRPr="006D0F33" w:rsidRDefault="00EE3AA1" w:rsidP="00B81E0C">
            <w:pPr>
              <w:pStyle w:val="TABLEBullets"/>
              <w:rPr>
                <w:sz w:val="20"/>
                <w:szCs w:val="20"/>
                <w:bdr w:val="nil"/>
              </w:rPr>
            </w:pPr>
            <w:r w:rsidRPr="006D0F33">
              <w:rPr>
                <w:sz w:val="20"/>
                <w:szCs w:val="20"/>
                <w:bdr w:val="nil"/>
              </w:rPr>
              <w:t xml:space="preserve">Mature diversity and inclusion efforts in the department through continued implementation of the Diversity and Inclusion Action Plan. </w:t>
            </w:r>
          </w:p>
        </w:tc>
      </w:tr>
      <w:tr w:rsidR="00EE3AA1" w:rsidRPr="00295216" w14:paraId="1D8B7A50" w14:textId="77777777" w:rsidTr="00027309">
        <w:trPr>
          <w:trHeight w:val="699"/>
        </w:trPr>
        <w:tc>
          <w:tcPr>
            <w:tcW w:w="763" w:type="pct"/>
            <w:shd w:val="clear" w:color="auto" w:fill="D9D9D9" w:themeFill="background1" w:themeFillShade="D9"/>
          </w:tcPr>
          <w:p w14:paraId="073CDDEB" w14:textId="77777777" w:rsidR="00EE3AA1" w:rsidRPr="00027309" w:rsidRDefault="00EE3AA1" w:rsidP="006D0F33">
            <w:pPr>
              <w:pStyle w:val="TABLEH2"/>
              <w:rPr>
                <w:color w:val="005667"/>
                <w:sz w:val="20"/>
                <w:szCs w:val="20"/>
                <w:bdr w:val="nil"/>
              </w:rPr>
            </w:pPr>
            <w:r w:rsidRPr="00027309">
              <w:rPr>
                <w:color w:val="005667"/>
                <w:sz w:val="20"/>
                <w:szCs w:val="20"/>
                <w:bdr w:val="nil"/>
              </w:rPr>
              <w:t xml:space="preserve">An Integrated Policy Cycle </w:t>
            </w:r>
          </w:p>
        </w:tc>
        <w:tc>
          <w:tcPr>
            <w:tcW w:w="1252" w:type="pct"/>
            <w:shd w:val="clear" w:color="auto" w:fill="FFFFFF"/>
            <w:hideMark/>
          </w:tcPr>
          <w:p w14:paraId="451A3D3E" w14:textId="77777777" w:rsidR="00EE3AA1" w:rsidRPr="006D0F33" w:rsidRDefault="00EE3AA1" w:rsidP="005D5E61">
            <w:pPr>
              <w:pStyle w:val="TABLEBullets"/>
              <w:numPr>
                <w:ilvl w:val="0"/>
                <w:numId w:val="0"/>
              </w:numPr>
              <w:rPr>
                <w:sz w:val="20"/>
                <w:szCs w:val="20"/>
                <w:bdr w:val="nil"/>
              </w:rPr>
            </w:pPr>
            <w:r w:rsidRPr="006D0F33">
              <w:rPr>
                <w:sz w:val="20"/>
                <w:szCs w:val="20"/>
                <w:bdr w:val="nil"/>
              </w:rPr>
              <w:t>There is a risk the delivery and implementation of the department’s policy and program solutions is not effective and suitably citizen-centric.</w:t>
            </w:r>
          </w:p>
        </w:tc>
        <w:tc>
          <w:tcPr>
            <w:tcW w:w="2985" w:type="pct"/>
            <w:shd w:val="clear" w:color="auto" w:fill="FFFFFF"/>
          </w:tcPr>
          <w:p w14:paraId="1AAC414B" w14:textId="77777777" w:rsidR="00EE3AA1" w:rsidRPr="006D0F33" w:rsidRDefault="00EE3AA1" w:rsidP="00B81E0C">
            <w:pPr>
              <w:pStyle w:val="TABLEBullets"/>
              <w:rPr>
                <w:sz w:val="20"/>
                <w:szCs w:val="20"/>
                <w:bdr w:val="nil"/>
              </w:rPr>
            </w:pPr>
            <w:r w:rsidRPr="006D0F33">
              <w:rPr>
                <w:sz w:val="20"/>
                <w:szCs w:val="20"/>
                <w:bdr w:val="nil"/>
              </w:rPr>
              <w:t>Continue working toward consistent and citizen-centric policy design and program management by implementing the Getting Better Outcomes approach and the Program Logic Model.</w:t>
            </w:r>
          </w:p>
          <w:p w14:paraId="5D519344" w14:textId="77777777" w:rsidR="00EE3AA1" w:rsidRPr="006D0F33" w:rsidRDefault="00EE3AA1" w:rsidP="00B81E0C">
            <w:pPr>
              <w:pStyle w:val="TABLEBullets"/>
              <w:rPr>
                <w:sz w:val="20"/>
                <w:szCs w:val="20"/>
                <w:bdr w:val="nil"/>
              </w:rPr>
            </w:pPr>
            <w:r w:rsidRPr="006D0F33">
              <w:rPr>
                <w:sz w:val="20"/>
                <w:szCs w:val="20"/>
                <w:bdr w:val="nil"/>
              </w:rPr>
              <w:t xml:space="preserve">Develop a centralised program management reporting mechanism with an escalation process to consistently track and report on progress of programs. </w:t>
            </w:r>
          </w:p>
        </w:tc>
      </w:tr>
      <w:tr w:rsidR="00EE3AA1" w:rsidRPr="00295216" w14:paraId="5C64E0E4" w14:textId="77777777" w:rsidTr="00027309">
        <w:trPr>
          <w:trHeight w:val="699"/>
        </w:trPr>
        <w:tc>
          <w:tcPr>
            <w:tcW w:w="763" w:type="pct"/>
            <w:shd w:val="clear" w:color="auto" w:fill="D9D9D9" w:themeFill="background1" w:themeFillShade="D9"/>
          </w:tcPr>
          <w:p w14:paraId="0AE0040A" w14:textId="77777777" w:rsidR="00EE3AA1" w:rsidRPr="00027309" w:rsidRDefault="00EE3AA1" w:rsidP="006D0F33">
            <w:pPr>
              <w:pStyle w:val="TABLEH2"/>
              <w:rPr>
                <w:color w:val="005667"/>
                <w:sz w:val="20"/>
                <w:szCs w:val="20"/>
                <w:bdr w:val="nil"/>
              </w:rPr>
            </w:pPr>
            <w:r w:rsidRPr="00027309">
              <w:rPr>
                <w:color w:val="005667"/>
                <w:sz w:val="20"/>
                <w:szCs w:val="20"/>
                <w:bdr w:val="nil"/>
              </w:rPr>
              <w:t>Partnerships with other Agencies and Organisations</w:t>
            </w:r>
          </w:p>
        </w:tc>
        <w:tc>
          <w:tcPr>
            <w:tcW w:w="1252" w:type="pct"/>
            <w:shd w:val="clear" w:color="auto" w:fill="FFFFFF"/>
          </w:tcPr>
          <w:p w14:paraId="4F07B738" w14:textId="77777777" w:rsidR="00EE3AA1" w:rsidRPr="006D0F33" w:rsidRDefault="00EE3AA1" w:rsidP="005D5E61">
            <w:pPr>
              <w:pStyle w:val="TABLEBullets"/>
              <w:numPr>
                <w:ilvl w:val="0"/>
                <w:numId w:val="0"/>
              </w:numPr>
              <w:rPr>
                <w:sz w:val="20"/>
                <w:szCs w:val="20"/>
                <w:bdr w:val="nil"/>
              </w:rPr>
            </w:pPr>
            <w:r w:rsidRPr="006D0F33">
              <w:rPr>
                <w:sz w:val="20"/>
                <w:szCs w:val="20"/>
                <w:bdr w:val="nil"/>
              </w:rPr>
              <w:t>There is a risk to ensuring the department’s partnerships with other agencies and organisations maximises the outcomes for the Australian community.</w:t>
            </w:r>
          </w:p>
        </w:tc>
        <w:tc>
          <w:tcPr>
            <w:tcW w:w="2985" w:type="pct"/>
            <w:shd w:val="clear" w:color="auto" w:fill="FFFFFF"/>
          </w:tcPr>
          <w:p w14:paraId="760CB309" w14:textId="1399747D" w:rsidR="00EE3AA1" w:rsidRPr="006D0F33" w:rsidRDefault="00EE3AA1" w:rsidP="00B81E0C">
            <w:pPr>
              <w:pStyle w:val="TABLEBullets"/>
              <w:rPr>
                <w:sz w:val="20"/>
                <w:szCs w:val="20"/>
                <w:bdr w:val="nil"/>
              </w:rPr>
            </w:pPr>
            <w:r w:rsidRPr="006D0F33">
              <w:rPr>
                <w:sz w:val="20"/>
                <w:szCs w:val="20"/>
                <w:bdr w:val="nil"/>
              </w:rPr>
              <w:t>The Stakeholder Engagement Policy and Framework are</w:t>
            </w:r>
            <w:r w:rsidR="00090A49">
              <w:rPr>
                <w:sz w:val="20"/>
                <w:szCs w:val="20"/>
                <w:bdr w:val="nil"/>
              </w:rPr>
              <w:t xml:space="preserve"> </w:t>
            </w:r>
            <w:r w:rsidRPr="006D0F33">
              <w:rPr>
                <w:sz w:val="20"/>
                <w:szCs w:val="20"/>
                <w:bdr w:val="nil"/>
              </w:rPr>
              <w:t>used consistently across the department to foster meaningful relationships with other agencies and organisations.</w:t>
            </w:r>
          </w:p>
          <w:p w14:paraId="603D5C59" w14:textId="77777777" w:rsidR="00EE3AA1" w:rsidRPr="006D0F33" w:rsidRDefault="00EE3AA1" w:rsidP="00B81E0C">
            <w:pPr>
              <w:pStyle w:val="TABLEBullets"/>
              <w:rPr>
                <w:sz w:val="20"/>
                <w:szCs w:val="20"/>
                <w:bdr w:val="nil"/>
              </w:rPr>
            </w:pPr>
            <w:r w:rsidRPr="006D0F33">
              <w:rPr>
                <w:sz w:val="20"/>
                <w:szCs w:val="20"/>
                <w:bdr w:val="nil"/>
              </w:rPr>
              <w:t>Continue to consult with key stakeholders on policy and program solutions to ensure that outcomes are maximised.</w:t>
            </w:r>
          </w:p>
          <w:p w14:paraId="2D0CBABE" w14:textId="77777777" w:rsidR="00EE3AA1" w:rsidRPr="006D0F33" w:rsidRDefault="00EE3AA1" w:rsidP="00B81E0C">
            <w:pPr>
              <w:pStyle w:val="TABLEBullets"/>
              <w:rPr>
                <w:sz w:val="20"/>
                <w:szCs w:val="20"/>
                <w:bdr w:val="nil"/>
              </w:rPr>
            </w:pPr>
            <w:r w:rsidRPr="006D0F33">
              <w:rPr>
                <w:sz w:val="20"/>
                <w:szCs w:val="20"/>
                <w:bdr w:val="nil"/>
              </w:rPr>
              <w:t>Contractual Agreements with our key stakeholders are in place and regularly monitored to meet our policy, program and service delivery responsibilities.</w:t>
            </w:r>
          </w:p>
        </w:tc>
      </w:tr>
      <w:tr w:rsidR="00EE3AA1" w:rsidRPr="00295216" w14:paraId="2CE04790" w14:textId="77777777" w:rsidTr="00027309">
        <w:trPr>
          <w:trHeight w:val="699"/>
        </w:trPr>
        <w:tc>
          <w:tcPr>
            <w:tcW w:w="763" w:type="pct"/>
            <w:shd w:val="clear" w:color="auto" w:fill="D9D9D9" w:themeFill="background1" w:themeFillShade="D9"/>
          </w:tcPr>
          <w:p w14:paraId="25146AD0" w14:textId="77777777" w:rsidR="00EE3AA1" w:rsidRPr="00027309" w:rsidRDefault="00EE3AA1" w:rsidP="006D0F33">
            <w:pPr>
              <w:pStyle w:val="TABLEH2"/>
              <w:rPr>
                <w:color w:val="005667"/>
                <w:sz w:val="20"/>
                <w:szCs w:val="20"/>
                <w:bdr w:val="nil"/>
              </w:rPr>
            </w:pPr>
            <w:r w:rsidRPr="00027309">
              <w:rPr>
                <w:color w:val="005667"/>
                <w:sz w:val="20"/>
                <w:szCs w:val="20"/>
                <w:bdr w:val="nil"/>
              </w:rPr>
              <w:t>Systems and Data Integrity</w:t>
            </w:r>
          </w:p>
        </w:tc>
        <w:tc>
          <w:tcPr>
            <w:tcW w:w="1252" w:type="pct"/>
            <w:shd w:val="clear" w:color="auto" w:fill="FFFFFF"/>
          </w:tcPr>
          <w:p w14:paraId="1B527B31" w14:textId="77777777" w:rsidR="00EE3AA1" w:rsidRPr="006D0F33" w:rsidRDefault="00EE3AA1" w:rsidP="005D5E61">
            <w:pPr>
              <w:pStyle w:val="TABLEBullets"/>
              <w:numPr>
                <w:ilvl w:val="0"/>
                <w:numId w:val="0"/>
              </w:numPr>
              <w:rPr>
                <w:sz w:val="20"/>
                <w:szCs w:val="20"/>
                <w:bdr w:val="nil"/>
              </w:rPr>
            </w:pPr>
            <w:r w:rsidRPr="006D0F33">
              <w:rPr>
                <w:sz w:val="20"/>
                <w:szCs w:val="20"/>
                <w:bdr w:val="nil"/>
              </w:rPr>
              <w:t>There is a risk to maintaining and protecting data held by the department and using data and information effectively to support our outcomes.</w:t>
            </w:r>
          </w:p>
        </w:tc>
        <w:tc>
          <w:tcPr>
            <w:tcW w:w="2985" w:type="pct"/>
            <w:shd w:val="clear" w:color="auto" w:fill="FFFFFF"/>
          </w:tcPr>
          <w:p w14:paraId="464CC12B" w14:textId="77777777" w:rsidR="00EE3AA1" w:rsidRPr="006D0F33" w:rsidRDefault="00EE3AA1" w:rsidP="00B81E0C">
            <w:pPr>
              <w:pStyle w:val="TABLEBullets"/>
              <w:rPr>
                <w:sz w:val="20"/>
                <w:szCs w:val="20"/>
                <w:bdr w:val="nil"/>
              </w:rPr>
            </w:pPr>
            <w:r w:rsidRPr="006D0F33">
              <w:rPr>
                <w:sz w:val="20"/>
                <w:szCs w:val="20"/>
                <w:bdr w:val="nil"/>
              </w:rPr>
              <w:t>Implement strategies within our 2022-24 Data Strategy and continue to refine our data governance resources to ensure strong governance processes are in place in relation to the quality, use, and sharing of our data.</w:t>
            </w:r>
          </w:p>
          <w:p w14:paraId="099B7B92" w14:textId="77777777" w:rsidR="00EE3AA1" w:rsidRPr="00433F10" w:rsidRDefault="00EE3AA1" w:rsidP="00B81E0C">
            <w:pPr>
              <w:pStyle w:val="TABLEBullets"/>
              <w:rPr>
                <w:sz w:val="20"/>
                <w:szCs w:val="20"/>
                <w:bdr w:val="nil"/>
              </w:rPr>
            </w:pPr>
            <w:r w:rsidRPr="00433F10">
              <w:rPr>
                <w:sz w:val="20"/>
                <w:szCs w:val="20"/>
                <w:bdr w:val="nil"/>
              </w:rPr>
              <w:t xml:space="preserve">Continue to ensure that Service Level Agreements are in place with our key stakeholders in relation to our IT systems and support for our data. We will also continue to review these on a regular basis. </w:t>
            </w:r>
          </w:p>
        </w:tc>
      </w:tr>
    </w:tbl>
    <w:p w14:paraId="332629A4" w14:textId="5FA3CC1D" w:rsidR="00EE3AA1" w:rsidRPr="004C5561" w:rsidRDefault="00EE3AA1" w:rsidP="00E81CDE">
      <w:pPr>
        <w:pStyle w:val="Heading2"/>
      </w:pPr>
      <w:bookmarkStart w:id="67" w:name="_Toc144385567"/>
      <w:r w:rsidRPr="004C5561">
        <w:t>Our risk governance</w:t>
      </w:r>
      <w:bookmarkEnd w:id="67"/>
      <w:r w:rsidRPr="004C5561">
        <w:t xml:space="preserve"> </w:t>
      </w:r>
    </w:p>
    <w:p w14:paraId="5A18599C" w14:textId="77777777" w:rsidR="00EE3AA1" w:rsidRPr="00CD3690" w:rsidRDefault="00EE3AA1" w:rsidP="00B81E0C">
      <w:pPr>
        <w:pStyle w:val="Normalmorespace"/>
        <w:rPr>
          <w:rFonts w:eastAsia="Calibri"/>
          <w:strike/>
        </w:rPr>
      </w:pPr>
      <w:r w:rsidRPr="00D74745">
        <w:rPr>
          <w:rFonts w:eastAsia="Calibri"/>
        </w:rPr>
        <w:t xml:space="preserve">Our Executive Management Group </w:t>
      </w:r>
      <w:r>
        <w:rPr>
          <w:rFonts w:eastAsia="Calibri"/>
        </w:rPr>
        <w:t xml:space="preserve">oversees the approach and effectiveness of the Risk Management Framework and makes decisions about strategic risks. The strategic risks are reviewed annually. </w:t>
      </w:r>
    </w:p>
    <w:p w14:paraId="73329820" w14:textId="23489FC7" w:rsidR="00EE3AA1" w:rsidRPr="00D74745" w:rsidRDefault="00EE3AA1" w:rsidP="00B81E0C">
      <w:pPr>
        <w:pStyle w:val="Normalmorespace"/>
        <w:rPr>
          <w:rFonts w:eastAsia="Calibri"/>
        </w:rPr>
      </w:pPr>
      <w:r w:rsidRPr="00D74745">
        <w:rPr>
          <w:rFonts w:eastAsia="Calibri"/>
        </w:rPr>
        <w:t>The Chief Risk Officer provides oversight of risk management culture and capabilities across the department</w:t>
      </w:r>
      <w:r>
        <w:rPr>
          <w:rFonts w:eastAsia="Calibri"/>
        </w:rPr>
        <w:t xml:space="preserve"> and is supported by 6 </w:t>
      </w:r>
      <w:r w:rsidRPr="00D74745">
        <w:rPr>
          <w:rFonts w:eastAsia="Calibri"/>
        </w:rPr>
        <w:t>risk stewards</w:t>
      </w:r>
      <w:r>
        <w:rPr>
          <w:rFonts w:eastAsia="Calibri"/>
        </w:rPr>
        <w:t xml:space="preserve"> who each </w:t>
      </w:r>
      <w:r w:rsidRPr="00D74745">
        <w:rPr>
          <w:rFonts w:eastAsia="Calibri"/>
        </w:rPr>
        <w:t xml:space="preserve">champion </w:t>
      </w:r>
      <w:r>
        <w:rPr>
          <w:rFonts w:eastAsia="Calibri"/>
        </w:rPr>
        <w:t>a strategic ri</w:t>
      </w:r>
      <w:r w:rsidR="00C32CDB">
        <w:rPr>
          <w:rFonts w:eastAsia="Calibri"/>
        </w:rPr>
        <w:t>sk. The Chief Risk Officer and Deputy S</w:t>
      </w:r>
      <w:r>
        <w:rPr>
          <w:rFonts w:eastAsia="Calibri"/>
        </w:rPr>
        <w:t>ecretaries regularly inform</w:t>
      </w:r>
      <w:r w:rsidRPr="00D74745">
        <w:rPr>
          <w:rFonts w:eastAsia="Calibri"/>
        </w:rPr>
        <w:t xml:space="preserve"> the Executive Management Group about emerging risks and</w:t>
      </w:r>
      <w:r>
        <w:rPr>
          <w:rFonts w:eastAsia="Calibri"/>
        </w:rPr>
        <w:t xml:space="preserve"> current</w:t>
      </w:r>
      <w:r w:rsidRPr="00D74745">
        <w:rPr>
          <w:rFonts w:eastAsia="Calibri"/>
        </w:rPr>
        <w:t xml:space="preserve"> issues.</w:t>
      </w:r>
      <w:r>
        <w:rPr>
          <w:rFonts w:eastAsia="Calibri"/>
        </w:rPr>
        <w:t xml:space="preserve">  </w:t>
      </w:r>
    </w:p>
    <w:p w14:paraId="7702F763" w14:textId="6C149890" w:rsidR="00EE3AA1" w:rsidRDefault="00EE3AA1" w:rsidP="00B81E0C">
      <w:pPr>
        <w:pStyle w:val="Normalmorespace"/>
        <w:rPr>
          <w:rFonts w:eastAsia="Calibri"/>
        </w:rPr>
      </w:pPr>
      <w:r w:rsidRPr="00D74745">
        <w:rPr>
          <w:rFonts w:eastAsia="Calibri"/>
        </w:rPr>
        <w:t>The Audit and Risk Committee provides independent assurance and advice to the Secretary, and Executive Management Group, on the design and operation of our department's risk, control and compliance framework</w:t>
      </w:r>
      <w:r>
        <w:rPr>
          <w:rFonts w:eastAsia="Calibri"/>
        </w:rPr>
        <w:t xml:space="preserve">, </w:t>
      </w:r>
      <w:r w:rsidRPr="00D74745">
        <w:rPr>
          <w:rFonts w:eastAsia="Calibri"/>
        </w:rPr>
        <w:t>including its external accountability responsibilities.</w:t>
      </w:r>
    </w:p>
    <w:p w14:paraId="6D2DB4C3" w14:textId="338945E0" w:rsidR="002D685D" w:rsidRDefault="002D685D">
      <w:pPr>
        <w:spacing w:before="0" w:after="200" w:line="276" w:lineRule="auto"/>
        <w:rPr>
          <w:rFonts w:eastAsia="Calibri"/>
          <w:color w:val="000000" w:themeColor="text1"/>
          <w:spacing w:val="0"/>
          <w:sz w:val="20"/>
          <w:szCs w:val="20"/>
        </w:rPr>
      </w:pPr>
      <w:r>
        <w:rPr>
          <w:rFonts w:eastAsia="Calibri"/>
        </w:rPr>
        <w:br w:type="page"/>
      </w:r>
    </w:p>
    <w:p w14:paraId="7263BF4C" w14:textId="77AECE14" w:rsidR="007713B1" w:rsidRPr="00E81CDE" w:rsidRDefault="00212EB9" w:rsidP="00E81CDE">
      <w:pPr>
        <w:pStyle w:val="Heading1"/>
        <w:rPr>
          <w:sz w:val="48"/>
          <w:szCs w:val="48"/>
        </w:rPr>
      </w:pPr>
      <w:bookmarkStart w:id="68" w:name="_Toc108514512"/>
      <w:bookmarkStart w:id="69" w:name="_Toc110007345"/>
      <w:bookmarkStart w:id="70" w:name="_Toc111026122"/>
      <w:bookmarkStart w:id="71" w:name="_Toc144385568"/>
      <w:bookmarkEnd w:id="9"/>
      <w:bookmarkEnd w:id="10"/>
      <w:bookmarkEnd w:id="14"/>
      <w:bookmarkEnd w:id="15"/>
      <w:r w:rsidRPr="00E81CDE">
        <w:rPr>
          <w:sz w:val="48"/>
          <w:szCs w:val="48"/>
        </w:rPr>
        <w:t>Our performance</w:t>
      </w:r>
      <w:bookmarkEnd w:id="68"/>
      <w:bookmarkEnd w:id="69"/>
      <w:bookmarkEnd w:id="70"/>
      <w:bookmarkEnd w:id="71"/>
    </w:p>
    <w:p w14:paraId="751CEE65" w14:textId="54B6583B" w:rsidR="007713B1" w:rsidRPr="00566A7A" w:rsidRDefault="007713B1" w:rsidP="00E81CDE">
      <w:pPr>
        <w:pStyle w:val="Heading2"/>
      </w:pPr>
      <w:bookmarkStart w:id="72" w:name="_Toc144385569"/>
      <w:r>
        <w:t>Key Activities</w:t>
      </w:r>
      <w:bookmarkEnd w:id="72"/>
    </w:p>
    <w:p w14:paraId="71F28782" w14:textId="77777777" w:rsidR="007713B1" w:rsidRPr="007713B1" w:rsidRDefault="007713B1" w:rsidP="00B81E0C">
      <w:pPr>
        <w:pStyle w:val="Normalmorespace"/>
      </w:pPr>
      <w:r w:rsidRPr="007713B1">
        <w:t xml:space="preserve">The department undertakes key activities that contribute to the achievement of our purpose. The key activities are a function of our funded programs that are outlined in the Portfolio Budget Statements and as such, the key activities are listed under each program in the performance section of this document.  </w:t>
      </w:r>
    </w:p>
    <w:p w14:paraId="004578F2" w14:textId="244C7B67" w:rsidR="007713B1" w:rsidRPr="007713B1" w:rsidRDefault="007713B1" w:rsidP="00B81E0C">
      <w:pPr>
        <w:pStyle w:val="Normalmorespace"/>
      </w:pPr>
      <w:r w:rsidRPr="007713B1">
        <w:t>Our policies and programs are the foundations through wh</w:t>
      </w:r>
      <w:r w:rsidR="00734890">
        <w:t>ich we achieve our purpose. The </w:t>
      </w:r>
      <w:r w:rsidRPr="007713B1">
        <w:t xml:space="preserve">performance measures in this Plan demonstrate the value and impact of our initiatives to improve the </w:t>
      </w:r>
      <w:r w:rsidR="00640524">
        <w:t xml:space="preserve">economic and social </w:t>
      </w:r>
      <w:r w:rsidRPr="007713B1">
        <w:t>wellbeing of individuals</w:t>
      </w:r>
      <w:r w:rsidR="00640524">
        <w:t>,</w:t>
      </w:r>
      <w:r w:rsidRPr="007713B1">
        <w:t xml:space="preserve"> families </w:t>
      </w:r>
      <w:r w:rsidR="00640524">
        <w:t xml:space="preserve">and vulnerable members </w:t>
      </w:r>
      <w:r w:rsidRPr="007713B1">
        <w:t>in Australian communities.</w:t>
      </w:r>
    </w:p>
    <w:p w14:paraId="44B43D19" w14:textId="286473E7" w:rsidR="008D3751" w:rsidRPr="007713B1" w:rsidRDefault="007713B1" w:rsidP="00B81E0C">
      <w:pPr>
        <w:pStyle w:val="Normalmorespace"/>
      </w:pPr>
      <w:r w:rsidRPr="007713B1">
        <w:t>Throughout this chapter</w:t>
      </w:r>
      <w:r w:rsidR="00FA0FED">
        <w:t>,</w:t>
      </w:r>
      <w:r w:rsidRPr="007713B1">
        <w:t xml:space="preserve"> the key activity descriptions explain the department’s role in designing and implementing policy settings, such as eligibility and qualification criteria, and delivering and managing programs.</w:t>
      </w:r>
    </w:p>
    <w:p w14:paraId="493CBACB" w14:textId="0ECB95FB" w:rsidR="007713B1" w:rsidRPr="007713B1" w:rsidRDefault="007713B1" w:rsidP="00B81E0C">
      <w:pPr>
        <w:pStyle w:val="Normalmorespace"/>
      </w:pPr>
      <w:r w:rsidRPr="007713B1">
        <w:t>A diagram to map the department’s purposes, outcomes and activities is provided below.</w:t>
      </w:r>
      <w:r w:rsidR="00FA0FED">
        <w:t xml:space="preserve"> </w:t>
      </w:r>
      <w:r w:rsidR="00FA0FED">
        <w:br/>
      </w:r>
    </w:p>
    <w:p w14:paraId="489EF532" w14:textId="77777777" w:rsidR="0041090B" w:rsidRDefault="008D3751" w:rsidP="002D685D">
      <w:pPr>
        <w:pStyle w:val="Normalmorespace"/>
        <w:jc w:val="both"/>
        <w:rPr>
          <w:rFonts w:ascii="Georgia" w:eastAsiaTheme="majorEastAsia" w:hAnsi="Georgia" w:cstheme="majorBidi"/>
          <w:bCs/>
          <w:color w:val="005A70"/>
          <w:sz w:val="32"/>
          <w:szCs w:val="26"/>
        </w:rPr>
      </w:pPr>
      <w:r w:rsidRPr="008D3751">
        <w:rPr>
          <w:noProof/>
        </w:rPr>
        <w:drawing>
          <wp:inline distT="0" distB="0" distL="0" distR="0" wp14:anchorId="3718E917" wp14:editId="1F6A971E">
            <wp:extent cx="5939790" cy="5375910"/>
            <wp:effectExtent l="0" t="0" r="3810" b="0"/>
            <wp:docPr id="678" name="Picture 678" descr="The diagram is a visual representation of the departmental outcomes broken down into streams:&#10;outcome 1 - Social security includign family assistance, support  for seniors, support for disability, financial support for carers, working age payments, student payments and rent assistance&#10;outcome 2 - Families and Communities&#10;outcome 3 - Disability and Carers, NDIS&#10;outcome 4 - Housing, homelessness and affordable housing" title="Our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39790" cy="5375910"/>
                    </a:xfrm>
                    <a:prstGeom prst="rect">
                      <a:avLst/>
                    </a:prstGeom>
                  </pic:spPr>
                </pic:pic>
              </a:graphicData>
            </a:graphic>
          </wp:inline>
        </w:drawing>
      </w:r>
    </w:p>
    <w:p w14:paraId="5DA85650" w14:textId="14D6C1F8" w:rsidR="00F4721F" w:rsidRPr="0041090B" w:rsidRDefault="00F4721F" w:rsidP="0051305F">
      <w:pPr>
        <w:pStyle w:val="Normalmorespace"/>
        <w:rPr>
          <w:rFonts w:eastAsiaTheme="majorEastAsia" w:cs="Arial"/>
          <w:bCs/>
          <w:color w:val="005A70"/>
          <w:sz w:val="15"/>
          <w:szCs w:val="15"/>
        </w:rPr>
      </w:pPr>
      <w:r w:rsidRPr="0041090B">
        <w:rPr>
          <w:rFonts w:eastAsiaTheme="majorEastAsia" w:cs="Arial"/>
          <w:bCs/>
          <w:color w:val="005A70"/>
          <w:sz w:val="15"/>
          <w:szCs w:val="15"/>
        </w:rPr>
        <w:br w:type="page"/>
      </w:r>
    </w:p>
    <w:p w14:paraId="1E0428FC" w14:textId="77777777" w:rsidR="007713B1" w:rsidRDefault="007713B1" w:rsidP="00E81CDE">
      <w:pPr>
        <w:pStyle w:val="Heading2"/>
      </w:pPr>
      <w:bookmarkStart w:id="73" w:name="_Toc144385570"/>
      <w:r w:rsidRPr="00252173">
        <w:t xml:space="preserve">Performance </w:t>
      </w:r>
      <w:r>
        <w:t xml:space="preserve">and Reporting </w:t>
      </w:r>
      <w:r w:rsidRPr="00252173">
        <w:t>Framework</w:t>
      </w:r>
      <w:bookmarkEnd w:id="73"/>
    </w:p>
    <w:p w14:paraId="20A510EF" w14:textId="77777777" w:rsidR="007713B1" w:rsidRPr="007713B1" w:rsidRDefault="007713B1" w:rsidP="00B81E0C">
      <w:pPr>
        <w:pStyle w:val="Normalmorespace"/>
      </w:pPr>
      <w:r w:rsidRPr="007713B1">
        <w:t xml:space="preserve">The department’s framework for assessing performance links success criteria to key activities, which gives effect to our policy and program objectives. Our performance is measured through how key activities contribute to the delivery of programs and overall achievement of our purpose. We ensure our programs are outcome focused and oriented towards government priorities. </w:t>
      </w:r>
    </w:p>
    <w:p w14:paraId="77875BF1" w14:textId="4CDB5F67" w:rsidR="007713B1" w:rsidRDefault="007713B1" w:rsidP="00B81E0C">
      <w:pPr>
        <w:pStyle w:val="Normalmorespace"/>
      </w:pPr>
      <w:r w:rsidRPr="007713B1">
        <w:t>Our approach to planning and performance is outlined in the diagram below.</w:t>
      </w:r>
    </w:p>
    <w:p w14:paraId="16E7DD58" w14:textId="5D9CCE00" w:rsidR="00F4721F" w:rsidRPr="007713B1" w:rsidRDefault="00AB1756" w:rsidP="007713B1">
      <w:pPr>
        <w:suppressAutoHyphens/>
        <w:spacing w:after="120"/>
        <w:rPr>
          <w:sz w:val="20"/>
          <w:szCs w:val="20"/>
          <w:lang w:eastAsia="en-GB"/>
        </w:rPr>
      </w:pPr>
      <w:r>
        <w:rPr>
          <w:noProof/>
        </w:rPr>
        <w:drawing>
          <wp:anchor distT="0" distB="0" distL="114300" distR="114300" simplePos="0" relativeHeight="251672627" behindDoc="1" locked="0" layoutInCell="1" allowOverlap="1" wp14:anchorId="5C64C486" wp14:editId="75B9BE8F">
            <wp:simplePos x="0" y="0"/>
            <wp:positionH relativeFrom="margin">
              <wp:align>left</wp:align>
            </wp:positionH>
            <wp:positionV relativeFrom="paragraph">
              <wp:posOffset>102427</wp:posOffset>
            </wp:positionV>
            <wp:extent cx="5210175" cy="4303907"/>
            <wp:effectExtent l="0" t="0" r="0" b="1905"/>
            <wp:wrapTight wrapText="bothSides">
              <wp:wrapPolygon edited="0">
                <wp:start x="0" y="0"/>
                <wp:lineTo x="0" y="21514"/>
                <wp:lineTo x="21482" y="21514"/>
                <wp:lineTo x="21482" y="0"/>
                <wp:lineTo x="0" y="0"/>
              </wp:wrapPolygon>
            </wp:wrapTight>
            <wp:docPr id="41" name="Picture 41" descr="This diagram is a visual representation of the DSS Performance framework structured as follows:&#10;Outcomes: we achieve our purpose through the pursuit of outcomes&#10;Programs: our programs are orientated towards outcome objectives&#10;Key activities: we undertake key activities to deliver on our programs&#10;Performance: We measure the performance of our key activities contributing to our purpose." title="DSS Performance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210175" cy="4303907"/>
                    </a:xfrm>
                    <a:prstGeom prst="rect">
                      <a:avLst/>
                    </a:prstGeom>
                  </pic:spPr>
                </pic:pic>
              </a:graphicData>
            </a:graphic>
            <wp14:sizeRelH relativeFrom="page">
              <wp14:pctWidth>0</wp14:pctWidth>
            </wp14:sizeRelH>
            <wp14:sizeRelV relativeFrom="page">
              <wp14:pctHeight>0</wp14:pctHeight>
            </wp14:sizeRelV>
          </wp:anchor>
        </w:drawing>
      </w:r>
    </w:p>
    <w:p w14:paraId="1EDF1275" w14:textId="368669FD" w:rsidR="007713B1" w:rsidRDefault="007713B1" w:rsidP="00AB1756">
      <w:pPr>
        <w:pStyle w:val="Normalmorespace"/>
        <w:rPr>
          <w:noProof/>
          <w:sz w:val="22"/>
        </w:rPr>
      </w:pPr>
      <w:r w:rsidRPr="00E270C1" w:rsidDel="00BC2312">
        <w:rPr>
          <w:noProof/>
          <w:sz w:val="22"/>
        </w:rPr>
        <w:t xml:space="preserve"> </w:t>
      </w:r>
    </w:p>
    <w:p w14:paraId="6ED3C72D" w14:textId="77777777" w:rsidR="007713B1" w:rsidRDefault="007713B1" w:rsidP="007713B1">
      <w:pPr>
        <w:pStyle w:val="Normalmorespace"/>
        <w:jc w:val="center"/>
      </w:pPr>
    </w:p>
    <w:p w14:paraId="469E7D3D" w14:textId="77777777" w:rsidR="00AB1756" w:rsidRDefault="00AB1756" w:rsidP="002D685D">
      <w:pPr>
        <w:pStyle w:val="Normalmorespace"/>
        <w:jc w:val="both"/>
      </w:pPr>
    </w:p>
    <w:p w14:paraId="78C7882C" w14:textId="77777777" w:rsidR="00AB1756" w:rsidRDefault="00AB1756" w:rsidP="002D685D">
      <w:pPr>
        <w:pStyle w:val="Normalmorespace"/>
        <w:jc w:val="both"/>
      </w:pPr>
    </w:p>
    <w:p w14:paraId="50DBB4E7" w14:textId="77777777" w:rsidR="00AB1756" w:rsidRDefault="00AB1756" w:rsidP="002D685D">
      <w:pPr>
        <w:pStyle w:val="Normalmorespace"/>
        <w:jc w:val="both"/>
      </w:pPr>
    </w:p>
    <w:p w14:paraId="27C277EE" w14:textId="77777777" w:rsidR="00AB1756" w:rsidRDefault="00AB1756" w:rsidP="002D685D">
      <w:pPr>
        <w:pStyle w:val="Normalmorespace"/>
        <w:jc w:val="both"/>
      </w:pPr>
    </w:p>
    <w:p w14:paraId="23080B52" w14:textId="77777777" w:rsidR="00AB1756" w:rsidRDefault="00AB1756" w:rsidP="002D685D">
      <w:pPr>
        <w:pStyle w:val="Normalmorespace"/>
        <w:jc w:val="both"/>
      </w:pPr>
    </w:p>
    <w:p w14:paraId="18F91AE0" w14:textId="77777777" w:rsidR="00AB1756" w:rsidRDefault="00AB1756" w:rsidP="002D685D">
      <w:pPr>
        <w:pStyle w:val="Normalmorespace"/>
        <w:jc w:val="both"/>
      </w:pPr>
    </w:p>
    <w:p w14:paraId="5FF4B7E6" w14:textId="77777777" w:rsidR="00AB1756" w:rsidRDefault="00AB1756" w:rsidP="002D685D">
      <w:pPr>
        <w:pStyle w:val="Normalmorespace"/>
        <w:jc w:val="both"/>
      </w:pPr>
    </w:p>
    <w:p w14:paraId="420E8121" w14:textId="77777777" w:rsidR="00AB1756" w:rsidRDefault="00AB1756" w:rsidP="002D685D">
      <w:pPr>
        <w:pStyle w:val="Normalmorespace"/>
        <w:jc w:val="both"/>
      </w:pPr>
    </w:p>
    <w:p w14:paraId="507FD73A" w14:textId="77777777" w:rsidR="00AB1756" w:rsidRDefault="00AB1756" w:rsidP="002D685D">
      <w:pPr>
        <w:pStyle w:val="Normalmorespace"/>
        <w:jc w:val="both"/>
      </w:pPr>
    </w:p>
    <w:p w14:paraId="5F6E7ABD" w14:textId="77777777" w:rsidR="00AB1756" w:rsidRDefault="00AB1756" w:rsidP="002D685D">
      <w:pPr>
        <w:pStyle w:val="Normalmorespace"/>
        <w:jc w:val="both"/>
      </w:pPr>
    </w:p>
    <w:p w14:paraId="4EA7CD4E" w14:textId="77777777" w:rsidR="00AB1756" w:rsidRDefault="00AB1756" w:rsidP="002D685D">
      <w:pPr>
        <w:pStyle w:val="Normalmorespace"/>
        <w:jc w:val="both"/>
      </w:pPr>
    </w:p>
    <w:p w14:paraId="52F8C500" w14:textId="77777777" w:rsidR="00AB1756" w:rsidRDefault="00AB1756" w:rsidP="002D685D">
      <w:pPr>
        <w:pStyle w:val="Normalmorespace"/>
        <w:jc w:val="both"/>
      </w:pPr>
    </w:p>
    <w:p w14:paraId="24D8DCA8" w14:textId="77777777" w:rsidR="00AB1756" w:rsidRDefault="00AB1756" w:rsidP="002D685D">
      <w:pPr>
        <w:pStyle w:val="Normalmorespace"/>
        <w:jc w:val="both"/>
      </w:pPr>
    </w:p>
    <w:p w14:paraId="69058D4A" w14:textId="77777777" w:rsidR="00AB1756" w:rsidRDefault="00AB1756" w:rsidP="002D685D">
      <w:pPr>
        <w:pStyle w:val="Normalmorespace"/>
        <w:jc w:val="both"/>
      </w:pPr>
    </w:p>
    <w:p w14:paraId="7EAEE284" w14:textId="77777777" w:rsidR="00AB1756" w:rsidRDefault="00AB1756" w:rsidP="002D685D">
      <w:pPr>
        <w:pStyle w:val="Normalmorespace"/>
        <w:jc w:val="both"/>
      </w:pPr>
    </w:p>
    <w:p w14:paraId="54FDCA46" w14:textId="77777777" w:rsidR="00AB1756" w:rsidRDefault="00AB1756" w:rsidP="002D685D">
      <w:pPr>
        <w:pStyle w:val="Normalmorespace"/>
        <w:jc w:val="both"/>
      </w:pPr>
    </w:p>
    <w:p w14:paraId="54397F3B" w14:textId="77777777" w:rsidR="00AB1756" w:rsidRDefault="00AB1756" w:rsidP="002D685D">
      <w:pPr>
        <w:pStyle w:val="Normalmorespace"/>
        <w:jc w:val="both"/>
      </w:pPr>
    </w:p>
    <w:p w14:paraId="4D8CFDC9" w14:textId="1540062C" w:rsidR="007713B1" w:rsidRPr="007713B1" w:rsidRDefault="007713B1" w:rsidP="00B81E0C">
      <w:pPr>
        <w:pStyle w:val="Normalmorespace"/>
      </w:pPr>
      <w:r w:rsidRPr="007713B1">
        <w:t xml:space="preserve">The department’s key activities are delivered in partnership with a range of third parties including portfolio agencies, for-profit and not-for-profit organisations. The majority of the data used to report our performance is sourced from our third-party delivery partners. The department aims for better practice approaches to ensure third-party data is reliable, verifiable, and supported by proportionate assurance processes. However, in practice some third-party data may have limitations. In the interest of transparency, we disclose any limitations associated with the data and methodology used to assess our performance. </w:t>
      </w:r>
    </w:p>
    <w:p w14:paraId="34F0EC59" w14:textId="77777777" w:rsidR="007713B1" w:rsidRPr="007713B1" w:rsidRDefault="007713B1" w:rsidP="00B81E0C">
      <w:pPr>
        <w:pStyle w:val="Normalmorespace"/>
      </w:pPr>
      <w:r w:rsidRPr="007713B1">
        <w:t xml:space="preserve">Within our operating context, there are external factors beyond the department’s control that can impact our performance. Performance measures that may be impacted by external factors are identified in this chapter using the diamond symbol (♦). </w:t>
      </w:r>
    </w:p>
    <w:p w14:paraId="19A7F47E" w14:textId="1B6BD96E" w:rsidR="007713B1" w:rsidRPr="007713B1" w:rsidRDefault="007713B1" w:rsidP="00B81E0C">
      <w:pPr>
        <w:pStyle w:val="Normalmorespace"/>
      </w:pPr>
      <w:r w:rsidRPr="007713B1">
        <w:t>In the pursuit of continuous improvement, we regularly revi</w:t>
      </w:r>
      <w:r w:rsidR="00734890">
        <w:t>ew our performance framework to </w:t>
      </w:r>
      <w:r w:rsidRPr="007713B1">
        <w:t xml:space="preserve">ensure our key activities and corresponding performance measures are relevant, up-to-date and aligned with government priorities. </w:t>
      </w:r>
    </w:p>
    <w:p w14:paraId="5B5B374D" w14:textId="3B7AD7ED" w:rsidR="007713B1" w:rsidRPr="007713B1" w:rsidRDefault="007713B1" w:rsidP="00B81E0C">
      <w:pPr>
        <w:pStyle w:val="Normalmorespace"/>
      </w:pPr>
      <w:r w:rsidRPr="007713B1">
        <w:t xml:space="preserve">The assessment of performance measures outlined in this Corporate Plan will be published in the </w:t>
      </w:r>
      <w:r w:rsidR="002B64F4">
        <w:br/>
      </w:r>
      <w:r w:rsidRPr="007713B1">
        <w:t>2023–24 Annual Report.</w:t>
      </w:r>
    </w:p>
    <w:p w14:paraId="55656149" w14:textId="77777777" w:rsidR="007713B1" w:rsidRPr="00566A7A" w:rsidRDefault="007713B1" w:rsidP="00E81CDE">
      <w:pPr>
        <w:pStyle w:val="Heading2"/>
      </w:pPr>
      <w:bookmarkStart w:id="74" w:name="_Toc144385571"/>
      <w:r>
        <w:t>Categorising Data Sources</w:t>
      </w:r>
      <w:bookmarkEnd w:id="74"/>
    </w:p>
    <w:p w14:paraId="2D51FEF8" w14:textId="1B5DC480" w:rsidR="007713B1" w:rsidRDefault="007713B1" w:rsidP="00B81E0C">
      <w:pPr>
        <w:pStyle w:val="Normalmorespace"/>
      </w:pPr>
      <w:r w:rsidRPr="007713B1">
        <w:rPr>
          <w:lang w:eastAsia="en-GB"/>
        </w:rPr>
        <w:t>The PGPA Rule requires that performance measures should use sources of information and methodologies that are reliable and verifiable, this includes appropriate assurances and co</w:t>
      </w:r>
      <w:r w:rsidR="00734890">
        <w:rPr>
          <w:lang w:eastAsia="en-GB"/>
        </w:rPr>
        <w:t>ntrols of </w:t>
      </w:r>
      <w:r w:rsidRPr="007713B1">
        <w:rPr>
          <w:lang w:eastAsia="en-GB"/>
        </w:rPr>
        <w:t xml:space="preserve">data. </w:t>
      </w:r>
      <w:r w:rsidRPr="007713B1">
        <w:t>Reliable and verifiable data is key to supporting advice to better inform government decisions which the department is working towards. P</w:t>
      </w:r>
      <w:r w:rsidRPr="007713B1">
        <w:rPr>
          <w:color w:val="000000"/>
        </w:rPr>
        <w:t xml:space="preserve">erformance statements will include categorisations of data that underpin the department’s performance measures.  Three data categorisations are identified as follows: </w:t>
      </w:r>
      <w:r w:rsidRPr="007713B1">
        <w:t> </w:t>
      </w:r>
    </w:p>
    <w:p w14:paraId="77482076" w14:textId="77777777" w:rsidR="003A4CDE" w:rsidRPr="007713B1" w:rsidRDefault="003A4CDE" w:rsidP="002D685D">
      <w:pPr>
        <w:pStyle w:val="Normalmorespace"/>
        <w:jc w:val="both"/>
        <w:rPr>
          <w:rFonts w:cs="Arial"/>
          <w:color w:val="000000"/>
        </w:rPr>
      </w:pPr>
    </w:p>
    <w:tbl>
      <w:tblPr>
        <w:tblStyle w:val="TableGrid"/>
        <w:tblW w:w="0" w:type="auto"/>
        <w:tblLook w:val="04A0" w:firstRow="1" w:lastRow="0" w:firstColumn="1" w:lastColumn="0" w:noHBand="0" w:noVBand="1"/>
        <w:tblCaption w:val="A table detailing the different data sources used in this report"/>
        <w:tblDescription w:val="PS: Primary Source, generated from within the department  SS: Secondary (Government) source, data sourced from another Commonwealth or state and territory entity. TS: Other third-party source, Contracted business or service provider"/>
      </w:tblPr>
      <w:tblGrid>
        <w:gridCol w:w="1271"/>
        <w:gridCol w:w="3260"/>
        <w:gridCol w:w="4485"/>
      </w:tblGrid>
      <w:tr w:rsidR="007713B1" w14:paraId="74641B7A" w14:textId="77777777" w:rsidTr="00CD76E2">
        <w:trPr>
          <w:tblHeader/>
        </w:trPr>
        <w:tc>
          <w:tcPr>
            <w:tcW w:w="1271" w:type="dxa"/>
            <w:shd w:val="clear" w:color="auto" w:fill="005A70"/>
            <w:vAlign w:val="center"/>
          </w:tcPr>
          <w:p w14:paraId="3DAF3494" w14:textId="77777777" w:rsidR="007713B1" w:rsidRPr="00F24CAC" w:rsidRDefault="007713B1" w:rsidP="007713B1">
            <w:pPr>
              <w:suppressAutoHyphens/>
              <w:spacing w:after="120"/>
              <w:rPr>
                <w:b/>
                <w:color w:val="FFFFFF" w:themeColor="background1"/>
              </w:rPr>
            </w:pPr>
            <w:r>
              <w:rPr>
                <w:b/>
                <w:color w:val="FFFFFF" w:themeColor="background1"/>
              </w:rPr>
              <w:t>APS Symbol</w:t>
            </w:r>
          </w:p>
        </w:tc>
        <w:tc>
          <w:tcPr>
            <w:tcW w:w="3260" w:type="dxa"/>
            <w:shd w:val="clear" w:color="auto" w:fill="005A70"/>
            <w:vAlign w:val="center"/>
          </w:tcPr>
          <w:p w14:paraId="0580EC5C" w14:textId="77777777" w:rsidR="007713B1" w:rsidRPr="00F24CAC" w:rsidRDefault="007713B1" w:rsidP="007713B1">
            <w:pPr>
              <w:suppressAutoHyphens/>
              <w:spacing w:after="120"/>
              <w:rPr>
                <w:b/>
                <w:color w:val="FFFFFF" w:themeColor="background1"/>
              </w:rPr>
            </w:pPr>
            <w:r>
              <w:rPr>
                <w:b/>
                <w:color w:val="FFFFFF" w:themeColor="background1"/>
              </w:rPr>
              <w:t>Data Source</w:t>
            </w:r>
          </w:p>
        </w:tc>
        <w:tc>
          <w:tcPr>
            <w:tcW w:w="4485" w:type="dxa"/>
            <w:shd w:val="clear" w:color="auto" w:fill="005A70"/>
            <w:vAlign w:val="center"/>
          </w:tcPr>
          <w:p w14:paraId="3DF829B0" w14:textId="77777777" w:rsidR="007713B1" w:rsidRPr="00F24CAC" w:rsidRDefault="007713B1" w:rsidP="007713B1">
            <w:pPr>
              <w:suppressAutoHyphens/>
              <w:spacing w:after="120"/>
              <w:rPr>
                <w:b/>
                <w:color w:val="FFFFFF" w:themeColor="background1"/>
              </w:rPr>
            </w:pPr>
            <w:r>
              <w:rPr>
                <w:b/>
                <w:color w:val="FFFFFF" w:themeColor="background1"/>
              </w:rPr>
              <w:t>Definition</w:t>
            </w:r>
          </w:p>
        </w:tc>
      </w:tr>
      <w:tr w:rsidR="006A2989" w14:paraId="0BBB4FB6" w14:textId="77777777" w:rsidTr="006C2BF0">
        <w:trPr>
          <w:trHeight w:val="892"/>
        </w:trPr>
        <w:tc>
          <w:tcPr>
            <w:tcW w:w="1271" w:type="dxa"/>
          </w:tcPr>
          <w:p w14:paraId="3F7F0FA8" w14:textId="14BD508A" w:rsidR="006A2989" w:rsidRDefault="006A2989" w:rsidP="006A2989">
            <w:pPr>
              <w:suppressAutoHyphens/>
              <w:spacing w:after="120"/>
              <w:jc w:val="center"/>
              <w:rPr>
                <w:color w:val="000000" w:themeColor="text1"/>
              </w:rPr>
            </w:pPr>
            <w:r>
              <w:rPr>
                <w:noProof/>
                <w:color w:val="000000" w:themeColor="text1"/>
              </w:rPr>
              <mc:AlternateContent>
                <mc:Choice Requires="wps">
                  <w:drawing>
                    <wp:anchor distT="0" distB="0" distL="114300" distR="114300" simplePos="0" relativeHeight="251658283" behindDoc="0" locked="0" layoutInCell="1" allowOverlap="1" wp14:anchorId="3DC773EF" wp14:editId="34024622">
                      <wp:simplePos x="0" y="0"/>
                      <wp:positionH relativeFrom="column">
                        <wp:posOffset>89101</wp:posOffset>
                      </wp:positionH>
                      <wp:positionV relativeFrom="paragraph">
                        <wp:posOffset>155668</wp:posOffset>
                      </wp:positionV>
                      <wp:extent cx="446049" cy="329042"/>
                      <wp:effectExtent l="0" t="0" r="11430" b="13970"/>
                      <wp:wrapNone/>
                      <wp:docPr id="7" name="Rounded Rectangle 7"/>
                      <wp:cNvGraphicFramePr/>
                      <a:graphic xmlns:a="http://schemas.openxmlformats.org/drawingml/2006/main">
                        <a:graphicData uri="http://schemas.microsoft.com/office/word/2010/wordprocessingShape">
                          <wps:wsp>
                            <wps:cNvSpPr/>
                            <wps:spPr>
                              <a:xfrm>
                                <a:off x="0" y="0"/>
                                <a:ext cx="446049" cy="3290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E30EC9" w14:textId="77777777" w:rsidR="00027309" w:rsidRPr="00F24CAC" w:rsidRDefault="00027309" w:rsidP="00090A49">
                                  <w:pPr>
                                    <w:shd w:val="clear" w:color="auto" w:fill="005A70" w:themeFill="accent4"/>
                                    <w:spacing w:before="0" w:after="0" w:line="240" w:lineRule="auto"/>
                                    <w:jc w:val="center"/>
                                    <w:rPr>
                                      <w:color w:val="FFFFFF" w:themeColor="background1"/>
                                      <w:sz w:val="36"/>
                                    </w:rPr>
                                  </w:pPr>
                                  <w:r w:rsidRPr="00F24CAC">
                                    <w:rPr>
                                      <w:color w:val="FFFFFF" w:themeColor="background1"/>
                                      <w:sz w:val="14"/>
                                    </w:rPr>
                                    <w:t>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C773EF" id="Rounded Rectangle 7" o:spid="_x0000_s1026" style="position:absolute;left:0;text-align:left;margin-left:7pt;margin-top:12.25pt;width:35.1pt;height:25.9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" fillcolor="#005a70 [3204]" strokecolor="#002c37 [1604]" strokeweight=".73403mm">
                      <v:textbox>
                        <w:txbxContent>
                          <w:p w14:paraId="46E30EC9" w14:textId="77777777" w:rsidR="00027309" w:rsidRPr="00F24CAC" w:rsidRDefault="00027309" w:rsidP="00090A49">
                            <w:pPr>
                              <w:shd w:val="clear" w:color="auto" w:fill="005A70" w:themeFill="accent4"/>
                              <w:spacing w:before="0" w:after="0" w:line="240" w:lineRule="auto"/>
                              <w:jc w:val="center"/>
                              <w:rPr>
                                <w:color w:val="FFFFFF" w:themeColor="background1"/>
                                <w:sz w:val="36"/>
                              </w:rPr>
                            </w:pPr>
                            <w:r w:rsidRPr="00F24CAC">
                              <w:rPr>
                                <w:color w:val="FFFFFF" w:themeColor="background1"/>
                                <w:sz w:val="14"/>
                              </w:rPr>
                              <w:t>PS</w:t>
                            </w:r>
                          </w:p>
                        </w:txbxContent>
                      </v:textbox>
                    </v:roundrect>
                  </w:pict>
                </mc:Fallback>
              </mc:AlternateContent>
            </w:r>
          </w:p>
        </w:tc>
        <w:tc>
          <w:tcPr>
            <w:tcW w:w="3260" w:type="dxa"/>
            <w:vAlign w:val="center"/>
          </w:tcPr>
          <w:p w14:paraId="08886F16" w14:textId="77777777" w:rsidR="006A2989" w:rsidRPr="00746189" w:rsidRDefault="006A2989" w:rsidP="006A2989">
            <w:pPr>
              <w:suppressAutoHyphens/>
              <w:spacing w:before="240" w:after="240"/>
              <w:rPr>
                <w:sz w:val="20"/>
                <w:szCs w:val="20"/>
                <w:lang w:eastAsia="en-GB"/>
              </w:rPr>
            </w:pPr>
            <w:r w:rsidRPr="00746189">
              <w:rPr>
                <w:sz w:val="20"/>
                <w:szCs w:val="20"/>
                <w:lang w:eastAsia="en-GB"/>
              </w:rPr>
              <w:t>Primary source</w:t>
            </w:r>
          </w:p>
        </w:tc>
        <w:tc>
          <w:tcPr>
            <w:tcW w:w="4485" w:type="dxa"/>
            <w:vAlign w:val="center"/>
          </w:tcPr>
          <w:p w14:paraId="751A444E" w14:textId="77777777" w:rsidR="006A2989" w:rsidRPr="00746189" w:rsidRDefault="006A2989" w:rsidP="006A2989">
            <w:pPr>
              <w:suppressAutoHyphens/>
              <w:spacing w:before="240" w:after="240"/>
              <w:rPr>
                <w:sz w:val="20"/>
                <w:szCs w:val="20"/>
                <w:lang w:eastAsia="en-GB"/>
              </w:rPr>
            </w:pPr>
            <w:r w:rsidRPr="00746189">
              <w:rPr>
                <w:sz w:val="20"/>
                <w:szCs w:val="20"/>
                <w:lang w:eastAsia="en-GB"/>
              </w:rPr>
              <w:t>Generated from within the department</w:t>
            </w:r>
          </w:p>
        </w:tc>
      </w:tr>
      <w:tr w:rsidR="006A2989" w14:paraId="30A758FC" w14:textId="77777777" w:rsidTr="007713B1">
        <w:tc>
          <w:tcPr>
            <w:tcW w:w="1271" w:type="dxa"/>
          </w:tcPr>
          <w:p w14:paraId="2BEDB7D5" w14:textId="3DD7E77F" w:rsidR="006A2989" w:rsidRDefault="006A2989" w:rsidP="006A2989">
            <w:pPr>
              <w:suppressAutoHyphens/>
              <w:spacing w:after="120"/>
              <w:jc w:val="center"/>
              <w:rPr>
                <w:color w:val="000000" w:themeColor="text1"/>
              </w:rPr>
            </w:pPr>
            <w:r>
              <w:rPr>
                <w:noProof/>
                <w:color w:val="000000" w:themeColor="text1"/>
              </w:rPr>
              <mc:AlternateContent>
                <mc:Choice Requires="wps">
                  <w:drawing>
                    <wp:anchor distT="0" distB="0" distL="114300" distR="114300" simplePos="0" relativeHeight="251658284" behindDoc="0" locked="0" layoutInCell="1" allowOverlap="1" wp14:anchorId="1ED8CC87" wp14:editId="36D54C6F">
                      <wp:simplePos x="0" y="0"/>
                      <wp:positionH relativeFrom="column">
                        <wp:posOffset>89535</wp:posOffset>
                      </wp:positionH>
                      <wp:positionV relativeFrom="paragraph">
                        <wp:posOffset>88404</wp:posOffset>
                      </wp:positionV>
                      <wp:extent cx="446400" cy="327600"/>
                      <wp:effectExtent l="0" t="0" r="11430" b="15875"/>
                      <wp:wrapNone/>
                      <wp:docPr id="5" name="Rounded Rectangle 5"/>
                      <wp:cNvGraphicFramePr/>
                      <a:graphic xmlns:a="http://schemas.openxmlformats.org/drawingml/2006/main">
                        <a:graphicData uri="http://schemas.microsoft.com/office/word/2010/wordprocessingShape">
                          <wps:wsp>
                            <wps:cNvSpPr/>
                            <wps:spPr>
                              <a:xfrm>
                                <a:off x="0" y="0"/>
                                <a:ext cx="446400" cy="327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37BEF8" w14:textId="77777777" w:rsidR="00027309" w:rsidRPr="00F24CAC" w:rsidRDefault="00027309" w:rsidP="00090A49">
                                  <w:pPr>
                                    <w:spacing w:before="0" w:after="0" w:line="240" w:lineRule="auto"/>
                                    <w:jc w:val="center"/>
                                    <w:rPr>
                                      <w:color w:val="FFFFFF" w:themeColor="background1"/>
                                      <w:sz w:val="36"/>
                                    </w:rPr>
                                  </w:pPr>
                                  <w:r>
                                    <w:rPr>
                                      <w:color w:val="FFFFFF" w:themeColor="background1"/>
                                      <w:sz w:val="14"/>
                                    </w:rPr>
                                    <w:t>S</w:t>
                                  </w:r>
                                  <w:r w:rsidRPr="00F24CAC">
                                    <w:rPr>
                                      <w:color w:val="FFFFFF" w:themeColor="background1"/>
                                      <w:sz w:val="1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D8CC87" id="Rounded Rectangle 5" o:spid="_x0000_s1027" style="position:absolute;left:0;text-align:left;margin-left:7.05pt;margin-top:6.95pt;width:35.15pt;height:25.8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" fillcolor="#005a70 [3204]" strokecolor="#002c37 [1604]" strokeweight=".73403mm">
                      <v:textbox>
                        <w:txbxContent>
                          <w:p w14:paraId="4037BEF8" w14:textId="77777777" w:rsidR="00027309" w:rsidRPr="00F24CAC" w:rsidRDefault="00027309" w:rsidP="00090A49">
                            <w:pPr>
                              <w:spacing w:before="0" w:after="0" w:line="240" w:lineRule="auto"/>
                              <w:jc w:val="center"/>
                              <w:rPr>
                                <w:color w:val="FFFFFF" w:themeColor="background1"/>
                                <w:sz w:val="36"/>
                              </w:rPr>
                            </w:pPr>
                            <w:r>
                              <w:rPr>
                                <w:color w:val="FFFFFF" w:themeColor="background1"/>
                                <w:sz w:val="14"/>
                              </w:rPr>
                              <w:t>S</w:t>
                            </w:r>
                            <w:r w:rsidRPr="00F24CAC">
                              <w:rPr>
                                <w:color w:val="FFFFFF" w:themeColor="background1"/>
                                <w:sz w:val="14"/>
                              </w:rPr>
                              <w:t>S</w:t>
                            </w:r>
                          </w:p>
                        </w:txbxContent>
                      </v:textbox>
                    </v:roundrect>
                  </w:pict>
                </mc:Fallback>
              </mc:AlternateContent>
            </w:r>
          </w:p>
        </w:tc>
        <w:tc>
          <w:tcPr>
            <w:tcW w:w="3260" w:type="dxa"/>
            <w:vAlign w:val="center"/>
          </w:tcPr>
          <w:p w14:paraId="59B2417E" w14:textId="77777777" w:rsidR="006A2989" w:rsidRPr="00746189" w:rsidRDefault="006A2989" w:rsidP="00746189">
            <w:pPr>
              <w:suppressAutoHyphens/>
              <w:spacing w:before="240" w:after="240"/>
              <w:rPr>
                <w:sz w:val="20"/>
                <w:szCs w:val="20"/>
                <w:lang w:eastAsia="en-GB"/>
              </w:rPr>
            </w:pPr>
            <w:r w:rsidRPr="00746189">
              <w:rPr>
                <w:sz w:val="20"/>
                <w:szCs w:val="20"/>
                <w:lang w:eastAsia="en-GB"/>
              </w:rPr>
              <w:t>Secondary (Government) source</w:t>
            </w:r>
          </w:p>
        </w:tc>
        <w:tc>
          <w:tcPr>
            <w:tcW w:w="4485" w:type="dxa"/>
            <w:vAlign w:val="center"/>
          </w:tcPr>
          <w:p w14:paraId="268753D2" w14:textId="77777777" w:rsidR="006A2989" w:rsidRPr="00746189" w:rsidRDefault="006A2989" w:rsidP="003A4CDE">
            <w:pPr>
              <w:suppressAutoHyphens/>
              <w:spacing w:after="120"/>
              <w:rPr>
                <w:sz w:val="20"/>
                <w:szCs w:val="20"/>
                <w:lang w:eastAsia="en-GB"/>
              </w:rPr>
            </w:pPr>
            <w:r w:rsidRPr="00746189">
              <w:rPr>
                <w:sz w:val="20"/>
                <w:szCs w:val="20"/>
                <w:lang w:eastAsia="en-GB"/>
              </w:rPr>
              <w:t>Data sourced from another Commonwealth or state and territory entity</w:t>
            </w:r>
          </w:p>
        </w:tc>
      </w:tr>
      <w:tr w:rsidR="006A2989" w14:paraId="6BE19056" w14:textId="77777777" w:rsidTr="007713B1">
        <w:tc>
          <w:tcPr>
            <w:tcW w:w="1271" w:type="dxa"/>
          </w:tcPr>
          <w:p w14:paraId="1F0D9025" w14:textId="6E4A1074" w:rsidR="006A2989" w:rsidRDefault="006A2989" w:rsidP="006A2989">
            <w:pPr>
              <w:suppressAutoHyphens/>
              <w:spacing w:after="120"/>
              <w:jc w:val="center"/>
              <w:rPr>
                <w:color w:val="000000" w:themeColor="text1"/>
              </w:rPr>
            </w:pPr>
            <w:r>
              <w:rPr>
                <w:noProof/>
                <w:color w:val="000000" w:themeColor="text1"/>
              </w:rPr>
              <mc:AlternateContent>
                <mc:Choice Requires="wps">
                  <w:drawing>
                    <wp:anchor distT="0" distB="0" distL="114300" distR="114300" simplePos="0" relativeHeight="251658285" behindDoc="0" locked="0" layoutInCell="1" allowOverlap="1" wp14:anchorId="2A6628E7" wp14:editId="27F49E01">
                      <wp:simplePos x="0" y="0"/>
                      <wp:positionH relativeFrom="column">
                        <wp:posOffset>82550</wp:posOffset>
                      </wp:positionH>
                      <wp:positionV relativeFrom="paragraph">
                        <wp:posOffset>67945</wp:posOffset>
                      </wp:positionV>
                      <wp:extent cx="446400" cy="327600"/>
                      <wp:effectExtent l="0" t="0" r="11430" b="15875"/>
                      <wp:wrapNone/>
                      <wp:docPr id="6" name="Rounded Rectangle 6"/>
                      <wp:cNvGraphicFramePr/>
                      <a:graphic xmlns:a="http://schemas.openxmlformats.org/drawingml/2006/main">
                        <a:graphicData uri="http://schemas.microsoft.com/office/word/2010/wordprocessingShape">
                          <wps:wsp>
                            <wps:cNvSpPr/>
                            <wps:spPr>
                              <a:xfrm>
                                <a:off x="0" y="0"/>
                                <a:ext cx="446400" cy="327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4193D1" w14:textId="77777777" w:rsidR="00027309" w:rsidRPr="00F24CAC" w:rsidRDefault="00027309" w:rsidP="00090A49">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6628E7" id="Rounded Rectangle 6" o:spid="_x0000_s1028" style="position:absolute;left:0;text-align:left;margin-left:6.5pt;margin-top:5.35pt;width:35.15pt;height:25.8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" fillcolor="#005a70 [3204]" strokecolor="#002c37 [1604]" strokeweight=".73403mm">
                      <v:textbox>
                        <w:txbxContent>
                          <w:p w14:paraId="584193D1" w14:textId="77777777" w:rsidR="00027309" w:rsidRPr="00F24CAC" w:rsidRDefault="00027309" w:rsidP="00090A49">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v:textbox>
                    </v:roundrect>
                  </w:pict>
                </mc:Fallback>
              </mc:AlternateContent>
            </w:r>
          </w:p>
        </w:tc>
        <w:tc>
          <w:tcPr>
            <w:tcW w:w="3260" w:type="dxa"/>
            <w:vAlign w:val="center"/>
          </w:tcPr>
          <w:p w14:paraId="665F91B0" w14:textId="77777777" w:rsidR="006A2989" w:rsidRPr="00746189" w:rsidRDefault="006A2989" w:rsidP="006A2989">
            <w:pPr>
              <w:suppressAutoHyphens/>
              <w:spacing w:before="240" w:after="240"/>
              <w:rPr>
                <w:sz w:val="20"/>
                <w:szCs w:val="20"/>
                <w:lang w:eastAsia="en-GB"/>
              </w:rPr>
            </w:pPr>
            <w:r w:rsidRPr="00746189">
              <w:rPr>
                <w:sz w:val="20"/>
                <w:szCs w:val="20"/>
                <w:lang w:eastAsia="en-GB"/>
              </w:rPr>
              <w:t>Other third-party source</w:t>
            </w:r>
          </w:p>
        </w:tc>
        <w:tc>
          <w:tcPr>
            <w:tcW w:w="4485" w:type="dxa"/>
            <w:vAlign w:val="center"/>
          </w:tcPr>
          <w:p w14:paraId="7B64FA41" w14:textId="77777777" w:rsidR="006A2989" w:rsidRPr="00746189" w:rsidRDefault="006A2989" w:rsidP="006A2989">
            <w:pPr>
              <w:suppressAutoHyphens/>
              <w:spacing w:before="240" w:after="240"/>
              <w:rPr>
                <w:sz w:val="20"/>
                <w:szCs w:val="20"/>
                <w:lang w:eastAsia="en-GB"/>
              </w:rPr>
            </w:pPr>
            <w:r w:rsidRPr="00746189">
              <w:rPr>
                <w:sz w:val="20"/>
                <w:szCs w:val="20"/>
                <w:lang w:eastAsia="en-GB"/>
              </w:rPr>
              <w:t>Contracted business or service provider</w:t>
            </w:r>
          </w:p>
        </w:tc>
      </w:tr>
    </w:tbl>
    <w:p w14:paraId="476B35D8" w14:textId="02744D57" w:rsidR="002B64F4" w:rsidRDefault="002B64F4" w:rsidP="007713B1">
      <w:pPr>
        <w:suppressAutoHyphens/>
        <w:spacing w:after="120" w:line="240" w:lineRule="auto"/>
        <w:jc w:val="both"/>
        <w:rPr>
          <w:color w:val="000000" w:themeColor="text1"/>
          <w:szCs w:val="20"/>
        </w:rPr>
      </w:pPr>
    </w:p>
    <w:p w14:paraId="42C7C25F" w14:textId="77777777" w:rsidR="002B64F4" w:rsidRDefault="002B64F4">
      <w:pPr>
        <w:spacing w:before="0" w:after="200" w:line="276" w:lineRule="auto"/>
        <w:rPr>
          <w:color w:val="000000" w:themeColor="text1"/>
          <w:szCs w:val="20"/>
        </w:rPr>
      </w:pPr>
      <w:r>
        <w:rPr>
          <w:color w:val="000000" w:themeColor="text1"/>
          <w:szCs w:val="20"/>
        </w:rPr>
        <w:br w:type="page"/>
      </w:r>
    </w:p>
    <w:p w14:paraId="76FD6A05" w14:textId="77777777" w:rsidR="007713B1" w:rsidRPr="00E81CDE" w:rsidRDefault="007713B1" w:rsidP="00E81CDE">
      <w:pPr>
        <w:pStyle w:val="Heading1"/>
        <w:rPr>
          <w:sz w:val="48"/>
          <w:szCs w:val="48"/>
        </w:rPr>
      </w:pPr>
      <w:bookmarkStart w:id="75" w:name="_Toc77593299"/>
      <w:bookmarkStart w:id="76" w:name="_Toc111026123"/>
      <w:bookmarkStart w:id="77" w:name="_Toc144385572"/>
      <w:r w:rsidRPr="00E81CDE">
        <w:rPr>
          <w:sz w:val="48"/>
          <w:szCs w:val="48"/>
        </w:rPr>
        <w:t>Outcome 1: Social Security</w:t>
      </w:r>
      <w:bookmarkEnd w:id="75"/>
      <w:bookmarkEnd w:id="76"/>
      <w:bookmarkEnd w:id="77"/>
    </w:p>
    <w:p w14:paraId="72D937C0" w14:textId="77777777" w:rsidR="007713B1" w:rsidRPr="006E262C" w:rsidRDefault="007713B1" w:rsidP="00A47213">
      <w:pPr>
        <w:pStyle w:val="Heading2"/>
        <w:rPr>
          <w:b/>
        </w:rPr>
      </w:pPr>
      <w:bookmarkStart w:id="78" w:name="_Toc77593301"/>
      <w:bookmarkStart w:id="79" w:name="_Toc111026124"/>
      <w:bookmarkStart w:id="80" w:name="_Toc144385573"/>
      <w:r w:rsidRPr="006E262C">
        <w:t xml:space="preserve">Programs and </w:t>
      </w:r>
      <w:r w:rsidRPr="00A47213">
        <w:t>activities</w:t>
      </w:r>
      <w:bookmarkEnd w:id="78"/>
      <w:bookmarkEnd w:id="79"/>
      <w:bookmarkEnd w:id="80"/>
      <w:r w:rsidRPr="006E262C">
        <w:t xml:space="preserve"> </w:t>
      </w:r>
    </w:p>
    <w:p w14:paraId="123CBD5C" w14:textId="77777777" w:rsidR="007713B1" w:rsidRPr="00D229C5" w:rsidRDefault="007713B1" w:rsidP="00B81E0C">
      <w:pPr>
        <w:pStyle w:val="Normalmorespace"/>
      </w:pPr>
      <w:r w:rsidRPr="00D229C5">
        <w:t xml:space="preserve">Outcome 1 comprises of 7 programs and a number of activities, all of which contribute to achieving the social security outcome. </w:t>
      </w:r>
    </w:p>
    <w:p w14:paraId="3F392898" w14:textId="77777777" w:rsidR="007713B1" w:rsidRPr="00D229C5" w:rsidRDefault="007713B1" w:rsidP="00B81E0C">
      <w:pPr>
        <w:pStyle w:val="Normalmorespace"/>
      </w:pPr>
      <w:r w:rsidRPr="00D229C5">
        <w:t>An in-depth description of each of the activities, performance measures, targets, rationale, methodology and outputs are in the Performance Tables Section on the pages that follow.</w:t>
      </w:r>
    </w:p>
    <w:p w14:paraId="0ED73593" w14:textId="77777777" w:rsidR="007713B1" w:rsidRPr="003A4CDE" w:rsidRDefault="007713B1" w:rsidP="007A03BF">
      <w:pPr>
        <w:pStyle w:val="Heading3"/>
      </w:pPr>
      <w:r w:rsidRPr="003A4CDE">
        <w:t>Outcome 1 – Social Security</w:t>
      </w:r>
    </w:p>
    <w:p w14:paraId="712F0085" w14:textId="77777777" w:rsidR="007713B1" w:rsidRPr="003A4CDE" w:rsidRDefault="007713B1" w:rsidP="007713B1">
      <w:pPr>
        <w:shd w:val="clear" w:color="auto" w:fill="005A70"/>
        <w:spacing w:after="120"/>
        <w:rPr>
          <w:rFonts w:cs="Arial"/>
          <w:color w:val="FFFFFF" w:themeColor="background1"/>
          <w:sz w:val="22"/>
          <w:bdr w:val="nil"/>
        </w:rPr>
      </w:pPr>
      <w:r w:rsidRPr="003A4CDE">
        <w:rPr>
          <w:rFonts w:cs="Arial"/>
          <w:color w:val="FFFFFF" w:themeColor="background1"/>
          <w:sz w:val="22"/>
          <w:bdr w:val="nil"/>
        </w:rPr>
        <w:t>A sustainable social security system that incentivises self-reliance and supports people who cannot fully support themselves by providing targeted payments and assistance.</w:t>
      </w:r>
    </w:p>
    <w:tbl>
      <w:tblPr>
        <w:tblStyle w:val="TableGrid"/>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Caption w:val="Outcome 1 - Social Security"/>
        <w:tblDescription w:val="Program 1.1 Family assistance&#10;Program 1.2 Support for Seniors&#10;Program 1.3 Financial Support for People with Disability&#10;Program 1.4 Financial Support for Carers&#10;Program 1.5 Working Age Payments&#10;Program 1.6 Student Payments"/>
      </w:tblPr>
      <w:tblGrid>
        <w:gridCol w:w="2333"/>
        <w:gridCol w:w="778"/>
        <w:gridCol w:w="1555"/>
        <w:gridCol w:w="1557"/>
        <w:gridCol w:w="777"/>
        <w:gridCol w:w="2334"/>
      </w:tblGrid>
      <w:tr w:rsidR="007713B1" w:rsidRPr="00D229C5" w14:paraId="5CFBFACB" w14:textId="77777777" w:rsidTr="00027309">
        <w:trPr>
          <w:tblHeader/>
        </w:trPr>
        <w:tc>
          <w:tcPr>
            <w:tcW w:w="1667" w:type="pct"/>
            <w:gridSpan w:val="2"/>
            <w:shd w:val="clear" w:color="auto" w:fill="005A70"/>
          </w:tcPr>
          <w:p w14:paraId="3333F065" w14:textId="77777777" w:rsidR="007713B1" w:rsidRPr="00D229C5" w:rsidRDefault="007713B1" w:rsidP="007713B1">
            <w:pPr>
              <w:spacing w:after="120"/>
              <w:jc w:val="center"/>
              <w:rPr>
                <w:b/>
                <w:color w:val="FFFFFF" w:themeColor="background1"/>
                <w:sz w:val="20"/>
              </w:rPr>
            </w:pPr>
            <w:r w:rsidRPr="00D229C5">
              <w:rPr>
                <w:b/>
                <w:color w:val="FFFFFF" w:themeColor="background1"/>
                <w:sz w:val="20"/>
              </w:rPr>
              <w:t>Program 1.1</w:t>
            </w:r>
          </w:p>
          <w:p w14:paraId="6A9A12C1" w14:textId="77777777" w:rsidR="007713B1" w:rsidRPr="00D229C5" w:rsidRDefault="007713B1" w:rsidP="007713B1">
            <w:pPr>
              <w:spacing w:after="120"/>
              <w:jc w:val="center"/>
              <w:rPr>
                <w:b/>
                <w:color w:val="FFFFFF" w:themeColor="background1"/>
                <w:sz w:val="20"/>
              </w:rPr>
            </w:pPr>
            <w:r w:rsidRPr="00D229C5">
              <w:rPr>
                <w:b/>
                <w:color w:val="FFFFFF" w:themeColor="background1"/>
                <w:sz w:val="20"/>
                <w:szCs w:val="22"/>
              </w:rPr>
              <w:t>Support for Families</w:t>
            </w:r>
          </w:p>
        </w:tc>
        <w:tc>
          <w:tcPr>
            <w:tcW w:w="1667" w:type="pct"/>
            <w:gridSpan w:val="2"/>
            <w:shd w:val="clear" w:color="auto" w:fill="005A70"/>
          </w:tcPr>
          <w:p w14:paraId="33CE5B91" w14:textId="77777777" w:rsidR="007713B1" w:rsidRPr="00D229C5" w:rsidRDefault="007713B1" w:rsidP="007713B1">
            <w:pPr>
              <w:spacing w:after="120"/>
              <w:jc w:val="center"/>
              <w:rPr>
                <w:b/>
                <w:color w:val="FFFFFF" w:themeColor="background1"/>
                <w:sz w:val="20"/>
              </w:rPr>
            </w:pPr>
            <w:r w:rsidRPr="00D229C5">
              <w:rPr>
                <w:b/>
                <w:color w:val="FFFFFF" w:themeColor="background1"/>
                <w:sz w:val="20"/>
              </w:rPr>
              <w:t xml:space="preserve">Program 1.2 </w:t>
            </w:r>
          </w:p>
          <w:p w14:paraId="0E9BA145" w14:textId="77777777" w:rsidR="007713B1" w:rsidRPr="00D229C5" w:rsidRDefault="007713B1" w:rsidP="007713B1">
            <w:pPr>
              <w:spacing w:after="120"/>
              <w:jc w:val="center"/>
              <w:rPr>
                <w:b/>
                <w:color w:val="FFFFFF" w:themeColor="background1"/>
                <w:sz w:val="20"/>
              </w:rPr>
            </w:pPr>
            <w:r w:rsidRPr="00D229C5">
              <w:rPr>
                <w:b/>
                <w:color w:val="FFFFFF" w:themeColor="background1"/>
                <w:sz w:val="20"/>
              </w:rPr>
              <w:t>Paid Parental Leave</w:t>
            </w:r>
          </w:p>
        </w:tc>
        <w:tc>
          <w:tcPr>
            <w:tcW w:w="1667" w:type="pct"/>
            <w:gridSpan w:val="2"/>
            <w:shd w:val="clear" w:color="auto" w:fill="005A70"/>
          </w:tcPr>
          <w:p w14:paraId="03869482" w14:textId="77777777" w:rsidR="007713B1" w:rsidRPr="00D229C5" w:rsidRDefault="007713B1" w:rsidP="007713B1">
            <w:pPr>
              <w:spacing w:after="120"/>
              <w:jc w:val="center"/>
              <w:rPr>
                <w:b/>
                <w:color w:val="FFFFFF" w:themeColor="background1"/>
                <w:sz w:val="20"/>
              </w:rPr>
            </w:pPr>
            <w:r w:rsidRPr="00D229C5">
              <w:rPr>
                <w:b/>
                <w:color w:val="FFFFFF" w:themeColor="background1"/>
                <w:sz w:val="20"/>
              </w:rPr>
              <w:t>Program 1.3</w:t>
            </w:r>
            <w:r w:rsidRPr="00D229C5">
              <w:rPr>
                <w:b/>
                <w:color w:val="FFFFFF" w:themeColor="background1"/>
                <w:sz w:val="20"/>
              </w:rPr>
              <w:br/>
              <w:t>Support for Seniors</w:t>
            </w:r>
          </w:p>
        </w:tc>
      </w:tr>
      <w:tr w:rsidR="007713B1" w:rsidRPr="00D229C5" w14:paraId="56B4F9E9" w14:textId="77777777" w:rsidTr="00027309">
        <w:trPr>
          <w:trHeight w:val="50"/>
        </w:trPr>
        <w:tc>
          <w:tcPr>
            <w:tcW w:w="1667" w:type="pct"/>
            <w:gridSpan w:val="2"/>
            <w:shd w:val="clear" w:color="auto" w:fill="D9D9D9" w:themeFill="background1" w:themeFillShade="D9"/>
          </w:tcPr>
          <w:p w14:paraId="49D12718" w14:textId="77777777" w:rsidR="007713B1" w:rsidRPr="00D229C5" w:rsidRDefault="007713B1" w:rsidP="007713B1">
            <w:pPr>
              <w:spacing w:after="120"/>
              <w:rPr>
                <w:b/>
                <w:sz w:val="20"/>
              </w:rPr>
            </w:pPr>
            <w:r w:rsidRPr="00D229C5">
              <w:rPr>
                <w:b/>
                <w:sz w:val="20"/>
              </w:rPr>
              <w:t xml:space="preserve">Key activities </w:t>
            </w:r>
          </w:p>
          <w:p w14:paraId="77D5AC64" w14:textId="77777777" w:rsidR="007713B1" w:rsidRPr="00D229C5" w:rsidRDefault="007713B1" w:rsidP="007572E0">
            <w:pPr>
              <w:pStyle w:val="ListParagraph"/>
              <w:numPr>
                <w:ilvl w:val="2"/>
                <w:numId w:val="27"/>
              </w:numPr>
              <w:spacing w:after="120" w:line="240" w:lineRule="auto"/>
              <w:rPr>
                <w:sz w:val="20"/>
              </w:rPr>
            </w:pPr>
            <w:r w:rsidRPr="00D229C5">
              <w:rPr>
                <w:sz w:val="20"/>
              </w:rPr>
              <w:t>Family Tax Benefit</w:t>
            </w:r>
          </w:p>
          <w:p w14:paraId="5B436F03" w14:textId="77777777" w:rsidR="007713B1" w:rsidRPr="00D229C5" w:rsidRDefault="007713B1" w:rsidP="007572E0">
            <w:pPr>
              <w:pStyle w:val="ListParagraph"/>
              <w:numPr>
                <w:ilvl w:val="2"/>
                <w:numId w:val="27"/>
              </w:numPr>
              <w:spacing w:after="120" w:line="240" w:lineRule="auto"/>
              <w:rPr>
                <w:sz w:val="20"/>
              </w:rPr>
            </w:pPr>
            <w:r w:rsidRPr="00D229C5">
              <w:rPr>
                <w:sz w:val="20"/>
              </w:rPr>
              <w:t>Child Support Scheme</w:t>
            </w:r>
          </w:p>
        </w:tc>
        <w:tc>
          <w:tcPr>
            <w:tcW w:w="1667" w:type="pct"/>
            <w:gridSpan w:val="2"/>
            <w:shd w:val="clear" w:color="auto" w:fill="D9D9D9" w:themeFill="background1" w:themeFillShade="D9"/>
          </w:tcPr>
          <w:p w14:paraId="4506BB81" w14:textId="77777777" w:rsidR="007713B1" w:rsidRPr="00D229C5" w:rsidRDefault="007713B1" w:rsidP="007713B1">
            <w:pPr>
              <w:spacing w:after="120"/>
              <w:rPr>
                <w:b/>
                <w:sz w:val="20"/>
              </w:rPr>
            </w:pPr>
            <w:r w:rsidRPr="00D229C5">
              <w:rPr>
                <w:b/>
                <w:sz w:val="20"/>
              </w:rPr>
              <w:t xml:space="preserve">Key activities </w:t>
            </w:r>
          </w:p>
          <w:p w14:paraId="2E540F8B" w14:textId="77777777" w:rsidR="007713B1" w:rsidRPr="00D229C5" w:rsidRDefault="007713B1" w:rsidP="007713B1">
            <w:pPr>
              <w:spacing w:after="120"/>
              <w:rPr>
                <w:sz w:val="20"/>
              </w:rPr>
            </w:pPr>
            <w:r w:rsidRPr="00D229C5">
              <w:rPr>
                <w:sz w:val="20"/>
              </w:rPr>
              <w:t>1.2.1 Parental Leave Pay</w:t>
            </w:r>
          </w:p>
          <w:p w14:paraId="69E50C81" w14:textId="77777777" w:rsidR="007713B1" w:rsidRPr="00D229C5" w:rsidRDefault="007713B1" w:rsidP="007713B1">
            <w:pPr>
              <w:spacing w:after="120"/>
              <w:rPr>
                <w:sz w:val="20"/>
              </w:rPr>
            </w:pPr>
          </w:p>
        </w:tc>
        <w:tc>
          <w:tcPr>
            <w:tcW w:w="1667" w:type="pct"/>
            <w:gridSpan w:val="2"/>
            <w:shd w:val="clear" w:color="auto" w:fill="D9D9D9" w:themeFill="background1" w:themeFillShade="D9"/>
          </w:tcPr>
          <w:p w14:paraId="131D95DF" w14:textId="77777777" w:rsidR="007713B1" w:rsidRPr="00D229C5" w:rsidRDefault="007713B1" w:rsidP="007713B1">
            <w:pPr>
              <w:spacing w:after="120"/>
              <w:rPr>
                <w:b/>
                <w:sz w:val="20"/>
              </w:rPr>
            </w:pPr>
            <w:r w:rsidRPr="00D229C5">
              <w:rPr>
                <w:b/>
                <w:sz w:val="20"/>
              </w:rPr>
              <w:t xml:space="preserve">Key activities </w:t>
            </w:r>
          </w:p>
          <w:p w14:paraId="710B39CA" w14:textId="77777777" w:rsidR="007713B1" w:rsidRPr="00D229C5" w:rsidRDefault="007713B1" w:rsidP="007713B1">
            <w:pPr>
              <w:spacing w:after="120"/>
              <w:rPr>
                <w:sz w:val="20"/>
              </w:rPr>
            </w:pPr>
            <w:r w:rsidRPr="00D229C5">
              <w:rPr>
                <w:sz w:val="20"/>
              </w:rPr>
              <w:t>1.3.1 Age Pension</w:t>
            </w:r>
          </w:p>
        </w:tc>
      </w:tr>
      <w:tr w:rsidR="007713B1" w:rsidRPr="00D229C5" w14:paraId="2AB1C5B9" w14:textId="77777777" w:rsidTr="00027309">
        <w:tc>
          <w:tcPr>
            <w:tcW w:w="1250" w:type="pct"/>
            <w:shd w:val="clear" w:color="auto" w:fill="005A70"/>
          </w:tcPr>
          <w:p w14:paraId="77E43F7A" w14:textId="77777777" w:rsidR="007713B1" w:rsidRPr="00D229C5" w:rsidRDefault="007713B1" w:rsidP="007713B1">
            <w:pPr>
              <w:spacing w:after="120"/>
              <w:jc w:val="center"/>
              <w:rPr>
                <w:b/>
                <w:color w:val="FFFFFF" w:themeColor="background1"/>
                <w:sz w:val="20"/>
              </w:rPr>
            </w:pPr>
            <w:r w:rsidRPr="00D229C5">
              <w:rPr>
                <w:b/>
                <w:color w:val="FFFFFF" w:themeColor="background1"/>
                <w:sz w:val="20"/>
              </w:rPr>
              <w:t>Program 1.4</w:t>
            </w:r>
            <w:r w:rsidRPr="00D229C5">
              <w:rPr>
                <w:b/>
                <w:color w:val="FFFFFF" w:themeColor="background1"/>
                <w:sz w:val="20"/>
              </w:rPr>
              <w:br/>
              <w:t xml:space="preserve">Financial Support for People with Disability </w:t>
            </w:r>
          </w:p>
        </w:tc>
        <w:tc>
          <w:tcPr>
            <w:tcW w:w="1250" w:type="pct"/>
            <w:gridSpan w:val="2"/>
            <w:shd w:val="clear" w:color="auto" w:fill="005A70"/>
          </w:tcPr>
          <w:p w14:paraId="0A641160" w14:textId="77777777" w:rsidR="007713B1" w:rsidRPr="00D229C5" w:rsidRDefault="007713B1" w:rsidP="007713B1">
            <w:pPr>
              <w:spacing w:after="120"/>
              <w:jc w:val="center"/>
              <w:rPr>
                <w:b/>
                <w:color w:val="FFFFFF" w:themeColor="background1"/>
                <w:sz w:val="20"/>
              </w:rPr>
            </w:pPr>
            <w:r w:rsidRPr="00D229C5">
              <w:rPr>
                <w:b/>
                <w:color w:val="FFFFFF" w:themeColor="background1"/>
                <w:sz w:val="20"/>
              </w:rPr>
              <w:t>Program 1.5</w:t>
            </w:r>
          </w:p>
          <w:p w14:paraId="3BFB52A3" w14:textId="77777777" w:rsidR="007713B1" w:rsidRPr="00D229C5" w:rsidRDefault="007713B1" w:rsidP="007713B1">
            <w:pPr>
              <w:spacing w:after="120"/>
              <w:jc w:val="center"/>
              <w:rPr>
                <w:b/>
                <w:color w:val="FFFFFF" w:themeColor="background1"/>
                <w:sz w:val="20"/>
              </w:rPr>
            </w:pPr>
            <w:r w:rsidRPr="00D229C5">
              <w:rPr>
                <w:b/>
                <w:color w:val="FFFFFF" w:themeColor="background1"/>
                <w:sz w:val="20"/>
              </w:rPr>
              <w:t>Financial Support for Carers</w:t>
            </w:r>
          </w:p>
        </w:tc>
        <w:tc>
          <w:tcPr>
            <w:tcW w:w="1250" w:type="pct"/>
            <w:gridSpan w:val="2"/>
            <w:shd w:val="clear" w:color="auto" w:fill="005A70"/>
          </w:tcPr>
          <w:p w14:paraId="339E0AFC" w14:textId="77777777" w:rsidR="007713B1" w:rsidRPr="00D229C5" w:rsidRDefault="007713B1" w:rsidP="007713B1">
            <w:pPr>
              <w:spacing w:after="120"/>
              <w:jc w:val="center"/>
              <w:rPr>
                <w:b/>
                <w:color w:val="FFFFFF" w:themeColor="background1"/>
                <w:sz w:val="20"/>
              </w:rPr>
            </w:pPr>
            <w:r w:rsidRPr="00D229C5">
              <w:rPr>
                <w:b/>
                <w:color w:val="FFFFFF" w:themeColor="background1"/>
                <w:sz w:val="20"/>
              </w:rPr>
              <w:t>Program 1.6</w:t>
            </w:r>
            <w:r w:rsidRPr="00D229C5">
              <w:rPr>
                <w:b/>
                <w:color w:val="FFFFFF" w:themeColor="background1"/>
                <w:sz w:val="20"/>
              </w:rPr>
              <w:br/>
              <w:t>Working Age Payments</w:t>
            </w:r>
          </w:p>
        </w:tc>
        <w:tc>
          <w:tcPr>
            <w:tcW w:w="1250" w:type="pct"/>
            <w:shd w:val="clear" w:color="auto" w:fill="005A70"/>
          </w:tcPr>
          <w:p w14:paraId="5118423C" w14:textId="77777777" w:rsidR="007713B1" w:rsidRPr="00D229C5" w:rsidRDefault="007713B1" w:rsidP="007713B1">
            <w:pPr>
              <w:spacing w:after="120"/>
              <w:jc w:val="center"/>
              <w:rPr>
                <w:b/>
                <w:color w:val="FFFFFF" w:themeColor="background1"/>
                <w:sz w:val="20"/>
              </w:rPr>
            </w:pPr>
            <w:r w:rsidRPr="00D229C5">
              <w:rPr>
                <w:b/>
                <w:color w:val="FFFFFF" w:themeColor="background1"/>
                <w:sz w:val="20"/>
              </w:rPr>
              <w:t>Program 1.7</w:t>
            </w:r>
            <w:r w:rsidRPr="00D229C5">
              <w:rPr>
                <w:b/>
                <w:color w:val="FFFFFF" w:themeColor="background1"/>
                <w:sz w:val="20"/>
              </w:rPr>
              <w:br/>
              <w:t>Student Payments</w:t>
            </w:r>
          </w:p>
        </w:tc>
      </w:tr>
      <w:tr w:rsidR="007713B1" w:rsidRPr="00D229C5" w14:paraId="28E64DE2" w14:textId="77777777" w:rsidTr="00027309">
        <w:tc>
          <w:tcPr>
            <w:tcW w:w="1250" w:type="pct"/>
            <w:shd w:val="clear" w:color="auto" w:fill="D9D9D9" w:themeFill="background1" w:themeFillShade="D9"/>
          </w:tcPr>
          <w:p w14:paraId="00FB2074" w14:textId="77777777" w:rsidR="007713B1" w:rsidRPr="00D229C5" w:rsidRDefault="007713B1" w:rsidP="007713B1">
            <w:pPr>
              <w:spacing w:after="120"/>
              <w:rPr>
                <w:b/>
                <w:sz w:val="20"/>
              </w:rPr>
            </w:pPr>
            <w:r w:rsidRPr="00D229C5">
              <w:rPr>
                <w:b/>
                <w:sz w:val="20"/>
              </w:rPr>
              <w:t xml:space="preserve">Key activities </w:t>
            </w:r>
          </w:p>
          <w:p w14:paraId="3D18B83D" w14:textId="77777777" w:rsidR="007713B1" w:rsidRPr="00D229C5" w:rsidRDefault="007713B1" w:rsidP="007713B1">
            <w:pPr>
              <w:spacing w:after="120"/>
              <w:rPr>
                <w:b/>
                <w:color w:val="FFFFFF" w:themeColor="background1"/>
                <w:sz w:val="20"/>
              </w:rPr>
            </w:pPr>
            <w:r w:rsidRPr="00D229C5">
              <w:rPr>
                <w:sz w:val="20"/>
              </w:rPr>
              <w:t>1.4.1 Disability Support Pension</w:t>
            </w:r>
          </w:p>
        </w:tc>
        <w:tc>
          <w:tcPr>
            <w:tcW w:w="1250" w:type="pct"/>
            <w:gridSpan w:val="2"/>
            <w:shd w:val="clear" w:color="auto" w:fill="D9D9D9" w:themeFill="background1" w:themeFillShade="D9"/>
          </w:tcPr>
          <w:p w14:paraId="7860DB8B" w14:textId="77777777" w:rsidR="007713B1" w:rsidRPr="00D229C5" w:rsidRDefault="007713B1" w:rsidP="007713B1">
            <w:pPr>
              <w:spacing w:after="120"/>
              <w:rPr>
                <w:b/>
                <w:sz w:val="20"/>
              </w:rPr>
            </w:pPr>
            <w:r w:rsidRPr="00D229C5">
              <w:rPr>
                <w:b/>
                <w:sz w:val="20"/>
              </w:rPr>
              <w:t xml:space="preserve">Key activities </w:t>
            </w:r>
          </w:p>
          <w:p w14:paraId="36D35191" w14:textId="77777777" w:rsidR="007713B1" w:rsidRPr="00D229C5" w:rsidRDefault="007713B1" w:rsidP="007713B1">
            <w:pPr>
              <w:spacing w:after="120"/>
              <w:rPr>
                <w:b/>
                <w:color w:val="FFFFFF" w:themeColor="background1"/>
                <w:sz w:val="20"/>
              </w:rPr>
            </w:pPr>
            <w:r w:rsidRPr="00D229C5">
              <w:rPr>
                <w:sz w:val="20"/>
              </w:rPr>
              <w:t>1.5.1 Carer Payment and Carer Allowance</w:t>
            </w:r>
          </w:p>
        </w:tc>
        <w:tc>
          <w:tcPr>
            <w:tcW w:w="1250" w:type="pct"/>
            <w:gridSpan w:val="2"/>
            <w:shd w:val="clear" w:color="auto" w:fill="D9D9D9" w:themeFill="background1" w:themeFillShade="D9"/>
          </w:tcPr>
          <w:p w14:paraId="63ECFB12" w14:textId="77777777" w:rsidR="007713B1" w:rsidRPr="00D229C5" w:rsidRDefault="007713B1" w:rsidP="007713B1">
            <w:pPr>
              <w:spacing w:after="120"/>
              <w:rPr>
                <w:b/>
                <w:sz w:val="20"/>
              </w:rPr>
            </w:pPr>
            <w:r w:rsidRPr="00D229C5">
              <w:rPr>
                <w:b/>
                <w:sz w:val="20"/>
              </w:rPr>
              <w:t xml:space="preserve">Key activities </w:t>
            </w:r>
          </w:p>
          <w:p w14:paraId="1568C1C0" w14:textId="77777777" w:rsidR="007713B1" w:rsidRPr="00D229C5" w:rsidRDefault="007713B1" w:rsidP="007713B1">
            <w:pPr>
              <w:spacing w:after="120"/>
              <w:rPr>
                <w:b/>
                <w:color w:val="FFFFFF" w:themeColor="background1"/>
                <w:sz w:val="20"/>
              </w:rPr>
            </w:pPr>
            <w:r w:rsidRPr="00D229C5">
              <w:rPr>
                <w:sz w:val="20"/>
              </w:rPr>
              <w:t>1.6.1 JobSeeker Payment, Youth Allowance (other) and Parenting Payment</w:t>
            </w:r>
          </w:p>
        </w:tc>
        <w:tc>
          <w:tcPr>
            <w:tcW w:w="1250" w:type="pct"/>
            <w:shd w:val="clear" w:color="auto" w:fill="D9D9D9" w:themeFill="background1" w:themeFillShade="D9"/>
          </w:tcPr>
          <w:p w14:paraId="6EDD9EEA" w14:textId="77777777" w:rsidR="007713B1" w:rsidRPr="00D229C5" w:rsidRDefault="007713B1" w:rsidP="007713B1">
            <w:pPr>
              <w:spacing w:after="120"/>
              <w:rPr>
                <w:b/>
                <w:sz w:val="20"/>
              </w:rPr>
            </w:pPr>
            <w:r w:rsidRPr="00D229C5">
              <w:rPr>
                <w:b/>
                <w:sz w:val="20"/>
              </w:rPr>
              <w:t xml:space="preserve">Key activities </w:t>
            </w:r>
          </w:p>
          <w:p w14:paraId="472671BE" w14:textId="77777777" w:rsidR="007713B1" w:rsidRPr="00D229C5" w:rsidRDefault="007713B1" w:rsidP="007713B1">
            <w:pPr>
              <w:spacing w:after="120"/>
              <w:rPr>
                <w:b/>
                <w:color w:val="FFFFFF" w:themeColor="background1"/>
                <w:sz w:val="20"/>
              </w:rPr>
            </w:pPr>
            <w:r w:rsidRPr="00D229C5">
              <w:rPr>
                <w:sz w:val="20"/>
              </w:rPr>
              <w:t>1.7.1 Youth Allowance (Student), Austudy and ABSTUDY</w:t>
            </w:r>
          </w:p>
        </w:tc>
      </w:tr>
      <w:tr w:rsidR="007713B1" w:rsidRPr="00D229C5" w14:paraId="7C5BB4A1" w14:textId="77777777" w:rsidTr="00027309">
        <w:trPr>
          <w:trHeight w:val="264"/>
        </w:trPr>
        <w:tc>
          <w:tcPr>
            <w:tcW w:w="5000" w:type="pct"/>
            <w:gridSpan w:val="6"/>
            <w:shd w:val="clear" w:color="auto" w:fill="005A70"/>
          </w:tcPr>
          <w:p w14:paraId="264691FF" w14:textId="77777777" w:rsidR="007713B1" w:rsidRPr="00D229C5" w:rsidRDefault="007713B1" w:rsidP="007713B1">
            <w:pPr>
              <w:spacing w:after="120"/>
              <w:jc w:val="center"/>
              <w:rPr>
                <w:b/>
                <w:color w:val="FFFFFF" w:themeColor="background1"/>
                <w:sz w:val="20"/>
              </w:rPr>
            </w:pPr>
            <w:r w:rsidRPr="00D229C5">
              <w:rPr>
                <w:b/>
                <w:color w:val="FFFFFF" w:themeColor="background1"/>
                <w:sz w:val="20"/>
              </w:rPr>
              <w:t>Cross-Program</w:t>
            </w:r>
            <w:r w:rsidRPr="00D229C5">
              <w:rPr>
                <w:b/>
                <w:color w:val="FFFFFF" w:themeColor="background1"/>
                <w:sz w:val="20"/>
              </w:rPr>
              <w:br/>
              <w:t>Rent Assistance</w:t>
            </w:r>
          </w:p>
        </w:tc>
      </w:tr>
      <w:tr w:rsidR="007713B1" w:rsidRPr="00D229C5" w14:paraId="4E60470E" w14:textId="77777777" w:rsidTr="00027309">
        <w:trPr>
          <w:trHeight w:val="263"/>
        </w:trPr>
        <w:tc>
          <w:tcPr>
            <w:tcW w:w="5000" w:type="pct"/>
            <w:gridSpan w:val="6"/>
            <w:shd w:val="clear" w:color="auto" w:fill="D9D9D9" w:themeFill="background1" w:themeFillShade="D9"/>
          </w:tcPr>
          <w:p w14:paraId="652D9240" w14:textId="77777777" w:rsidR="007713B1" w:rsidRPr="00D229C5" w:rsidRDefault="007713B1" w:rsidP="007713B1">
            <w:pPr>
              <w:spacing w:after="120"/>
              <w:rPr>
                <w:b/>
                <w:sz w:val="20"/>
              </w:rPr>
            </w:pPr>
            <w:r w:rsidRPr="00D229C5">
              <w:rPr>
                <w:b/>
                <w:sz w:val="20"/>
              </w:rPr>
              <w:t xml:space="preserve">Key activities </w:t>
            </w:r>
          </w:p>
          <w:p w14:paraId="20509491" w14:textId="2EEA936F" w:rsidR="007713B1" w:rsidRPr="00D229C5" w:rsidRDefault="00723605" w:rsidP="00723605">
            <w:pPr>
              <w:spacing w:after="120"/>
              <w:rPr>
                <w:b/>
                <w:sz w:val="20"/>
              </w:rPr>
            </w:pPr>
            <w:r w:rsidRPr="00D229C5">
              <w:rPr>
                <w:sz w:val="20"/>
              </w:rPr>
              <w:t xml:space="preserve">Cross-Program </w:t>
            </w:r>
            <w:r w:rsidR="007713B1" w:rsidRPr="00D229C5">
              <w:rPr>
                <w:sz w:val="20"/>
              </w:rPr>
              <w:t>Rent Assistance</w:t>
            </w:r>
          </w:p>
        </w:tc>
      </w:tr>
    </w:tbl>
    <w:p w14:paraId="5E92CFC2" w14:textId="77777777" w:rsidR="007713B1" w:rsidRDefault="007713B1" w:rsidP="007713B1">
      <w:pPr>
        <w:spacing w:after="160"/>
        <w:rPr>
          <w:rFonts w:asciiTheme="majorHAnsi" w:eastAsiaTheme="majorEastAsia" w:hAnsiTheme="majorHAnsi" w:cstheme="majorBidi"/>
          <w:color w:val="005A70"/>
          <w:sz w:val="36"/>
          <w:szCs w:val="36"/>
        </w:rPr>
      </w:pPr>
      <w:r>
        <w:rPr>
          <w:rFonts w:asciiTheme="majorHAnsi" w:eastAsiaTheme="majorEastAsia" w:hAnsiTheme="majorHAnsi" w:cstheme="majorBidi"/>
          <w:color w:val="005A70"/>
          <w:sz w:val="36"/>
          <w:szCs w:val="36"/>
        </w:rPr>
        <w:br w:type="page"/>
      </w:r>
    </w:p>
    <w:p w14:paraId="41391FFD" w14:textId="77777777" w:rsidR="007713B1" w:rsidRPr="005C3FE3" w:rsidRDefault="007713B1" w:rsidP="007A03BF">
      <w:pPr>
        <w:pStyle w:val="Heading3"/>
        <w:rPr>
          <w:rFonts w:asciiTheme="minorHAnsi" w:hAnsiTheme="minorHAnsi"/>
        </w:rPr>
      </w:pPr>
      <w:r w:rsidRPr="005C3FE3">
        <w:t xml:space="preserve">PROGRAM 1.1 SUPPORT FOR FAMILIES </w:t>
      </w:r>
    </w:p>
    <w:p w14:paraId="478D16EF" w14:textId="77777777" w:rsidR="007713B1" w:rsidRPr="005C3FE3" w:rsidRDefault="007713B1" w:rsidP="007713B1">
      <w:pPr>
        <w:shd w:val="clear" w:color="auto" w:fill="005A70"/>
        <w:spacing w:after="0"/>
        <w:rPr>
          <w:color w:val="FFFFFF" w:themeColor="background1"/>
          <w:sz w:val="20"/>
          <w:szCs w:val="20"/>
        </w:rPr>
      </w:pPr>
      <w:r w:rsidRPr="005C3FE3">
        <w:rPr>
          <w:color w:val="FFFFFF" w:themeColor="background1"/>
          <w:sz w:val="20"/>
          <w:szCs w:val="20"/>
        </w:rPr>
        <w:t>Assist eligible families with the cost of raising children while ensuring that parents remain primarily responsible for supporting their children.</w:t>
      </w:r>
    </w:p>
    <w:p w14:paraId="0AB5A97E" w14:textId="77777777" w:rsidR="007713B1" w:rsidRPr="005C3FE3" w:rsidRDefault="007713B1" w:rsidP="00027309">
      <w:pPr>
        <w:pStyle w:val="Heading4"/>
        <w:shd w:val="clear" w:color="auto" w:fill="D9D9D9" w:themeFill="background1" w:themeFillShade="D9"/>
      </w:pPr>
      <w:r w:rsidRPr="005C3FE3">
        <w:t>Key Activity — 1.1.1 Family Tax Benefit</w:t>
      </w:r>
    </w:p>
    <w:p w14:paraId="7633F201" w14:textId="39EFC753" w:rsidR="007713B1" w:rsidRPr="005C3FE3" w:rsidRDefault="007713B1" w:rsidP="00B81E0C">
      <w:pPr>
        <w:pStyle w:val="Normalmorespace"/>
      </w:pPr>
      <w:r w:rsidRPr="005C3FE3">
        <w:t>The Family Tax Benefit (FTB) is a key activity of the Support for Families Program. The Family Tax Benefit key activity make</w:t>
      </w:r>
      <w:r>
        <w:t>s</w:t>
      </w:r>
      <w:r w:rsidRPr="005C3FE3">
        <w:t xml:space="preserve"> payments to </w:t>
      </w:r>
      <w:r w:rsidRPr="005C3FE3">
        <w:rPr>
          <w:b/>
        </w:rPr>
        <w:t xml:space="preserve">eligible low </w:t>
      </w:r>
      <w:r w:rsidRPr="005C3FE3">
        <w:t>and</w:t>
      </w:r>
      <w:r w:rsidRPr="005C3FE3">
        <w:rPr>
          <w:b/>
        </w:rPr>
        <w:t xml:space="preserve"> medium income families</w:t>
      </w:r>
      <w:r w:rsidRPr="005C3FE3">
        <w:t xml:space="preserve"> to help with the direct and indirect cost of raising dependent children. It comprises </w:t>
      </w:r>
      <w:r w:rsidR="00287355">
        <w:t>2</w:t>
      </w:r>
      <w:r w:rsidRPr="005C3FE3">
        <w:t xml:space="preserve"> parts:</w:t>
      </w:r>
    </w:p>
    <w:p w14:paraId="41D80926" w14:textId="77777777" w:rsidR="007713B1" w:rsidRPr="005162B4" w:rsidRDefault="007713B1" w:rsidP="00B81E0C">
      <w:pPr>
        <w:pStyle w:val="ListParagraph"/>
        <w:numPr>
          <w:ilvl w:val="0"/>
          <w:numId w:val="17"/>
        </w:numPr>
        <w:spacing w:before="80" w:after="80" w:line="240" w:lineRule="auto"/>
        <w:ind w:left="624" w:hanging="340"/>
        <w:contextualSpacing w:val="0"/>
        <w:rPr>
          <w:sz w:val="20"/>
          <w:szCs w:val="20"/>
        </w:rPr>
      </w:pPr>
      <w:r w:rsidRPr="005162B4">
        <w:rPr>
          <w:sz w:val="20"/>
          <w:szCs w:val="20"/>
        </w:rPr>
        <w:t>Family Tax Benefit Part A – this is paid per child and the amount paid is based on the family’s circumstances.</w:t>
      </w:r>
    </w:p>
    <w:p w14:paraId="17E3C927" w14:textId="77777777" w:rsidR="007713B1" w:rsidRPr="005162B4" w:rsidRDefault="007713B1" w:rsidP="00B81E0C">
      <w:pPr>
        <w:pStyle w:val="ListParagraph"/>
        <w:numPr>
          <w:ilvl w:val="0"/>
          <w:numId w:val="17"/>
        </w:numPr>
        <w:spacing w:before="80" w:after="80" w:line="240" w:lineRule="auto"/>
        <w:ind w:left="624" w:hanging="340"/>
        <w:contextualSpacing w:val="0"/>
        <w:rPr>
          <w:sz w:val="20"/>
          <w:szCs w:val="20"/>
        </w:rPr>
      </w:pPr>
      <w:r w:rsidRPr="005162B4">
        <w:rPr>
          <w:sz w:val="20"/>
          <w:szCs w:val="20"/>
        </w:rPr>
        <w:t>Family Tax Benefit Part B – this is paid per family and gives extra help to single parents and some couple families with one main income.</w:t>
      </w:r>
    </w:p>
    <w:p w14:paraId="18A8A88C" w14:textId="77777777" w:rsidR="007713B1" w:rsidRPr="005C3FE3" w:rsidRDefault="007713B1" w:rsidP="00B81E0C">
      <w:pPr>
        <w:pStyle w:val="Normalmorespace"/>
      </w:pPr>
      <w:r w:rsidRPr="005C3FE3">
        <w:t>Family Tax Benefit is paid either fortnightly or as a lump sum at the end of the financial year. Families who are eligible for Family Tax Benefit may also be eligible for other payments and supplements. Family Tax Benefit Part A recipients also have to meet immunisation and health check requirements.</w:t>
      </w:r>
    </w:p>
    <w:p w14:paraId="1956D25C" w14:textId="77777777" w:rsidR="007713B1" w:rsidRPr="005C3FE3" w:rsidRDefault="007713B1" w:rsidP="00B81E0C">
      <w:pPr>
        <w:pStyle w:val="Normalmorespace"/>
      </w:pPr>
      <w:r w:rsidRPr="005C3FE3">
        <w:rPr>
          <w:b/>
        </w:rPr>
        <w:t>The department</w:t>
      </w:r>
      <w:r w:rsidRPr="005C3FE3">
        <w:t xml:space="preserve"> is responsible for designing and implementing the key activity. This includes providing advice to Government on policy and legislation, program implementation and management, program performance, monitoring and meeting all relevant deliverables, setting guidelines and providing guidance and advice to Services Australia on the administration of the program. </w:t>
      </w:r>
    </w:p>
    <w:p w14:paraId="32D0E28C" w14:textId="77777777" w:rsidR="007713B1" w:rsidRPr="005C3FE3" w:rsidRDefault="007713B1" w:rsidP="00B81E0C">
      <w:pPr>
        <w:pStyle w:val="Normalmorespace"/>
      </w:pPr>
      <w:r w:rsidRPr="005C3FE3">
        <w:rPr>
          <w:b/>
        </w:rPr>
        <w:t>Services Australia</w:t>
      </w:r>
      <w:r w:rsidRPr="005C3FE3">
        <w:t xml:space="preserve"> is the primary portfolio agency responsible for administering the Family Tax Benefit on the department’s behalf, including receiving, processing and managing payment applications and making payments.</w:t>
      </w:r>
    </w:p>
    <w:tbl>
      <w:tblPr>
        <w:tblStyle w:val="TableGrid39"/>
        <w:tblW w:w="4976" w:type="pct"/>
        <w:jc w:val="center"/>
        <w:tblLook w:val="04A0" w:firstRow="1" w:lastRow="0" w:firstColumn="1" w:lastColumn="0" w:noHBand="0" w:noVBand="1"/>
        <w:tblCaption w:val="1.1.1-1 Extent to which families with lower incomes are supported with the costs of raising children through Family Tax Benefit."/>
        <w:tblDescription w:val="Table outlines the targeted payment percentages across 2023-24, 2024-25 2025-26 and 2026-27"/>
      </w:tblPr>
      <w:tblGrid>
        <w:gridCol w:w="3709"/>
        <w:gridCol w:w="1376"/>
        <w:gridCol w:w="1376"/>
        <w:gridCol w:w="1406"/>
        <w:gridCol w:w="1432"/>
      </w:tblGrid>
      <w:tr w:rsidR="007713B1" w:rsidRPr="005C3FE3" w14:paraId="35B1271E" w14:textId="77777777" w:rsidTr="00CD76E2">
        <w:trPr>
          <w:cantSplit/>
          <w:trHeight w:val="356"/>
          <w:tblHeade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6"/>
            <w:hideMark/>
          </w:tcPr>
          <w:p w14:paraId="128FE782" w14:textId="77777777" w:rsidR="007713B1" w:rsidRPr="00723A4C" w:rsidRDefault="007713B1" w:rsidP="007713B1">
            <w:pPr>
              <w:spacing w:after="120"/>
              <w:rPr>
                <w:b/>
                <w:sz w:val="20"/>
                <w:szCs w:val="20"/>
              </w:rPr>
            </w:pPr>
            <w:r w:rsidRPr="00723A4C">
              <w:rPr>
                <w:b/>
                <w:sz w:val="20"/>
                <w:szCs w:val="20"/>
              </w:rPr>
              <w:t>Performance Measure</w:t>
            </w:r>
            <w:r w:rsidRPr="00723A4C">
              <w:rPr>
                <w:b/>
                <w:sz w:val="20"/>
                <w:szCs w:val="20"/>
              </w:rPr>
              <w:tab/>
            </w:r>
          </w:p>
        </w:tc>
      </w:tr>
      <w:tr w:rsidR="007713B1" w:rsidRPr="005C3FE3" w14:paraId="0A63A9A2" w14:textId="77777777" w:rsidTr="007713B1">
        <w:trPr>
          <w:cantSplit/>
          <w:trHeight w:val="356"/>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683668E9" w14:textId="77777777" w:rsidR="007713B1" w:rsidRPr="00723A4C" w:rsidRDefault="007713B1" w:rsidP="00B81E0C">
            <w:pPr>
              <w:spacing w:after="120"/>
              <w:rPr>
                <w:rFonts w:cstheme="minorHAnsi"/>
                <w:b/>
                <w:sz w:val="20"/>
                <w:szCs w:val="20"/>
              </w:rPr>
            </w:pPr>
            <w:r w:rsidRPr="00723A4C">
              <w:rPr>
                <w:sz w:val="20"/>
                <w:szCs w:val="20"/>
              </w:rPr>
              <w:t>1.1.1-1 Extent to which families with lower incomes are supported with the costs of raising children through Family Tax Benefit.</w:t>
            </w:r>
          </w:p>
        </w:tc>
      </w:tr>
      <w:tr w:rsidR="007713B1" w:rsidRPr="005C3FE3" w14:paraId="64A47C70" w14:textId="77777777" w:rsidTr="007713B1">
        <w:trPr>
          <w:cantSplit/>
          <w:trHeight w:val="356"/>
          <w:jc w:val="center"/>
        </w:trPr>
        <w:tc>
          <w:tcPr>
            <w:tcW w:w="1994" w:type="pct"/>
            <w:tcBorders>
              <w:top w:val="single" w:sz="4" w:space="0" w:color="auto"/>
              <w:left w:val="single" w:sz="4" w:space="0" w:color="auto"/>
              <w:bottom w:val="single" w:sz="4" w:space="0" w:color="auto"/>
              <w:right w:val="single" w:sz="6" w:space="0" w:color="auto"/>
            </w:tcBorders>
            <w:shd w:val="clear" w:color="auto" w:fill="D9D9D6"/>
            <w:hideMark/>
          </w:tcPr>
          <w:p w14:paraId="2C6F706A" w14:textId="77777777" w:rsidR="007713B1" w:rsidRPr="00723A4C" w:rsidRDefault="007713B1" w:rsidP="007713B1">
            <w:pPr>
              <w:spacing w:after="120"/>
              <w:rPr>
                <w:rFonts w:cstheme="minorHAnsi"/>
                <w:sz w:val="20"/>
                <w:szCs w:val="20"/>
              </w:rPr>
            </w:pPr>
            <w:r w:rsidRPr="00723A4C">
              <w:rPr>
                <w:rFonts w:cstheme="minorHAnsi"/>
                <w:b/>
                <w:sz w:val="20"/>
                <w:szCs w:val="20"/>
              </w:rPr>
              <w:t>Target</w:t>
            </w:r>
          </w:p>
        </w:tc>
        <w:tc>
          <w:tcPr>
            <w:tcW w:w="740" w:type="pct"/>
            <w:tcBorders>
              <w:top w:val="single" w:sz="4" w:space="0" w:color="auto"/>
              <w:left w:val="single" w:sz="6" w:space="0" w:color="auto"/>
              <w:bottom w:val="single" w:sz="4" w:space="0" w:color="auto"/>
              <w:right w:val="single" w:sz="6" w:space="0" w:color="auto"/>
            </w:tcBorders>
            <w:shd w:val="clear" w:color="auto" w:fill="D9D9D6"/>
            <w:vAlign w:val="center"/>
            <w:hideMark/>
          </w:tcPr>
          <w:p w14:paraId="4A384DB3" w14:textId="77777777" w:rsidR="007713B1" w:rsidRPr="00723A4C" w:rsidRDefault="007713B1" w:rsidP="007713B1">
            <w:pPr>
              <w:spacing w:after="120"/>
              <w:rPr>
                <w:rFonts w:cstheme="minorHAnsi"/>
                <w:sz w:val="20"/>
                <w:szCs w:val="20"/>
              </w:rPr>
            </w:pPr>
            <w:r w:rsidRPr="00723A4C">
              <w:rPr>
                <w:rFonts w:cstheme="minorHAnsi"/>
                <w:b/>
                <w:sz w:val="20"/>
                <w:szCs w:val="20"/>
              </w:rPr>
              <w:t>2023–24</w:t>
            </w:r>
          </w:p>
        </w:tc>
        <w:tc>
          <w:tcPr>
            <w:tcW w:w="740" w:type="pct"/>
            <w:tcBorders>
              <w:top w:val="single" w:sz="4" w:space="0" w:color="auto"/>
              <w:left w:val="single" w:sz="6" w:space="0" w:color="auto"/>
              <w:bottom w:val="single" w:sz="4" w:space="0" w:color="auto"/>
              <w:right w:val="single" w:sz="6" w:space="0" w:color="auto"/>
            </w:tcBorders>
            <w:shd w:val="clear" w:color="auto" w:fill="D9D9D6"/>
            <w:vAlign w:val="center"/>
            <w:hideMark/>
          </w:tcPr>
          <w:p w14:paraId="6D09B8E5" w14:textId="77777777" w:rsidR="007713B1" w:rsidRPr="00723A4C" w:rsidRDefault="007713B1" w:rsidP="007713B1">
            <w:pPr>
              <w:spacing w:after="120"/>
              <w:rPr>
                <w:rFonts w:cstheme="minorHAnsi"/>
                <w:b/>
                <w:sz w:val="20"/>
                <w:szCs w:val="20"/>
              </w:rPr>
            </w:pPr>
            <w:r w:rsidRPr="00723A4C">
              <w:rPr>
                <w:rFonts w:cstheme="minorHAnsi"/>
                <w:b/>
                <w:sz w:val="20"/>
                <w:szCs w:val="20"/>
              </w:rPr>
              <w:t>2024–25</w:t>
            </w:r>
          </w:p>
        </w:tc>
        <w:tc>
          <w:tcPr>
            <w:tcW w:w="756" w:type="pct"/>
            <w:tcBorders>
              <w:top w:val="single" w:sz="4" w:space="0" w:color="auto"/>
              <w:left w:val="single" w:sz="6" w:space="0" w:color="auto"/>
              <w:bottom w:val="single" w:sz="4" w:space="0" w:color="auto"/>
              <w:right w:val="single" w:sz="6" w:space="0" w:color="auto"/>
            </w:tcBorders>
            <w:shd w:val="clear" w:color="auto" w:fill="D9D9D6"/>
            <w:vAlign w:val="center"/>
            <w:hideMark/>
          </w:tcPr>
          <w:p w14:paraId="29072679" w14:textId="77777777" w:rsidR="007713B1" w:rsidRPr="00723A4C" w:rsidRDefault="007713B1" w:rsidP="007713B1">
            <w:pPr>
              <w:spacing w:after="120"/>
              <w:rPr>
                <w:rFonts w:cstheme="minorHAnsi"/>
                <w:b/>
                <w:sz w:val="20"/>
                <w:szCs w:val="20"/>
              </w:rPr>
            </w:pPr>
            <w:r w:rsidRPr="00723A4C">
              <w:rPr>
                <w:rFonts w:cstheme="minorHAnsi"/>
                <w:b/>
                <w:sz w:val="20"/>
                <w:szCs w:val="20"/>
              </w:rPr>
              <w:t>2025–26</w:t>
            </w:r>
          </w:p>
        </w:tc>
        <w:tc>
          <w:tcPr>
            <w:tcW w:w="770" w:type="pct"/>
            <w:tcBorders>
              <w:top w:val="single" w:sz="4" w:space="0" w:color="auto"/>
              <w:left w:val="single" w:sz="6" w:space="0" w:color="auto"/>
              <w:bottom w:val="single" w:sz="4" w:space="0" w:color="auto"/>
              <w:right w:val="single" w:sz="4" w:space="0" w:color="auto"/>
            </w:tcBorders>
            <w:shd w:val="clear" w:color="auto" w:fill="D9D9D6"/>
            <w:vAlign w:val="center"/>
            <w:hideMark/>
          </w:tcPr>
          <w:p w14:paraId="125BBE69" w14:textId="77777777" w:rsidR="007713B1" w:rsidRPr="00723A4C" w:rsidRDefault="007713B1" w:rsidP="007713B1">
            <w:pPr>
              <w:spacing w:after="120"/>
              <w:rPr>
                <w:rFonts w:cstheme="minorHAnsi"/>
                <w:b/>
                <w:sz w:val="20"/>
                <w:szCs w:val="20"/>
              </w:rPr>
            </w:pPr>
            <w:r w:rsidRPr="00723A4C">
              <w:rPr>
                <w:rFonts w:cstheme="minorHAnsi"/>
                <w:b/>
                <w:sz w:val="20"/>
                <w:szCs w:val="20"/>
              </w:rPr>
              <w:t>2026–27</w:t>
            </w:r>
          </w:p>
        </w:tc>
      </w:tr>
      <w:tr w:rsidR="007713B1" w:rsidRPr="005C3FE3" w14:paraId="2F6F02D4" w14:textId="77777777" w:rsidTr="007713B1">
        <w:trPr>
          <w:cantSplit/>
          <w:trHeight w:val="356"/>
          <w:jc w:val="center"/>
        </w:trPr>
        <w:tc>
          <w:tcPr>
            <w:tcW w:w="1994" w:type="pct"/>
            <w:tcBorders>
              <w:top w:val="single" w:sz="4" w:space="0" w:color="auto"/>
              <w:left w:val="single" w:sz="4" w:space="0" w:color="auto"/>
              <w:bottom w:val="single" w:sz="4" w:space="0" w:color="auto"/>
              <w:right w:val="single" w:sz="4" w:space="0" w:color="auto"/>
            </w:tcBorders>
            <w:hideMark/>
          </w:tcPr>
          <w:p w14:paraId="1546BAAB" w14:textId="5709378B" w:rsidR="007713B1" w:rsidRPr="00723A4C" w:rsidRDefault="007713B1" w:rsidP="007F511C">
            <w:pPr>
              <w:spacing w:after="120"/>
              <w:rPr>
                <w:rFonts w:cstheme="minorHAnsi"/>
                <w:sz w:val="20"/>
                <w:szCs w:val="20"/>
              </w:rPr>
            </w:pPr>
            <w:r w:rsidRPr="00723A4C">
              <w:rPr>
                <w:rFonts w:cstheme="minorHAnsi"/>
                <w:sz w:val="20"/>
                <w:szCs w:val="20"/>
              </w:rPr>
              <w:sym w:font="Wingdings" w:char="F074"/>
            </w:r>
            <w:r w:rsidR="00366C4D">
              <w:rPr>
                <w:rFonts w:cstheme="minorHAnsi"/>
                <w:sz w:val="20"/>
                <w:szCs w:val="20"/>
              </w:rPr>
              <w:t xml:space="preserve"> </w:t>
            </w:r>
            <w:r w:rsidRPr="00723A4C">
              <w:rPr>
                <w:rFonts w:cstheme="minorHAnsi"/>
                <w:sz w:val="20"/>
                <w:szCs w:val="20"/>
              </w:rPr>
              <w:t xml:space="preserve">1.1.1-1A Payment targeted to low income families (67% of support received by families under the FTB lower income free area). </w:t>
            </w:r>
          </w:p>
        </w:tc>
        <w:tc>
          <w:tcPr>
            <w:tcW w:w="740" w:type="pct"/>
            <w:tcBorders>
              <w:top w:val="single" w:sz="4" w:space="0" w:color="auto"/>
              <w:left w:val="single" w:sz="4" w:space="0" w:color="auto"/>
              <w:bottom w:val="single" w:sz="4" w:space="0" w:color="auto"/>
              <w:right w:val="single" w:sz="4" w:space="0" w:color="auto"/>
            </w:tcBorders>
            <w:hideMark/>
          </w:tcPr>
          <w:p w14:paraId="5573EDC3" w14:textId="77777777" w:rsidR="007713B1" w:rsidRPr="00723A4C" w:rsidRDefault="007713B1" w:rsidP="007713B1">
            <w:pPr>
              <w:spacing w:after="120"/>
              <w:rPr>
                <w:rFonts w:cstheme="minorHAnsi"/>
                <w:sz w:val="20"/>
                <w:szCs w:val="20"/>
              </w:rPr>
            </w:pPr>
            <w:r w:rsidRPr="00723A4C">
              <w:rPr>
                <w:sz w:val="20"/>
                <w:szCs w:val="20"/>
              </w:rPr>
              <w:t>≥ 67 %</w:t>
            </w:r>
          </w:p>
        </w:tc>
        <w:tc>
          <w:tcPr>
            <w:tcW w:w="740" w:type="pct"/>
            <w:tcBorders>
              <w:top w:val="single" w:sz="4" w:space="0" w:color="auto"/>
              <w:left w:val="single" w:sz="4" w:space="0" w:color="auto"/>
              <w:bottom w:val="single" w:sz="4" w:space="0" w:color="auto"/>
              <w:right w:val="single" w:sz="4" w:space="0" w:color="auto"/>
            </w:tcBorders>
            <w:hideMark/>
          </w:tcPr>
          <w:p w14:paraId="5B754228" w14:textId="77777777" w:rsidR="007713B1" w:rsidRPr="00723A4C" w:rsidRDefault="007713B1" w:rsidP="007713B1">
            <w:pPr>
              <w:spacing w:after="120"/>
              <w:rPr>
                <w:rFonts w:cstheme="minorHAnsi"/>
                <w:sz w:val="20"/>
                <w:szCs w:val="20"/>
              </w:rPr>
            </w:pPr>
            <w:r w:rsidRPr="00723A4C">
              <w:rPr>
                <w:sz w:val="20"/>
                <w:szCs w:val="20"/>
              </w:rPr>
              <w:t>≥ 67 %</w:t>
            </w:r>
          </w:p>
        </w:tc>
        <w:tc>
          <w:tcPr>
            <w:tcW w:w="756" w:type="pct"/>
            <w:tcBorders>
              <w:top w:val="single" w:sz="4" w:space="0" w:color="auto"/>
              <w:left w:val="single" w:sz="4" w:space="0" w:color="auto"/>
              <w:bottom w:val="single" w:sz="4" w:space="0" w:color="auto"/>
              <w:right w:val="single" w:sz="4" w:space="0" w:color="auto"/>
            </w:tcBorders>
            <w:hideMark/>
          </w:tcPr>
          <w:p w14:paraId="3C77DD16" w14:textId="77777777" w:rsidR="007713B1" w:rsidRPr="00723A4C" w:rsidRDefault="007713B1" w:rsidP="007713B1">
            <w:pPr>
              <w:spacing w:after="120"/>
              <w:rPr>
                <w:rFonts w:cstheme="minorHAnsi"/>
                <w:sz w:val="20"/>
                <w:szCs w:val="20"/>
              </w:rPr>
            </w:pPr>
            <w:r w:rsidRPr="00723A4C">
              <w:rPr>
                <w:sz w:val="20"/>
                <w:szCs w:val="20"/>
              </w:rPr>
              <w:t>≥ 67 %</w:t>
            </w:r>
          </w:p>
        </w:tc>
        <w:tc>
          <w:tcPr>
            <w:tcW w:w="770" w:type="pct"/>
            <w:tcBorders>
              <w:top w:val="single" w:sz="4" w:space="0" w:color="auto"/>
              <w:left w:val="single" w:sz="4" w:space="0" w:color="auto"/>
              <w:bottom w:val="single" w:sz="4" w:space="0" w:color="auto"/>
              <w:right w:val="single" w:sz="4" w:space="0" w:color="auto"/>
            </w:tcBorders>
            <w:hideMark/>
          </w:tcPr>
          <w:p w14:paraId="5D6965B0" w14:textId="77777777" w:rsidR="007713B1" w:rsidRPr="00723A4C" w:rsidRDefault="007713B1" w:rsidP="007713B1">
            <w:pPr>
              <w:spacing w:after="120"/>
              <w:rPr>
                <w:rFonts w:cstheme="minorHAnsi"/>
                <w:sz w:val="20"/>
                <w:szCs w:val="20"/>
              </w:rPr>
            </w:pPr>
            <w:r w:rsidRPr="00723A4C">
              <w:rPr>
                <w:sz w:val="20"/>
                <w:szCs w:val="20"/>
              </w:rPr>
              <w:t>≥ 67 %</w:t>
            </w:r>
          </w:p>
        </w:tc>
      </w:tr>
    </w:tbl>
    <w:p w14:paraId="4B039506" w14:textId="77777777" w:rsidR="007713B1" w:rsidRPr="00E51A31" w:rsidRDefault="007713B1" w:rsidP="00027309">
      <w:pPr>
        <w:pStyle w:val="Heading4"/>
        <w:shd w:val="clear" w:color="auto" w:fill="D9D9D9" w:themeFill="background1" w:themeFillShade="D9"/>
      </w:pPr>
      <w:r w:rsidRPr="00E51A31">
        <w:t>Rationale</w:t>
      </w:r>
    </w:p>
    <w:p w14:paraId="6378DA93" w14:textId="4A33B69A" w:rsidR="007713B1" w:rsidRPr="005C3FE3" w:rsidRDefault="007713B1" w:rsidP="00B81E0C">
      <w:pPr>
        <w:pStyle w:val="Normalmorespace"/>
      </w:pPr>
      <w:r w:rsidRPr="005C3FE3">
        <w:t xml:space="preserve">Measuring the extent to which families with lower incomes are supported with the costs of raising children through Family Tax Benefit aims to demonstrate how these families are financially assisted through this program. This measure demonstrates the </w:t>
      </w:r>
      <w:r w:rsidRPr="005C3FE3">
        <w:rPr>
          <w:b/>
        </w:rPr>
        <w:t>effectiveness</w:t>
      </w:r>
      <w:r w:rsidRPr="005C3FE3">
        <w:t xml:space="preserve"> of the Family Tax Benefit in achieving the objective of the key activity: eligible famil</w:t>
      </w:r>
      <w:r w:rsidR="00734890">
        <w:t>ies are helped with the cost of </w:t>
      </w:r>
      <w:r w:rsidRPr="005C3FE3">
        <w:t>raising children.</w:t>
      </w:r>
    </w:p>
    <w:p w14:paraId="2E66199D" w14:textId="172713F0" w:rsidR="007A03BF" w:rsidRDefault="007713B1" w:rsidP="00B81E0C">
      <w:pPr>
        <w:pStyle w:val="Normalmorespace"/>
      </w:pPr>
      <w:r w:rsidRPr="005C3FE3">
        <w:t xml:space="preserve">The target demonstrates the </w:t>
      </w:r>
      <w:r w:rsidRPr="005C3FE3">
        <w:rPr>
          <w:b/>
        </w:rPr>
        <w:t>effectiveness</w:t>
      </w:r>
      <w:r w:rsidRPr="005C3FE3">
        <w:t xml:space="preserve"> of the key activity by showing the extent to which families with lower incomes are supported in comparison to the support provided to medium income families. The intent of the policy is for low</w:t>
      </w:r>
      <w:r w:rsidRPr="005C3FE3">
        <w:noBreakHyphen/>
        <w:t>income fami</w:t>
      </w:r>
      <w:r w:rsidR="00734890">
        <w:t>lies to receive the majority of </w:t>
      </w:r>
      <w:r w:rsidRPr="005C3FE3">
        <w:t>assistance provided by the</w:t>
      </w:r>
      <w:r>
        <w:t xml:space="preserve"> government under this program.</w:t>
      </w:r>
    </w:p>
    <w:p w14:paraId="5134AD89" w14:textId="77777777" w:rsidR="007A03BF" w:rsidRDefault="007A03BF">
      <w:pPr>
        <w:spacing w:before="0" w:after="200" w:line="276" w:lineRule="auto"/>
        <w:rPr>
          <w:color w:val="000000" w:themeColor="text1"/>
          <w:spacing w:val="0"/>
          <w:sz w:val="20"/>
          <w:szCs w:val="20"/>
        </w:rPr>
      </w:pPr>
      <w:r>
        <w:br w:type="page"/>
      </w:r>
    </w:p>
    <w:p w14:paraId="1DF15834" w14:textId="77777777" w:rsidR="007713B1" w:rsidRPr="00E51A31" w:rsidRDefault="007713B1" w:rsidP="00027309">
      <w:pPr>
        <w:pStyle w:val="Heading4"/>
        <w:shd w:val="clear" w:color="auto" w:fill="D9D9D9" w:themeFill="background1" w:themeFillShade="D9"/>
      </w:pPr>
      <w:r w:rsidRPr="005C3FE3">
        <w:t>Methodology</w:t>
      </w:r>
    </w:p>
    <w:p w14:paraId="4ED19742" w14:textId="77777777" w:rsidR="007713B1" w:rsidRPr="005C3FE3" w:rsidRDefault="007713B1" w:rsidP="00B81E0C">
      <w:pPr>
        <w:pStyle w:val="Normalmorespace"/>
      </w:pPr>
      <w:r w:rsidRPr="005C3FE3">
        <w:t>The number of families with lower incomes supported through Family Tax Benefit is calculated using the total number of Family Tax Benefit recipients. The Family Tax Benefit recipients are filtered by annual family adjusted taxable income:</w:t>
      </w:r>
    </w:p>
    <w:p w14:paraId="59A4AD0C" w14:textId="77777777" w:rsidR="007713B1" w:rsidRPr="005162B4" w:rsidRDefault="007713B1" w:rsidP="00B81E0C">
      <w:pPr>
        <w:pStyle w:val="ListParagraph"/>
        <w:numPr>
          <w:ilvl w:val="0"/>
          <w:numId w:val="17"/>
        </w:numPr>
        <w:spacing w:before="80" w:after="80" w:line="240" w:lineRule="auto"/>
        <w:ind w:left="624" w:hanging="340"/>
        <w:contextualSpacing w:val="0"/>
        <w:rPr>
          <w:sz w:val="20"/>
          <w:szCs w:val="20"/>
        </w:rPr>
      </w:pPr>
      <w:r w:rsidRPr="005162B4">
        <w:rPr>
          <w:sz w:val="20"/>
          <w:szCs w:val="20"/>
        </w:rPr>
        <w:t>equal to, or less than, the lower income free area (low-income families)</w:t>
      </w:r>
    </w:p>
    <w:p w14:paraId="1D8F78AF" w14:textId="77777777" w:rsidR="007713B1" w:rsidRPr="005162B4" w:rsidRDefault="007713B1" w:rsidP="00B81E0C">
      <w:pPr>
        <w:pStyle w:val="ListParagraph"/>
        <w:numPr>
          <w:ilvl w:val="0"/>
          <w:numId w:val="17"/>
        </w:numPr>
        <w:spacing w:before="80" w:after="80" w:line="240" w:lineRule="auto"/>
        <w:ind w:left="624" w:hanging="340"/>
        <w:contextualSpacing w:val="0"/>
        <w:rPr>
          <w:sz w:val="20"/>
          <w:szCs w:val="20"/>
        </w:rPr>
      </w:pPr>
      <w:r w:rsidRPr="005162B4">
        <w:rPr>
          <w:sz w:val="20"/>
          <w:szCs w:val="20"/>
        </w:rPr>
        <w:t>greater than the lower income free area.</w:t>
      </w:r>
    </w:p>
    <w:p w14:paraId="24158474" w14:textId="6E2E654B" w:rsidR="007713B1" w:rsidRPr="005C3FE3" w:rsidRDefault="007713B1" w:rsidP="00B81E0C">
      <w:pPr>
        <w:pStyle w:val="Normalmorespace"/>
      </w:pPr>
      <w:r w:rsidRPr="005C3FE3">
        <w:t xml:space="preserve">This is used to evaluate the per cent of support, measured </w:t>
      </w:r>
      <w:r w:rsidR="00734890">
        <w:t>in entitlement amounts, that is </w:t>
      </w:r>
      <w:r w:rsidRPr="005C3FE3">
        <w:t>received by those families with income under the Family Tax Benefit lower income free area.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Source"/>
        <w:tblDescription w:val="SS: Secondary Source. The data source used for this calculation is Services Australia administrative data."/>
      </w:tblPr>
      <w:tblGrid>
        <w:gridCol w:w="988"/>
        <w:gridCol w:w="8028"/>
      </w:tblGrid>
      <w:tr w:rsidR="00AB1756" w:rsidRPr="00334F13" w14:paraId="7A08BB9A" w14:textId="77777777" w:rsidTr="0017156F">
        <w:trPr>
          <w:trHeight w:val="737"/>
          <w:tblHeader/>
        </w:trPr>
        <w:tc>
          <w:tcPr>
            <w:tcW w:w="988" w:type="dxa"/>
            <w:vAlign w:val="center"/>
          </w:tcPr>
          <w:p w14:paraId="67913B72" w14:textId="77777777" w:rsidR="00AB1756" w:rsidRDefault="00AB1756" w:rsidP="00F76253">
            <w:r>
              <w:rPr>
                <w:noProof/>
                <w:color w:val="000000" w:themeColor="text1"/>
              </w:rPr>
              <w:drawing>
                <wp:inline distT="0" distB="0" distL="0" distR="0" wp14:anchorId="3C120625" wp14:editId="1A829562">
                  <wp:extent cx="457200" cy="342900"/>
                  <wp:effectExtent l="0" t="0" r="0" b="0"/>
                  <wp:docPr id="49" name="Picture 49"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vAlign w:val="center"/>
          </w:tcPr>
          <w:p w14:paraId="49A27FAC" w14:textId="77777777" w:rsidR="00AB1756" w:rsidRPr="00334F13" w:rsidRDefault="00AB1756" w:rsidP="00F76253">
            <w:pPr>
              <w:rPr>
                <w:sz w:val="20"/>
                <w:szCs w:val="20"/>
              </w:rPr>
            </w:pPr>
            <w:r w:rsidRPr="00334F13">
              <w:rPr>
                <w:sz w:val="20"/>
                <w:szCs w:val="20"/>
              </w:rPr>
              <w:t xml:space="preserve">The </w:t>
            </w:r>
            <w:r w:rsidRPr="00334F13">
              <w:rPr>
                <w:b/>
                <w:sz w:val="20"/>
                <w:szCs w:val="20"/>
              </w:rPr>
              <w:t>data source</w:t>
            </w:r>
            <w:r w:rsidRPr="00334F13">
              <w:rPr>
                <w:sz w:val="20"/>
                <w:szCs w:val="20"/>
              </w:rPr>
              <w:t xml:space="preserve"> used for this calculation is Services Australia administrative data.</w:t>
            </w:r>
          </w:p>
        </w:tc>
      </w:tr>
    </w:tbl>
    <w:p w14:paraId="21744DF5" w14:textId="20EB74DE" w:rsidR="007713B1" w:rsidRPr="005C3FE3" w:rsidRDefault="007713B1" w:rsidP="00B81E0C">
      <w:pPr>
        <w:pStyle w:val="Normalmorespace"/>
      </w:pPr>
      <w:r w:rsidRPr="005C3FE3">
        <w:t xml:space="preserve">Note: Family Tax Benefit data is not considered mature until </w:t>
      </w:r>
      <w:r w:rsidR="00287355">
        <w:t>2</w:t>
      </w:r>
      <w:r w:rsidRPr="005C3FE3">
        <w:t xml:space="preserve"> years (</w:t>
      </w:r>
      <w:r w:rsidR="00287355">
        <w:t>8</w:t>
      </w:r>
      <w:r w:rsidRPr="005C3FE3">
        <w:t xml:space="preserve"> quarters) after th</w:t>
      </w:r>
      <w:r w:rsidR="00287355">
        <w:t xml:space="preserve">e end of the entitlement year. </w:t>
      </w:r>
    </w:p>
    <w:p w14:paraId="05DF7B3C" w14:textId="77777777" w:rsidR="007713B1" w:rsidRPr="00E51A31" w:rsidRDefault="007713B1" w:rsidP="00027309">
      <w:pPr>
        <w:pStyle w:val="Heading4"/>
        <w:shd w:val="clear" w:color="auto" w:fill="D9D9D9" w:themeFill="background1" w:themeFillShade="D9"/>
      </w:pPr>
      <w:r w:rsidRPr="005C3FE3">
        <w:t xml:space="preserve">Supporting Information </w:t>
      </w:r>
    </w:p>
    <w:p w14:paraId="69876E5B" w14:textId="77777777" w:rsidR="007713B1" w:rsidRPr="00092995" w:rsidRDefault="007713B1" w:rsidP="007572E0">
      <w:pPr>
        <w:pStyle w:val="ListParagraph"/>
        <w:numPr>
          <w:ilvl w:val="0"/>
          <w:numId w:val="17"/>
        </w:numPr>
        <w:spacing w:before="80" w:after="80" w:line="240" w:lineRule="auto"/>
        <w:ind w:left="624" w:hanging="340"/>
        <w:contextualSpacing w:val="0"/>
        <w:rPr>
          <w:sz w:val="20"/>
          <w:szCs w:val="20"/>
        </w:rPr>
      </w:pPr>
      <w:r w:rsidRPr="00092995">
        <w:rPr>
          <w:sz w:val="20"/>
          <w:szCs w:val="20"/>
        </w:rPr>
        <w:t>Administered outlays</w:t>
      </w:r>
    </w:p>
    <w:p w14:paraId="0BA196CB" w14:textId="77777777" w:rsidR="007713B1" w:rsidRPr="00092995" w:rsidRDefault="007713B1" w:rsidP="007572E0">
      <w:pPr>
        <w:pStyle w:val="ListParagraph"/>
        <w:numPr>
          <w:ilvl w:val="0"/>
          <w:numId w:val="17"/>
        </w:numPr>
        <w:spacing w:before="80" w:after="80" w:line="240" w:lineRule="auto"/>
        <w:ind w:left="624" w:hanging="340"/>
        <w:contextualSpacing w:val="0"/>
        <w:rPr>
          <w:sz w:val="20"/>
          <w:szCs w:val="20"/>
        </w:rPr>
      </w:pPr>
      <w:r w:rsidRPr="00092995">
        <w:rPr>
          <w:sz w:val="20"/>
          <w:szCs w:val="20"/>
        </w:rPr>
        <w:t>Number of recipients</w:t>
      </w:r>
    </w:p>
    <w:p w14:paraId="51229547" w14:textId="77777777" w:rsidR="007713B1" w:rsidRPr="00092995" w:rsidRDefault="007713B1" w:rsidP="007572E0">
      <w:pPr>
        <w:pStyle w:val="ListParagraph"/>
        <w:numPr>
          <w:ilvl w:val="0"/>
          <w:numId w:val="17"/>
        </w:numPr>
        <w:spacing w:before="80" w:after="80" w:line="240" w:lineRule="auto"/>
        <w:ind w:left="624" w:hanging="340"/>
        <w:contextualSpacing w:val="0"/>
        <w:rPr>
          <w:sz w:val="20"/>
          <w:szCs w:val="20"/>
        </w:rPr>
      </w:pPr>
      <w:r w:rsidRPr="00092995">
        <w:rPr>
          <w:sz w:val="20"/>
          <w:szCs w:val="20"/>
        </w:rPr>
        <w:t>Payment accuracy</w:t>
      </w:r>
    </w:p>
    <w:p w14:paraId="36C5B317" w14:textId="0BD5B6C7" w:rsidR="007713B1" w:rsidRPr="00995614" w:rsidRDefault="007713B1" w:rsidP="007713B1">
      <w:pPr>
        <w:spacing w:before="80" w:after="80" w:line="240" w:lineRule="auto"/>
        <w:ind w:left="284"/>
        <w:rPr>
          <w:b/>
          <w:color w:val="FFFFFF" w:themeColor="background1"/>
          <w:sz w:val="20"/>
          <w:szCs w:val="20"/>
        </w:rPr>
      </w:pPr>
      <w:r>
        <w:rPr>
          <w:szCs w:val="20"/>
        </w:rPr>
        <w:br w:type="page"/>
      </w:r>
    </w:p>
    <w:p w14:paraId="59743B37" w14:textId="77777777" w:rsidR="007713B1" w:rsidRPr="005C3FE3" w:rsidRDefault="007713B1" w:rsidP="007A03BF">
      <w:pPr>
        <w:pStyle w:val="Heading3"/>
        <w:rPr>
          <w:rFonts w:asciiTheme="minorHAnsi" w:hAnsiTheme="minorHAnsi"/>
        </w:rPr>
      </w:pPr>
      <w:r w:rsidRPr="005C3FE3">
        <w:t xml:space="preserve">PROGRAM 1.1 SUPPORT FOR FAMILIES </w:t>
      </w:r>
    </w:p>
    <w:p w14:paraId="5B10A038" w14:textId="77777777" w:rsidR="007713B1" w:rsidRPr="00995614" w:rsidRDefault="007713B1" w:rsidP="007713B1">
      <w:pPr>
        <w:shd w:val="clear" w:color="auto" w:fill="005A70"/>
        <w:rPr>
          <w:color w:val="FFFFFF" w:themeColor="background1"/>
          <w:sz w:val="20"/>
          <w:szCs w:val="20"/>
        </w:rPr>
      </w:pPr>
      <w:r w:rsidRPr="00995614">
        <w:rPr>
          <w:color w:val="FFFFFF" w:themeColor="background1"/>
          <w:sz w:val="20"/>
          <w:szCs w:val="20"/>
        </w:rPr>
        <w:t>Assist eligible families with the cost of raising children while ensuring that parents remain primarily responsible for supporting their children.</w:t>
      </w:r>
    </w:p>
    <w:p w14:paraId="27DF6C1F" w14:textId="77777777" w:rsidR="007713B1" w:rsidRPr="00995614" w:rsidRDefault="007713B1" w:rsidP="00027309">
      <w:pPr>
        <w:pStyle w:val="Heading4"/>
        <w:shd w:val="clear" w:color="auto" w:fill="D9D9D9" w:themeFill="background1" w:themeFillShade="D9"/>
      </w:pPr>
      <w:r w:rsidRPr="00995614">
        <w:t>Key Activity — 1.1.2 Child Support Scheme</w:t>
      </w:r>
    </w:p>
    <w:p w14:paraId="4143AAB1" w14:textId="6006E524" w:rsidR="007713B1" w:rsidRPr="00995614" w:rsidRDefault="00C30D18" w:rsidP="00B81E0C">
      <w:pPr>
        <w:pStyle w:val="Normalmorespace"/>
      </w:pPr>
      <w:r>
        <w:t xml:space="preserve">The Child Support Scheme </w:t>
      </w:r>
      <w:r w:rsidR="007713B1" w:rsidRPr="00995614">
        <w:t xml:space="preserve">is a key activity of the Support for Families Program. The </w:t>
      </w:r>
      <w:r w:rsidRPr="00995614">
        <w:t xml:space="preserve">Child Support Scheme </w:t>
      </w:r>
      <w:r w:rsidR="007713B1" w:rsidRPr="00995614">
        <w:t>ensure</w:t>
      </w:r>
      <w:r w:rsidR="007713B1">
        <w:t>s</w:t>
      </w:r>
      <w:r w:rsidR="007713B1" w:rsidRPr="00995614">
        <w:t xml:space="preserve"> </w:t>
      </w:r>
      <w:r w:rsidR="007713B1" w:rsidRPr="00995614">
        <w:rPr>
          <w:b/>
        </w:rPr>
        <w:t>children</w:t>
      </w:r>
      <w:r w:rsidR="007713B1" w:rsidRPr="00995614">
        <w:t xml:space="preserve"> receive an appropriate level of support from their parents following separation. </w:t>
      </w:r>
    </w:p>
    <w:p w14:paraId="5BF82270" w14:textId="77777777" w:rsidR="007713B1" w:rsidRPr="00995614" w:rsidRDefault="007713B1" w:rsidP="00B81E0C">
      <w:pPr>
        <w:pStyle w:val="Normalmorespace"/>
      </w:pPr>
      <w:r w:rsidRPr="00995614">
        <w:t>Child support payments are calculated according to an administrative formula that uses an income shares approach and is based on research into the cost of raising children in Australia. Child support payments can be transferred privately, or Services Australia can collect and transfer the payments on parents’ behalf.</w:t>
      </w:r>
    </w:p>
    <w:p w14:paraId="594E103B" w14:textId="77777777" w:rsidR="007713B1" w:rsidRPr="00995614" w:rsidRDefault="007713B1" w:rsidP="00B81E0C">
      <w:pPr>
        <w:pStyle w:val="Normalmorespace"/>
      </w:pPr>
      <w:r w:rsidRPr="00995614">
        <w:t xml:space="preserve">Child support payments and Family Tax Benefit Part A are closely linked. To receive more than the base rate of Family Tax Benefit Part A for a child from a previous relationship, an individual must take reasonable action to apply for a child support assessment. This is known as the </w:t>
      </w:r>
      <w:r w:rsidRPr="00995614">
        <w:rPr>
          <w:b/>
        </w:rPr>
        <w:t>Maintenance Action Test</w:t>
      </w:r>
      <w:r w:rsidRPr="00995614">
        <w:t xml:space="preserve"> (MAT). The requirement to meet the MAT applies, regardless of if the parent would be assessed to receive or pay child support.</w:t>
      </w:r>
    </w:p>
    <w:p w14:paraId="22D196B4" w14:textId="6B8026C7" w:rsidR="007713B1" w:rsidRPr="00995614" w:rsidRDefault="007713B1" w:rsidP="00B81E0C">
      <w:pPr>
        <w:pStyle w:val="Normalmorespace"/>
      </w:pPr>
      <w:r w:rsidRPr="00995614">
        <w:rPr>
          <w:b/>
        </w:rPr>
        <w:t>The department</w:t>
      </w:r>
      <w:r w:rsidRPr="00995614">
        <w:t xml:space="preserve"> is responsible for designing and implementing the </w:t>
      </w:r>
      <w:r w:rsidR="00C30D18" w:rsidRPr="00995614">
        <w:t>Child Support Scheme</w:t>
      </w:r>
      <w:r w:rsidRPr="00995614">
        <w:t xml:space="preserve">, including the administration of the child support policy and legislation.  </w:t>
      </w:r>
    </w:p>
    <w:p w14:paraId="5D8F471D" w14:textId="4D89F5AC" w:rsidR="007713B1" w:rsidRPr="00995614" w:rsidRDefault="007713B1" w:rsidP="00B81E0C">
      <w:pPr>
        <w:pStyle w:val="Normalmorespace"/>
      </w:pPr>
      <w:r w:rsidRPr="00995614">
        <w:rPr>
          <w:b/>
        </w:rPr>
        <w:t>Services Australia</w:t>
      </w:r>
      <w:r w:rsidRPr="00995614">
        <w:t xml:space="preserve"> delivers the </w:t>
      </w:r>
      <w:r w:rsidR="00C30D18" w:rsidRPr="00995614">
        <w:t xml:space="preserve">Child Support Scheme </w:t>
      </w:r>
      <w:r w:rsidRPr="00995614">
        <w:t>on the department’s behalf and provides services to parents and carers. Services Australia assists parents to apply for a child support assessment and, where applicable, facilitates the collection and transfer of child support payments. Where payments are not made voluntarily, Services Australia has a range of powers to enforce the collection of child support.</w:t>
      </w:r>
    </w:p>
    <w:tbl>
      <w:tblPr>
        <w:tblStyle w:val="TableGrid39"/>
        <w:tblW w:w="4992" w:type="pct"/>
        <w:jc w:val="center"/>
        <w:tblBorders>
          <w:insideH w:val="single" w:sz="6" w:space="0" w:color="auto"/>
          <w:insideV w:val="single" w:sz="6" w:space="0" w:color="auto"/>
        </w:tblBorders>
        <w:tblLook w:val="04A0" w:firstRow="1" w:lastRow="0" w:firstColumn="1" w:lastColumn="0" w:noHBand="0" w:noVBand="1"/>
        <w:tblCaption w:val="1.1.2 Performance Measures and Targets"/>
        <w:tblDescription w:val="Table outlines the targeted payment percentages across 2023-24, 2024-25, 2025-26 and 2026-27"/>
      </w:tblPr>
      <w:tblGrid>
        <w:gridCol w:w="4128"/>
        <w:gridCol w:w="1301"/>
        <w:gridCol w:w="1300"/>
        <w:gridCol w:w="1300"/>
        <w:gridCol w:w="1300"/>
      </w:tblGrid>
      <w:tr w:rsidR="007713B1" w:rsidRPr="00995614" w14:paraId="35370BF6" w14:textId="77777777" w:rsidTr="00CD76E2">
        <w:trPr>
          <w:cantSplit/>
          <w:trHeight w:val="356"/>
          <w:tblHeader/>
          <w:jc w:val="center"/>
        </w:trPr>
        <w:tc>
          <w:tcPr>
            <w:tcW w:w="5000" w:type="pct"/>
            <w:gridSpan w:val="5"/>
            <w:tcBorders>
              <w:top w:val="single" w:sz="4" w:space="0" w:color="auto"/>
              <w:left w:val="single" w:sz="4" w:space="0" w:color="auto"/>
              <w:bottom w:val="single" w:sz="6" w:space="0" w:color="auto"/>
              <w:right w:val="single" w:sz="4" w:space="0" w:color="auto"/>
            </w:tcBorders>
            <w:shd w:val="clear" w:color="auto" w:fill="D9D9D6"/>
            <w:hideMark/>
          </w:tcPr>
          <w:p w14:paraId="5CA80790" w14:textId="77777777" w:rsidR="007713B1" w:rsidRPr="00723A4C" w:rsidRDefault="007713B1" w:rsidP="007713B1">
            <w:pPr>
              <w:spacing w:after="120"/>
              <w:rPr>
                <w:rFonts w:cstheme="minorHAnsi"/>
                <w:b/>
                <w:sz w:val="20"/>
                <w:szCs w:val="20"/>
              </w:rPr>
            </w:pPr>
            <w:r w:rsidRPr="00723A4C">
              <w:rPr>
                <w:rFonts w:cstheme="minorHAnsi"/>
                <w:b/>
                <w:sz w:val="20"/>
                <w:szCs w:val="20"/>
              </w:rPr>
              <w:t>Performance Measure</w:t>
            </w:r>
          </w:p>
        </w:tc>
      </w:tr>
      <w:tr w:rsidR="007713B1" w:rsidRPr="00995614" w14:paraId="7A12CA0C" w14:textId="77777777" w:rsidTr="007713B1">
        <w:trPr>
          <w:cantSplit/>
          <w:trHeight w:val="356"/>
          <w:jc w:val="center"/>
        </w:trPr>
        <w:tc>
          <w:tcPr>
            <w:tcW w:w="5000" w:type="pct"/>
            <w:gridSpan w:val="5"/>
            <w:tcBorders>
              <w:top w:val="single" w:sz="6" w:space="0" w:color="auto"/>
              <w:left w:val="single" w:sz="4" w:space="0" w:color="auto"/>
              <w:bottom w:val="single" w:sz="6" w:space="0" w:color="auto"/>
              <w:right w:val="single" w:sz="4" w:space="0" w:color="auto"/>
            </w:tcBorders>
            <w:hideMark/>
          </w:tcPr>
          <w:p w14:paraId="1BD29E62" w14:textId="77777777" w:rsidR="007713B1" w:rsidRPr="00723A4C" w:rsidRDefault="007713B1" w:rsidP="00B81E0C">
            <w:pPr>
              <w:spacing w:after="120"/>
              <w:rPr>
                <w:rFonts w:cstheme="minorHAnsi"/>
                <w:b/>
                <w:sz w:val="20"/>
                <w:szCs w:val="20"/>
              </w:rPr>
            </w:pPr>
            <w:r w:rsidRPr="00723A4C">
              <w:rPr>
                <w:rFonts w:cstheme="minorHAnsi"/>
                <w:sz w:val="20"/>
                <w:szCs w:val="20"/>
              </w:rPr>
              <w:t>1.1.2.1 Extent to which separated parents in the child support system are supporting their children</w:t>
            </w:r>
          </w:p>
        </w:tc>
      </w:tr>
      <w:tr w:rsidR="007713B1" w:rsidRPr="00995614" w14:paraId="091B8494" w14:textId="77777777" w:rsidTr="007713B1">
        <w:trPr>
          <w:cantSplit/>
          <w:trHeight w:val="356"/>
          <w:jc w:val="center"/>
        </w:trPr>
        <w:tc>
          <w:tcPr>
            <w:tcW w:w="2212" w:type="pct"/>
            <w:tcBorders>
              <w:top w:val="single" w:sz="6" w:space="0" w:color="auto"/>
              <w:left w:val="single" w:sz="4" w:space="0" w:color="auto"/>
              <w:bottom w:val="single" w:sz="6" w:space="0" w:color="auto"/>
              <w:right w:val="single" w:sz="6" w:space="0" w:color="auto"/>
            </w:tcBorders>
            <w:shd w:val="clear" w:color="auto" w:fill="D9D9D6"/>
            <w:hideMark/>
          </w:tcPr>
          <w:p w14:paraId="3DDE3442" w14:textId="77777777" w:rsidR="007713B1" w:rsidRPr="00723A4C" w:rsidRDefault="007713B1" w:rsidP="007713B1">
            <w:pPr>
              <w:spacing w:after="120"/>
              <w:rPr>
                <w:rFonts w:cstheme="minorHAnsi"/>
                <w:sz w:val="20"/>
                <w:szCs w:val="20"/>
              </w:rPr>
            </w:pPr>
            <w:r w:rsidRPr="00723A4C">
              <w:rPr>
                <w:rFonts w:cstheme="minorHAnsi"/>
                <w:b/>
                <w:sz w:val="20"/>
                <w:szCs w:val="20"/>
              </w:rPr>
              <w:t>Target</w:t>
            </w:r>
          </w:p>
        </w:tc>
        <w:tc>
          <w:tcPr>
            <w:tcW w:w="697" w:type="pct"/>
            <w:tcBorders>
              <w:top w:val="single" w:sz="6" w:space="0" w:color="auto"/>
              <w:left w:val="single" w:sz="6" w:space="0" w:color="auto"/>
              <w:bottom w:val="single" w:sz="6" w:space="0" w:color="auto"/>
              <w:right w:val="single" w:sz="6" w:space="0" w:color="auto"/>
            </w:tcBorders>
            <w:shd w:val="clear" w:color="auto" w:fill="D9D9D6"/>
            <w:vAlign w:val="center"/>
            <w:hideMark/>
          </w:tcPr>
          <w:p w14:paraId="1087923C" w14:textId="77777777" w:rsidR="007713B1" w:rsidRPr="00723A4C" w:rsidRDefault="007713B1" w:rsidP="007713B1">
            <w:pPr>
              <w:spacing w:after="120"/>
              <w:rPr>
                <w:rFonts w:cstheme="minorHAnsi"/>
                <w:sz w:val="20"/>
                <w:szCs w:val="20"/>
              </w:rPr>
            </w:pPr>
            <w:r w:rsidRPr="00723A4C">
              <w:rPr>
                <w:rFonts w:cstheme="minorHAnsi"/>
                <w:b/>
                <w:sz w:val="20"/>
                <w:szCs w:val="20"/>
              </w:rPr>
              <w:t>2023–24</w:t>
            </w:r>
          </w:p>
        </w:tc>
        <w:tc>
          <w:tcPr>
            <w:tcW w:w="697" w:type="pct"/>
            <w:tcBorders>
              <w:top w:val="single" w:sz="6" w:space="0" w:color="auto"/>
              <w:left w:val="single" w:sz="6" w:space="0" w:color="auto"/>
              <w:bottom w:val="single" w:sz="6" w:space="0" w:color="auto"/>
              <w:right w:val="single" w:sz="6" w:space="0" w:color="auto"/>
            </w:tcBorders>
            <w:shd w:val="clear" w:color="auto" w:fill="D9D9D6"/>
            <w:vAlign w:val="center"/>
            <w:hideMark/>
          </w:tcPr>
          <w:p w14:paraId="3C01BB7F" w14:textId="77777777" w:rsidR="007713B1" w:rsidRPr="00723A4C" w:rsidRDefault="007713B1" w:rsidP="007713B1">
            <w:pPr>
              <w:spacing w:after="120"/>
              <w:rPr>
                <w:rFonts w:cstheme="minorHAnsi"/>
                <w:b/>
                <w:sz w:val="20"/>
                <w:szCs w:val="20"/>
              </w:rPr>
            </w:pPr>
            <w:r w:rsidRPr="00723A4C">
              <w:rPr>
                <w:rFonts w:cstheme="minorHAnsi"/>
                <w:b/>
                <w:sz w:val="20"/>
                <w:szCs w:val="20"/>
              </w:rPr>
              <w:t>2024–25</w:t>
            </w:r>
          </w:p>
        </w:tc>
        <w:tc>
          <w:tcPr>
            <w:tcW w:w="697" w:type="pct"/>
            <w:tcBorders>
              <w:top w:val="single" w:sz="6" w:space="0" w:color="auto"/>
              <w:left w:val="single" w:sz="6" w:space="0" w:color="auto"/>
              <w:bottom w:val="single" w:sz="6" w:space="0" w:color="auto"/>
              <w:right w:val="single" w:sz="6" w:space="0" w:color="auto"/>
            </w:tcBorders>
            <w:shd w:val="clear" w:color="auto" w:fill="D9D9D6"/>
            <w:vAlign w:val="center"/>
            <w:hideMark/>
          </w:tcPr>
          <w:p w14:paraId="2982DDB7" w14:textId="77777777" w:rsidR="007713B1" w:rsidRPr="00723A4C" w:rsidRDefault="007713B1" w:rsidP="007713B1">
            <w:pPr>
              <w:spacing w:after="120"/>
              <w:rPr>
                <w:rFonts w:cstheme="minorHAnsi"/>
                <w:b/>
                <w:sz w:val="20"/>
                <w:szCs w:val="20"/>
              </w:rPr>
            </w:pPr>
            <w:r w:rsidRPr="00723A4C">
              <w:rPr>
                <w:rFonts w:cstheme="minorHAnsi"/>
                <w:b/>
                <w:sz w:val="20"/>
                <w:szCs w:val="20"/>
              </w:rPr>
              <w:t>2025–26</w:t>
            </w:r>
          </w:p>
        </w:tc>
        <w:tc>
          <w:tcPr>
            <w:tcW w:w="697" w:type="pct"/>
            <w:tcBorders>
              <w:top w:val="single" w:sz="6" w:space="0" w:color="auto"/>
              <w:left w:val="single" w:sz="6" w:space="0" w:color="auto"/>
              <w:bottom w:val="single" w:sz="6" w:space="0" w:color="auto"/>
              <w:right w:val="single" w:sz="4" w:space="0" w:color="auto"/>
            </w:tcBorders>
            <w:shd w:val="clear" w:color="auto" w:fill="D9D9D6"/>
            <w:vAlign w:val="center"/>
            <w:hideMark/>
          </w:tcPr>
          <w:p w14:paraId="1C808282" w14:textId="77777777" w:rsidR="007713B1" w:rsidRPr="00723A4C" w:rsidRDefault="007713B1" w:rsidP="007713B1">
            <w:pPr>
              <w:spacing w:after="120"/>
              <w:rPr>
                <w:rFonts w:cstheme="minorHAnsi"/>
                <w:b/>
                <w:sz w:val="20"/>
                <w:szCs w:val="20"/>
              </w:rPr>
            </w:pPr>
            <w:r w:rsidRPr="00723A4C">
              <w:rPr>
                <w:rFonts w:cstheme="minorHAnsi"/>
                <w:b/>
                <w:sz w:val="20"/>
                <w:szCs w:val="20"/>
              </w:rPr>
              <w:t>2026–27</w:t>
            </w:r>
          </w:p>
        </w:tc>
      </w:tr>
      <w:tr w:rsidR="007713B1" w:rsidRPr="00995614" w14:paraId="078A0B7D" w14:textId="77777777" w:rsidTr="007713B1">
        <w:trPr>
          <w:cantSplit/>
          <w:trHeight w:val="356"/>
          <w:jc w:val="center"/>
        </w:trPr>
        <w:tc>
          <w:tcPr>
            <w:tcW w:w="2212" w:type="pct"/>
            <w:tcBorders>
              <w:top w:val="single" w:sz="6" w:space="0" w:color="auto"/>
              <w:left w:val="single" w:sz="4" w:space="0" w:color="auto"/>
              <w:bottom w:val="single" w:sz="4" w:space="0" w:color="auto"/>
              <w:right w:val="single" w:sz="6" w:space="0" w:color="auto"/>
            </w:tcBorders>
            <w:hideMark/>
          </w:tcPr>
          <w:p w14:paraId="7FB9E2F3" w14:textId="77777777" w:rsidR="007713B1" w:rsidRPr="00723A4C" w:rsidRDefault="007713B1" w:rsidP="007713B1">
            <w:pPr>
              <w:spacing w:after="120"/>
              <w:rPr>
                <w:rFonts w:cstheme="minorHAnsi"/>
                <w:sz w:val="20"/>
                <w:szCs w:val="20"/>
              </w:rPr>
            </w:pPr>
            <w:r w:rsidRPr="00723A4C">
              <w:rPr>
                <w:rFonts w:cstheme="minorHAnsi"/>
                <w:sz w:val="20"/>
                <w:szCs w:val="20"/>
              </w:rPr>
              <w:sym w:font="Wingdings" w:char="F074"/>
            </w:r>
            <w:r w:rsidRPr="00723A4C">
              <w:rPr>
                <w:rFonts w:cstheme="minorHAnsi"/>
                <w:sz w:val="20"/>
                <w:szCs w:val="20"/>
              </w:rPr>
              <w:t xml:space="preserve"> 1.1.2.1A At least 85% of Family Tax Benefit Part A children of separated parents meet the maintenance action test requirements.</w:t>
            </w:r>
          </w:p>
        </w:tc>
        <w:tc>
          <w:tcPr>
            <w:tcW w:w="697" w:type="pct"/>
            <w:tcBorders>
              <w:top w:val="single" w:sz="6" w:space="0" w:color="auto"/>
              <w:left w:val="single" w:sz="6" w:space="0" w:color="auto"/>
              <w:bottom w:val="single" w:sz="4" w:space="0" w:color="auto"/>
              <w:right w:val="single" w:sz="6" w:space="0" w:color="auto"/>
            </w:tcBorders>
            <w:hideMark/>
          </w:tcPr>
          <w:p w14:paraId="19448588" w14:textId="77777777" w:rsidR="007713B1" w:rsidRPr="00723A4C" w:rsidRDefault="007713B1" w:rsidP="007713B1">
            <w:pPr>
              <w:spacing w:after="120"/>
              <w:rPr>
                <w:rFonts w:cstheme="minorHAnsi"/>
                <w:sz w:val="20"/>
                <w:szCs w:val="20"/>
              </w:rPr>
            </w:pPr>
            <w:r w:rsidRPr="00723A4C">
              <w:rPr>
                <w:rFonts w:cs="Arial"/>
                <w:color w:val="202124"/>
                <w:sz w:val="20"/>
                <w:szCs w:val="20"/>
                <w:shd w:val="clear" w:color="auto" w:fill="FFFFFF"/>
              </w:rPr>
              <w:t xml:space="preserve">≥85 </w:t>
            </w:r>
            <w:r w:rsidRPr="00723A4C">
              <w:rPr>
                <w:sz w:val="20"/>
                <w:szCs w:val="20"/>
                <w:lang w:eastAsia="en-GB"/>
              </w:rPr>
              <w:t>%</w:t>
            </w:r>
          </w:p>
        </w:tc>
        <w:tc>
          <w:tcPr>
            <w:tcW w:w="697" w:type="pct"/>
            <w:tcBorders>
              <w:top w:val="single" w:sz="6" w:space="0" w:color="auto"/>
              <w:left w:val="single" w:sz="6" w:space="0" w:color="auto"/>
              <w:bottom w:val="single" w:sz="4" w:space="0" w:color="auto"/>
              <w:right w:val="single" w:sz="6" w:space="0" w:color="auto"/>
            </w:tcBorders>
            <w:hideMark/>
          </w:tcPr>
          <w:p w14:paraId="74C3729E" w14:textId="77777777" w:rsidR="007713B1" w:rsidRPr="00723A4C" w:rsidRDefault="007713B1" w:rsidP="007713B1">
            <w:pPr>
              <w:spacing w:after="120"/>
              <w:rPr>
                <w:rFonts w:cstheme="minorHAnsi"/>
                <w:sz w:val="20"/>
                <w:szCs w:val="20"/>
              </w:rPr>
            </w:pPr>
            <w:r w:rsidRPr="00723A4C">
              <w:rPr>
                <w:rFonts w:cs="Arial"/>
                <w:color w:val="202124"/>
                <w:sz w:val="20"/>
                <w:szCs w:val="20"/>
                <w:shd w:val="clear" w:color="auto" w:fill="FFFFFF"/>
              </w:rPr>
              <w:t xml:space="preserve">≥85 </w:t>
            </w:r>
            <w:r w:rsidRPr="00723A4C">
              <w:rPr>
                <w:sz w:val="20"/>
                <w:szCs w:val="20"/>
                <w:lang w:eastAsia="en-GB"/>
              </w:rPr>
              <w:t>%</w:t>
            </w:r>
          </w:p>
        </w:tc>
        <w:tc>
          <w:tcPr>
            <w:tcW w:w="697" w:type="pct"/>
            <w:tcBorders>
              <w:top w:val="single" w:sz="6" w:space="0" w:color="auto"/>
              <w:left w:val="single" w:sz="6" w:space="0" w:color="auto"/>
              <w:bottom w:val="single" w:sz="4" w:space="0" w:color="auto"/>
              <w:right w:val="single" w:sz="6" w:space="0" w:color="auto"/>
            </w:tcBorders>
            <w:hideMark/>
          </w:tcPr>
          <w:p w14:paraId="09110ACB" w14:textId="77777777" w:rsidR="007713B1" w:rsidRPr="00723A4C" w:rsidRDefault="007713B1" w:rsidP="007713B1">
            <w:pPr>
              <w:spacing w:after="120"/>
              <w:rPr>
                <w:rFonts w:cstheme="minorHAnsi"/>
                <w:sz w:val="20"/>
                <w:szCs w:val="20"/>
              </w:rPr>
            </w:pPr>
            <w:r w:rsidRPr="00723A4C">
              <w:rPr>
                <w:rFonts w:cs="Arial"/>
                <w:color w:val="202124"/>
                <w:sz w:val="20"/>
                <w:szCs w:val="20"/>
                <w:shd w:val="clear" w:color="auto" w:fill="FFFFFF"/>
              </w:rPr>
              <w:t xml:space="preserve">≥85 </w:t>
            </w:r>
            <w:r w:rsidRPr="00723A4C">
              <w:rPr>
                <w:sz w:val="20"/>
                <w:szCs w:val="20"/>
                <w:lang w:eastAsia="en-GB"/>
              </w:rPr>
              <w:t>%</w:t>
            </w:r>
          </w:p>
        </w:tc>
        <w:tc>
          <w:tcPr>
            <w:tcW w:w="697" w:type="pct"/>
            <w:tcBorders>
              <w:top w:val="single" w:sz="6" w:space="0" w:color="auto"/>
              <w:left w:val="single" w:sz="6" w:space="0" w:color="auto"/>
              <w:bottom w:val="single" w:sz="4" w:space="0" w:color="auto"/>
              <w:right w:val="single" w:sz="4" w:space="0" w:color="auto"/>
            </w:tcBorders>
            <w:shd w:val="clear" w:color="auto" w:fill="FFFFFF" w:themeFill="background1"/>
            <w:hideMark/>
          </w:tcPr>
          <w:p w14:paraId="6DD7B6BB" w14:textId="77777777" w:rsidR="007713B1" w:rsidRPr="00723A4C" w:rsidRDefault="007713B1" w:rsidP="007713B1">
            <w:pPr>
              <w:spacing w:after="120"/>
              <w:rPr>
                <w:rFonts w:cstheme="minorHAnsi"/>
                <w:sz w:val="20"/>
                <w:szCs w:val="20"/>
              </w:rPr>
            </w:pPr>
            <w:r w:rsidRPr="00723A4C">
              <w:rPr>
                <w:rFonts w:cs="Arial"/>
                <w:color w:val="202124"/>
                <w:sz w:val="20"/>
                <w:szCs w:val="20"/>
                <w:shd w:val="clear" w:color="auto" w:fill="FFFFFF"/>
              </w:rPr>
              <w:t xml:space="preserve">≥85 </w:t>
            </w:r>
            <w:r w:rsidRPr="00723A4C">
              <w:rPr>
                <w:sz w:val="20"/>
                <w:szCs w:val="20"/>
                <w:lang w:eastAsia="en-GB"/>
              </w:rPr>
              <w:t>%</w:t>
            </w:r>
          </w:p>
        </w:tc>
      </w:tr>
    </w:tbl>
    <w:p w14:paraId="55E76F15" w14:textId="77777777" w:rsidR="007713B1" w:rsidRDefault="007713B1" w:rsidP="007713B1">
      <w:pPr>
        <w:spacing w:after="0" w:line="240" w:lineRule="auto"/>
        <w:rPr>
          <w:szCs w:val="20"/>
        </w:rPr>
      </w:pPr>
    </w:p>
    <w:p w14:paraId="2A9D6D12" w14:textId="77777777" w:rsidR="007713B1" w:rsidRPr="00E51A31" w:rsidRDefault="007713B1" w:rsidP="00027309">
      <w:pPr>
        <w:pStyle w:val="Heading4"/>
        <w:shd w:val="clear" w:color="auto" w:fill="D9D9D9" w:themeFill="background1" w:themeFillShade="D9"/>
      </w:pPr>
      <w:r w:rsidRPr="00E51A31">
        <w:t>Rationale</w:t>
      </w:r>
    </w:p>
    <w:p w14:paraId="746E095A" w14:textId="1A08BAEB" w:rsidR="007713B1" w:rsidRPr="00995614" w:rsidRDefault="007713B1" w:rsidP="00B81E0C">
      <w:pPr>
        <w:pStyle w:val="Normalmorespace"/>
      </w:pPr>
      <w:r w:rsidRPr="00995614">
        <w:t xml:space="preserve">This measure demonstrates the </w:t>
      </w:r>
      <w:r w:rsidRPr="00995614">
        <w:rPr>
          <w:b/>
        </w:rPr>
        <w:t>effectiveness</w:t>
      </w:r>
      <w:r w:rsidRPr="00995614">
        <w:t xml:space="preserve"> of the </w:t>
      </w:r>
      <w:r w:rsidR="00C30D18" w:rsidRPr="00995614">
        <w:t xml:space="preserve">Child Support Scheme </w:t>
      </w:r>
      <w:r w:rsidRPr="00995614">
        <w:t xml:space="preserve">in achieving the objective of the key activity: </w:t>
      </w:r>
      <w:r w:rsidRPr="00995614">
        <w:rPr>
          <w:i/>
        </w:rPr>
        <w:t>children continue to receive support from their parents following separation</w:t>
      </w:r>
      <w:r w:rsidRPr="00995614">
        <w:t>.</w:t>
      </w:r>
    </w:p>
    <w:p w14:paraId="3C69BC47" w14:textId="77777777" w:rsidR="007713B1" w:rsidRPr="00995614" w:rsidRDefault="007713B1" w:rsidP="00B81E0C">
      <w:pPr>
        <w:pStyle w:val="Normalmorespace"/>
      </w:pPr>
      <w:r w:rsidRPr="00995614">
        <w:t xml:space="preserve">The target demonstrates the </w:t>
      </w:r>
      <w:r w:rsidRPr="00995614">
        <w:rPr>
          <w:b/>
        </w:rPr>
        <w:t>effectiveness</w:t>
      </w:r>
      <w:r w:rsidRPr="00995614">
        <w:t xml:space="preserve"> of the key activity by showing:</w:t>
      </w:r>
    </w:p>
    <w:p w14:paraId="3F68CFED" w14:textId="77777777" w:rsidR="007713B1" w:rsidRPr="00092995" w:rsidRDefault="007713B1" w:rsidP="00B81E0C">
      <w:pPr>
        <w:pStyle w:val="ListParagraph"/>
        <w:numPr>
          <w:ilvl w:val="0"/>
          <w:numId w:val="28"/>
        </w:numPr>
        <w:spacing w:before="80" w:after="80" w:line="240" w:lineRule="auto"/>
        <w:ind w:left="641" w:hanging="357"/>
        <w:contextualSpacing w:val="0"/>
        <w:rPr>
          <w:sz w:val="20"/>
          <w:szCs w:val="20"/>
        </w:rPr>
      </w:pPr>
      <w:r w:rsidRPr="00092995">
        <w:rPr>
          <w:sz w:val="20"/>
          <w:szCs w:val="20"/>
        </w:rPr>
        <w:t>The proportion of children of separated parents in the Family Tax Benefit system who are entitled to receive child support from separated parents (i.e. those who meet the Family Tax Benefit MAT requirements).</w:t>
      </w:r>
    </w:p>
    <w:p w14:paraId="32FD92A9" w14:textId="27CEE992" w:rsidR="007713B1" w:rsidRDefault="007713B1" w:rsidP="00B81E0C">
      <w:pPr>
        <w:pStyle w:val="ListParagraph"/>
        <w:numPr>
          <w:ilvl w:val="0"/>
          <w:numId w:val="28"/>
        </w:numPr>
        <w:spacing w:before="80" w:after="80" w:line="240" w:lineRule="auto"/>
        <w:ind w:left="641" w:hanging="357"/>
        <w:contextualSpacing w:val="0"/>
        <w:rPr>
          <w:sz w:val="20"/>
          <w:szCs w:val="20"/>
        </w:rPr>
      </w:pPr>
      <w:r w:rsidRPr="00092995">
        <w:rPr>
          <w:sz w:val="20"/>
          <w:szCs w:val="20"/>
        </w:rPr>
        <w:t>A significant percentage of these children receive support from their parents following separation.</w:t>
      </w:r>
    </w:p>
    <w:p w14:paraId="47E35444" w14:textId="3EBA0FD7" w:rsidR="007A03BF" w:rsidRDefault="007A03BF" w:rsidP="007A03BF">
      <w:pPr>
        <w:spacing w:before="80" w:after="80" w:line="240" w:lineRule="auto"/>
        <w:rPr>
          <w:sz w:val="20"/>
          <w:szCs w:val="20"/>
        </w:rPr>
      </w:pPr>
    </w:p>
    <w:p w14:paraId="02FE74D7" w14:textId="77777777" w:rsidR="007A03BF" w:rsidRPr="007A03BF" w:rsidRDefault="007A03BF" w:rsidP="007A03BF">
      <w:pPr>
        <w:spacing w:before="80" w:after="80" w:line="240" w:lineRule="auto"/>
        <w:rPr>
          <w:sz w:val="20"/>
          <w:szCs w:val="20"/>
        </w:rPr>
      </w:pPr>
    </w:p>
    <w:p w14:paraId="44F035E3" w14:textId="77777777" w:rsidR="007713B1" w:rsidRPr="00E51A31" w:rsidRDefault="007713B1" w:rsidP="00027309">
      <w:pPr>
        <w:pStyle w:val="Heading4"/>
        <w:shd w:val="clear" w:color="auto" w:fill="D9D9D9" w:themeFill="background1" w:themeFillShade="D9"/>
      </w:pPr>
      <w:r w:rsidRPr="00E51A31">
        <w:t>Methodology</w:t>
      </w:r>
    </w:p>
    <w:p w14:paraId="4E500CCC" w14:textId="77777777" w:rsidR="007713B1" w:rsidRPr="00995614" w:rsidRDefault="007713B1" w:rsidP="00B81E0C">
      <w:pPr>
        <w:pStyle w:val="Normalmorespace"/>
      </w:pPr>
      <w:r w:rsidRPr="00995614">
        <w:t>The number of Family Tax Benefit Part A children of separated parents that meet the MAT requirements is based on the number of children subject to the MAT that:</w:t>
      </w:r>
    </w:p>
    <w:p w14:paraId="7007C4F3" w14:textId="77777777" w:rsidR="007713B1" w:rsidRPr="005162B4" w:rsidRDefault="007713B1" w:rsidP="00B81E0C">
      <w:pPr>
        <w:pStyle w:val="ListParagraph"/>
        <w:numPr>
          <w:ilvl w:val="0"/>
          <w:numId w:val="28"/>
        </w:numPr>
        <w:spacing w:before="80" w:after="80" w:line="240" w:lineRule="auto"/>
        <w:ind w:left="641" w:hanging="357"/>
        <w:contextualSpacing w:val="0"/>
        <w:rPr>
          <w:sz w:val="20"/>
          <w:szCs w:val="20"/>
        </w:rPr>
      </w:pPr>
      <w:r w:rsidRPr="005162B4">
        <w:rPr>
          <w:sz w:val="20"/>
          <w:szCs w:val="20"/>
        </w:rPr>
        <w:t>are exempt from meeting MAT requirements; and</w:t>
      </w:r>
    </w:p>
    <w:p w14:paraId="751B8C1F" w14:textId="77777777" w:rsidR="007713B1" w:rsidRPr="005162B4" w:rsidRDefault="007713B1" w:rsidP="00B81E0C">
      <w:pPr>
        <w:pStyle w:val="ListParagraph"/>
        <w:numPr>
          <w:ilvl w:val="0"/>
          <w:numId w:val="28"/>
        </w:numPr>
        <w:spacing w:before="80" w:after="80" w:line="240" w:lineRule="auto"/>
        <w:ind w:left="641" w:hanging="357"/>
        <w:contextualSpacing w:val="0"/>
        <w:rPr>
          <w:sz w:val="20"/>
          <w:szCs w:val="20"/>
        </w:rPr>
      </w:pPr>
      <w:r w:rsidRPr="005162B4">
        <w:rPr>
          <w:sz w:val="20"/>
          <w:szCs w:val="20"/>
        </w:rPr>
        <w:t>meet MAT requirements.</w:t>
      </w:r>
    </w:p>
    <w:p w14:paraId="3CDB6631" w14:textId="55B6C9C5" w:rsidR="007713B1" w:rsidRDefault="007713B1" w:rsidP="00B81E0C">
      <w:pPr>
        <w:pStyle w:val="Normalmorespace"/>
        <w:spacing w:after="0"/>
      </w:pPr>
      <w:r w:rsidRPr="00995614">
        <w:t>The percentage is based on the number of children that are exempt from the MAT, plus the number of children that satisfy the MAT, as a proportion of all children subject to the MAT.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Source"/>
        <w:tblDescription w:val="Secondary Source: The data source used for this calculation is Services Australia Family Tax benefit administrative data"/>
      </w:tblPr>
      <w:tblGrid>
        <w:gridCol w:w="988"/>
        <w:gridCol w:w="8028"/>
      </w:tblGrid>
      <w:tr w:rsidR="00AB1756" w:rsidRPr="00334F13" w14:paraId="0F7EBFB4" w14:textId="77777777" w:rsidTr="0017156F">
        <w:trPr>
          <w:trHeight w:val="653"/>
          <w:tblHeader/>
        </w:trPr>
        <w:tc>
          <w:tcPr>
            <w:tcW w:w="988" w:type="dxa"/>
            <w:vAlign w:val="center"/>
          </w:tcPr>
          <w:p w14:paraId="0B558ABC" w14:textId="77777777" w:rsidR="00AB1756" w:rsidRDefault="00AB1756" w:rsidP="00F76253">
            <w:r>
              <w:rPr>
                <w:noProof/>
                <w:color w:val="000000" w:themeColor="text1"/>
              </w:rPr>
              <w:drawing>
                <wp:inline distT="0" distB="0" distL="0" distR="0" wp14:anchorId="0C8D28BF" wp14:editId="1E60DE63">
                  <wp:extent cx="457200" cy="342900"/>
                  <wp:effectExtent l="0" t="0" r="0" b="0"/>
                  <wp:docPr id="679" name="Picture 679"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vAlign w:val="center"/>
          </w:tcPr>
          <w:p w14:paraId="6BB8115B" w14:textId="77777777" w:rsidR="00AB1756" w:rsidRPr="00334F13" w:rsidRDefault="00AB1756" w:rsidP="00F76253">
            <w:pPr>
              <w:rPr>
                <w:sz w:val="20"/>
                <w:szCs w:val="20"/>
              </w:rPr>
            </w:pPr>
            <w:r w:rsidRPr="00334F13">
              <w:rPr>
                <w:sz w:val="20"/>
                <w:szCs w:val="20"/>
              </w:rPr>
              <w:t xml:space="preserve">The </w:t>
            </w:r>
            <w:r w:rsidRPr="00334F13">
              <w:rPr>
                <w:b/>
                <w:sz w:val="20"/>
                <w:szCs w:val="20"/>
              </w:rPr>
              <w:t>data source</w:t>
            </w:r>
            <w:r w:rsidRPr="00334F13">
              <w:rPr>
                <w:sz w:val="20"/>
                <w:szCs w:val="20"/>
              </w:rPr>
              <w:t xml:space="preserve"> used for this calculation is </w:t>
            </w:r>
            <w:r>
              <w:rPr>
                <w:sz w:val="20"/>
                <w:szCs w:val="20"/>
              </w:rPr>
              <w:t>Services Australia Family Tax benefit administrative data</w:t>
            </w:r>
          </w:p>
        </w:tc>
      </w:tr>
    </w:tbl>
    <w:p w14:paraId="0A751B03" w14:textId="77777777" w:rsidR="007713B1" w:rsidRPr="00E51A31" w:rsidRDefault="007713B1" w:rsidP="00027309">
      <w:pPr>
        <w:pStyle w:val="Heading4"/>
        <w:shd w:val="clear" w:color="auto" w:fill="D9D9D9" w:themeFill="background1" w:themeFillShade="D9"/>
      </w:pPr>
      <w:r w:rsidRPr="00092995">
        <w:t xml:space="preserve">Supporting Information </w:t>
      </w:r>
    </w:p>
    <w:p w14:paraId="4999F7BD" w14:textId="77777777" w:rsidR="007713B1" w:rsidRDefault="007713B1" w:rsidP="007572E0">
      <w:pPr>
        <w:pStyle w:val="ListParagraph"/>
        <w:numPr>
          <w:ilvl w:val="0"/>
          <w:numId w:val="28"/>
        </w:numPr>
        <w:spacing w:after="80" w:line="240" w:lineRule="auto"/>
        <w:ind w:left="641" w:hanging="357"/>
        <w:contextualSpacing w:val="0"/>
        <w:rPr>
          <w:sz w:val="20"/>
          <w:szCs w:val="20"/>
        </w:rPr>
      </w:pPr>
      <w:r w:rsidRPr="00092995">
        <w:rPr>
          <w:sz w:val="20"/>
          <w:szCs w:val="20"/>
        </w:rPr>
        <w:t xml:space="preserve">Number of cases </w:t>
      </w:r>
    </w:p>
    <w:p w14:paraId="32C1E999" w14:textId="77777777" w:rsidR="007713B1" w:rsidRDefault="007713B1" w:rsidP="007713B1">
      <w:pPr>
        <w:spacing w:before="80" w:after="80" w:line="240" w:lineRule="auto"/>
        <w:ind w:left="284"/>
        <w:rPr>
          <w:sz w:val="20"/>
          <w:szCs w:val="20"/>
        </w:rPr>
      </w:pPr>
      <w:r>
        <w:rPr>
          <w:sz w:val="20"/>
          <w:szCs w:val="20"/>
        </w:rPr>
        <w:br w:type="page"/>
      </w:r>
    </w:p>
    <w:p w14:paraId="542B678D" w14:textId="77777777" w:rsidR="007713B1" w:rsidRPr="00E51A31" w:rsidRDefault="007713B1" w:rsidP="00E51A31">
      <w:pPr>
        <w:pStyle w:val="Heading3"/>
      </w:pPr>
      <w:r w:rsidRPr="00E51A31">
        <w:t xml:space="preserve">PROGRAM 1.2 PAID PARENTAL LEAVE </w:t>
      </w:r>
    </w:p>
    <w:p w14:paraId="20306551" w14:textId="77777777" w:rsidR="007713B1" w:rsidRPr="00AD63EC" w:rsidRDefault="007713B1" w:rsidP="007713B1">
      <w:pPr>
        <w:shd w:val="clear" w:color="auto" w:fill="005A70"/>
        <w:rPr>
          <w:color w:val="FFFFFF" w:themeColor="background1"/>
          <w:sz w:val="20"/>
          <w:szCs w:val="20"/>
        </w:rPr>
      </w:pPr>
      <w:r w:rsidRPr="00AD63EC">
        <w:rPr>
          <w:color w:val="FFFFFF" w:themeColor="background1"/>
          <w:sz w:val="20"/>
          <w:szCs w:val="20"/>
        </w:rPr>
        <w:t>Assist parents to take time out of the workforce to bond with their children following birth or adoption and encourage continued participation in the workforce</w:t>
      </w:r>
    </w:p>
    <w:p w14:paraId="7BAB86C6" w14:textId="77777777" w:rsidR="007713B1" w:rsidRPr="007A03BF" w:rsidRDefault="007713B1" w:rsidP="00027309">
      <w:pPr>
        <w:pStyle w:val="Heading4"/>
        <w:shd w:val="clear" w:color="auto" w:fill="D9D9D9" w:themeFill="background1" w:themeFillShade="D9"/>
      </w:pPr>
      <w:r w:rsidRPr="007A03BF">
        <w:t>Key Activity — 1.2.1 Parental Leave Pay</w:t>
      </w:r>
    </w:p>
    <w:p w14:paraId="7E5E5C87" w14:textId="01FC3541" w:rsidR="007713B1" w:rsidRPr="00AD63EC" w:rsidRDefault="007713B1" w:rsidP="00B81E0C">
      <w:pPr>
        <w:pStyle w:val="Normalmorespace"/>
      </w:pPr>
      <w:r w:rsidRPr="00AD63EC">
        <w:t>Parental Leave Pay is a key activity of the Parental Leave Pay Program. Parental Leave Pay provide</w:t>
      </w:r>
      <w:r>
        <w:t>s</w:t>
      </w:r>
      <w:r w:rsidRPr="00AD63EC">
        <w:t xml:space="preserve"> financial support to help eligible </w:t>
      </w:r>
      <w:r w:rsidRPr="00AD63EC">
        <w:rPr>
          <w:b/>
        </w:rPr>
        <w:t xml:space="preserve">parents </w:t>
      </w:r>
      <w:r w:rsidRPr="00AD63EC">
        <w:t>to take time off work to care for a newborn or recently adopted child, to encourage women’s workforce participation, to enhance the health and development of mothers and their children and promote equality between men and women, and the balance bet</w:t>
      </w:r>
      <w:r>
        <w:t>ween work and family life.</w:t>
      </w:r>
    </w:p>
    <w:p w14:paraId="051097F7" w14:textId="0460D953" w:rsidR="007713B1" w:rsidRPr="00AD63EC" w:rsidRDefault="007713B1" w:rsidP="00B81E0C">
      <w:pPr>
        <w:pStyle w:val="Normalmorespace"/>
      </w:pPr>
      <w:r w:rsidRPr="00AD63EC">
        <w:t>For children born or adopted from 1 July 2023, Parental Leave Pay provides eligible families with up to 20 weeks of pay based on the national minimum wage. To support a more balanced approach to paid and unpaid work within f</w:t>
      </w:r>
      <w:r w:rsidR="00287355">
        <w:t>amilies, 2</w:t>
      </w:r>
      <w:r w:rsidRPr="00AD63EC">
        <w:t xml:space="preserve"> weeks will be reserved on a dedicated ‘use it or lose it’ basis for each parent. Single parents </w:t>
      </w:r>
      <w:r>
        <w:t xml:space="preserve">are </w:t>
      </w:r>
      <w:r w:rsidRPr="00AD63EC">
        <w:t xml:space="preserve">able to access the full 20 weeks. To be eligible for Parental Leave Pay, a claimant must meet the scheme's work test, income test, and residency </w:t>
      </w:r>
      <w:r w:rsidRPr="00A85E76">
        <w:t>test. Subject to passage of legislation, from 1 July 2024 Parental Leave Pay will be expanded by an additional</w:t>
      </w:r>
      <w:r w:rsidRPr="00AD63EC">
        <w:t xml:space="preserve"> </w:t>
      </w:r>
      <w:r w:rsidR="00287355">
        <w:t xml:space="preserve">2 </w:t>
      </w:r>
      <w:r w:rsidRPr="00AD63EC">
        <w:t>weeks each year, reaching a total of 26 weeks from July 2026.</w:t>
      </w:r>
    </w:p>
    <w:p w14:paraId="68A28804" w14:textId="77777777" w:rsidR="007713B1" w:rsidRPr="00AD63EC" w:rsidRDefault="007713B1" w:rsidP="00B81E0C">
      <w:pPr>
        <w:pStyle w:val="Normalmorespace"/>
      </w:pPr>
      <w:r w:rsidRPr="00AD63EC">
        <w:t>For children born or adopted before 1 July 2023, Parental Leave Pay is available to eligible primary carers (usually birth mothers) for up to 18 weeks, and Dad and Partner Pay is available to eligible working fathers and partners for up to 2 weeks.</w:t>
      </w:r>
    </w:p>
    <w:p w14:paraId="3E48DE84" w14:textId="77777777" w:rsidR="007713B1" w:rsidRDefault="007713B1" w:rsidP="00B81E0C">
      <w:pPr>
        <w:pStyle w:val="Normalmorespace"/>
      </w:pPr>
      <w:r w:rsidRPr="00AD63EC">
        <w:rPr>
          <w:b/>
        </w:rPr>
        <w:t>The department</w:t>
      </w:r>
      <w:r w:rsidRPr="00AD63EC">
        <w:t xml:space="preserve"> is responsible for designing and implementing the key activity, including providing advice to Government on policy and legislation, program implementation and management, program performance, monitoring and meeting all relevant deliverables, setting guidelines and providing guidance and advice to Services Australia on the administration of the program. </w:t>
      </w:r>
    </w:p>
    <w:p w14:paraId="0C8D385C" w14:textId="77777777" w:rsidR="007713B1" w:rsidRPr="00AD63EC" w:rsidRDefault="007713B1" w:rsidP="00B81E0C">
      <w:pPr>
        <w:pStyle w:val="Normalmorespace"/>
      </w:pPr>
      <w:r w:rsidRPr="00AD63EC">
        <w:rPr>
          <w:b/>
        </w:rPr>
        <w:t>Services Australia</w:t>
      </w:r>
      <w:r w:rsidRPr="00AD63EC">
        <w:t xml:space="preserve"> is the primary portfolio agency responsible for administering Parental Leave Pay on the department’s behalf, including receiving, processing and managing payment applications and delivering Parental Leave Pay payments. </w:t>
      </w:r>
    </w:p>
    <w:tbl>
      <w:tblPr>
        <w:tblStyle w:val="TableGrid39"/>
        <w:tblW w:w="4976" w:type="pct"/>
        <w:jc w:val="center"/>
        <w:tblBorders>
          <w:insideH w:val="single" w:sz="6" w:space="0" w:color="auto"/>
          <w:insideV w:val="single" w:sz="6" w:space="0" w:color="auto"/>
        </w:tblBorders>
        <w:tblLook w:val="04A0" w:firstRow="1" w:lastRow="0" w:firstColumn="1" w:lastColumn="0" w:noHBand="0" w:noVBand="1"/>
        <w:tblCaption w:val="1.2.1-1 Performance Measures and Targets"/>
        <w:tblDescription w:val="Table outlines the targeted payment percentages across 2023-24, 2024-25, 2025-26 and 2026-27"/>
      </w:tblPr>
      <w:tblGrid>
        <w:gridCol w:w="3843"/>
        <w:gridCol w:w="1363"/>
        <w:gridCol w:w="1363"/>
        <w:gridCol w:w="1363"/>
        <w:gridCol w:w="1367"/>
      </w:tblGrid>
      <w:tr w:rsidR="007713B1" w:rsidRPr="00AD63EC" w14:paraId="498E94C9" w14:textId="77777777" w:rsidTr="00CD76E2">
        <w:trPr>
          <w:cantSplit/>
          <w:trHeight w:val="356"/>
          <w:tblHeader/>
          <w:jc w:val="center"/>
        </w:trPr>
        <w:tc>
          <w:tcPr>
            <w:tcW w:w="5000" w:type="pct"/>
            <w:gridSpan w:val="5"/>
            <w:tcBorders>
              <w:top w:val="single" w:sz="4" w:space="0" w:color="auto"/>
              <w:left w:val="single" w:sz="4" w:space="0" w:color="auto"/>
              <w:bottom w:val="single" w:sz="6" w:space="0" w:color="auto"/>
              <w:right w:val="single" w:sz="4" w:space="0" w:color="auto"/>
            </w:tcBorders>
            <w:shd w:val="clear" w:color="auto" w:fill="D9D9D6"/>
            <w:hideMark/>
          </w:tcPr>
          <w:p w14:paraId="20B7E310" w14:textId="77777777" w:rsidR="007713B1" w:rsidRPr="00723A4C" w:rsidRDefault="007713B1" w:rsidP="007713B1">
            <w:pPr>
              <w:spacing w:after="120"/>
              <w:rPr>
                <w:b/>
                <w:sz w:val="20"/>
                <w:szCs w:val="20"/>
              </w:rPr>
            </w:pPr>
            <w:r w:rsidRPr="00723A4C">
              <w:rPr>
                <w:b/>
                <w:sz w:val="20"/>
                <w:szCs w:val="20"/>
              </w:rPr>
              <w:t>Performance Measure</w:t>
            </w:r>
            <w:r w:rsidRPr="00723A4C">
              <w:rPr>
                <w:b/>
                <w:sz w:val="20"/>
                <w:szCs w:val="20"/>
              </w:rPr>
              <w:tab/>
            </w:r>
          </w:p>
        </w:tc>
      </w:tr>
      <w:tr w:rsidR="007713B1" w:rsidRPr="00AD63EC" w14:paraId="49014A6A" w14:textId="77777777" w:rsidTr="007713B1">
        <w:trPr>
          <w:cantSplit/>
          <w:trHeight w:val="356"/>
          <w:jc w:val="center"/>
        </w:trPr>
        <w:tc>
          <w:tcPr>
            <w:tcW w:w="5000" w:type="pct"/>
            <w:gridSpan w:val="5"/>
            <w:tcBorders>
              <w:top w:val="single" w:sz="6" w:space="0" w:color="auto"/>
              <w:left w:val="single" w:sz="4" w:space="0" w:color="auto"/>
              <w:bottom w:val="single" w:sz="6" w:space="0" w:color="auto"/>
              <w:right w:val="single" w:sz="4" w:space="0" w:color="auto"/>
            </w:tcBorders>
            <w:hideMark/>
          </w:tcPr>
          <w:p w14:paraId="7DEEB0CB" w14:textId="77777777" w:rsidR="007713B1" w:rsidRPr="00723A4C" w:rsidRDefault="007713B1" w:rsidP="007713B1">
            <w:pPr>
              <w:spacing w:after="120"/>
              <w:rPr>
                <w:rFonts w:cstheme="minorHAnsi"/>
                <w:b/>
                <w:sz w:val="20"/>
                <w:szCs w:val="20"/>
              </w:rPr>
            </w:pPr>
            <w:r w:rsidRPr="00723A4C">
              <w:rPr>
                <w:sz w:val="20"/>
                <w:szCs w:val="20"/>
              </w:rPr>
              <w:t>1.2.1-1 Extent to which parents take Parental Leave Pay</w:t>
            </w:r>
          </w:p>
        </w:tc>
      </w:tr>
      <w:tr w:rsidR="007713B1" w:rsidRPr="00AD63EC" w14:paraId="185DD18F" w14:textId="77777777" w:rsidTr="007713B1">
        <w:trPr>
          <w:cantSplit/>
          <w:trHeight w:val="356"/>
          <w:jc w:val="center"/>
        </w:trPr>
        <w:tc>
          <w:tcPr>
            <w:tcW w:w="2066" w:type="pct"/>
            <w:tcBorders>
              <w:top w:val="single" w:sz="6" w:space="0" w:color="auto"/>
              <w:left w:val="single" w:sz="4" w:space="0" w:color="auto"/>
              <w:bottom w:val="single" w:sz="6" w:space="0" w:color="auto"/>
              <w:right w:val="single" w:sz="6" w:space="0" w:color="auto"/>
            </w:tcBorders>
            <w:shd w:val="clear" w:color="auto" w:fill="D9D9D6"/>
            <w:hideMark/>
          </w:tcPr>
          <w:p w14:paraId="5190A949" w14:textId="77777777" w:rsidR="007713B1" w:rsidRPr="00723A4C" w:rsidRDefault="007713B1" w:rsidP="007713B1">
            <w:pPr>
              <w:spacing w:after="120"/>
              <w:rPr>
                <w:rFonts w:cstheme="minorHAnsi"/>
                <w:sz w:val="20"/>
                <w:szCs w:val="20"/>
              </w:rPr>
            </w:pPr>
            <w:r w:rsidRPr="00723A4C">
              <w:rPr>
                <w:rFonts w:cstheme="minorHAnsi"/>
                <w:b/>
                <w:sz w:val="20"/>
                <w:szCs w:val="20"/>
              </w:rPr>
              <w:t>Target</w:t>
            </w:r>
          </w:p>
        </w:tc>
        <w:tc>
          <w:tcPr>
            <w:tcW w:w="733" w:type="pct"/>
            <w:tcBorders>
              <w:top w:val="single" w:sz="6" w:space="0" w:color="auto"/>
              <w:left w:val="single" w:sz="6" w:space="0" w:color="auto"/>
              <w:bottom w:val="single" w:sz="6" w:space="0" w:color="auto"/>
              <w:right w:val="single" w:sz="6" w:space="0" w:color="auto"/>
            </w:tcBorders>
            <w:shd w:val="clear" w:color="auto" w:fill="D9D9D6"/>
            <w:vAlign w:val="center"/>
            <w:hideMark/>
          </w:tcPr>
          <w:p w14:paraId="35BB3B20" w14:textId="77777777" w:rsidR="007713B1" w:rsidRPr="00723A4C" w:rsidRDefault="007713B1" w:rsidP="007713B1">
            <w:pPr>
              <w:spacing w:after="120"/>
              <w:rPr>
                <w:rFonts w:cstheme="minorHAnsi"/>
                <w:sz w:val="20"/>
                <w:szCs w:val="20"/>
              </w:rPr>
            </w:pPr>
            <w:r w:rsidRPr="00723A4C">
              <w:rPr>
                <w:rFonts w:cstheme="minorHAnsi"/>
                <w:b/>
                <w:sz w:val="20"/>
                <w:szCs w:val="20"/>
              </w:rPr>
              <w:t>2023–24</w:t>
            </w:r>
          </w:p>
        </w:tc>
        <w:tc>
          <w:tcPr>
            <w:tcW w:w="733" w:type="pct"/>
            <w:tcBorders>
              <w:top w:val="single" w:sz="6" w:space="0" w:color="auto"/>
              <w:left w:val="single" w:sz="6" w:space="0" w:color="auto"/>
              <w:bottom w:val="single" w:sz="6" w:space="0" w:color="auto"/>
              <w:right w:val="single" w:sz="6" w:space="0" w:color="auto"/>
            </w:tcBorders>
            <w:shd w:val="clear" w:color="auto" w:fill="D9D9D6"/>
            <w:vAlign w:val="center"/>
            <w:hideMark/>
          </w:tcPr>
          <w:p w14:paraId="6AD7F9CA" w14:textId="77777777" w:rsidR="007713B1" w:rsidRPr="00723A4C" w:rsidRDefault="007713B1" w:rsidP="007713B1">
            <w:pPr>
              <w:spacing w:after="120"/>
              <w:rPr>
                <w:rFonts w:cstheme="minorHAnsi"/>
                <w:b/>
                <w:sz w:val="20"/>
                <w:szCs w:val="20"/>
              </w:rPr>
            </w:pPr>
            <w:r w:rsidRPr="00723A4C">
              <w:rPr>
                <w:rFonts w:cstheme="minorHAnsi"/>
                <w:b/>
                <w:sz w:val="20"/>
                <w:szCs w:val="20"/>
              </w:rPr>
              <w:t>2024–25</w:t>
            </w:r>
          </w:p>
        </w:tc>
        <w:tc>
          <w:tcPr>
            <w:tcW w:w="733" w:type="pct"/>
            <w:tcBorders>
              <w:top w:val="single" w:sz="6" w:space="0" w:color="auto"/>
              <w:left w:val="single" w:sz="6" w:space="0" w:color="auto"/>
              <w:bottom w:val="single" w:sz="6" w:space="0" w:color="auto"/>
              <w:right w:val="single" w:sz="6" w:space="0" w:color="auto"/>
            </w:tcBorders>
            <w:shd w:val="clear" w:color="auto" w:fill="D9D9D6"/>
            <w:vAlign w:val="center"/>
            <w:hideMark/>
          </w:tcPr>
          <w:p w14:paraId="7A9698F0" w14:textId="77777777" w:rsidR="007713B1" w:rsidRPr="00723A4C" w:rsidRDefault="007713B1" w:rsidP="007713B1">
            <w:pPr>
              <w:spacing w:after="120"/>
              <w:rPr>
                <w:rFonts w:cstheme="minorHAnsi"/>
                <w:b/>
                <w:sz w:val="20"/>
                <w:szCs w:val="20"/>
              </w:rPr>
            </w:pPr>
            <w:r w:rsidRPr="00723A4C">
              <w:rPr>
                <w:rFonts w:cstheme="minorHAnsi"/>
                <w:b/>
                <w:sz w:val="20"/>
                <w:szCs w:val="20"/>
              </w:rPr>
              <w:t>2025–26</w:t>
            </w:r>
          </w:p>
        </w:tc>
        <w:tc>
          <w:tcPr>
            <w:tcW w:w="736" w:type="pct"/>
            <w:tcBorders>
              <w:top w:val="single" w:sz="6" w:space="0" w:color="auto"/>
              <w:left w:val="single" w:sz="6" w:space="0" w:color="auto"/>
              <w:bottom w:val="single" w:sz="6" w:space="0" w:color="auto"/>
              <w:right w:val="single" w:sz="4" w:space="0" w:color="auto"/>
            </w:tcBorders>
            <w:shd w:val="clear" w:color="auto" w:fill="D9D9D6"/>
            <w:vAlign w:val="center"/>
            <w:hideMark/>
          </w:tcPr>
          <w:p w14:paraId="7E763861" w14:textId="77777777" w:rsidR="007713B1" w:rsidRPr="00723A4C" w:rsidRDefault="007713B1" w:rsidP="007713B1">
            <w:pPr>
              <w:spacing w:after="120"/>
              <w:rPr>
                <w:rFonts w:cstheme="minorHAnsi"/>
                <w:b/>
                <w:sz w:val="20"/>
                <w:szCs w:val="20"/>
              </w:rPr>
            </w:pPr>
            <w:r w:rsidRPr="00723A4C">
              <w:rPr>
                <w:rFonts w:cstheme="minorHAnsi"/>
                <w:b/>
                <w:sz w:val="20"/>
                <w:szCs w:val="20"/>
              </w:rPr>
              <w:t>2026–27</w:t>
            </w:r>
          </w:p>
        </w:tc>
      </w:tr>
      <w:tr w:rsidR="007713B1" w:rsidRPr="00AD63EC" w14:paraId="5B15FE71" w14:textId="77777777" w:rsidTr="007713B1">
        <w:trPr>
          <w:cantSplit/>
          <w:trHeight w:val="356"/>
          <w:jc w:val="center"/>
        </w:trPr>
        <w:tc>
          <w:tcPr>
            <w:tcW w:w="2066" w:type="pct"/>
            <w:tcBorders>
              <w:top w:val="single" w:sz="6" w:space="0" w:color="auto"/>
              <w:left w:val="single" w:sz="4" w:space="0" w:color="auto"/>
              <w:bottom w:val="single" w:sz="4" w:space="0" w:color="auto"/>
              <w:right w:val="single" w:sz="6" w:space="0" w:color="auto"/>
            </w:tcBorders>
          </w:tcPr>
          <w:p w14:paraId="623D1936" w14:textId="77777777" w:rsidR="007713B1" w:rsidRPr="00723A4C" w:rsidRDefault="007713B1" w:rsidP="007713B1">
            <w:pPr>
              <w:spacing w:after="120"/>
              <w:rPr>
                <w:rFonts w:cstheme="minorHAnsi"/>
                <w:sz w:val="20"/>
                <w:szCs w:val="20"/>
              </w:rPr>
            </w:pPr>
            <w:r w:rsidRPr="00723A4C">
              <w:rPr>
                <w:rFonts w:cstheme="minorHAnsi"/>
                <w:noProof/>
                <w:sz w:val="20"/>
                <w:szCs w:val="20"/>
              </w:rPr>
              <w:sym w:font="Wingdings" w:char="F074"/>
            </w:r>
            <w:r w:rsidRPr="00723A4C">
              <w:rPr>
                <w:rFonts w:cstheme="minorHAnsi"/>
                <w:sz w:val="20"/>
                <w:szCs w:val="20"/>
              </w:rPr>
              <w:t xml:space="preserve"> 1.2.1-1A At least 95% of eligible Parental Leave Pay families’ access payment.</w:t>
            </w:r>
          </w:p>
        </w:tc>
        <w:tc>
          <w:tcPr>
            <w:tcW w:w="733" w:type="pct"/>
            <w:tcBorders>
              <w:top w:val="single" w:sz="6" w:space="0" w:color="auto"/>
              <w:left w:val="single" w:sz="6" w:space="0" w:color="auto"/>
              <w:bottom w:val="single" w:sz="4" w:space="0" w:color="auto"/>
              <w:right w:val="single" w:sz="6" w:space="0" w:color="auto"/>
            </w:tcBorders>
            <w:hideMark/>
          </w:tcPr>
          <w:p w14:paraId="5CFD2AA5" w14:textId="77777777" w:rsidR="007713B1" w:rsidRPr="00723A4C" w:rsidRDefault="007713B1" w:rsidP="007713B1">
            <w:pPr>
              <w:spacing w:after="120"/>
              <w:rPr>
                <w:sz w:val="20"/>
                <w:szCs w:val="20"/>
              </w:rPr>
            </w:pPr>
            <w:r w:rsidRPr="00723A4C">
              <w:rPr>
                <w:sz w:val="20"/>
                <w:szCs w:val="20"/>
              </w:rPr>
              <w:t>≥95 %</w:t>
            </w:r>
          </w:p>
        </w:tc>
        <w:tc>
          <w:tcPr>
            <w:tcW w:w="733" w:type="pct"/>
            <w:tcBorders>
              <w:top w:val="single" w:sz="6" w:space="0" w:color="auto"/>
              <w:left w:val="single" w:sz="6" w:space="0" w:color="auto"/>
              <w:bottom w:val="single" w:sz="4" w:space="0" w:color="auto"/>
              <w:right w:val="single" w:sz="6" w:space="0" w:color="auto"/>
            </w:tcBorders>
            <w:hideMark/>
          </w:tcPr>
          <w:p w14:paraId="7759E9B5" w14:textId="77777777" w:rsidR="007713B1" w:rsidRPr="00723A4C" w:rsidRDefault="007713B1" w:rsidP="007713B1">
            <w:pPr>
              <w:spacing w:after="120"/>
              <w:rPr>
                <w:sz w:val="20"/>
                <w:szCs w:val="20"/>
              </w:rPr>
            </w:pPr>
            <w:r w:rsidRPr="00723A4C">
              <w:rPr>
                <w:sz w:val="20"/>
                <w:szCs w:val="20"/>
              </w:rPr>
              <w:t>≥95 %</w:t>
            </w:r>
          </w:p>
        </w:tc>
        <w:tc>
          <w:tcPr>
            <w:tcW w:w="733" w:type="pct"/>
            <w:tcBorders>
              <w:top w:val="single" w:sz="6" w:space="0" w:color="auto"/>
              <w:left w:val="single" w:sz="6" w:space="0" w:color="auto"/>
              <w:bottom w:val="single" w:sz="4" w:space="0" w:color="auto"/>
              <w:right w:val="single" w:sz="6" w:space="0" w:color="auto"/>
            </w:tcBorders>
            <w:hideMark/>
          </w:tcPr>
          <w:p w14:paraId="4F67C8ED" w14:textId="77777777" w:rsidR="007713B1" w:rsidRPr="00723A4C" w:rsidRDefault="007713B1" w:rsidP="007713B1">
            <w:pPr>
              <w:spacing w:after="120"/>
              <w:rPr>
                <w:sz w:val="20"/>
                <w:szCs w:val="20"/>
              </w:rPr>
            </w:pPr>
            <w:r w:rsidRPr="00723A4C">
              <w:rPr>
                <w:sz w:val="20"/>
                <w:szCs w:val="20"/>
              </w:rPr>
              <w:t>≥95 %</w:t>
            </w:r>
          </w:p>
        </w:tc>
        <w:tc>
          <w:tcPr>
            <w:tcW w:w="736" w:type="pct"/>
            <w:tcBorders>
              <w:top w:val="single" w:sz="6" w:space="0" w:color="auto"/>
              <w:left w:val="single" w:sz="6" w:space="0" w:color="auto"/>
              <w:bottom w:val="single" w:sz="4" w:space="0" w:color="auto"/>
              <w:right w:val="single" w:sz="4" w:space="0" w:color="auto"/>
            </w:tcBorders>
            <w:hideMark/>
          </w:tcPr>
          <w:p w14:paraId="5B9415D2" w14:textId="77777777" w:rsidR="007713B1" w:rsidRPr="00723A4C" w:rsidRDefault="007713B1" w:rsidP="007713B1">
            <w:pPr>
              <w:spacing w:after="120"/>
              <w:rPr>
                <w:sz w:val="20"/>
                <w:szCs w:val="20"/>
              </w:rPr>
            </w:pPr>
            <w:r w:rsidRPr="00723A4C">
              <w:rPr>
                <w:sz w:val="20"/>
                <w:szCs w:val="20"/>
              </w:rPr>
              <w:t>≥95 %</w:t>
            </w:r>
          </w:p>
        </w:tc>
      </w:tr>
    </w:tbl>
    <w:p w14:paraId="75CF1721" w14:textId="77777777" w:rsidR="007713B1" w:rsidRDefault="007713B1" w:rsidP="007713B1">
      <w:pPr>
        <w:spacing w:after="0" w:line="240" w:lineRule="auto"/>
        <w:rPr>
          <w:sz w:val="20"/>
          <w:szCs w:val="20"/>
        </w:rPr>
      </w:pPr>
    </w:p>
    <w:p w14:paraId="24B74447" w14:textId="77777777" w:rsidR="007713B1" w:rsidRPr="00E51A31" w:rsidRDefault="007713B1" w:rsidP="00027309">
      <w:pPr>
        <w:pStyle w:val="Heading4"/>
        <w:shd w:val="clear" w:color="auto" w:fill="D9D9D9" w:themeFill="background1" w:themeFillShade="D9"/>
      </w:pPr>
      <w:r w:rsidRPr="00AD63EC">
        <w:t>Rationale</w:t>
      </w:r>
    </w:p>
    <w:p w14:paraId="25C311DD" w14:textId="77777777" w:rsidR="007713B1" w:rsidRPr="00AD63EC" w:rsidRDefault="007713B1" w:rsidP="00B81E0C">
      <w:pPr>
        <w:pStyle w:val="Normalmorespace"/>
      </w:pPr>
      <w:r w:rsidRPr="00AD63EC">
        <w:t xml:space="preserve">Measuring the extent to which parents take Parental Leave Pay aims to demonstrate that parents are financially assisted to take time off work following the birth or adoption of a child. This measure demonstrates the </w:t>
      </w:r>
      <w:r w:rsidRPr="00AD63EC">
        <w:rPr>
          <w:b/>
        </w:rPr>
        <w:t>effectiveness</w:t>
      </w:r>
      <w:r w:rsidRPr="00AD63EC">
        <w:t xml:space="preserve"> of Parental Leave Pay in achieving the objective of the key activity: </w:t>
      </w:r>
      <w:r w:rsidRPr="00AD63EC">
        <w:rPr>
          <w:i/>
        </w:rPr>
        <w:t>To provide financial support to help eligible working parents spend more time at home with a new baby or recently adopted child, and to enhance the health and development of mothers and their children.</w:t>
      </w:r>
    </w:p>
    <w:p w14:paraId="47911C5C" w14:textId="76F0A1D8" w:rsidR="007713B1" w:rsidRDefault="007713B1" w:rsidP="00B81E0C">
      <w:pPr>
        <w:pStyle w:val="Normalmorespace"/>
      </w:pPr>
      <w:r w:rsidRPr="00AD63EC">
        <w:t xml:space="preserve">Targeting </w:t>
      </w:r>
      <w:r w:rsidR="007F57B7">
        <w:t xml:space="preserve">at least </w:t>
      </w:r>
      <w:r w:rsidRPr="00AD63EC">
        <w:t xml:space="preserve">95 per cent of eligible Parental Leave Pay families that access the payment demonstrates the </w:t>
      </w:r>
      <w:r w:rsidRPr="00AD63EC">
        <w:rPr>
          <w:b/>
        </w:rPr>
        <w:t>effectiveness</w:t>
      </w:r>
      <w:r w:rsidRPr="00AD63EC">
        <w:t xml:space="preserve"> of the key activity by showing the proportion of eligible families that are assisted by the payment to take time off work following the birth or adopti</w:t>
      </w:r>
      <w:r>
        <w:t>on of a child.</w:t>
      </w:r>
    </w:p>
    <w:p w14:paraId="24F9BD6E" w14:textId="77777777" w:rsidR="007713B1" w:rsidRPr="00AD63EC" w:rsidRDefault="007713B1" w:rsidP="00027309">
      <w:pPr>
        <w:pStyle w:val="Heading4"/>
        <w:shd w:val="clear" w:color="auto" w:fill="D9D9D9" w:themeFill="background1" w:themeFillShade="D9"/>
      </w:pPr>
      <w:r w:rsidRPr="00AD63EC">
        <w:t>Methodology</w:t>
      </w:r>
    </w:p>
    <w:p w14:paraId="1BE4EDCB" w14:textId="77777777" w:rsidR="007713B1" w:rsidRPr="00AD63EC" w:rsidRDefault="007713B1" w:rsidP="00B81E0C">
      <w:pPr>
        <w:pStyle w:val="Normalmorespace"/>
      </w:pPr>
      <w:r w:rsidRPr="00AD63EC">
        <w:t xml:space="preserve">Eligibility is defined as Parental Leave Pay families </w:t>
      </w:r>
      <w:r>
        <w:t>that receive Parental Leave Pay</w:t>
      </w:r>
      <w:r w:rsidRPr="00AD63EC">
        <w:t>.  Access is defined as the receipt of the payment for the entire entitlement period for which the payment is available to the family. For children born or adopted before 1 July 2023, this would be 18 weeks of Parental Leave Pay; for children born or adopted from 1 July 2023, this would be 20 weeks of Parental Leave Pay.</w:t>
      </w:r>
    </w:p>
    <w:p w14:paraId="38834D81" w14:textId="77777777" w:rsidR="007713B1" w:rsidRPr="00AD63EC" w:rsidRDefault="007713B1" w:rsidP="00B81E0C">
      <w:pPr>
        <w:pStyle w:val="Normalmorespace"/>
      </w:pPr>
      <w:r w:rsidRPr="00AD63EC">
        <w:t>The percent</w:t>
      </w:r>
      <w:r>
        <w:t>age</w:t>
      </w:r>
      <w:r w:rsidRPr="00AD63EC">
        <w:t xml:space="preserve"> is based on the number of Parental Leave Pay children whose</w:t>
      </w:r>
      <w:r>
        <w:t xml:space="preserve"> parents took the full </w:t>
      </w:r>
      <w:r w:rsidRPr="00AD63EC">
        <w:t>weeks of Parental Leave Pay as a proportion of the total number of Parental Leave Pay recipients whose payments were finalised during the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Source"/>
        <w:tblDescription w:val="SS: The data source used for this calculation is Services Australia administrative data"/>
      </w:tblPr>
      <w:tblGrid>
        <w:gridCol w:w="988"/>
        <w:gridCol w:w="8028"/>
      </w:tblGrid>
      <w:tr w:rsidR="00AB1756" w:rsidRPr="00334F13" w14:paraId="55555B77" w14:textId="77777777" w:rsidTr="0017156F">
        <w:trPr>
          <w:trHeight w:val="737"/>
          <w:tblHeader/>
        </w:trPr>
        <w:tc>
          <w:tcPr>
            <w:tcW w:w="988" w:type="dxa"/>
            <w:vAlign w:val="center"/>
          </w:tcPr>
          <w:p w14:paraId="25C5C5D8" w14:textId="77777777" w:rsidR="00AB1756" w:rsidRDefault="00AB1756" w:rsidP="00F76253">
            <w:r>
              <w:rPr>
                <w:noProof/>
                <w:color w:val="000000" w:themeColor="text1"/>
              </w:rPr>
              <w:drawing>
                <wp:inline distT="0" distB="0" distL="0" distR="0" wp14:anchorId="46A2D8D2" wp14:editId="7064BC0A">
                  <wp:extent cx="457200" cy="342900"/>
                  <wp:effectExtent l="0" t="0" r="0" b="0"/>
                  <wp:docPr id="680" name="Picture 680"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vAlign w:val="center"/>
          </w:tcPr>
          <w:p w14:paraId="2F43C124" w14:textId="77777777" w:rsidR="00AB1756" w:rsidRPr="00334F13" w:rsidRDefault="00AB1756" w:rsidP="00F76253">
            <w:pPr>
              <w:rPr>
                <w:sz w:val="20"/>
                <w:szCs w:val="20"/>
              </w:rPr>
            </w:pPr>
            <w:r w:rsidRPr="00334F13">
              <w:rPr>
                <w:sz w:val="20"/>
                <w:szCs w:val="20"/>
              </w:rPr>
              <w:t xml:space="preserve">The </w:t>
            </w:r>
            <w:r w:rsidRPr="00334F13">
              <w:rPr>
                <w:b/>
                <w:sz w:val="20"/>
                <w:szCs w:val="20"/>
              </w:rPr>
              <w:t>data source</w:t>
            </w:r>
            <w:r w:rsidRPr="00334F13">
              <w:rPr>
                <w:sz w:val="20"/>
                <w:szCs w:val="20"/>
              </w:rPr>
              <w:t xml:space="preserve"> used for this calculation is </w:t>
            </w:r>
            <w:r>
              <w:rPr>
                <w:sz w:val="20"/>
                <w:szCs w:val="20"/>
              </w:rPr>
              <w:t>Services Australia administrative data</w:t>
            </w:r>
          </w:p>
        </w:tc>
      </w:tr>
    </w:tbl>
    <w:p w14:paraId="7B023F93" w14:textId="77777777" w:rsidR="007713B1" w:rsidRPr="00AD63EC" w:rsidRDefault="007713B1" w:rsidP="00027309">
      <w:pPr>
        <w:pStyle w:val="Heading4"/>
        <w:shd w:val="clear" w:color="auto" w:fill="D9D9D9" w:themeFill="background1" w:themeFillShade="D9"/>
      </w:pPr>
      <w:r w:rsidRPr="00AD63EC">
        <w:t xml:space="preserve">Supporting Information </w:t>
      </w:r>
    </w:p>
    <w:p w14:paraId="204DD64D" w14:textId="77777777" w:rsidR="007713B1" w:rsidRPr="00092995" w:rsidRDefault="007713B1" w:rsidP="007572E0">
      <w:pPr>
        <w:pStyle w:val="ListParagraph"/>
        <w:numPr>
          <w:ilvl w:val="0"/>
          <w:numId w:val="28"/>
        </w:numPr>
        <w:spacing w:before="80" w:after="80" w:line="240" w:lineRule="auto"/>
        <w:ind w:left="641" w:hanging="357"/>
        <w:contextualSpacing w:val="0"/>
        <w:rPr>
          <w:sz w:val="20"/>
          <w:szCs w:val="20"/>
        </w:rPr>
      </w:pPr>
      <w:r w:rsidRPr="00092995">
        <w:rPr>
          <w:sz w:val="20"/>
          <w:szCs w:val="20"/>
        </w:rPr>
        <w:t xml:space="preserve">Administered outlays </w:t>
      </w:r>
      <w:r w:rsidRPr="00092995">
        <w:rPr>
          <w:sz w:val="20"/>
          <w:szCs w:val="20"/>
        </w:rPr>
        <w:tab/>
      </w:r>
    </w:p>
    <w:p w14:paraId="65231107" w14:textId="77777777" w:rsidR="007713B1" w:rsidRPr="00C075A0" w:rsidRDefault="007713B1" w:rsidP="007572E0">
      <w:pPr>
        <w:pStyle w:val="ListParagraph"/>
        <w:numPr>
          <w:ilvl w:val="0"/>
          <w:numId w:val="28"/>
        </w:numPr>
        <w:spacing w:before="80" w:after="80" w:line="240" w:lineRule="auto"/>
        <w:ind w:left="641" w:hanging="357"/>
        <w:contextualSpacing w:val="0"/>
        <w:rPr>
          <w:sz w:val="20"/>
          <w:szCs w:val="20"/>
        </w:rPr>
      </w:pPr>
      <w:r w:rsidRPr="00092995">
        <w:rPr>
          <w:sz w:val="20"/>
          <w:szCs w:val="20"/>
        </w:rPr>
        <w:t>Number of recipients</w:t>
      </w:r>
      <w:r w:rsidRPr="00C075A0">
        <w:rPr>
          <w:sz w:val="20"/>
          <w:szCs w:val="20"/>
        </w:rPr>
        <w:br w:type="page"/>
      </w:r>
    </w:p>
    <w:p w14:paraId="0D511735" w14:textId="77777777" w:rsidR="007713B1" w:rsidRPr="004F492F" w:rsidRDefault="007713B1" w:rsidP="007A03BF">
      <w:pPr>
        <w:pStyle w:val="Heading3"/>
      </w:pPr>
      <w:r>
        <w:t xml:space="preserve">PROGRAM 1.3 </w:t>
      </w:r>
      <w:r w:rsidRPr="004F492F">
        <w:t>SUPPORT FOR SENIORS</w:t>
      </w:r>
    </w:p>
    <w:p w14:paraId="7AF401AD" w14:textId="77777777" w:rsidR="007713B1" w:rsidRPr="004F492F" w:rsidRDefault="007713B1" w:rsidP="007713B1">
      <w:pPr>
        <w:shd w:val="clear" w:color="auto" w:fill="005A70"/>
        <w:rPr>
          <w:sz w:val="20"/>
          <w:szCs w:val="20"/>
        </w:rPr>
      </w:pPr>
      <w:r>
        <w:rPr>
          <w:color w:val="FFFFFF" w:themeColor="background1"/>
          <w:sz w:val="20"/>
          <w:szCs w:val="20"/>
        </w:rPr>
        <w:t>T</w:t>
      </w:r>
      <w:r w:rsidRPr="004F492F">
        <w:rPr>
          <w:color w:val="FFFFFF" w:themeColor="background1"/>
          <w:sz w:val="20"/>
          <w:szCs w:val="20"/>
        </w:rPr>
        <w:t xml:space="preserve">o assist </w:t>
      </w:r>
      <w:r>
        <w:rPr>
          <w:color w:val="FFFFFF" w:themeColor="background1"/>
          <w:sz w:val="20"/>
          <w:szCs w:val="20"/>
        </w:rPr>
        <w:t xml:space="preserve">eligible senior Australians </w:t>
      </w:r>
      <w:r w:rsidRPr="004F492F">
        <w:rPr>
          <w:color w:val="FFFFFF" w:themeColor="background1"/>
          <w:sz w:val="20"/>
          <w:szCs w:val="20"/>
        </w:rPr>
        <w:t xml:space="preserve">financially </w:t>
      </w:r>
      <w:r>
        <w:rPr>
          <w:color w:val="FFFFFF" w:themeColor="background1"/>
          <w:sz w:val="20"/>
          <w:szCs w:val="20"/>
        </w:rPr>
        <w:t xml:space="preserve">and to encourage them to use financial resources to support their retirement income.  </w:t>
      </w:r>
    </w:p>
    <w:p w14:paraId="7DF1373D" w14:textId="77777777" w:rsidR="007713B1" w:rsidRPr="004F492F" w:rsidRDefault="007713B1" w:rsidP="00027309">
      <w:pPr>
        <w:pStyle w:val="Heading4"/>
        <w:shd w:val="clear" w:color="auto" w:fill="D9D9D9" w:themeFill="background1" w:themeFillShade="D9"/>
      </w:pPr>
      <w:r w:rsidRPr="004F492F">
        <w:t>Key Activity – 1.3.1 Age Pension</w:t>
      </w:r>
    </w:p>
    <w:p w14:paraId="29E126DB" w14:textId="77777777" w:rsidR="007713B1" w:rsidRPr="004F492F" w:rsidRDefault="007713B1" w:rsidP="00B81E0C">
      <w:pPr>
        <w:pStyle w:val="Normalmorespace"/>
      </w:pPr>
      <w:r w:rsidRPr="004F492F">
        <w:t>The Age Pension is a key activity of the Support for Seniors Program. The key activity provide</w:t>
      </w:r>
      <w:r>
        <w:t>s</w:t>
      </w:r>
      <w:r w:rsidRPr="004F492F">
        <w:t xml:space="preserve"> income support to </w:t>
      </w:r>
      <w:r w:rsidRPr="004F492F">
        <w:rPr>
          <w:b/>
        </w:rPr>
        <w:t>Senior Australians</w:t>
      </w:r>
      <w:r w:rsidRPr="004F492F">
        <w:t xml:space="preserve"> who need it, while encouraging pensioners to maximise their overall incomes. The Age Pension is paid to people who meet age and residency requirements, subject to a means test. Pension rates are indexed to ensure they keep pace with Australian price and wage increases.</w:t>
      </w:r>
    </w:p>
    <w:p w14:paraId="3D9C779A" w14:textId="77777777" w:rsidR="007713B1" w:rsidRPr="004F492F" w:rsidRDefault="007713B1" w:rsidP="00B81E0C">
      <w:pPr>
        <w:pStyle w:val="Normalmorespace"/>
      </w:pPr>
      <w:r w:rsidRPr="004F492F">
        <w:rPr>
          <w:b/>
        </w:rPr>
        <w:t>The department</w:t>
      </w:r>
      <w:r w:rsidRPr="004F492F">
        <w:t xml:space="preserve"> is responsible for designing and implementing the key activity, including providing advice to Government on policy and legislation, program implementation and management, program performance, monitoring and meeting all relevant deliverables, setting guidelines and providing guidance and advice to Services Australia on the administration of the program. </w:t>
      </w:r>
    </w:p>
    <w:p w14:paraId="36A512D5" w14:textId="77777777" w:rsidR="007713B1" w:rsidRPr="004F492F" w:rsidRDefault="007713B1" w:rsidP="00B81E0C">
      <w:pPr>
        <w:pStyle w:val="Normalmorespace"/>
      </w:pPr>
      <w:r w:rsidRPr="004F492F">
        <w:rPr>
          <w:b/>
        </w:rPr>
        <w:t>Services Australia</w:t>
      </w:r>
      <w:r w:rsidRPr="004F492F">
        <w:t xml:space="preserve"> is the primary portfolio agency responsible for administering the key activity on</w:t>
      </w:r>
      <w:r>
        <w:t> </w:t>
      </w:r>
      <w:r w:rsidRPr="004F492F">
        <w:t>the department’s behalf including receiving, processing and managing applications and delivering payments.</w:t>
      </w:r>
    </w:p>
    <w:tbl>
      <w:tblPr>
        <w:tblStyle w:val="TableGrid39"/>
        <w:tblW w:w="5002" w:type="pct"/>
        <w:jc w:val="center"/>
        <w:tblLook w:val="04A0" w:firstRow="1" w:lastRow="0" w:firstColumn="1" w:lastColumn="0" w:noHBand="0" w:noVBand="1"/>
        <w:tblCaption w:val="1.3.1-1 performance measure and target"/>
        <w:tblDescription w:val="Table outlines the targeted payment percentages across 2023-24, 2024-25 and 2025-26 and 2026-27"/>
      </w:tblPr>
      <w:tblGrid>
        <w:gridCol w:w="3983"/>
        <w:gridCol w:w="1341"/>
        <w:gridCol w:w="1341"/>
        <w:gridCol w:w="1341"/>
        <w:gridCol w:w="1342"/>
      </w:tblGrid>
      <w:tr w:rsidR="007713B1" w:rsidRPr="004F492F" w14:paraId="50FDC5BA" w14:textId="77777777" w:rsidTr="00CD76E2">
        <w:trPr>
          <w:cantSplit/>
          <w:trHeight w:val="356"/>
          <w:tblHeader/>
          <w:jc w:val="center"/>
        </w:trPr>
        <w:tc>
          <w:tcPr>
            <w:tcW w:w="5000" w:type="pct"/>
            <w:gridSpan w:val="5"/>
            <w:shd w:val="clear" w:color="auto" w:fill="D9D9D6"/>
          </w:tcPr>
          <w:p w14:paraId="75D03E95" w14:textId="77777777" w:rsidR="007713B1" w:rsidRPr="00723A4C" w:rsidRDefault="007713B1" w:rsidP="007713B1">
            <w:pPr>
              <w:spacing w:after="120"/>
              <w:rPr>
                <w:b/>
                <w:sz w:val="20"/>
                <w:szCs w:val="20"/>
              </w:rPr>
            </w:pPr>
            <w:r w:rsidRPr="00723A4C">
              <w:rPr>
                <w:b/>
                <w:sz w:val="20"/>
                <w:szCs w:val="20"/>
              </w:rPr>
              <w:t>Performance Measure</w:t>
            </w:r>
            <w:r w:rsidRPr="00723A4C">
              <w:rPr>
                <w:b/>
                <w:sz w:val="20"/>
                <w:szCs w:val="20"/>
              </w:rPr>
              <w:tab/>
            </w:r>
          </w:p>
        </w:tc>
      </w:tr>
      <w:tr w:rsidR="007713B1" w:rsidRPr="004F492F" w14:paraId="701CFAAD" w14:textId="77777777" w:rsidTr="007713B1">
        <w:trPr>
          <w:cantSplit/>
          <w:trHeight w:val="356"/>
          <w:jc w:val="center"/>
        </w:trPr>
        <w:tc>
          <w:tcPr>
            <w:tcW w:w="5000" w:type="pct"/>
            <w:gridSpan w:val="5"/>
            <w:shd w:val="clear" w:color="auto" w:fill="auto"/>
          </w:tcPr>
          <w:p w14:paraId="3297441E" w14:textId="77777777" w:rsidR="007713B1" w:rsidRPr="00723A4C" w:rsidRDefault="007713B1" w:rsidP="00B81E0C">
            <w:pPr>
              <w:spacing w:after="120"/>
              <w:rPr>
                <w:rFonts w:cstheme="minorHAnsi"/>
                <w:b/>
                <w:sz w:val="20"/>
                <w:szCs w:val="20"/>
              </w:rPr>
            </w:pPr>
            <w:r w:rsidRPr="00723A4C">
              <w:rPr>
                <w:sz w:val="20"/>
                <w:szCs w:val="20"/>
              </w:rPr>
              <w:t>1.3.1-1 Extent to which people over the Age Pension qualification age are supported in their retirement through the Age Pension or other income support.</w:t>
            </w:r>
          </w:p>
        </w:tc>
      </w:tr>
      <w:tr w:rsidR="007713B1" w:rsidRPr="004F492F" w14:paraId="1B4EA8B8" w14:textId="77777777" w:rsidTr="007713B1">
        <w:trPr>
          <w:cantSplit/>
          <w:trHeight w:val="356"/>
          <w:jc w:val="center"/>
        </w:trPr>
        <w:tc>
          <w:tcPr>
            <w:tcW w:w="2131" w:type="pct"/>
            <w:shd w:val="clear" w:color="auto" w:fill="D9D9D6"/>
          </w:tcPr>
          <w:p w14:paraId="22C9BF80" w14:textId="77777777" w:rsidR="007713B1" w:rsidRPr="00723A4C" w:rsidRDefault="007713B1" w:rsidP="007713B1">
            <w:pPr>
              <w:spacing w:after="120"/>
              <w:rPr>
                <w:rFonts w:cstheme="minorHAnsi"/>
                <w:sz w:val="20"/>
                <w:szCs w:val="20"/>
              </w:rPr>
            </w:pPr>
            <w:r w:rsidRPr="00723A4C">
              <w:rPr>
                <w:rFonts w:cstheme="minorHAnsi"/>
                <w:b/>
                <w:sz w:val="20"/>
                <w:szCs w:val="20"/>
              </w:rPr>
              <w:t>Target</w:t>
            </w:r>
          </w:p>
        </w:tc>
        <w:tc>
          <w:tcPr>
            <w:tcW w:w="717" w:type="pct"/>
            <w:shd w:val="clear" w:color="auto" w:fill="D9D9D6"/>
            <w:vAlign w:val="center"/>
          </w:tcPr>
          <w:p w14:paraId="30C466B2" w14:textId="77777777" w:rsidR="007713B1" w:rsidRPr="00723A4C" w:rsidRDefault="007713B1" w:rsidP="007713B1">
            <w:pPr>
              <w:spacing w:after="120"/>
              <w:rPr>
                <w:rFonts w:cstheme="minorHAnsi"/>
                <w:sz w:val="20"/>
                <w:szCs w:val="20"/>
              </w:rPr>
            </w:pPr>
            <w:r w:rsidRPr="00723A4C">
              <w:rPr>
                <w:rFonts w:cstheme="minorHAnsi"/>
                <w:b/>
                <w:sz w:val="20"/>
                <w:szCs w:val="20"/>
              </w:rPr>
              <w:t>2023–24</w:t>
            </w:r>
          </w:p>
        </w:tc>
        <w:tc>
          <w:tcPr>
            <w:tcW w:w="717" w:type="pct"/>
            <w:shd w:val="clear" w:color="auto" w:fill="D9D9D6"/>
            <w:vAlign w:val="center"/>
          </w:tcPr>
          <w:p w14:paraId="79A4824B" w14:textId="77777777" w:rsidR="007713B1" w:rsidRPr="00723A4C" w:rsidRDefault="007713B1" w:rsidP="007713B1">
            <w:pPr>
              <w:spacing w:after="120"/>
              <w:rPr>
                <w:rFonts w:cstheme="minorHAnsi"/>
                <w:b/>
                <w:sz w:val="20"/>
                <w:szCs w:val="20"/>
              </w:rPr>
            </w:pPr>
            <w:r w:rsidRPr="00723A4C">
              <w:rPr>
                <w:rFonts w:cstheme="minorHAnsi"/>
                <w:b/>
                <w:sz w:val="20"/>
                <w:szCs w:val="20"/>
              </w:rPr>
              <w:t>2024–25</w:t>
            </w:r>
          </w:p>
        </w:tc>
        <w:tc>
          <w:tcPr>
            <w:tcW w:w="717" w:type="pct"/>
            <w:shd w:val="clear" w:color="auto" w:fill="D9D9D6"/>
            <w:vAlign w:val="center"/>
          </w:tcPr>
          <w:p w14:paraId="372769F6" w14:textId="77777777" w:rsidR="007713B1" w:rsidRPr="00723A4C" w:rsidRDefault="007713B1" w:rsidP="007713B1">
            <w:pPr>
              <w:spacing w:after="120"/>
              <w:rPr>
                <w:rFonts w:cstheme="minorHAnsi"/>
                <w:b/>
                <w:sz w:val="20"/>
                <w:szCs w:val="20"/>
              </w:rPr>
            </w:pPr>
            <w:r w:rsidRPr="00723A4C">
              <w:rPr>
                <w:rFonts w:cstheme="minorHAnsi"/>
                <w:b/>
                <w:sz w:val="20"/>
                <w:szCs w:val="20"/>
              </w:rPr>
              <w:t>2025–26</w:t>
            </w:r>
          </w:p>
        </w:tc>
        <w:tc>
          <w:tcPr>
            <w:tcW w:w="718" w:type="pct"/>
            <w:shd w:val="clear" w:color="auto" w:fill="D9D9D6"/>
            <w:vAlign w:val="center"/>
          </w:tcPr>
          <w:p w14:paraId="7E18DFCD" w14:textId="77777777" w:rsidR="007713B1" w:rsidRPr="00723A4C" w:rsidRDefault="007713B1" w:rsidP="007713B1">
            <w:pPr>
              <w:spacing w:after="120"/>
              <w:rPr>
                <w:rFonts w:cstheme="minorHAnsi"/>
                <w:b/>
                <w:sz w:val="20"/>
                <w:szCs w:val="20"/>
              </w:rPr>
            </w:pPr>
            <w:r w:rsidRPr="00723A4C">
              <w:rPr>
                <w:rFonts w:cstheme="minorHAnsi"/>
                <w:b/>
                <w:sz w:val="20"/>
                <w:szCs w:val="20"/>
              </w:rPr>
              <w:t>2026–27</w:t>
            </w:r>
          </w:p>
        </w:tc>
      </w:tr>
      <w:tr w:rsidR="007713B1" w:rsidRPr="004F492F" w14:paraId="192B8AE1" w14:textId="77777777" w:rsidTr="007713B1">
        <w:trPr>
          <w:cantSplit/>
          <w:trHeight w:val="356"/>
          <w:jc w:val="center"/>
        </w:trPr>
        <w:tc>
          <w:tcPr>
            <w:tcW w:w="2131" w:type="pct"/>
            <w:shd w:val="clear" w:color="auto" w:fill="auto"/>
          </w:tcPr>
          <w:p w14:paraId="33AB6E64" w14:textId="17A4A5BE" w:rsidR="007713B1" w:rsidRPr="00723A4C" w:rsidRDefault="007713B1" w:rsidP="007713B1">
            <w:pPr>
              <w:spacing w:after="120"/>
              <w:rPr>
                <w:rFonts w:cstheme="minorHAnsi"/>
                <w:sz w:val="20"/>
                <w:szCs w:val="20"/>
              </w:rPr>
            </w:pPr>
            <w:r w:rsidRPr="00723A4C">
              <w:rPr>
                <w:sz w:val="20"/>
                <w:szCs w:val="20"/>
              </w:rPr>
              <w:sym w:font="Wingdings" w:char="F074"/>
            </w:r>
            <w:r w:rsidR="00366C4D">
              <w:rPr>
                <w:sz w:val="20"/>
                <w:szCs w:val="20"/>
              </w:rPr>
              <w:t xml:space="preserve"> </w:t>
            </w:r>
            <w:r w:rsidRPr="00723A4C">
              <w:rPr>
                <w:sz w:val="20"/>
                <w:szCs w:val="20"/>
              </w:rPr>
              <w:t xml:space="preserve">1.3.1-1A </w:t>
            </w:r>
            <w:r w:rsidRPr="00723A4C">
              <w:rPr>
                <w:rFonts w:cstheme="minorHAnsi"/>
                <w:sz w:val="20"/>
                <w:szCs w:val="20"/>
              </w:rPr>
              <w:t>75% or below of people of Age Pension age are supported by the Age Pension or other income support.</w:t>
            </w:r>
          </w:p>
        </w:tc>
        <w:tc>
          <w:tcPr>
            <w:tcW w:w="717" w:type="pct"/>
            <w:shd w:val="clear" w:color="auto" w:fill="auto"/>
          </w:tcPr>
          <w:p w14:paraId="52B6BA1C" w14:textId="77777777" w:rsidR="007713B1" w:rsidRPr="00723A4C" w:rsidRDefault="007713B1" w:rsidP="007713B1">
            <w:pPr>
              <w:spacing w:after="120"/>
              <w:rPr>
                <w:rFonts w:cstheme="minorHAnsi"/>
                <w:sz w:val="20"/>
                <w:szCs w:val="20"/>
              </w:rPr>
            </w:pPr>
            <w:r w:rsidRPr="00723A4C">
              <w:rPr>
                <w:sz w:val="20"/>
                <w:szCs w:val="20"/>
                <w:u w:val="single"/>
                <w:lang w:eastAsia="en-GB"/>
              </w:rPr>
              <w:t>&lt;</w:t>
            </w:r>
            <w:r w:rsidRPr="00723A4C">
              <w:rPr>
                <w:sz w:val="20"/>
                <w:szCs w:val="20"/>
                <w:lang w:eastAsia="en-GB"/>
              </w:rPr>
              <w:t xml:space="preserve"> 75 %</w:t>
            </w:r>
          </w:p>
        </w:tc>
        <w:tc>
          <w:tcPr>
            <w:tcW w:w="717" w:type="pct"/>
            <w:shd w:val="clear" w:color="auto" w:fill="auto"/>
          </w:tcPr>
          <w:p w14:paraId="470E9E76" w14:textId="77777777" w:rsidR="007713B1" w:rsidRPr="00723A4C" w:rsidRDefault="007713B1" w:rsidP="007713B1">
            <w:pPr>
              <w:spacing w:after="120"/>
              <w:rPr>
                <w:rFonts w:cstheme="minorHAnsi"/>
                <w:sz w:val="20"/>
                <w:szCs w:val="20"/>
              </w:rPr>
            </w:pPr>
            <w:r w:rsidRPr="00723A4C">
              <w:rPr>
                <w:sz w:val="20"/>
                <w:szCs w:val="20"/>
                <w:u w:val="single"/>
                <w:lang w:eastAsia="en-GB"/>
              </w:rPr>
              <w:t>&lt;</w:t>
            </w:r>
            <w:r w:rsidRPr="00723A4C">
              <w:rPr>
                <w:sz w:val="20"/>
                <w:szCs w:val="20"/>
                <w:lang w:eastAsia="en-GB"/>
              </w:rPr>
              <w:t xml:space="preserve"> 75 %</w:t>
            </w:r>
          </w:p>
        </w:tc>
        <w:tc>
          <w:tcPr>
            <w:tcW w:w="717" w:type="pct"/>
            <w:shd w:val="clear" w:color="auto" w:fill="auto"/>
          </w:tcPr>
          <w:p w14:paraId="16E1E9FD" w14:textId="77777777" w:rsidR="007713B1" w:rsidRPr="00723A4C" w:rsidRDefault="007713B1" w:rsidP="007713B1">
            <w:pPr>
              <w:spacing w:after="120"/>
              <w:rPr>
                <w:rFonts w:cstheme="minorHAnsi"/>
                <w:sz w:val="20"/>
                <w:szCs w:val="20"/>
              </w:rPr>
            </w:pPr>
            <w:r w:rsidRPr="00723A4C">
              <w:rPr>
                <w:sz w:val="20"/>
                <w:szCs w:val="20"/>
                <w:u w:val="single"/>
                <w:lang w:eastAsia="en-GB"/>
              </w:rPr>
              <w:t>&lt;</w:t>
            </w:r>
            <w:r w:rsidRPr="00723A4C">
              <w:rPr>
                <w:sz w:val="20"/>
                <w:szCs w:val="20"/>
                <w:lang w:eastAsia="en-GB"/>
              </w:rPr>
              <w:t xml:space="preserve"> 75 %</w:t>
            </w:r>
          </w:p>
        </w:tc>
        <w:tc>
          <w:tcPr>
            <w:tcW w:w="718" w:type="pct"/>
            <w:shd w:val="clear" w:color="auto" w:fill="FFFFFF" w:themeFill="background1"/>
          </w:tcPr>
          <w:p w14:paraId="73DA4F92" w14:textId="77777777" w:rsidR="007713B1" w:rsidRPr="00723A4C" w:rsidRDefault="007713B1" w:rsidP="007713B1">
            <w:pPr>
              <w:spacing w:after="120"/>
              <w:rPr>
                <w:rFonts w:cstheme="minorHAnsi"/>
                <w:sz w:val="20"/>
                <w:szCs w:val="20"/>
              </w:rPr>
            </w:pPr>
            <w:r w:rsidRPr="00723A4C">
              <w:rPr>
                <w:sz w:val="20"/>
                <w:szCs w:val="20"/>
                <w:u w:val="single"/>
                <w:lang w:eastAsia="en-GB"/>
              </w:rPr>
              <w:t>&lt;</w:t>
            </w:r>
            <w:r w:rsidRPr="00723A4C">
              <w:rPr>
                <w:sz w:val="20"/>
                <w:szCs w:val="20"/>
                <w:lang w:eastAsia="en-GB"/>
              </w:rPr>
              <w:t xml:space="preserve"> 75 %</w:t>
            </w:r>
          </w:p>
        </w:tc>
      </w:tr>
    </w:tbl>
    <w:p w14:paraId="0A26E5BF" w14:textId="77777777" w:rsidR="00013CF0" w:rsidRDefault="00013CF0" w:rsidP="00013CF0">
      <w:pPr>
        <w:pStyle w:val="Heading4"/>
        <w:shd w:val="clear" w:color="auto" w:fill="auto"/>
      </w:pPr>
    </w:p>
    <w:p w14:paraId="3D63C2F6" w14:textId="265C9725" w:rsidR="007713B1" w:rsidRPr="004F492F" w:rsidRDefault="007713B1" w:rsidP="00027309">
      <w:pPr>
        <w:pStyle w:val="Heading4"/>
        <w:shd w:val="clear" w:color="auto" w:fill="D9D9D9" w:themeFill="background1" w:themeFillShade="D9"/>
      </w:pPr>
      <w:r w:rsidRPr="004F492F">
        <w:t xml:space="preserve">Rationale </w:t>
      </w:r>
    </w:p>
    <w:p w14:paraId="373B3B3F" w14:textId="77777777" w:rsidR="007713B1" w:rsidRPr="0060232E" w:rsidRDefault="007713B1" w:rsidP="00B81E0C">
      <w:pPr>
        <w:pStyle w:val="Normalmorespace"/>
        <w:rPr>
          <w:i/>
        </w:rPr>
      </w:pPr>
      <w:r w:rsidRPr="004F492F">
        <w:t>Measuring the extent to which people over the Age Pension qualification age are supported in their retirement through the Age Pension, or other income support, demonstrate</w:t>
      </w:r>
      <w:r>
        <w:t>s</w:t>
      </w:r>
      <w:r w:rsidRPr="004F492F">
        <w:t xml:space="preserve"> that senior Australians with low to moderate means are assisted financially. This measure demonstrates the </w:t>
      </w:r>
      <w:r w:rsidRPr="004F492F">
        <w:rPr>
          <w:b/>
        </w:rPr>
        <w:t>effectiveness</w:t>
      </w:r>
      <w:r w:rsidRPr="004F492F">
        <w:t xml:space="preserve"> of the Age Pension in achieving the objective of the key activity: </w:t>
      </w:r>
      <w:r w:rsidRPr="0060232E">
        <w:rPr>
          <w:i/>
        </w:rPr>
        <w:t>Senior Australians are assisted financially in a manner that encourages them to productively manage resources and life transitions.</w:t>
      </w:r>
    </w:p>
    <w:p w14:paraId="765CBE98" w14:textId="77777777" w:rsidR="007713B1" w:rsidRPr="004F492F" w:rsidRDefault="007713B1" w:rsidP="00B81E0C">
      <w:pPr>
        <w:pStyle w:val="Normalmorespace"/>
      </w:pPr>
      <w:r w:rsidRPr="004F492F">
        <w:t xml:space="preserve">Targeting 75 per cent or below of people of Age Pension age that are supported by the Age Pension or other income support, demonstrates the </w:t>
      </w:r>
      <w:r w:rsidRPr="004F492F">
        <w:rPr>
          <w:b/>
        </w:rPr>
        <w:t>effectiveness</w:t>
      </w:r>
      <w:r w:rsidRPr="004F492F">
        <w:t xml:space="preserve"> of the key activity by showing:</w:t>
      </w:r>
    </w:p>
    <w:p w14:paraId="5F08BDD6" w14:textId="77777777" w:rsidR="007713B1" w:rsidRPr="005162B4" w:rsidRDefault="007713B1" w:rsidP="00B81E0C">
      <w:pPr>
        <w:pStyle w:val="ListParagraph"/>
        <w:numPr>
          <w:ilvl w:val="0"/>
          <w:numId w:val="28"/>
        </w:numPr>
        <w:spacing w:before="80" w:after="80" w:line="240" w:lineRule="auto"/>
        <w:ind w:left="714" w:hanging="357"/>
        <w:contextualSpacing w:val="0"/>
        <w:rPr>
          <w:sz w:val="20"/>
          <w:szCs w:val="20"/>
        </w:rPr>
      </w:pPr>
      <w:r w:rsidRPr="005162B4">
        <w:rPr>
          <w:sz w:val="20"/>
          <w:szCs w:val="20"/>
        </w:rPr>
        <w:t>Funding is targeted to senior Australians with low to moderate means to maintain their financial wellbeing, in a manner that encourages self-reliance during retirement</w:t>
      </w:r>
    </w:p>
    <w:p w14:paraId="6D6794E1" w14:textId="372D2910" w:rsidR="007713B1" w:rsidRDefault="007713B1" w:rsidP="00B81E0C">
      <w:pPr>
        <w:pStyle w:val="ListParagraph"/>
        <w:numPr>
          <w:ilvl w:val="0"/>
          <w:numId w:val="28"/>
        </w:numPr>
        <w:spacing w:before="80" w:after="80" w:line="240" w:lineRule="auto"/>
        <w:ind w:left="714" w:hanging="357"/>
        <w:contextualSpacing w:val="0"/>
        <w:rPr>
          <w:sz w:val="20"/>
          <w:szCs w:val="20"/>
        </w:rPr>
      </w:pPr>
      <w:r w:rsidRPr="005162B4">
        <w:rPr>
          <w:sz w:val="20"/>
          <w:szCs w:val="20"/>
        </w:rPr>
        <w:t>The remaining proportion of senior Australians not receiving a payment can fully support themselves due to the level of their income and assets, consistent with the objective of self-reliance.</w:t>
      </w:r>
    </w:p>
    <w:p w14:paraId="5A8D2074" w14:textId="2A8B2E02" w:rsidR="00013CF0" w:rsidRDefault="00013CF0" w:rsidP="00013CF0">
      <w:pPr>
        <w:spacing w:before="80" w:after="80" w:line="240" w:lineRule="auto"/>
        <w:rPr>
          <w:sz w:val="20"/>
          <w:szCs w:val="20"/>
        </w:rPr>
      </w:pPr>
    </w:p>
    <w:p w14:paraId="3870D4D9" w14:textId="7924FC77" w:rsidR="00013CF0" w:rsidRDefault="00013CF0" w:rsidP="00013CF0">
      <w:pPr>
        <w:spacing w:before="80" w:after="80" w:line="240" w:lineRule="auto"/>
        <w:rPr>
          <w:sz w:val="20"/>
          <w:szCs w:val="20"/>
        </w:rPr>
      </w:pPr>
    </w:p>
    <w:p w14:paraId="1AF64F14" w14:textId="1641011D" w:rsidR="00013CF0" w:rsidRDefault="00013CF0" w:rsidP="00013CF0">
      <w:pPr>
        <w:spacing w:before="80" w:after="80" w:line="240" w:lineRule="auto"/>
        <w:rPr>
          <w:sz w:val="20"/>
          <w:szCs w:val="20"/>
        </w:rPr>
      </w:pPr>
    </w:p>
    <w:p w14:paraId="56D47872" w14:textId="77777777" w:rsidR="00013CF0" w:rsidRPr="00013CF0" w:rsidRDefault="00013CF0" w:rsidP="00013CF0">
      <w:pPr>
        <w:spacing w:before="80" w:after="80" w:line="240" w:lineRule="auto"/>
        <w:rPr>
          <w:sz w:val="20"/>
          <w:szCs w:val="20"/>
        </w:rPr>
      </w:pPr>
    </w:p>
    <w:p w14:paraId="39C76949" w14:textId="77777777" w:rsidR="007713B1" w:rsidRPr="004F492F" w:rsidRDefault="007713B1" w:rsidP="00027309">
      <w:pPr>
        <w:pStyle w:val="Heading4"/>
        <w:shd w:val="clear" w:color="auto" w:fill="D9D9D9" w:themeFill="background1" w:themeFillShade="D9"/>
      </w:pPr>
      <w:r w:rsidRPr="004F492F">
        <w:t>Methodology</w:t>
      </w:r>
    </w:p>
    <w:p w14:paraId="321EDE93" w14:textId="77777777" w:rsidR="007713B1" w:rsidRPr="00092995" w:rsidRDefault="007713B1" w:rsidP="00B81E0C">
      <w:pPr>
        <w:pStyle w:val="Normalmorespace"/>
      </w:pPr>
      <w:r w:rsidRPr="00092995">
        <w:t>The number of people supported by the Age Pension or other income support is calculated using the number of:</w:t>
      </w:r>
    </w:p>
    <w:p w14:paraId="654D8B10" w14:textId="77777777" w:rsidR="007713B1" w:rsidRPr="00092995" w:rsidRDefault="007713B1" w:rsidP="00B81E0C">
      <w:pPr>
        <w:pStyle w:val="ListParagraph"/>
        <w:numPr>
          <w:ilvl w:val="0"/>
          <w:numId w:val="28"/>
        </w:numPr>
        <w:spacing w:before="80" w:after="80" w:line="240" w:lineRule="auto"/>
        <w:ind w:left="714" w:hanging="357"/>
        <w:contextualSpacing w:val="0"/>
        <w:rPr>
          <w:sz w:val="20"/>
          <w:szCs w:val="20"/>
        </w:rPr>
      </w:pPr>
      <w:r w:rsidRPr="00092995">
        <w:rPr>
          <w:sz w:val="20"/>
          <w:szCs w:val="20"/>
        </w:rPr>
        <w:t xml:space="preserve">Age pension recipients </w:t>
      </w:r>
    </w:p>
    <w:p w14:paraId="6ADCC099" w14:textId="77777777" w:rsidR="007713B1" w:rsidRPr="00092995" w:rsidRDefault="007713B1" w:rsidP="00B81E0C">
      <w:pPr>
        <w:pStyle w:val="ListParagraph"/>
        <w:numPr>
          <w:ilvl w:val="0"/>
          <w:numId w:val="28"/>
        </w:numPr>
        <w:spacing w:before="80" w:after="80" w:line="240" w:lineRule="auto"/>
        <w:ind w:left="714" w:hanging="357"/>
        <w:contextualSpacing w:val="0"/>
        <w:rPr>
          <w:sz w:val="20"/>
          <w:szCs w:val="20"/>
        </w:rPr>
      </w:pPr>
      <w:r w:rsidRPr="00092995">
        <w:rPr>
          <w:sz w:val="20"/>
          <w:szCs w:val="20"/>
        </w:rPr>
        <w:t>DVA Service Pension and Income Support Supplement recipients over pension age</w:t>
      </w:r>
    </w:p>
    <w:p w14:paraId="31D59AFB" w14:textId="77777777" w:rsidR="007713B1" w:rsidRPr="00092995" w:rsidRDefault="007713B1" w:rsidP="00B81E0C">
      <w:pPr>
        <w:pStyle w:val="ListParagraph"/>
        <w:numPr>
          <w:ilvl w:val="0"/>
          <w:numId w:val="28"/>
        </w:numPr>
        <w:spacing w:before="80" w:after="80" w:line="240" w:lineRule="auto"/>
        <w:ind w:left="714" w:hanging="357"/>
        <w:contextualSpacing w:val="0"/>
        <w:rPr>
          <w:sz w:val="20"/>
          <w:szCs w:val="20"/>
        </w:rPr>
      </w:pPr>
      <w:r w:rsidRPr="00092995">
        <w:rPr>
          <w:sz w:val="20"/>
          <w:szCs w:val="20"/>
        </w:rPr>
        <w:t>other Income Support recipients over pension age.</w:t>
      </w:r>
    </w:p>
    <w:p w14:paraId="6AA74A26" w14:textId="77777777" w:rsidR="007713B1" w:rsidRPr="00092995" w:rsidRDefault="007713B1" w:rsidP="00B81E0C">
      <w:pPr>
        <w:spacing w:before="80" w:after="80" w:line="240" w:lineRule="auto"/>
        <w:rPr>
          <w:sz w:val="20"/>
          <w:szCs w:val="20"/>
        </w:rPr>
      </w:pPr>
      <w:r w:rsidRPr="00092995">
        <w:rPr>
          <w:sz w:val="20"/>
          <w:szCs w:val="20"/>
        </w:rPr>
        <w:t>The number of people over pension age uses the Australian Bureau of Statistics population projection.</w:t>
      </w:r>
    </w:p>
    <w:p w14:paraId="468624EC" w14:textId="78FD1739" w:rsidR="00AB1756" w:rsidRDefault="007713B1" w:rsidP="00B81E0C">
      <w:pPr>
        <w:spacing w:before="80" w:after="80" w:line="240" w:lineRule="auto"/>
        <w:rPr>
          <w:sz w:val="20"/>
          <w:szCs w:val="20"/>
        </w:rPr>
      </w:pPr>
      <w:r w:rsidRPr="00092995">
        <w:rPr>
          <w:sz w:val="20"/>
          <w:szCs w:val="20"/>
        </w:rPr>
        <w:t xml:space="preserve">The </w:t>
      </w:r>
      <w:r w:rsidRPr="00092995">
        <w:rPr>
          <w:b/>
          <w:sz w:val="20"/>
          <w:szCs w:val="20"/>
        </w:rPr>
        <w:t>data sources</w:t>
      </w:r>
      <w:r w:rsidRPr="00092995">
        <w:rPr>
          <w:sz w:val="20"/>
          <w:szCs w:val="20"/>
        </w:rPr>
        <w:t xml:space="preserve"> used for this calculation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Source"/>
        <w:tblDescription w:val="SS: The data source used for this calculation is Services Australia administrative data. SS: The data source used for this calculation is DVA administrative data. SS: Australian Bureau of Statistics data – Population Projections, Australia 2017-2066, which draws on the base population data set released on 20 September 2018."/>
      </w:tblPr>
      <w:tblGrid>
        <w:gridCol w:w="988"/>
        <w:gridCol w:w="8028"/>
      </w:tblGrid>
      <w:tr w:rsidR="00AB1756" w:rsidRPr="00334F13" w14:paraId="3B8035FD" w14:textId="77777777" w:rsidTr="00B27175">
        <w:trPr>
          <w:trHeight w:val="737"/>
          <w:tblHeader/>
        </w:trPr>
        <w:tc>
          <w:tcPr>
            <w:tcW w:w="988" w:type="dxa"/>
            <w:vAlign w:val="center"/>
          </w:tcPr>
          <w:p w14:paraId="234339F8" w14:textId="77777777" w:rsidR="00AB1756" w:rsidRDefault="00AB1756" w:rsidP="00F76253">
            <w:r>
              <w:rPr>
                <w:noProof/>
                <w:color w:val="000000" w:themeColor="text1"/>
              </w:rPr>
              <w:drawing>
                <wp:inline distT="0" distB="0" distL="0" distR="0" wp14:anchorId="40A3EDD2" wp14:editId="6BE772FE">
                  <wp:extent cx="457200" cy="342900"/>
                  <wp:effectExtent l="0" t="0" r="0" b="0"/>
                  <wp:docPr id="690" name="Picture 690"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vAlign w:val="center"/>
          </w:tcPr>
          <w:p w14:paraId="65139677" w14:textId="1603EAB2" w:rsidR="00AB1756" w:rsidRPr="00334F13" w:rsidRDefault="00AB1756" w:rsidP="00B27175">
            <w:pPr>
              <w:rPr>
                <w:sz w:val="20"/>
                <w:szCs w:val="20"/>
              </w:rPr>
            </w:pPr>
            <w:r>
              <w:rPr>
                <w:sz w:val="20"/>
                <w:szCs w:val="20"/>
              </w:rPr>
              <w:t>Services Australia administrative data</w:t>
            </w:r>
          </w:p>
        </w:tc>
      </w:tr>
      <w:tr w:rsidR="00AB1756" w:rsidRPr="00334F13" w14:paraId="15F682C7" w14:textId="77777777" w:rsidTr="00B27175">
        <w:trPr>
          <w:trHeight w:val="737"/>
        </w:trPr>
        <w:tc>
          <w:tcPr>
            <w:tcW w:w="988" w:type="dxa"/>
          </w:tcPr>
          <w:p w14:paraId="2E182FFB" w14:textId="77777777" w:rsidR="00AB1756" w:rsidRDefault="00AB1756" w:rsidP="00F76253">
            <w:r>
              <w:rPr>
                <w:noProof/>
                <w:color w:val="000000" w:themeColor="text1"/>
              </w:rPr>
              <w:drawing>
                <wp:inline distT="0" distB="0" distL="0" distR="0" wp14:anchorId="2D03CF35" wp14:editId="0630DF9A">
                  <wp:extent cx="457200" cy="342900"/>
                  <wp:effectExtent l="0" t="0" r="0" b="0"/>
                  <wp:docPr id="691" name="Picture 691"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vAlign w:val="center"/>
          </w:tcPr>
          <w:p w14:paraId="70F584DA" w14:textId="5FDE8F11" w:rsidR="00AB1756" w:rsidRPr="00334F13" w:rsidRDefault="00AB1756" w:rsidP="00B27175">
            <w:pPr>
              <w:rPr>
                <w:sz w:val="20"/>
                <w:szCs w:val="20"/>
              </w:rPr>
            </w:pPr>
            <w:r w:rsidRPr="008F0306">
              <w:rPr>
                <w:sz w:val="20"/>
                <w:szCs w:val="20"/>
              </w:rPr>
              <w:t>DVA administrative data</w:t>
            </w:r>
          </w:p>
        </w:tc>
      </w:tr>
      <w:tr w:rsidR="00AB1756" w:rsidRPr="00334F13" w14:paraId="43DC3633" w14:textId="77777777" w:rsidTr="00B27175">
        <w:trPr>
          <w:trHeight w:val="737"/>
        </w:trPr>
        <w:tc>
          <w:tcPr>
            <w:tcW w:w="988" w:type="dxa"/>
          </w:tcPr>
          <w:p w14:paraId="681B41E1" w14:textId="77777777" w:rsidR="00AB1756" w:rsidRDefault="00AB1756" w:rsidP="00F76253">
            <w:r>
              <w:rPr>
                <w:noProof/>
                <w:color w:val="000000" w:themeColor="text1"/>
              </w:rPr>
              <w:drawing>
                <wp:inline distT="0" distB="0" distL="0" distR="0" wp14:anchorId="721813AC" wp14:editId="20B7A2D3">
                  <wp:extent cx="457200" cy="342900"/>
                  <wp:effectExtent l="0" t="0" r="0" b="0"/>
                  <wp:docPr id="692" name="Picture 692"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vAlign w:val="center"/>
          </w:tcPr>
          <w:p w14:paraId="78BB4893" w14:textId="77777777" w:rsidR="00AB1756" w:rsidRPr="00334F13" w:rsidRDefault="00AB1756" w:rsidP="00B27175">
            <w:pPr>
              <w:rPr>
                <w:sz w:val="20"/>
                <w:szCs w:val="20"/>
              </w:rPr>
            </w:pPr>
            <w:r w:rsidRPr="008F0306">
              <w:rPr>
                <w:sz w:val="20"/>
                <w:szCs w:val="20"/>
              </w:rPr>
              <w:t>Australian Bureau of Statistics data –</w:t>
            </w:r>
            <w:r>
              <w:rPr>
                <w:sz w:val="20"/>
                <w:szCs w:val="20"/>
              </w:rPr>
              <w:t xml:space="preserve"> </w:t>
            </w:r>
            <w:r w:rsidRPr="008F0306">
              <w:rPr>
                <w:sz w:val="20"/>
                <w:szCs w:val="20"/>
              </w:rPr>
              <w:t>Population Projections, Australia 2017-2066, which draws on the base population data set released on 20 September 2018.</w:t>
            </w:r>
          </w:p>
        </w:tc>
      </w:tr>
    </w:tbl>
    <w:p w14:paraId="6EF8EA1A" w14:textId="77777777" w:rsidR="007713B1" w:rsidRPr="004F492F" w:rsidRDefault="007713B1" w:rsidP="00027309">
      <w:pPr>
        <w:pStyle w:val="Heading4"/>
        <w:shd w:val="clear" w:color="auto" w:fill="D9D9D9" w:themeFill="background1" w:themeFillShade="D9"/>
      </w:pPr>
      <w:r w:rsidRPr="004F492F">
        <w:t xml:space="preserve">Supporting Information </w:t>
      </w:r>
    </w:p>
    <w:p w14:paraId="5E39EA32" w14:textId="77777777" w:rsidR="007713B1" w:rsidRPr="00092995" w:rsidRDefault="007713B1" w:rsidP="007572E0">
      <w:pPr>
        <w:pStyle w:val="ListParagraph"/>
        <w:numPr>
          <w:ilvl w:val="0"/>
          <w:numId w:val="28"/>
        </w:numPr>
        <w:spacing w:before="80" w:after="80" w:line="240" w:lineRule="auto"/>
        <w:ind w:left="714" w:hanging="357"/>
        <w:contextualSpacing w:val="0"/>
        <w:rPr>
          <w:sz w:val="20"/>
          <w:szCs w:val="20"/>
        </w:rPr>
      </w:pPr>
      <w:r w:rsidRPr="00092995">
        <w:rPr>
          <w:sz w:val="20"/>
          <w:szCs w:val="20"/>
        </w:rPr>
        <w:t xml:space="preserve">Administered outlays  </w:t>
      </w:r>
    </w:p>
    <w:p w14:paraId="6EDA58A7" w14:textId="77777777" w:rsidR="007713B1" w:rsidRPr="00092995" w:rsidRDefault="007713B1" w:rsidP="007572E0">
      <w:pPr>
        <w:pStyle w:val="ListParagraph"/>
        <w:numPr>
          <w:ilvl w:val="0"/>
          <w:numId w:val="28"/>
        </w:numPr>
        <w:spacing w:before="80" w:after="80" w:line="240" w:lineRule="auto"/>
        <w:ind w:left="714" w:hanging="357"/>
        <w:contextualSpacing w:val="0"/>
        <w:rPr>
          <w:sz w:val="20"/>
          <w:szCs w:val="20"/>
        </w:rPr>
      </w:pPr>
      <w:r w:rsidRPr="00092995">
        <w:rPr>
          <w:sz w:val="20"/>
          <w:szCs w:val="20"/>
        </w:rPr>
        <w:t xml:space="preserve">Number of recipients   </w:t>
      </w:r>
    </w:p>
    <w:p w14:paraId="4987EC5D" w14:textId="02D1434D" w:rsidR="007713B1" w:rsidRPr="00C075A0" w:rsidRDefault="00C075A0" w:rsidP="007572E0">
      <w:pPr>
        <w:pStyle w:val="ListParagraph"/>
        <w:numPr>
          <w:ilvl w:val="0"/>
          <w:numId w:val="28"/>
        </w:numPr>
        <w:spacing w:before="80" w:after="80" w:line="240" w:lineRule="auto"/>
        <w:ind w:left="714" w:hanging="357"/>
        <w:contextualSpacing w:val="0"/>
        <w:rPr>
          <w:sz w:val="20"/>
          <w:szCs w:val="20"/>
        </w:rPr>
      </w:pPr>
      <w:r>
        <w:rPr>
          <w:sz w:val="20"/>
          <w:szCs w:val="20"/>
        </w:rPr>
        <w:t>Payment a</w:t>
      </w:r>
      <w:r w:rsidR="006E74F5">
        <w:rPr>
          <w:sz w:val="20"/>
          <w:szCs w:val="20"/>
        </w:rPr>
        <w:t>ccuracy</w:t>
      </w:r>
      <w:r w:rsidR="007713B1" w:rsidRPr="00C075A0">
        <w:rPr>
          <w:sz w:val="20"/>
          <w:szCs w:val="20"/>
        </w:rPr>
        <w:br w:type="page"/>
      </w:r>
    </w:p>
    <w:p w14:paraId="7E8382A0" w14:textId="77777777" w:rsidR="007713B1" w:rsidRPr="00AD63EC" w:rsidRDefault="007713B1" w:rsidP="007A03BF">
      <w:pPr>
        <w:pStyle w:val="Heading3"/>
      </w:pPr>
      <w:r>
        <w:t xml:space="preserve">PROGRAM 1.4 </w:t>
      </w:r>
      <w:r w:rsidRPr="00AD63EC">
        <w:t>FINANCIAL SUPPORT FOR PEOPLE WITH DISABILITY</w:t>
      </w:r>
    </w:p>
    <w:p w14:paraId="163721F9" w14:textId="77777777" w:rsidR="007713B1" w:rsidRPr="00AD63EC" w:rsidRDefault="007713B1" w:rsidP="007713B1">
      <w:pPr>
        <w:shd w:val="clear" w:color="auto" w:fill="005A70"/>
        <w:rPr>
          <w:color w:val="FFFFFF" w:themeColor="background1"/>
          <w:sz w:val="20"/>
          <w:szCs w:val="20"/>
        </w:rPr>
      </w:pPr>
      <w:r>
        <w:rPr>
          <w:color w:val="FFFFFF" w:themeColor="background1"/>
          <w:sz w:val="20"/>
          <w:szCs w:val="20"/>
        </w:rPr>
        <w:t xml:space="preserve">To financially assist </w:t>
      </w:r>
      <w:r w:rsidRPr="00AD63EC">
        <w:rPr>
          <w:color w:val="FFFFFF" w:themeColor="background1"/>
          <w:sz w:val="20"/>
          <w:szCs w:val="20"/>
        </w:rPr>
        <w:t>eligible people with disability.</w:t>
      </w:r>
    </w:p>
    <w:p w14:paraId="5C1F0C05" w14:textId="77777777" w:rsidR="007713B1" w:rsidRPr="00AD63EC" w:rsidRDefault="007713B1" w:rsidP="00027309">
      <w:pPr>
        <w:pStyle w:val="Heading4"/>
        <w:shd w:val="clear" w:color="auto" w:fill="D9D9D9" w:themeFill="background1" w:themeFillShade="D9"/>
      </w:pPr>
      <w:r w:rsidRPr="00AD63EC">
        <w:t>Key Activity — 1.4.1 Disability Support Pension (DSP)</w:t>
      </w:r>
    </w:p>
    <w:p w14:paraId="2E1D0F5B" w14:textId="77777777" w:rsidR="007713B1" w:rsidRPr="00AD63EC" w:rsidRDefault="007713B1" w:rsidP="009008FD">
      <w:pPr>
        <w:pStyle w:val="Normalmorespace"/>
      </w:pPr>
      <w:r w:rsidRPr="00AD63EC">
        <w:t>The Disability Support Pension is a key activity of the Financial Support for People with Disability Program. The key activity make</w:t>
      </w:r>
      <w:r>
        <w:t>s</w:t>
      </w:r>
      <w:r w:rsidRPr="00AD63EC">
        <w:t xml:space="preserve"> payments to eligible </w:t>
      </w:r>
      <w:r w:rsidRPr="00AD63EC">
        <w:rPr>
          <w:b/>
        </w:rPr>
        <w:t>people with disability who cannot fully support themselves</w:t>
      </w:r>
      <w:r w:rsidRPr="00AD63EC">
        <w:t>.</w:t>
      </w:r>
    </w:p>
    <w:p w14:paraId="2BE2F359" w14:textId="154640F8" w:rsidR="007713B1" w:rsidRPr="00AD63EC" w:rsidRDefault="007713B1" w:rsidP="009008FD">
      <w:pPr>
        <w:pStyle w:val="Normalmorespace"/>
      </w:pPr>
      <w:r w:rsidRPr="00AD63EC">
        <w:t>The Disability Support Pension is an income support payment paid fortnightly, for people who</w:t>
      </w:r>
      <w:r w:rsidR="00134C52">
        <w:t xml:space="preserve"> have a physical, intellectual or psychiatric impairment which is expected to persist, in light of available evidence, for at least 2 years, and attracts at least 20 points under the Tables for the assessment of work-related impairment for Disability Support Pension (the Impairment Tables). The Disability Support Pension supports people who are unable to work for at least 15 hours per week at or above the relevant minimum wage. The person must be aged 16 years or over and under Age Pension age at the time of claim. Disability Support Pension recipients are automatically issued with a Pensioner Concession Card. Disability Support Pension is income and assets tested at the same rate as other social security pensions.</w:t>
      </w:r>
    </w:p>
    <w:p w14:paraId="3C9E5647" w14:textId="77777777" w:rsidR="007713B1" w:rsidRPr="00AD63EC" w:rsidRDefault="007713B1" w:rsidP="009008FD">
      <w:pPr>
        <w:pStyle w:val="Normalmorespace"/>
      </w:pPr>
      <w:r w:rsidRPr="00AD63EC">
        <w:rPr>
          <w:b/>
        </w:rPr>
        <w:t>The department</w:t>
      </w:r>
      <w:r w:rsidRPr="00AD63EC">
        <w:t xml:space="preserve"> is responsible for designing and implementing the key activity, including providing advice to Government on policy and legislation, program implementation and management, program performance, monitoring and meeting all relevant deliverables, setting guidelines and providing guidance and advice to Services Australia on the administration of the program. </w:t>
      </w:r>
    </w:p>
    <w:p w14:paraId="2160BD6F" w14:textId="77777777" w:rsidR="007713B1" w:rsidRPr="00AD63EC" w:rsidRDefault="007713B1" w:rsidP="009008FD">
      <w:pPr>
        <w:pStyle w:val="Normalmorespace"/>
      </w:pPr>
      <w:r w:rsidRPr="00AD63EC">
        <w:rPr>
          <w:b/>
        </w:rPr>
        <w:t>Services Australia</w:t>
      </w:r>
      <w:r w:rsidRPr="00AD63EC">
        <w:t xml:space="preserve"> is the primary portfolio agency responsible for administering the Disability Support Pension on the department’s behalf, including managing applications and making payments.</w:t>
      </w:r>
    </w:p>
    <w:tbl>
      <w:tblPr>
        <w:tblStyle w:val="TableGrid39"/>
        <w:tblW w:w="5013" w:type="pct"/>
        <w:tblLook w:val="04A0" w:firstRow="1" w:lastRow="0" w:firstColumn="1" w:lastColumn="0" w:noHBand="0" w:noVBand="1"/>
        <w:tblCaption w:val="1.4.1-1 performance measure and target"/>
        <w:tblDescription w:val="Table outlines the targeted payment percentages across 2023-24, 2024-25, 2025-26 and 2026-27"/>
      </w:tblPr>
      <w:tblGrid>
        <w:gridCol w:w="5063"/>
        <w:gridCol w:w="1076"/>
        <w:gridCol w:w="1077"/>
        <w:gridCol w:w="1077"/>
        <w:gridCol w:w="1075"/>
      </w:tblGrid>
      <w:tr w:rsidR="007713B1" w:rsidRPr="00AD63EC" w14:paraId="73C66671" w14:textId="77777777" w:rsidTr="00CD76E2">
        <w:trPr>
          <w:cantSplit/>
          <w:trHeight w:val="356"/>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6"/>
            <w:hideMark/>
          </w:tcPr>
          <w:p w14:paraId="1750046C" w14:textId="77777777" w:rsidR="007713B1" w:rsidRPr="00723A4C" w:rsidRDefault="007713B1" w:rsidP="007713B1">
            <w:pPr>
              <w:spacing w:after="120"/>
              <w:rPr>
                <w:rFonts w:cstheme="minorHAnsi"/>
                <w:b/>
                <w:sz w:val="20"/>
                <w:szCs w:val="20"/>
              </w:rPr>
            </w:pPr>
            <w:r w:rsidRPr="00723A4C">
              <w:rPr>
                <w:b/>
                <w:sz w:val="20"/>
                <w:szCs w:val="20"/>
              </w:rPr>
              <w:t>Performance Measure</w:t>
            </w:r>
            <w:r w:rsidRPr="00723A4C">
              <w:rPr>
                <w:b/>
                <w:sz w:val="20"/>
                <w:szCs w:val="20"/>
              </w:rPr>
              <w:tab/>
            </w:r>
          </w:p>
        </w:tc>
      </w:tr>
      <w:tr w:rsidR="007713B1" w:rsidRPr="00AD63EC" w14:paraId="601FDCCF" w14:textId="77777777" w:rsidTr="007713B1">
        <w:trPr>
          <w:cantSplit/>
          <w:trHeight w:val="356"/>
        </w:trPr>
        <w:tc>
          <w:tcPr>
            <w:tcW w:w="5000" w:type="pct"/>
            <w:gridSpan w:val="5"/>
            <w:tcBorders>
              <w:top w:val="single" w:sz="4" w:space="0" w:color="auto"/>
              <w:left w:val="single" w:sz="4" w:space="0" w:color="auto"/>
              <w:bottom w:val="single" w:sz="4" w:space="0" w:color="auto"/>
              <w:right w:val="single" w:sz="4" w:space="0" w:color="auto"/>
            </w:tcBorders>
            <w:hideMark/>
          </w:tcPr>
          <w:p w14:paraId="1D54FAA2" w14:textId="77777777" w:rsidR="007713B1" w:rsidRPr="00723A4C" w:rsidRDefault="007713B1" w:rsidP="009008FD">
            <w:pPr>
              <w:spacing w:after="120"/>
              <w:rPr>
                <w:rFonts w:cstheme="minorHAnsi"/>
                <w:b/>
                <w:sz w:val="20"/>
                <w:szCs w:val="20"/>
              </w:rPr>
            </w:pPr>
            <w:r w:rsidRPr="00723A4C">
              <w:rPr>
                <w:sz w:val="20"/>
                <w:szCs w:val="20"/>
              </w:rPr>
              <w:t>1.4.1-1 Extent to which people of working age with a profound or severe disability are paid Disability Support Pension.</w:t>
            </w:r>
          </w:p>
        </w:tc>
      </w:tr>
      <w:tr w:rsidR="007713B1" w:rsidRPr="00AD63EC" w14:paraId="426B5E6E" w14:textId="77777777" w:rsidTr="007713B1">
        <w:trPr>
          <w:cantSplit/>
          <w:trHeight w:val="356"/>
        </w:trPr>
        <w:tc>
          <w:tcPr>
            <w:tcW w:w="2702" w:type="pct"/>
            <w:tcBorders>
              <w:top w:val="single" w:sz="4" w:space="0" w:color="auto"/>
              <w:left w:val="single" w:sz="4" w:space="0" w:color="auto"/>
              <w:bottom w:val="single" w:sz="4" w:space="0" w:color="auto"/>
              <w:right w:val="single" w:sz="4" w:space="0" w:color="auto"/>
            </w:tcBorders>
            <w:shd w:val="clear" w:color="auto" w:fill="D9D9D6"/>
            <w:hideMark/>
          </w:tcPr>
          <w:p w14:paraId="4166E7BC" w14:textId="77777777" w:rsidR="007713B1" w:rsidRPr="00723A4C" w:rsidRDefault="007713B1" w:rsidP="007713B1">
            <w:pPr>
              <w:spacing w:after="120"/>
              <w:rPr>
                <w:rFonts w:cstheme="minorHAnsi"/>
                <w:sz w:val="20"/>
                <w:szCs w:val="20"/>
              </w:rPr>
            </w:pPr>
            <w:r w:rsidRPr="00723A4C">
              <w:rPr>
                <w:rFonts w:cstheme="minorHAnsi"/>
                <w:b/>
                <w:sz w:val="20"/>
                <w:szCs w:val="20"/>
              </w:rPr>
              <w:t>Target</w:t>
            </w:r>
          </w:p>
        </w:tc>
        <w:tc>
          <w:tcPr>
            <w:tcW w:w="574" w:type="pct"/>
            <w:tcBorders>
              <w:top w:val="single" w:sz="4" w:space="0" w:color="auto"/>
              <w:left w:val="single" w:sz="4" w:space="0" w:color="auto"/>
              <w:bottom w:val="single" w:sz="4" w:space="0" w:color="auto"/>
              <w:right w:val="single" w:sz="4" w:space="0" w:color="auto"/>
            </w:tcBorders>
            <w:shd w:val="clear" w:color="auto" w:fill="D9D9D6"/>
            <w:vAlign w:val="center"/>
            <w:hideMark/>
          </w:tcPr>
          <w:p w14:paraId="23D4FEC6" w14:textId="77777777" w:rsidR="007713B1" w:rsidRPr="00723A4C" w:rsidRDefault="007713B1" w:rsidP="007713B1">
            <w:pPr>
              <w:spacing w:after="120"/>
              <w:rPr>
                <w:rFonts w:cstheme="minorHAnsi"/>
                <w:sz w:val="20"/>
                <w:szCs w:val="20"/>
              </w:rPr>
            </w:pPr>
            <w:r w:rsidRPr="00723A4C">
              <w:rPr>
                <w:rFonts w:cstheme="minorHAnsi"/>
                <w:b/>
                <w:sz w:val="20"/>
                <w:szCs w:val="20"/>
              </w:rPr>
              <w:t>2023–24</w:t>
            </w:r>
          </w:p>
        </w:tc>
        <w:tc>
          <w:tcPr>
            <w:tcW w:w="575" w:type="pct"/>
            <w:tcBorders>
              <w:top w:val="single" w:sz="4" w:space="0" w:color="auto"/>
              <w:left w:val="single" w:sz="4" w:space="0" w:color="auto"/>
              <w:bottom w:val="single" w:sz="4" w:space="0" w:color="auto"/>
              <w:right w:val="single" w:sz="4" w:space="0" w:color="auto"/>
            </w:tcBorders>
            <w:shd w:val="clear" w:color="auto" w:fill="D9D9D6"/>
            <w:vAlign w:val="center"/>
            <w:hideMark/>
          </w:tcPr>
          <w:p w14:paraId="3D3EC5DA" w14:textId="77777777" w:rsidR="007713B1" w:rsidRPr="00723A4C" w:rsidRDefault="007713B1" w:rsidP="007713B1">
            <w:pPr>
              <w:spacing w:after="120"/>
              <w:rPr>
                <w:rFonts w:cstheme="minorHAnsi"/>
                <w:b/>
                <w:sz w:val="20"/>
                <w:szCs w:val="20"/>
              </w:rPr>
            </w:pPr>
            <w:r w:rsidRPr="00723A4C">
              <w:rPr>
                <w:rFonts w:cstheme="minorHAnsi"/>
                <w:b/>
                <w:sz w:val="20"/>
                <w:szCs w:val="20"/>
              </w:rPr>
              <w:t>2024–25</w:t>
            </w:r>
          </w:p>
        </w:tc>
        <w:tc>
          <w:tcPr>
            <w:tcW w:w="575" w:type="pct"/>
            <w:tcBorders>
              <w:top w:val="single" w:sz="4" w:space="0" w:color="auto"/>
              <w:left w:val="single" w:sz="4" w:space="0" w:color="auto"/>
              <w:bottom w:val="single" w:sz="4" w:space="0" w:color="auto"/>
              <w:right w:val="single" w:sz="4" w:space="0" w:color="auto"/>
            </w:tcBorders>
            <w:shd w:val="clear" w:color="auto" w:fill="D9D9D6"/>
            <w:vAlign w:val="center"/>
            <w:hideMark/>
          </w:tcPr>
          <w:p w14:paraId="2C390075" w14:textId="77777777" w:rsidR="007713B1" w:rsidRPr="00723A4C" w:rsidRDefault="007713B1" w:rsidP="007713B1">
            <w:pPr>
              <w:spacing w:after="120"/>
              <w:rPr>
                <w:rFonts w:cstheme="minorHAnsi"/>
                <w:b/>
                <w:sz w:val="20"/>
                <w:szCs w:val="20"/>
              </w:rPr>
            </w:pPr>
            <w:r w:rsidRPr="00723A4C">
              <w:rPr>
                <w:rFonts w:cstheme="minorHAnsi"/>
                <w:b/>
                <w:sz w:val="20"/>
                <w:szCs w:val="20"/>
              </w:rPr>
              <w:t>2025–26</w:t>
            </w:r>
          </w:p>
        </w:tc>
        <w:tc>
          <w:tcPr>
            <w:tcW w:w="574" w:type="pct"/>
            <w:tcBorders>
              <w:top w:val="single" w:sz="4" w:space="0" w:color="auto"/>
              <w:left w:val="single" w:sz="4" w:space="0" w:color="auto"/>
              <w:bottom w:val="single" w:sz="4" w:space="0" w:color="auto"/>
              <w:right w:val="single" w:sz="4" w:space="0" w:color="auto"/>
            </w:tcBorders>
            <w:shd w:val="clear" w:color="auto" w:fill="D9D9D6"/>
            <w:vAlign w:val="center"/>
            <w:hideMark/>
          </w:tcPr>
          <w:p w14:paraId="21D34E30" w14:textId="77777777" w:rsidR="007713B1" w:rsidRPr="00723A4C" w:rsidRDefault="007713B1" w:rsidP="007713B1">
            <w:pPr>
              <w:spacing w:after="120"/>
              <w:rPr>
                <w:rFonts w:cstheme="minorHAnsi"/>
                <w:b/>
                <w:sz w:val="20"/>
                <w:szCs w:val="20"/>
              </w:rPr>
            </w:pPr>
            <w:r w:rsidRPr="00723A4C">
              <w:rPr>
                <w:rFonts w:cstheme="minorHAnsi"/>
                <w:b/>
                <w:sz w:val="20"/>
                <w:szCs w:val="20"/>
              </w:rPr>
              <w:t>2026–27</w:t>
            </w:r>
          </w:p>
        </w:tc>
      </w:tr>
      <w:tr w:rsidR="007713B1" w:rsidRPr="00AD63EC" w14:paraId="4027B24F" w14:textId="77777777" w:rsidTr="007713B1">
        <w:trPr>
          <w:cantSplit/>
          <w:trHeight w:val="356"/>
        </w:trPr>
        <w:tc>
          <w:tcPr>
            <w:tcW w:w="27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C127761" w14:textId="22772020" w:rsidR="007713B1" w:rsidRPr="00723A4C" w:rsidRDefault="007713B1" w:rsidP="007713B1">
            <w:pPr>
              <w:spacing w:after="120"/>
              <w:rPr>
                <w:rFonts w:cstheme="minorHAnsi"/>
                <w:sz w:val="20"/>
                <w:szCs w:val="20"/>
              </w:rPr>
            </w:pPr>
            <w:r w:rsidRPr="00723A4C">
              <w:rPr>
                <w:noProof/>
                <w:sz w:val="20"/>
                <w:szCs w:val="20"/>
              </w:rPr>
              <w:sym w:font="Wingdings" w:char="F074"/>
            </w:r>
            <w:r w:rsidR="00366C4D">
              <w:rPr>
                <w:noProof/>
                <w:sz w:val="20"/>
                <w:szCs w:val="20"/>
              </w:rPr>
              <w:t xml:space="preserve"> </w:t>
            </w:r>
            <w:r w:rsidRPr="00723A4C">
              <w:rPr>
                <w:noProof/>
                <w:sz w:val="20"/>
                <w:szCs w:val="20"/>
              </w:rPr>
              <w:t xml:space="preserve">1.4.1-1A At least </w:t>
            </w:r>
            <w:r w:rsidRPr="00723A4C">
              <w:rPr>
                <w:rFonts w:cstheme="minorHAnsi"/>
                <w:sz w:val="20"/>
                <w:szCs w:val="20"/>
              </w:rPr>
              <w:t>90% of people with a profound or severe disability of working age are supported by the Disability Support Pension.</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B7AA0C6" w14:textId="77777777" w:rsidR="007713B1" w:rsidRPr="00723A4C" w:rsidRDefault="007713B1" w:rsidP="007713B1">
            <w:pPr>
              <w:spacing w:after="120"/>
              <w:rPr>
                <w:sz w:val="20"/>
                <w:szCs w:val="20"/>
              </w:rPr>
            </w:pPr>
            <w:r w:rsidRPr="00723A4C">
              <w:rPr>
                <w:sz w:val="20"/>
                <w:szCs w:val="20"/>
              </w:rPr>
              <w:t>≥90 %</w:t>
            </w:r>
          </w:p>
        </w:tc>
        <w:tc>
          <w:tcPr>
            <w:tcW w:w="5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A76B249" w14:textId="77777777" w:rsidR="007713B1" w:rsidRPr="00723A4C" w:rsidRDefault="007713B1" w:rsidP="007713B1">
            <w:pPr>
              <w:spacing w:after="120"/>
              <w:rPr>
                <w:sz w:val="20"/>
                <w:szCs w:val="20"/>
              </w:rPr>
            </w:pPr>
            <w:r w:rsidRPr="00723A4C">
              <w:rPr>
                <w:sz w:val="20"/>
                <w:szCs w:val="20"/>
              </w:rPr>
              <w:t>≥90 %</w:t>
            </w:r>
          </w:p>
        </w:tc>
        <w:tc>
          <w:tcPr>
            <w:tcW w:w="5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6A252A5" w14:textId="77777777" w:rsidR="007713B1" w:rsidRPr="00723A4C" w:rsidRDefault="007713B1" w:rsidP="007713B1">
            <w:pPr>
              <w:spacing w:after="120"/>
              <w:rPr>
                <w:sz w:val="20"/>
                <w:szCs w:val="20"/>
              </w:rPr>
            </w:pPr>
            <w:r w:rsidRPr="00723A4C">
              <w:rPr>
                <w:sz w:val="20"/>
                <w:szCs w:val="20"/>
              </w:rPr>
              <w:t>≥90 %</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C49394B" w14:textId="77777777" w:rsidR="007713B1" w:rsidRPr="00723A4C" w:rsidRDefault="007713B1" w:rsidP="007713B1">
            <w:pPr>
              <w:spacing w:after="120"/>
              <w:rPr>
                <w:sz w:val="20"/>
                <w:szCs w:val="20"/>
              </w:rPr>
            </w:pPr>
            <w:r w:rsidRPr="00723A4C">
              <w:rPr>
                <w:sz w:val="20"/>
                <w:szCs w:val="20"/>
              </w:rPr>
              <w:t>≥90 %</w:t>
            </w:r>
          </w:p>
        </w:tc>
      </w:tr>
    </w:tbl>
    <w:p w14:paraId="1A8BBDC3" w14:textId="77777777" w:rsidR="007713B1" w:rsidRPr="00AD63EC" w:rsidRDefault="007713B1" w:rsidP="00027309">
      <w:pPr>
        <w:pStyle w:val="Heading4"/>
        <w:shd w:val="clear" w:color="auto" w:fill="D9D9D9" w:themeFill="background1" w:themeFillShade="D9"/>
        <w:rPr>
          <w:rFonts w:asciiTheme="minorHAnsi" w:hAnsiTheme="minorHAnsi"/>
        </w:rPr>
      </w:pPr>
      <w:r w:rsidRPr="00AD63EC">
        <w:t>Rationale</w:t>
      </w:r>
    </w:p>
    <w:p w14:paraId="7DFBA246" w14:textId="433739E4" w:rsidR="007713B1" w:rsidRPr="00AD63EC" w:rsidRDefault="007713B1" w:rsidP="009008FD">
      <w:pPr>
        <w:pStyle w:val="Normalmorespace"/>
        <w:rPr>
          <w:i/>
        </w:rPr>
      </w:pPr>
      <w:r w:rsidRPr="00AD63EC">
        <w:t>Measuring the extent to which people of working age with a profound or severe disability are paid Disability Support Pension demonstrate</w:t>
      </w:r>
      <w:r>
        <w:t>s</w:t>
      </w:r>
      <w:r w:rsidRPr="00AD63EC">
        <w:t xml:space="preserve"> that eligible people with a disability who cannot fully support themselves are being financially assisted. That is, those with sufficient means should not receive Disability Support Pension. This measure demonstrates the </w:t>
      </w:r>
      <w:r w:rsidRPr="00AD63EC">
        <w:rPr>
          <w:b/>
        </w:rPr>
        <w:t>effectiveness</w:t>
      </w:r>
      <w:r w:rsidRPr="00AD63EC">
        <w:t xml:space="preserve"> of the Disability Support Pension in achieving the objective of the key activity: </w:t>
      </w:r>
      <w:r w:rsidRPr="00AD63EC">
        <w:rPr>
          <w:i/>
        </w:rPr>
        <w:t>To make payments to eligible people with disability who cannot fully support themselves.</w:t>
      </w:r>
    </w:p>
    <w:p w14:paraId="398D5FBA" w14:textId="77777777" w:rsidR="007713B1" w:rsidRPr="00AD63EC" w:rsidRDefault="007713B1" w:rsidP="009008FD">
      <w:pPr>
        <w:pStyle w:val="Normalmorespace"/>
      </w:pPr>
      <w:r w:rsidRPr="00AD63EC">
        <w:t xml:space="preserve">Targeting 90 per cent of people with a profound or severe disability of working age are supported by the Disability Support Pension demonstrates the </w:t>
      </w:r>
      <w:r w:rsidRPr="00AD63EC">
        <w:rPr>
          <w:b/>
        </w:rPr>
        <w:t>effectiveness</w:t>
      </w:r>
      <w:r w:rsidRPr="00AD63EC">
        <w:t xml:space="preserve"> of the key activity by showing:</w:t>
      </w:r>
    </w:p>
    <w:p w14:paraId="7F9E25A1" w14:textId="77777777" w:rsidR="007713B1" w:rsidRPr="00092995" w:rsidRDefault="007713B1" w:rsidP="009008FD">
      <w:pPr>
        <w:pStyle w:val="ListParagraph"/>
        <w:numPr>
          <w:ilvl w:val="0"/>
          <w:numId w:val="29"/>
        </w:numPr>
        <w:spacing w:before="80" w:after="80" w:line="240" w:lineRule="auto"/>
        <w:ind w:left="641" w:hanging="357"/>
        <w:contextualSpacing w:val="0"/>
        <w:rPr>
          <w:sz w:val="20"/>
          <w:szCs w:val="20"/>
        </w:rPr>
      </w:pPr>
      <w:r w:rsidRPr="00092995">
        <w:rPr>
          <w:sz w:val="20"/>
          <w:szCs w:val="20"/>
        </w:rPr>
        <w:t>A significant per cent of the eligible people with a severe disability who are unable to support themselves are in receipt of financial support</w:t>
      </w:r>
    </w:p>
    <w:p w14:paraId="71168121" w14:textId="6BB524E3" w:rsidR="007713B1" w:rsidRDefault="007713B1" w:rsidP="009008FD">
      <w:pPr>
        <w:pStyle w:val="ListParagraph"/>
        <w:numPr>
          <w:ilvl w:val="0"/>
          <w:numId w:val="29"/>
        </w:numPr>
        <w:spacing w:before="80" w:after="80" w:line="240" w:lineRule="auto"/>
        <w:ind w:left="641" w:hanging="357"/>
        <w:contextualSpacing w:val="0"/>
        <w:rPr>
          <w:sz w:val="20"/>
          <w:szCs w:val="20"/>
        </w:rPr>
      </w:pPr>
      <w:r w:rsidRPr="00092995">
        <w:rPr>
          <w:sz w:val="20"/>
          <w:szCs w:val="20"/>
        </w:rPr>
        <w:t>Funding is targeted to financially assist people with disability who are unable to support themselves to achieve financial independence.</w:t>
      </w:r>
    </w:p>
    <w:p w14:paraId="1F55057D" w14:textId="77777777" w:rsidR="00666749" w:rsidRDefault="00666749" w:rsidP="00666749">
      <w:pPr>
        <w:pStyle w:val="ListParagraph"/>
        <w:spacing w:before="80" w:after="80" w:line="240" w:lineRule="auto"/>
        <w:ind w:left="641"/>
        <w:contextualSpacing w:val="0"/>
        <w:rPr>
          <w:sz w:val="20"/>
          <w:szCs w:val="20"/>
        </w:rPr>
      </w:pPr>
    </w:p>
    <w:p w14:paraId="0764C1B5" w14:textId="77777777" w:rsidR="007713B1" w:rsidRPr="00AD63EC" w:rsidRDefault="007713B1" w:rsidP="00027309">
      <w:pPr>
        <w:pStyle w:val="Heading4"/>
        <w:shd w:val="clear" w:color="auto" w:fill="D9D9D9" w:themeFill="background1" w:themeFillShade="D9"/>
      </w:pPr>
      <w:r w:rsidRPr="00AD63EC">
        <w:t>Methodology</w:t>
      </w:r>
    </w:p>
    <w:p w14:paraId="3F67F3D4" w14:textId="77777777" w:rsidR="007713B1" w:rsidRPr="00AD63EC" w:rsidRDefault="007713B1" w:rsidP="009008FD">
      <w:pPr>
        <w:pStyle w:val="Normalmorespace"/>
      </w:pPr>
      <w:r w:rsidRPr="00AD63EC">
        <w:t>The number of people receiving Disability Support Pension is based on the number of people receiving Disability Support Pension aged 16–64 inclusive who are severely or profoundly disabled.</w:t>
      </w:r>
    </w:p>
    <w:p w14:paraId="1201D2E7" w14:textId="77777777" w:rsidR="007713B1" w:rsidRPr="00AD63EC" w:rsidRDefault="007713B1" w:rsidP="009008FD">
      <w:pPr>
        <w:pStyle w:val="Normalmorespace"/>
      </w:pPr>
      <w:r w:rsidRPr="00AD63EC">
        <w:t>The number of people with a profound or severe disability of working age is based on the number of Australians who are severely or profoundly disabled between the age of 15–64.</w:t>
      </w:r>
    </w:p>
    <w:p w14:paraId="173830BA" w14:textId="77CAE786" w:rsidR="00AB1756" w:rsidRDefault="007713B1" w:rsidP="009008FD">
      <w:pPr>
        <w:spacing w:before="80" w:after="80" w:line="240" w:lineRule="auto"/>
        <w:rPr>
          <w:sz w:val="20"/>
          <w:szCs w:val="20"/>
        </w:rPr>
      </w:pPr>
      <w:r w:rsidRPr="00AD63EC">
        <w:rPr>
          <w:sz w:val="20"/>
          <w:szCs w:val="20"/>
        </w:rPr>
        <w:t xml:space="preserve">The </w:t>
      </w:r>
      <w:r w:rsidRPr="00AD63EC">
        <w:rPr>
          <w:b/>
          <w:sz w:val="20"/>
          <w:szCs w:val="20"/>
        </w:rPr>
        <w:t>data sources</w:t>
      </w:r>
      <w:r w:rsidRPr="00AD63EC">
        <w:rPr>
          <w:sz w:val="20"/>
          <w:szCs w:val="20"/>
        </w:rPr>
        <w:t xml:space="preserve"> used for this calculation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Source"/>
        <w:tblDescription w:val="SS: Services Australia administrative Data. SS: Australian Bureau of Statistics Survey – Disability, Ageing and Carers."/>
      </w:tblPr>
      <w:tblGrid>
        <w:gridCol w:w="988"/>
        <w:gridCol w:w="8028"/>
      </w:tblGrid>
      <w:tr w:rsidR="00AB1756" w:rsidRPr="00334F13" w14:paraId="35D35A18" w14:textId="77777777" w:rsidTr="0017156F">
        <w:trPr>
          <w:trHeight w:val="737"/>
          <w:tblHeader/>
        </w:trPr>
        <w:tc>
          <w:tcPr>
            <w:tcW w:w="988" w:type="dxa"/>
            <w:vAlign w:val="center"/>
          </w:tcPr>
          <w:p w14:paraId="61B203DE" w14:textId="77777777" w:rsidR="00AB1756" w:rsidRDefault="00AB1756" w:rsidP="00F76253">
            <w:r>
              <w:rPr>
                <w:noProof/>
                <w:color w:val="000000" w:themeColor="text1"/>
              </w:rPr>
              <w:drawing>
                <wp:inline distT="0" distB="0" distL="0" distR="0" wp14:anchorId="08341D12" wp14:editId="524BE08E">
                  <wp:extent cx="457200" cy="342900"/>
                  <wp:effectExtent l="0" t="0" r="0" b="0"/>
                  <wp:docPr id="693" name="Picture 693"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vAlign w:val="center"/>
          </w:tcPr>
          <w:p w14:paraId="054B539D" w14:textId="77777777" w:rsidR="00AB1756" w:rsidRPr="00334F13" w:rsidRDefault="00AB1756" w:rsidP="00F76253">
            <w:pPr>
              <w:rPr>
                <w:sz w:val="20"/>
                <w:szCs w:val="20"/>
              </w:rPr>
            </w:pPr>
            <w:r>
              <w:rPr>
                <w:sz w:val="20"/>
                <w:szCs w:val="20"/>
              </w:rPr>
              <w:t>Services Australia administrative data</w:t>
            </w:r>
            <w:r w:rsidRPr="008F0306">
              <w:rPr>
                <w:sz w:val="20"/>
                <w:szCs w:val="20"/>
              </w:rPr>
              <w:t>.</w:t>
            </w:r>
          </w:p>
        </w:tc>
      </w:tr>
      <w:tr w:rsidR="00AB1756" w:rsidRPr="00334F13" w14:paraId="1D02820E" w14:textId="77777777" w:rsidTr="0017156F">
        <w:trPr>
          <w:trHeight w:val="737"/>
        </w:trPr>
        <w:tc>
          <w:tcPr>
            <w:tcW w:w="988" w:type="dxa"/>
          </w:tcPr>
          <w:p w14:paraId="2FCF7C71" w14:textId="77777777" w:rsidR="00AB1756" w:rsidRDefault="00AB1756" w:rsidP="00F76253">
            <w:r>
              <w:rPr>
                <w:noProof/>
                <w:color w:val="000000" w:themeColor="text1"/>
              </w:rPr>
              <w:drawing>
                <wp:inline distT="0" distB="0" distL="0" distR="0" wp14:anchorId="04441135" wp14:editId="4254C19F">
                  <wp:extent cx="457200" cy="342900"/>
                  <wp:effectExtent l="0" t="0" r="0" b="0"/>
                  <wp:docPr id="694" name="Picture 694"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tcPr>
          <w:p w14:paraId="45E5D3FE" w14:textId="77777777" w:rsidR="00AB1756" w:rsidRPr="00334F13" w:rsidRDefault="00AB1756" w:rsidP="00F76253">
            <w:pPr>
              <w:rPr>
                <w:sz w:val="20"/>
                <w:szCs w:val="20"/>
              </w:rPr>
            </w:pPr>
            <w:r w:rsidRPr="008F0306">
              <w:rPr>
                <w:sz w:val="20"/>
                <w:szCs w:val="20"/>
              </w:rPr>
              <w:t>Australian Bureau of Statistics Survey – Disability, Ageing and Carers.</w:t>
            </w:r>
          </w:p>
        </w:tc>
      </w:tr>
    </w:tbl>
    <w:p w14:paraId="3B473B23" w14:textId="77777777" w:rsidR="007713B1" w:rsidRPr="00AD63EC" w:rsidRDefault="007713B1" w:rsidP="00027309">
      <w:pPr>
        <w:pStyle w:val="Heading4"/>
        <w:shd w:val="clear" w:color="auto" w:fill="D9D9D9" w:themeFill="background1" w:themeFillShade="D9"/>
      </w:pPr>
      <w:r w:rsidRPr="00AD63EC">
        <w:t xml:space="preserve">Supporting Information </w:t>
      </w:r>
    </w:p>
    <w:p w14:paraId="36B4756C" w14:textId="77777777" w:rsidR="007713B1" w:rsidRPr="00092995" w:rsidRDefault="007713B1" w:rsidP="007572E0">
      <w:pPr>
        <w:pStyle w:val="ListParagraph"/>
        <w:numPr>
          <w:ilvl w:val="0"/>
          <w:numId w:val="29"/>
        </w:numPr>
        <w:spacing w:before="80" w:after="80" w:line="240" w:lineRule="auto"/>
        <w:ind w:left="641" w:hanging="357"/>
        <w:contextualSpacing w:val="0"/>
        <w:rPr>
          <w:sz w:val="20"/>
          <w:szCs w:val="20"/>
        </w:rPr>
      </w:pPr>
      <w:r w:rsidRPr="00092995">
        <w:rPr>
          <w:sz w:val="20"/>
          <w:szCs w:val="20"/>
        </w:rPr>
        <w:t>Administered outlays</w:t>
      </w:r>
    </w:p>
    <w:p w14:paraId="4409838E" w14:textId="77777777" w:rsidR="007713B1" w:rsidRPr="00092995" w:rsidRDefault="007713B1" w:rsidP="007572E0">
      <w:pPr>
        <w:pStyle w:val="ListParagraph"/>
        <w:numPr>
          <w:ilvl w:val="0"/>
          <w:numId w:val="29"/>
        </w:numPr>
        <w:spacing w:before="80" w:after="80" w:line="240" w:lineRule="auto"/>
        <w:ind w:left="641" w:hanging="357"/>
        <w:contextualSpacing w:val="0"/>
        <w:rPr>
          <w:sz w:val="20"/>
          <w:szCs w:val="20"/>
        </w:rPr>
      </w:pPr>
      <w:r w:rsidRPr="00092995">
        <w:rPr>
          <w:sz w:val="20"/>
          <w:szCs w:val="20"/>
        </w:rPr>
        <w:t>Number of recipients</w:t>
      </w:r>
    </w:p>
    <w:p w14:paraId="3C08B7D3" w14:textId="6BE2E537" w:rsidR="007713B1" w:rsidRPr="00C075A0" w:rsidRDefault="007713B1" w:rsidP="007572E0">
      <w:pPr>
        <w:pStyle w:val="ListParagraph"/>
        <w:numPr>
          <w:ilvl w:val="0"/>
          <w:numId w:val="29"/>
        </w:numPr>
        <w:spacing w:before="80" w:after="80" w:line="240" w:lineRule="auto"/>
        <w:ind w:left="641" w:hanging="357"/>
        <w:contextualSpacing w:val="0"/>
        <w:rPr>
          <w:sz w:val="20"/>
          <w:szCs w:val="20"/>
        </w:rPr>
      </w:pPr>
      <w:r w:rsidRPr="00092995">
        <w:rPr>
          <w:sz w:val="20"/>
          <w:szCs w:val="20"/>
        </w:rPr>
        <w:t xml:space="preserve">Payment </w:t>
      </w:r>
      <w:r w:rsidR="00C075A0">
        <w:rPr>
          <w:sz w:val="20"/>
          <w:szCs w:val="20"/>
        </w:rPr>
        <w:t>a</w:t>
      </w:r>
      <w:r w:rsidR="006E74F5">
        <w:rPr>
          <w:sz w:val="20"/>
          <w:szCs w:val="20"/>
        </w:rPr>
        <w:t>ccuracy</w:t>
      </w:r>
      <w:r w:rsidRPr="00C075A0">
        <w:rPr>
          <w:sz w:val="20"/>
          <w:szCs w:val="20"/>
        </w:rPr>
        <w:br w:type="page"/>
      </w:r>
    </w:p>
    <w:p w14:paraId="3581004E" w14:textId="77777777" w:rsidR="007713B1" w:rsidRPr="00AD63EC" w:rsidRDefault="007713B1" w:rsidP="007A03BF">
      <w:pPr>
        <w:pStyle w:val="Heading3"/>
      </w:pPr>
      <w:r>
        <w:t xml:space="preserve">PROGRAM 1.5 </w:t>
      </w:r>
      <w:r w:rsidRPr="00AD63EC">
        <w:t>FINANCIAL SUPPORT FOR CARERS</w:t>
      </w:r>
    </w:p>
    <w:p w14:paraId="30F58455" w14:textId="77777777" w:rsidR="007713B1" w:rsidRPr="00AD63EC" w:rsidRDefault="007713B1" w:rsidP="007713B1">
      <w:pPr>
        <w:shd w:val="clear" w:color="auto" w:fill="005A70"/>
        <w:spacing w:line="252" w:lineRule="auto"/>
        <w:rPr>
          <w:rFonts w:cstheme="minorHAnsi"/>
          <w:color w:val="FFFFFF" w:themeColor="background1"/>
          <w:sz w:val="20"/>
          <w:szCs w:val="20"/>
        </w:rPr>
      </w:pPr>
      <w:r>
        <w:rPr>
          <w:rFonts w:cstheme="minorHAnsi"/>
          <w:color w:val="FFFFFF" w:themeColor="background1"/>
          <w:sz w:val="20"/>
          <w:szCs w:val="20"/>
        </w:rPr>
        <w:t>T</w:t>
      </w:r>
      <w:r w:rsidRPr="00AD63EC">
        <w:rPr>
          <w:rFonts w:cstheme="minorHAnsi"/>
          <w:color w:val="FFFFFF" w:themeColor="background1"/>
          <w:sz w:val="20"/>
          <w:szCs w:val="20"/>
        </w:rPr>
        <w:t>o financially assist eligible carers of people with disability or a severe medical condition.</w:t>
      </w:r>
    </w:p>
    <w:p w14:paraId="55E27C1B" w14:textId="77777777" w:rsidR="007713B1" w:rsidRPr="00AD63EC" w:rsidRDefault="007713B1" w:rsidP="00027309">
      <w:pPr>
        <w:shd w:val="clear" w:color="auto" w:fill="D9D9D9" w:themeFill="background1" w:themeFillShade="D9"/>
        <w:spacing w:line="252" w:lineRule="auto"/>
        <w:rPr>
          <w:rFonts w:cstheme="minorHAnsi"/>
          <w:b/>
          <w:sz w:val="20"/>
          <w:szCs w:val="20"/>
        </w:rPr>
      </w:pPr>
      <w:r w:rsidRPr="00AD63EC">
        <w:rPr>
          <w:rFonts w:cstheme="minorHAnsi"/>
          <w:b/>
          <w:sz w:val="20"/>
          <w:szCs w:val="20"/>
        </w:rPr>
        <w:t>Key Activity — 1.5.1 Carer Payment and Carer Allowance</w:t>
      </w:r>
    </w:p>
    <w:p w14:paraId="6CBFFFBB" w14:textId="77777777" w:rsidR="007713B1" w:rsidRPr="00AD63EC" w:rsidRDefault="007713B1" w:rsidP="009008FD">
      <w:pPr>
        <w:pStyle w:val="Normalmorespace"/>
      </w:pPr>
      <w:r w:rsidRPr="00AD63EC">
        <w:t>The Carer Payment and Carer Allowance are key activities of the Financial Support for Carers Program and provi</w:t>
      </w:r>
      <w:r>
        <w:t xml:space="preserve">de financial </w:t>
      </w:r>
      <w:r w:rsidRPr="00AD63EC">
        <w:t xml:space="preserve">assistance to eligible </w:t>
      </w:r>
      <w:r w:rsidRPr="00AD63EC">
        <w:rPr>
          <w:b/>
        </w:rPr>
        <w:t>carers of people with disability or a severe medical condition</w:t>
      </w:r>
      <w:r w:rsidRPr="00AD63EC">
        <w:t>.</w:t>
      </w:r>
    </w:p>
    <w:p w14:paraId="1CC2A6AA" w14:textId="77777777" w:rsidR="007713B1" w:rsidRPr="00AD63EC" w:rsidRDefault="007713B1" w:rsidP="009008FD">
      <w:pPr>
        <w:pStyle w:val="Normalmorespace"/>
      </w:pPr>
      <w:r w:rsidRPr="00AD63EC">
        <w:rPr>
          <w:b/>
        </w:rPr>
        <w:t>Carer Payment</w:t>
      </w:r>
      <w:r w:rsidRPr="00AD63EC">
        <w:t xml:space="preserve"> </w:t>
      </w:r>
      <w:r>
        <w:t xml:space="preserve">is for </w:t>
      </w:r>
      <w:r w:rsidRPr="00AD63EC">
        <w:t xml:space="preserve">eligible carers of people with disability or a severe medical condition. Carer Payment may be paid where the constant care a carer provides to a child (under 16 years) and/or adult (16 years and over) with a disability or medical condition, prevents them from supporting themselves through paid employment. Carer Payment recipients automatically qualify for a Pensioner Concession Card and short term or episodic carers a Health Care Card. Carer Payment is income and assets tested and paid at the same rate as other social security pensions. Carer Payment recipients may also qualify for Carer Allowance. </w:t>
      </w:r>
    </w:p>
    <w:p w14:paraId="728099CD" w14:textId="77777777" w:rsidR="007713B1" w:rsidRPr="00D30E43" w:rsidRDefault="007713B1" w:rsidP="009008FD">
      <w:pPr>
        <w:pStyle w:val="Normalmorespace"/>
        <w:rPr>
          <w:rFonts w:cs="Arial"/>
          <w:color w:val="auto"/>
        </w:rPr>
      </w:pPr>
      <w:r w:rsidRPr="00D30E43">
        <w:rPr>
          <w:rFonts w:cs="Arial"/>
          <w:b/>
        </w:rPr>
        <w:t>Carer Allowance</w:t>
      </w:r>
      <w:r w:rsidRPr="00D30E43">
        <w:rPr>
          <w:rFonts w:cs="Arial"/>
        </w:rPr>
        <w:t xml:space="preserve"> </w:t>
      </w:r>
      <w:r>
        <w:rPr>
          <w:rFonts w:cs="Arial"/>
          <w:color w:val="auto"/>
          <w:spacing w:val="4"/>
        </w:rPr>
        <w:t xml:space="preserve">is </w:t>
      </w:r>
      <w:r w:rsidRPr="00D30E43">
        <w:rPr>
          <w:rFonts w:cs="Arial"/>
          <w:color w:val="auto"/>
          <w:spacing w:val="4"/>
        </w:rPr>
        <w:t xml:space="preserve">an income supplement to people who provide daily care and </w:t>
      </w:r>
      <w:r w:rsidRPr="00D30E43">
        <w:rPr>
          <w:rFonts w:cs="Arial"/>
          <w:color w:val="auto"/>
        </w:rPr>
        <w:t xml:space="preserve">attention in a private home to a person with disability or a severe medical condition. Carer Allowance is a fortnightly payment for carers who provide daily care and attention to a child (under 16 years) or an adult (over 16 years). </w:t>
      </w:r>
    </w:p>
    <w:p w14:paraId="4A9949B4" w14:textId="77777777" w:rsidR="007713B1" w:rsidRPr="00D30E43" w:rsidRDefault="007713B1" w:rsidP="009008FD">
      <w:pPr>
        <w:pStyle w:val="Normalmorespace"/>
        <w:rPr>
          <w:rFonts w:cs="Arial"/>
        </w:rPr>
      </w:pPr>
      <w:r w:rsidRPr="00D30E43">
        <w:rPr>
          <w:rFonts w:cs="Arial"/>
          <w:b/>
          <w:color w:val="auto"/>
          <w:spacing w:val="4"/>
        </w:rPr>
        <w:t>The department</w:t>
      </w:r>
      <w:r w:rsidRPr="00D30E43">
        <w:rPr>
          <w:rFonts w:cs="Arial"/>
          <w:color w:val="auto"/>
          <w:spacing w:val="4"/>
        </w:rPr>
        <w:t xml:space="preserve"> is responsible for designing and implementing the key activity. This includes providing advice to Government on policy and legislation, program implementation and management, program performance, monitoring and meeting all relevant deliverables, setting guidelines and providing guidance and advice to Services Australia on the administration of the program. </w:t>
      </w:r>
    </w:p>
    <w:p w14:paraId="75AD5E85" w14:textId="77777777" w:rsidR="007713B1" w:rsidRPr="00AD63EC" w:rsidRDefault="007713B1" w:rsidP="009008FD">
      <w:pPr>
        <w:pStyle w:val="Normalmorespace"/>
        <w:rPr>
          <w:rFonts w:asciiTheme="minorHAnsi" w:hAnsiTheme="minorHAnsi"/>
        </w:rPr>
      </w:pPr>
      <w:r w:rsidRPr="00AD63EC">
        <w:rPr>
          <w:b/>
        </w:rPr>
        <w:t>Services Australia</w:t>
      </w:r>
      <w:r w:rsidRPr="00AD63EC">
        <w:t xml:space="preserve"> is the primary portfolio agency responsible for administering the Carer Payment and Carer Allowance on the department’s behalf including managing applications and making payments.</w:t>
      </w:r>
    </w:p>
    <w:tbl>
      <w:tblPr>
        <w:tblStyle w:val="TableGrid39"/>
        <w:tblW w:w="5000" w:type="pct"/>
        <w:jc w:val="center"/>
        <w:tblLook w:val="04A0" w:firstRow="1" w:lastRow="0" w:firstColumn="1" w:lastColumn="0" w:noHBand="0" w:noVBand="1"/>
        <w:tblCaption w:val="1.5.1-1 performance measure and target"/>
        <w:tblDescription w:val="Table outlines the targeted payment percentages across 2023-24, 2024-25, 2025-26 and 2026-27"/>
      </w:tblPr>
      <w:tblGrid>
        <w:gridCol w:w="4404"/>
        <w:gridCol w:w="1235"/>
        <w:gridCol w:w="1235"/>
        <w:gridCol w:w="1235"/>
        <w:gridCol w:w="1235"/>
      </w:tblGrid>
      <w:tr w:rsidR="007713B1" w:rsidRPr="00AD63EC" w14:paraId="5F322129" w14:textId="77777777" w:rsidTr="00CD76E2">
        <w:trPr>
          <w:cantSplit/>
          <w:trHeight w:val="356"/>
          <w:tblHeade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6"/>
            <w:hideMark/>
          </w:tcPr>
          <w:p w14:paraId="1710163F" w14:textId="77777777" w:rsidR="007713B1" w:rsidRPr="00723A4C" w:rsidRDefault="007713B1" w:rsidP="007713B1">
            <w:pPr>
              <w:spacing w:after="120"/>
              <w:rPr>
                <w:rFonts w:cstheme="minorHAnsi"/>
                <w:b/>
                <w:sz w:val="20"/>
                <w:szCs w:val="20"/>
              </w:rPr>
            </w:pPr>
            <w:r w:rsidRPr="00723A4C">
              <w:rPr>
                <w:rFonts w:cstheme="minorHAnsi"/>
                <w:b/>
                <w:sz w:val="20"/>
                <w:szCs w:val="20"/>
              </w:rPr>
              <w:t>Performance Measure</w:t>
            </w:r>
          </w:p>
        </w:tc>
      </w:tr>
      <w:tr w:rsidR="007713B1" w:rsidRPr="00AD63EC" w14:paraId="278C92A5" w14:textId="77777777" w:rsidTr="007713B1">
        <w:trPr>
          <w:cantSplit/>
          <w:trHeight w:val="356"/>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212F1D87" w14:textId="77777777" w:rsidR="007713B1" w:rsidRPr="00723A4C" w:rsidRDefault="007713B1" w:rsidP="009008FD">
            <w:pPr>
              <w:spacing w:after="120"/>
              <w:rPr>
                <w:rFonts w:cstheme="minorHAnsi"/>
                <w:b/>
                <w:sz w:val="20"/>
                <w:szCs w:val="20"/>
              </w:rPr>
            </w:pPr>
            <w:r w:rsidRPr="00723A4C">
              <w:rPr>
                <w:rFonts w:cstheme="minorHAnsi"/>
                <w:sz w:val="20"/>
                <w:szCs w:val="20"/>
              </w:rPr>
              <w:t>1.5.1-1 Extent to which payments are made to, or with respect to, carers unable to fully support themselves.</w:t>
            </w:r>
          </w:p>
        </w:tc>
      </w:tr>
      <w:tr w:rsidR="007713B1" w:rsidRPr="00AD63EC" w14:paraId="49177C26" w14:textId="77777777" w:rsidTr="007713B1">
        <w:trPr>
          <w:cantSplit/>
          <w:trHeight w:val="356"/>
          <w:jc w:val="center"/>
        </w:trPr>
        <w:tc>
          <w:tcPr>
            <w:tcW w:w="2356" w:type="pct"/>
            <w:tcBorders>
              <w:top w:val="single" w:sz="4" w:space="0" w:color="auto"/>
              <w:left w:val="single" w:sz="4" w:space="0" w:color="auto"/>
              <w:bottom w:val="single" w:sz="4" w:space="0" w:color="auto"/>
              <w:right w:val="single" w:sz="4" w:space="0" w:color="auto"/>
            </w:tcBorders>
            <w:shd w:val="clear" w:color="auto" w:fill="D9D9D6"/>
            <w:hideMark/>
          </w:tcPr>
          <w:p w14:paraId="56E28C2C" w14:textId="77777777" w:rsidR="007713B1" w:rsidRPr="00723A4C" w:rsidRDefault="007713B1" w:rsidP="007713B1">
            <w:pPr>
              <w:spacing w:after="120"/>
              <w:rPr>
                <w:rFonts w:cstheme="minorHAnsi"/>
                <w:b/>
                <w:sz w:val="20"/>
                <w:szCs w:val="20"/>
              </w:rPr>
            </w:pPr>
            <w:r w:rsidRPr="00723A4C">
              <w:rPr>
                <w:rFonts w:cstheme="minorHAnsi"/>
                <w:b/>
                <w:sz w:val="20"/>
                <w:szCs w:val="20"/>
              </w:rPr>
              <w:t>Target</w:t>
            </w:r>
          </w:p>
        </w:tc>
        <w:tc>
          <w:tcPr>
            <w:tcW w:w="661" w:type="pct"/>
            <w:tcBorders>
              <w:top w:val="single" w:sz="4" w:space="0" w:color="auto"/>
              <w:left w:val="single" w:sz="4" w:space="0" w:color="auto"/>
              <w:bottom w:val="single" w:sz="4" w:space="0" w:color="auto"/>
              <w:right w:val="single" w:sz="4" w:space="0" w:color="auto"/>
            </w:tcBorders>
            <w:shd w:val="clear" w:color="auto" w:fill="D9D9D6"/>
            <w:vAlign w:val="center"/>
            <w:hideMark/>
          </w:tcPr>
          <w:p w14:paraId="4C2851B8" w14:textId="77777777" w:rsidR="007713B1" w:rsidRPr="00723A4C" w:rsidRDefault="007713B1" w:rsidP="007713B1">
            <w:pPr>
              <w:spacing w:after="120"/>
              <w:rPr>
                <w:rFonts w:cstheme="minorHAnsi"/>
                <w:b/>
                <w:sz w:val="20"/>
                <w:szCs w:val="20"/>
              </w:rPr>
            </w:pPr>
            <w:r w:rsidRPr="00723A4C">
              <w:rPr>
                <w:rFonts w:cstheme="minorHAnsi"/>
                <w:b/>
                <w:sz w:val="20"/>
                <w:szCs w:val="20"/>
              </w:rPr>
              <w:t>2023–24</w:t>
            </w:r>
          </w:p>
        </w:tc>
        <w:tc>
          <w:tcPr>
            <w:tcW w:w="661" w:type="pct"/>
            <w:tcBorders>
              <w:top w:val="single" w:sz="4" w:space="0" w:color="auto"/>
              <w:left w:val="single" w:sz="4" w:space="0" w:color="auto"/>
              <w:bottom w:val="single" w:sz="4" w:space="0" w:color="auto"/>
              <w:right w:val="single" w:sz="4" w:space="0" w:color="auto"/>
            </w:tcBorders>
            <w:shd w:val="clear" w:color="auto" w:fill="D9D9D6"/>
            <w:vAlign w:val="center"/>
            <w:hideMark/>
          </w:tcPr>
          <w:p w14:paraId="41D3E299" w14:textId="77777777" w:rsidR="007713B1" w:rsidRPr="00723A4C" w:rsidRDefault="007713B1" w:rsidP="007713B1">
            <w:pPr>
              <w:spacing w:after="120"/>
              <w:rPr>
                <w:rFonts w:cstheme="minorHAnsi"/>
                <w:b/>
                <w:sz w:val="20"/>
                <w:szCs w:val="20"/>
              </w:rPr>
            </w:pPr>
            <w:r w:rsidRPr="00723A4C">
              <w:rPr>
                <w:rFonts w:cstheme="minorHAnsi"/>
                <w:b/>
                <w:sz w:val="20"/>
                <w:szCs w:val="20"/>
              </w:rPr>
              <w:t>2024–25</w:t>
            </w:r>
          </w:p>
        </w:tc>
        <w:tc>
          <w:tcPr>
            <w:tcW w:w="661" w:type="pct"/>
            <w:tcBorders>
              <w:top w:val="single" w:sz="4" w:space="0" w:color="auto"/>
              <w:left w:val="single" w:sz="4" w:space="0" w:color="auto"/>
              <w:bottom w:val="single" w:sz="4" w:space="0" w:color="auto"/>
              <w:right w:val="single" w:sz="4" w:space="0" w:color="auto"/>
            </w:tcBorders>
            <w:shd w:val="clear" w:color="auto" w:fill="D9D9D6"/>
            <w:vAlign w:val="center"/>
            <w:hideMark/>
          </w:tcPr>
          <w:p w14:paraId="78A8F0DA" w14:textId="77777777" w:rsidR="007713B1" w:rsidRPr="00723A4C" w:rsidRDefault="007713B1" w:rsidP="007713B1">
            <w:pPr>
              <w:spacing w:after="120"/>
              <w:rPr>
                <w:rFonts w:cstheme="minorHAnsi"/>
                <w:b/>
                <w:sz w:val="20"/>
                <w:szCs w:val="20"/>
              </w:rPr>
            </w:pPr>
            <w:r w:rsidRPr="00723A4C">
              <w:rPr>
                <w:rFonts w:cstheme="minorHAnsi"/>
                <w:b/>
                <w:sz w:val="20"/>
                <w:szCs w:val="20"/>
              </w:rPr>
              <w:t>2025–26</w:t>
            </w:r>
          </w:p>
        </w:tc>
        <w:tc>
          <w:tcPr>
            <w:tcW w:w="661" w:type="pct"/>
            <w:tcBorders>
              <w:top w:val="single" w:sz="4" w:space="0" w:color="auto"/>
              <w:left w:val="single" w:sz="4" w:space="0" w:color="auto"/>
              <w:bottom w:val="single" w:sz="4" w:space="0" w:color="auto"/>
              <w:right w:val="single" w:sz="4" w:space="0" w:color="auto"/>
            </w:tcBorders>
            <w:shd w:val="clear" w:color="auto" w:fill="D9D9D6"/>
            <w:vAlign w:val="center"/>
            <w:hideMark/>
          </w:tcPr>
          <w:p w14:paraId="042CE345" w14:textId="77777777" w:rsidR="007713B1" w:rsidRPr="00723A4C" w:rsidRDefault="007713B1" w:rsidP="007713B1">
            <w:pPr>
              <w:spacing w:after="120"/>
              <w:rPr>
                <w:rFonts w:cstheme="minorHAnsi"/>
                <w:b/>
                <w:sz w:val="20"/>
                <w:szCs w:val="20"/>
              </w:rPr>
            </w:pPr>
            <w:r w:rsidRPr="00723A4C">
              <w:rPr>
                <w:rFonts w:cstheme="minorHAnsi"/>
                <w:b/>
                <w:sz w:val="20"/>
                <w:szCs w:val="20"/>
              </w:rPr>
              <w:t>2026–27</w:t>
            </w:r>
          </w:p>
        </w:tc>
      </w:tr>
      <w:tr w:rsidR="007713B1" w:rsidRPr="00AD63EC" w14:paraId="5BC37391" w14:textId="77777777" w:rsidTr="007713B1">
        <w:trPr>
          <w:cantSplit/>
          <w:trHeight w:val="356"/>
          <w:jc w:val="center"/>
        </w:trPr>
        <w:tc>
          <w:tcPr>
            <w:tcW w:w="2356" w:type="pct"/>
            <w:tcBorders>
              <w:top w:val="single" w:sz="4" w:space="0" w:color="auto"/>
              <w:left w:val="single" w:sz="4" w:space="0" w:color="auto"/>
              <w:bottom w:val="single" w:sz="4" w:space="0" w:color="auto"/>
              <w:right w:val="single" w:sz="4" w:space="0" w:color="auto"/>
            </w:tcBorders>
            <w:hideMark/>
          </w:tcPr>
          <w:p w14:paraId="25028C7B" w14:textId="4F1824A5" w:rsidR="007713B1" w:rsidRPr="00723A4C" w:rsidRDefault="007713B1" w:rsidP="007713B1">
            <w:pPr>
              <w:spacing w:after="120"/>
              <w:rPr>
                <w:rFonts w:cstheme="minorHAnsi"/>
                <w:sz w:val="20"/>
                <w:szCs w:val="20"/>
              </w:rPr>
            </w:pPr>
            <w:r w:rsidRPr="00723A4C">
              <w:rPr>
                <w:noProof/>
                <w:sz w:val="20"/>
                <w:szCs w:val="20"/>
              </w:rPr>
              <w:sym w:font="Wingdings" w:char="F074"/>
            </w:r>
            <w:r w:rsidR="00366C4D">
              <w:rPr>
                <w:noProof/>
                <w:sz w:val="20"/>
                <w:szCs w:val="20"/>
              </w:rPr>
              <w:t xml:space="preserve"> </w:t>
            </w:r>
            <w:r w:rsidRPr="00723A4C">
              <w:rPr>
                <w:noProof/>
                <w:sz w:val="20"/>
                <w:szCs w:val="20"/>
              </w:rPr>
              <w:t xml:space="preserve">1.5.1-1A </w:t>
            </w:r>
            <w:r w:rsidRPr="00723A4C">
              <w:rPr>
                <w:rFonts w:cstheme="minorHAnsi"/>
                <w:sz w:val="20"/>
                <w:szCs w:val="20"/>
              </w:rPr>
              <w:t>At least 70% of primary carers in Australia are supported by Carer Payment and/or Carer Allowance.</w:t>
            </w:r>
          </w:p>
        </w:tc>
        <w:tc>
          <w:tcPr>
            <w:tcW w:w="661" w:type="pct"/>
            <w:tcBorders>
              <w:top w:val="single" w:sz="4" w:space="0" w:color="auto"/>
              <w:left w:val="single" w:sz="4" w:space="0" w:color="auto"/>
              <w:bottom w:val="single" w:sz="4" w:space="0" w:color="auto"/>
              <w:right w:val="single" w:sz="4" w:space="0" w:color="auto"/>
            </w:tcBorders>
            <w:hideMark/>
          </w:tcPr>
          <w:p w14:paraId="6DD419E1" w14:textId="77777777" w:rsidR="007713B1" w:rsidRPr="00723A4C" w:rsidRDefault="007713B1" w:rsidP="007713B1">
            <w:pPr>
              <w:spacing w:after="120"/>
              <w:rPr>
                <w:rFonts w:cstheme="minorHAnsi"/>
                <w:sz w:val="20"/>
                <w:szCs w:val="20"/>
              </w:rPr>
            </w:pPr>
            <w:r w:rsidRPr="00723A4C">
              <w:rPr>
                <w:rFonts w:cs="Arial"/>
                <w:color w:val="202124"/>
                <w:sz w:val="20"/>
                <w:szCs w:val="20"/>
                <w:shd w:val="clear" w:color="auto" w:fill="FFFFFF"/>
              </w:rPr>
              <w:t>≥70</w:t>
            </w:r>
            <w:r w:rsidRPr="00723A4C">
              <w:rPr>
                <w:sz w:val="20"/>
                <w:szCs w:val="20"/>
                <w:lang w:eastAsia="en-GB"/>
              </w:rPr>
              <w:t xml:space="preserve"> %</w:t>
            </w:r>
          </w:p>
        </w:tc>
        <w:tc>
          <w:tcPr>
            <w:tcW w:w="661" w:type="pct"/>
            <w:tcBorders>
              <w:top w:val="single" w:sz="4" w:space="0" w:color="auto"/>
              <w:left w:val="single" w:sz="4" w:space="0" w:color="auto"/>
              <w:bottom w:val="single" w:sz="4" w:space="0" w:color="auto"/>
              <w:right w:val="single" w:sz="4" w:space="0" w:color="auto"/>
            </w:tcBorders>
            <w:hideMark/>
          </w:tcPr>
          <w:p w14:paraId="7CF1CCB6" w14:textId="77777777" w:rsidR="007713B1" w:rsidRPr="00723A4C" w:rsidRDefault="007713B1" w:rsidP="007713B1">
            <w:pPr>
              <w:spacing w:after="120"/>
              <w:rPr>
                <w:rFonts w:cstheme="minorHAnsi"/>
                <w:sz w:val="20"/>
                <w:szCs w:val="20"/>
              </w:rPr>
            </w:pPr>
            <w:r w:rsidRPr="00723A4C">
              <w:rPr>
                <w:rFonts w:cs="Arial"/>
                <w:color w:val="202124"/>
                <w:sz w:val="20"/>
                <w:szCs w:val="20"/>
                <w:shd w:val="clear" w:color="auto" w:fill="FFFFFF"/>
              </w:rPr>
              <w:t>≥70</w:t>
            </w:r>
            <w:r w:rsidRPr="00723A4C">
              <w:rPr>
                <w:sz w:val="20"/>
                <w:szCs w:val="20"/>
                <w:lang w:eastAsia="en-GB"/>
              </w:rPr>
              <w:t xml:space="preserve"> %</w:t>
            </w:r>
          </w:p>
        </w:tc>
        <w:tc>
          <w:tcPr>
            <w:tcW w:w="661" w:type="pct"/>
            <w:tcBorders>
              <w:top w:val="single" w:sz="4" w:space="0" w:color="auto"/>
              <w:left w:val="single" w:sz="4" w:space="0" w:color="auto"/>
              <w:bottom w:val="single" w:sz="4" w:space="0" w:color="auto"/>
              <w:right w:val="single" w:sz="4" w:space="0" w:color="auto"/>
            </w:tcBorders>
            <w:hideMark/>
          </w:tcPr>
          <w:p w14:paraId="63476B9C" w14:textId="77777777" w:rsidR="007713B1" w:rsidRPr="00723A4C" w:rsidRDefault="007713B1" w:rsidP="007713B1">
            <w:pPr>
              <w:spacing w:after="120"/>
              <w:rPr>
                <w:rFonts w:cstheme="minorHAnsi"/>
                <w:sz w:val="20"/>
                <w:szCs w:val="20"/>
              </w:rPr>
            </w:pPr>
            <w:r w:rsidRPr="00723A4C">
              <w:rPr>
                <w:rFonts w:cs="Arial"/>
                <w:color w:val="202124"/>
                <w:sz w:val="20"/>
                <w:szCs w:val="20"/>
                <w:shd w:val="clear" w:color="auto" w:fill="FFFFFF"/>
              </w:rPr>
              <w:t>≥70</w:t>
            </w:r>
            <w:r w:rsidRPr="00723A4C">
              <w:rPr>
                <w:sz w:val="20"/>
                <w:szCs w:val="20"/>
                <w:lang w:eastAsia="en-GB"/>
              </w:rPr>
              <w:t xml:space="preserve"> % </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5F82580" w14:textId="77777777" w:rsidR="007713B1" w:rsidRPr="00723A4C" w:rsidRDefault="007713B1" w:rsidP="007713B1">
            <w:pPr>
              <w:spacing w:after="120"/>
              <w:rPr>
                <w:rFonts w:cstheme="minorHAnsi"/>
                <w:sz w:val="20"/>
                <w:szCs w:val="20"/>
              </w:rPr>
            </w:pPr>
            <w:r w:rsidRPr="00723A4C">
              <w:rPr>
                <w:rFonts w:cs="Arial"/>
                <w:color w:val="202124"/>
                <w:sz w:val="20"/>
                <w:szCs w:val="20"/>
                <w:shd w:val="clear" w:color="auto" w:fill="FFFFFF"/>
              </w:rPr>
              <w:t>≥70</w:t>
            </w:r>
            <w:r w:rsidRPr="00723A4C">
              <w:rPr>
                <w:sz w:val="20"/>
                <w:szCs w:val="20"/>
                <w:lang w:eastAsia="en-GB"/>
              </w:rPr>
              <w:t xml:space="preserve"> % </w:t>
            </w:r>
          </w:p>
        </w:tc>
      </w:tr>
    </w:tbl>
    <w:p w14:paraId="31E84636" w14:textId="77777777" w:rsidR="00013CF0" w:rsidRDefault="00013CF0" w:rsidP="00013CF0">
      <w:pPr>
        <w:pStyle w:val="Heading4"/>
        <w:shd w:val="clear" w:color="auto" w:fill="auto"/>
      </w:pPr>
    </w:p>
    <w:p w14:paraId="429F339A" w14:textId="20D1F672" w:rsidR="007713B1" w:rsidRPr="00AD63EC" w:rsidRDefault="007713B1" w:rsidP="00027309">
      <w:pPr>
        <w:pStyle w:val="Heading4"/>
        <w:shd w:val="clear" w:color="auto" w:fill="D9D9D9" w:themeFill="background1" w:themeFillShade="D9"/>
        <w:rPr>
          <w:rFonts w:asciiTheme="minorHAnsi" w:hAnsiTheme="minorHAnsi"/>
        </w:rPr>
      </w:pPr>
      <w:r w:rsidRPr="00AD63EC">
        <w:t>Rationale</w:t>
      </w:r>
    </w:p>
    <w:p w14:paraId="708B72AF" w14:textId="77777777" w:rsidR="007713B1" w:rsidRPr="00AD63EC" w:rsidRDefault="007713B1" w:rsidP="009008FD">
      <w:pPr>
        <w:pStyle w:val="Normalmorespace"/>
      </w:pPr>
      <w:r w:rsidRPr="00AD63EC">
        <w:t xml:space="preserve">Measuring the </w:t>
      </w:r>
      <w:r w:rsidRPr="0060232E">
        <w:t>extent to which payments are made to, or with respect to, carers unable to fully support themselves</w:t>
      </w:r>
      <w:r w:rsidRPr="00AD63EC">
        <w:rPr>
          <w:i/>
        </w:rPr>
        <w:t xml:space="preserve"> </w:t>
      </w:r>
      <w:r w:rsidRPr="00AD63EC">
        <w:t xml:space="preserve">aims to demonstrate that carers of people with disability or a severe medical condition are financially assisted. This measure demonstrates the effectiveness of the Carer Payment and Carer Allowance in achieving the objectives of the key activities. </w:t>
      </w:r>
    </w:p>
    <w:p w14:paraId="5A8A6414" w14:textId="20C85FEC" w:rsidR="009D536E" w:rsidRDefault="007713B1" w:rsidP="009008FD">
      <w:pPr>
        <w:pStyle w:val="Normalmorespace"/>
      </w:pPr>
      <w:r w:rsidRPr="00AD63EC">
        <w:t xml:space="preserve">Targeting 70 per cent of primary carers in Australia are supported by Carer Payment and/or Carer Allowance demonstrates the </w:t>
      </w:r>
      <w:r w:rsidRPr="00AD63EC">
        <w:rPr>
          <w:b/>
        </w:rPr>
        <w:t>effectiveness</w:t>
      </w:r>
      <w:r w:rsidRPr="00AD63EC">
        <w:t xml:space="preserve"> of the key activity by showing a significant per cent of eligible carers who are unable to fully support themselves are i</w:t>
      </w:r>
      <w:r>
        <w:t>n receipt of financial support.</w:t>
      </w:r>
    </w:p>
    <w:p w14:paraId="4214A7D7" w14:textId="2C6291E2" w:rsidR="00013CF0" w:rsidRDefault="00013CF0" w:rsidP="009008FD">
      <w:pPr>
        <w:pStyle w:val="Normalmorespace"/>
      </w:pPr>
    </w:p>
    <w:p w14:paraId="5C834CE3" w14:textId="77777777" w:rsidR="00013CF0" w:rsidRPr="00AD63EC" w:rsidRDefault="00013CF0" w:rsidP="009008FD">
      <w:pPr>
        <w:pStyle w:val="Normalmorespace"/>
      </w:pPr>
    </w:p>
    <w:p w14:paraId="27CF0EE7" w14:textId="77777777" w:rsidR="007713B1" w:rsidRPr="00AD63EC" w:rsidRDefault="007713B1" w:rsidP="00027309">
      <w:pPr>
        <w:pStyle w:val="Heading4"/>
        <w:shd w:val="clear" w:color="auto" w:fill="D9D9D9" w:themeFill="background1" w:themeFillShade="D9"/>
      </w:pPr>
      <w:r w:rsidRPr="00AD63EC">
        <w:t>Methodology</w:t>
      </w:r>
    </w:p>
    <w:p w14:paraId="4D7B8597" w14:textId="77777777" w:rsidR="007713B1" w:rsidRPr="00AD63EC" w:rsidRDefault="007713B1" w:rsidP="009008FD">
      <w:pPr>
        <w:pStyle w:val="Normalmorespace"/>
      </w:pPr>
      <w:r w:rsidRPr="00AD63EC">
        <w:rPr>
          <w:i/>
        </w:rPr>
        <w:t>The number of primary carers in Australia that are supported</w:t>
      </w:r>
      <w:r w:rsidRPr="00AD63EC">
        <w:t xml:space="preserve"> is calculated using the number of payment recipients of Carer Payment, Carer Allowance (Adult) and Carer Allowance (Child).</w:t>
      </w:r>
    </w:p>
    <w:p w14:paraId="16C0CB3F" w14:textId="7E959A28" w:rsidR="007713B1" w:rsidRPr="00AD63EC" w:rsidRDefault="007713B1" w:rsidP="009008FD">
      <w:pPr>
        <w:pStyle w:val="Normalmorespace"/>
      </w:pPr>
      <w:r w:rsidRPr="00AD63EC">
        <w:rPr>
          <w:i/>
        </w:rPr>
        <w:t>The number of primary carers in Australia</w:t>
      </w:r>
      <w:r w:rsidRPr="00AD63EC">
        <w:t xml:space="preserve"> is based on the Australian Bureau of Statistics – Survey of Disability, Ageing and Carers.</w:t>
      </w:r>
    </w:p>
    <w:p w14:paraId="7D41FE1C" w14:textId="6CFB001B" w:rsidR="00F76253" w:rsidRPr="008F0306" w:rsidRDefault="007713B1" w:rsidP="009008FD">
      <w:pPr>
        <w:spacing w:before="80" w:after="80" w:line="240" w:lineRule="auto"/>
        <w:rPr>
          <w:sz w:val="20"/>
          <w:szCs w:val="20"/>
        </w:rPr>
      </w:pPr>
      <w:r w:rsidRPr="00AD63EC">
        <w:rPr>
          <w:rFonts w:cstheme="minorHAnsi"/>
          <w:sz w:val="20"/>
          <w:szCs w:val="20"/>
        </w:rPr>
        <w:t xml:space="preserve">The </w:t>
      </w:r>
      <w:r w:rsidRPr="00AD63EC">
        <w:rPr>
          <w:rFonts w:cstheme="minorHAnsi"/>
          <w:b/>
          <w:sz w:val="20"/>
          <w:szCs w:val="20"/>
        </w:rPr>
        <w:t>data sources</w:t>
      </w:r>
      <w:r w:rsidRPr="00AD63EC">
        <w:rPr>
          <w:rFonts w:cstheme="minorHAnsi"/>
          <w:sz w:val="20"/>
          <w:szCs w:val="20"/>
        </w:rPr>
        <w:t xml:space="preserve"> used for this calculation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Source"/>
        <w:tblDescription w:val="SS: Services Australia administrative data. SS: Australian Bureau of Statistics Survey – Disability, Ageing and Carers."/>
      </w:tblPr>
      <w:tblGrid>
        <w:gridCol w:w="988"/>
        <w:gridCol w:w="8028"/>
      </w:tblGrid>
      <w:tr w:rsidR="00F76253" w:rsidRPr="00334F13" w14:paraId="2C0A2E65" w14:textId="77777777" w:rsidTr="0017156F">
        <w:trPr>
          <w:trHeight w:val="737"/>
          <w:tblHeader/>
        </w:trPr>
        <w:tc>
          <w:tcPr>
            <w:tcW w:w="988" w:type="dxa"/>
            <w:vAlign w:val="center"/>
          </w:tcPr>
          <w:p w14:paraId="546D4754" w14:textId="77777777" w:rsidR="00F76253" w:rsidRDefault="00F76253" w:rsidP="00F76253">
            <w:r>
              <w:rPr>
                <w:noProof/>
                <w:color w:val="000000" w:themeColor="text1"/>
              </w:rPr>
              <w:drawing>
                <wp:inline distT="0" distB="0" distL="0" distR="0" wp14:anchorId="33D72C05" wp14:editId="60C0807D">
                  <wp:extent cx="457200" cy="342900"/>
                  <wp:effectExtent l="0" t="0" r="0" b="0"/>
                  <wp:docPr id="695" name="Picture 695"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vAlign w:val="center"/>
          </w:tcPr>
          <w:p w14:paraId="7F5647B7" w14:textId="77777777" w:rsidR="00F76253" w:rsidRPr="00334F13" w:rsidRDefault="00F76253" w:rsidP="00F76253">
            <w:pPr>
              <w:rPr>
                <w:sz w:val="20"/>
                <w:szCs w:val="20"/>
              </w:rPr>
            </w:pPr>
            <w:r>
              <w:rPr>
                <w:sz w:val="20"/>
                <w:szCs w:val="20"/>
              </w:rPr>
              <w:t>Services Australia administrative data</w:t>
            </w:r>
            <w:r w:rsidRPr="008F0306">
              <w:rPr>
                <w:sz w:val="20"/>
                <w:szCs w:val="20"/>
              </w:rPr>
              <w:t>.</w:t>
            </w:r>
          </w:p>
        </w:tc>
      </w:tr>
      <w:tr w:rsidR="00F76253" w:rsidRPr="00334F13" w14:paraId="1C6D9AC5" w14:textId="77777777" w:rsidTr="00AF5D30">
        <w:trPr>
          <w:trHeight w:val="934"/>
        </w:trPr>
        <w:tc>
          <w:tcPr>
            <w:tcW w:w="988" w:type="dxa"/>
          </w:tcPr>
          <w:p w14:paraId="1DA2965C" w14:textId="77777777" w:rsidR="00F76253" w:rsidRDefault="00F76253" w:rsidP="00F76253">
            <w:r>
              <w:rPr>
                <w:noProof/>
                <w:color w:val="000000" w:themeColor="text1"/>
              </w:rPr>
              <w:drawing>
                <wp:inline distT="0" distB="0" distL="0" distR="0" wp14:anchorId="540E143D" wp14:editId="3B2B3BA2">
                  <wp:extent cx="457200" cy="342900"/>
                  <wp:effectExtent l="0" t="0" r="0" b="0"/>
                  <wp:docPr id="696" name="Picture 696"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tcPr>
          <w:p w14:paraId="016F0DB5" w14:textId="77777777" w:rsidR="00F76253" w:rsidRPr="00334F13" w:rsidRDefault="00F76253" w:rsidP="00F76253">
            <w:pPr>
              <w:rPr>
                <w:sz w:val="20"/>
                <w:szCs w:val="20"/>
              </w:rPr>
            </w:pPr>
            <w:r w:rsidRPr="008F0306">
              <w:rPr>
                <w:sz w:val="20"/>
                <w:szCs w:val="20"/>
              </w:rPr>
              <w:t>Australian Bureau of Statistics Survey – Disability, Ageing and Carers.</w:t>
            </w:r>
          </w:p>
        </w:tc>
      </w:tr>
    </w:tbl>
    <w:p w14:paraId="1D2D0CAD" w14:textId="77777777" w:rsidR="007713B1" w:rsidRPr="00AD63EC" w:rsidRDefault="007713B1" w:rsidP="00027309">
      <w:pPr>
        <w:pStyle w:val="Heading4"/>
        <w:shd w:val="clear" w:color="auto" w:fill="D9D9D9" w:themeFill="background1" w:themeFillShade="D9"/>
      </w:pPr>
      <w:r w:rsidRPr="00AD63EC">
        <w:t xml:space="preserve">Supporting Information </w:t>
      </w:r>
    </w:p>
    <w:p w14:paraId="644C193E" w14:textId="77777777" w:rsidR="007713B1" w:rsidRPr="00092995" w:rsidRDefault="007713B1" w:rsidP="007572E0">
      <w:pPr>
        <w:pStyle w:val="ListParagraph"/>
        <w:numPr>
          <w:ilvl w:val="0"/>
          <w:numId w:val="29"/>
        </w:numPr>
        <w:spacing w:before="80" w:after="80" w:line="240" w:lineRule="auto"/>
        <w:ind w:left="641" w:hanging="357"/>
        <w:contextualSpacing w:val="0"/>
        <w:rPr>
          <w:sz w:val="20"/>
          <w:szCs w:val="20"/>
        </w:rPr>
      </w:pPr>
      <w:r w:rsidRPr="00092995">
        <w:rPr>
          <w:sz w:val="20"/>
          <w:szCs w:val="20"/>
        </w:rPr>
        <w:t>Administered outlays</w:t>
      </w:r>
    </w:p>
    <w:p w14:paraId="56715BE7" w14:textId="77777777" w:rsidR="007713B1" w:rsidRPr="00092995" w:rsidRDefault="007713B1" w:rsidP="007572E0">
      <w:pPr>
        <w:pStyle w:val="ListParagraph"/>
        <w:numPr>
          <w:ilvl w:val="0"/>
          <w:numId w:val="29"/>
        </w:numPr>
        <w:spacing w:before="80" w:after="80" w:line="240" w:lineRule="auto"/>
        <w:ind w:left="641" w:hanging="357"/>
        <w:contextualSpacing w:val="0"/>
        <w:rPr>
          <w:sz w:val="20"/>
          <w:szCs w:val="20"/>
        </w:rPr>
      </w:pPr>
      <w:r w:rsidRPr="00092995">
        <w:rPr>
          <w:sz w:val="20"/>
          <w:szCs w:val="20"/>
        </w:rPr>
        <w:t>Number of recipients</w:t>
      </w:r>
    </w:p>
    <w:p w14:paraId="55DF9AD6" w14:textId="363AFE48" w:rsidR="007713B1" w:rsidRPr="00092995" w:rsidRDefault="00C075A0" w:rsidP="007572E0">
      <w:pPr>
        <w:pStyle w:val="ListParagraph"/>
        <w:numPr>
          <w:ilvl w:val="0"/>
          <w:numId w:val="29"/>
        </w:numPr>
        <w:spacing w:before="80" w:after="80" w:line="240" w:lineRule="auto"/>
        <w:ind w:left="641" w:hanging="357"/>
        <w:contextualSpacing w:val="0"/>
        <w:rPr>
          <w:sz w:val="20"/>
          <w:szCs w:val="20"/>
        </w:rPr>
      </w:pPr>
      <w:r>
        <w:rPr>
          <w:sz w:val="20"/>
          <w:szCs w:val="20"/>
        </w:rPr>
        <w:t>Payment a</w:t>
      </w:r>
      <w:r w:rsidR="006E74F5">
        <w:rPr>
          <w:sz w:val="20"/>
          <w:szCs w:val="20"/>
        </w:rPr>
        <w:t>ccuracy</w:t>
      </w:r>
    </w:p>
    <w:p w14:paraId="7E43EF7C" w14:textId="77777777" w:rsidR="007713B1" w:rsidRDefault="007713B1" w:rsidP="007713B1">
      <w:pPr>
        <w:rPr>
          <w:rFonts w:cstheme="minorHAnsi"/>
        </w:rPr>
      </w:pPr>
      <w:r>
        <w:rPr>
          <w:rFonts w:cstheme="minorHAnsi"/>
        </w:rPr>
        <w:br w:type="page"/>
      </w:r>
    </w:p>
    <w:p w14:paraId="0F476FE5" w14:textId="77777777" w:rsidR="007713B1" w:rsidRPr="00C30D18" w:rsidRDefault="007713B1" w:rsidP="007A03BF">
      <w:pPr>
        <w:pStyle w:val="Heading3"/>
      </w:pPr>
      <w:r w:rsidRPr="00C30D18">
        <w:t xml:space="preserve">PROGRAM 1.6 WORKING AGE PAYMENTS </w:t>
      </w:r>
    </w:p>
    <w:p w14:paraId="429C63CE" w14:textId="77777777" w:rsidR="007713B1" w:rsidRPr="00E01A7C" w:rsidRDefault="007713B1" w:rsidP="007713B1">
      <w:pPr>
        <w:shd w:val="clear" w:color="auto" w:fill="005A70"/>
        <w:rPr>
          <w:color w:val="FFFFFF" w:themeColor="background1"/>
          <w:szCs w:val="20"/>
        </w:rPr>
      </w:pPr>
      <w:r w:rsidRPr="00C30D18">
        <w:rPr>
          <w:color w:val="FFFFFF" w:themeColor="background1"/>
          <w:sz w:val="20"/>
          <w:szCs w:val="20"/>
        </w:rPr>
        <w:t>To provide financial assistance to people while they are unable to fully support themselves through work</w:t>
      </w:r>
      <w:r w:rsidRPr="00E01A7C">
        <w:rPr>
          <w:color w:val="FFFFFF" w:themeColor="background1"/>
          <w:szCs w:val="20"/>
        </w:rPr>
        <w:t>.</w:t>
      </w:r>
    </w:p>
    <w:p w14:paraId="04ADB7D9" w14:textId="77777777" w:rsidR="007713B1" w:rsidRPr="00AD63EC" w:rsidRDefault="007713B1" w:rsidP="00027309">
      <w:pPr>
        <w:pStyle w:val="Heading4"/>
        <w:shd w:val="clear" w:color="auto" w:fill="D9D9D9" w:themeFill="background1" w:themeFillShade="D9"/>
      </w:pPr>
      <w:r w:rsidRPr="00AD63EC">
        <w:t>Key Activity — 1.6.1 JobSeeker Payment, Youth Allowance (Other)</w:t>
      </w:r>
      <w:r>
        <w:t xml:space="preserve"> and </w:t>
      </w:r>
      <w:r w:rsidRPr="00AD63EC">
        <w:t>Parenting Payment</w:t>
      </w:r>
    </w:p>
    <w:p w14:paraId="1772A36D" w14:textId="77777777" w:rsidR="007713B1" w:rsidRPr="00AD63EC" w:rsidRDefault="007713B1" w:rsidP="009008FD">
      <w:pPr>
        <w:pStyle w:val="Normalmorespace"/>
      </w:pPr>
      <w:r w:rsidRPr="00AD63EC">
        <w:t>The JobSeeker Payment, Parenting Payment &amp; Youth Allowance (Other) are key activities of the Working Age Payments program.</w:t>
      </w:r>
    </w:p>
    <w:p w14:paraId="23F44ACA" w14:textId="4B5F4C19" w:rsidR="007713B1" w:rsidRPr="00AD63EC" w:rsidRDefault="007713B1" w:rsidP="009008FD">
      <w:pPr>
        <w:pStyle w:val="Normalmorespace"/>
      </w:pPr>
      <w:r w:rsidRPr="00AD63EC">
        <w:t xml:space="preserve">Working Age Payments assist people who are temporarily unable to support themselves through work or who have a limited capacity to work due to </w:t>
      </w:r>
      <w:r w:rsidR="00FB7E4B">
        <w:t>injury or illness</w:t>
      </w:r>
      <w:r w:rsidRPr="00AD63EC">
        <w:t xml:space="preserve"> or </w:t>
      </w:r>
      <w:r w:rsidR="00FB7E4B">
        <w:t>parenting</w:t>
      </w:r>
      <w:r w:rsidRPr="00AD63EC">
        <w:t xml:space="preserve"> responsibilities. Eligibility for payments is targeted with means testing and supplementary payments are available where people have additional costs, ensuring that assistance is directed to those with the greatest need. Recipients who have the capacity to work are required to actively seek work and may be required to attend training or work experience to improve their job prospects.</w:t>
      </w:r>
    </w:p>
    <w:p w14:paraId="6DE5F814" w14:textId="77777777" w:rsidR="007713B1" w:rsidRPr="00C02D45" w:rsidRDefault="007713B1" w:rsidP="009008FD">
      <w:pPr>
        <w:pStyle w:val="ListParagraph"/>
        <w:numPr>
          <w:ilvl w:val="0"/>
          <w:numId w:val="29"/>
        </w:numPr>
        <w:spacing w:before="80" w:after="80" w:line="240" w:lineRule="auto"/>
        <w:ind w:left="641" w:hanging="357"/>
        <w:contextualSpacing w:val="0"/>
        <w:rPr>
          <w:sz w:val="20"/>
          <w:szCs w:val="20"/>
        </w:rPr>
      </w:pPr>
      <w:r w:rsidRPr="00C02D45">
        <w:rPr>
          <w:b/>
          <w:sz w:val="20"/>
          <w:szCs w:val="20"/>
        </w:rPr>
        <w:t>JobSeeker Payment</w:t>
      </w:r>
      <w:r w:rsidRPr="00C02D45">
        <w:rPr>
          <w:sz w:val="20"/>
          <w:szCs w:val="20"/>
        </w:rPr>
        <w:t xml:space="preserve"> is the main income support payment for eligible people aged between </w:t>
      </w:r>
      <w:r w:rsidRPr="00C02D45">
        <w:rPr>
          <w:b/>
          <w:sz w:val="20"/>
          <w:szCs w:val="20"/>
        </w:rPr>
        <w:t>22 years to Age Pension qualification age</w:t>
      </w:r>
      <w:r w:rsidRPr="00C02D45">
        <w:rPr>
          <w:sz w:val="20"/>
          <w:szCs w:val="20"/>
        </w:rPr>
        <w:t xml:space="preserve"> who are looking for work, who temporarily cannot work or study because of an injury or illness, or bereaved partners in the period immediately following the death of their partners. </w:t>
      </w:r>
    </w:p>
    <w:p w14:paraId="2A6B0929" w14:textId="77777777" w:rsidR="007713B1" w:rsidRPr="00C02D45" w:rsidRDefault="007713B1" w:rsidP="009008FD">
      <w:pPr>
        <w:pStyle w:val="ListParagraph"/>
        <w:numPr>
          <w:ilvl w:val="0"/>
          <w:numId w:val="29"/>
        </w:numPr>
        <w:spacing w:before="80" w:after="80" w:line="240" w:lineRule="auto"/>
        <w:ind w:left="641" w:hanging="357"/>
        <w:contextualSpacing w:val="0"/>
        <w:rPr>
          <w:sz w:val="20"/>
          <w:szCs w:val="20"/>
        </w:rPr>
      </w:pPr>
      <w:r w:rsidRPr="00C02D45">
        <w:rPr>
          <w:b/>
          <w:sz w:val="20"/>
          <w:szCs w:val="20"/>
        </w:rPr>
        <w:t>Parenting Payment</w:t>
      </w:r>
      <w:r w:rsidRPr="00C02D45">
        <w:rPr>
          <w:sz w:val="20"/>
          <w:szCs w:val="20"/>
        </w:rPr>
        <w:t xml:space="preserve"> aims to provide an income support payment for </w:t>
      </w:r>
      <w:r w:rsidRPr="00C02D45">
        <w:rPr>
          <w:b/>
          <w:sz w:val="20"/>
          <w:szCs w:val="20"/>
        </w:rPr>
        <w:t>single parents, partnered parents, or guardians</w:t>
      </w:r>
      <w:r w:rsidRPr="00C02D45">
        <w:rPr>
          <w:sz w:val="20"/>
          <w:szCs w:val="20"/>
        </w:rPr>
        <w:t xml:space="preserve"> who have principal care for a young child; it provides them with incentives to increase workforce participation.</w:t>
      </w:r>
    </w:p>
    <w:p w14:paraId="674B20F7" w14:textId="77777777" w:rsidR="007713B1" w:rsidRPr="00C02D45" w:rsidRDefault="007713B1" w:rsidP="009008FD">
      <w:pPr>
        <w:pStyle w:val="ListParagraph"/>
        <w:numPr>
          <w:ilvl w:val="0"/>
          <w:numId w:val="29"/>
        </w:numPr>
        <w:spacing w:before="80" w:after="80" w:line="240" w:lineRule="auto"/>
        <w:ind w:left="641" w:hanging="357"/>
        <w:contextualSpacing w:val="0"/>
        <w:rPr>
          <w:sz w:val="20"/>
          <w:szCs w:val="20"/>
        </w:rPr>
      </w:pPr>
      <w:r w:rsidRPr="00C02D45">
        <w:rPr>
          <w:b/>
          <w:sz w:val="20"/>
          <w:szCs w:val="20"/>
        </w:rPr>
        <w:t>Youth Allowance (Other)</w:t>
      </w:r>
      <w:r w:rsidRPr="00C02D45">
        <w:rPr>
          <w:sz w:val="20"/>
          <w:szCs w:val="20"/>
        </w:rPr>
        <w:t xml:space="preserve"> aims to make payments to eligible </w:t>
      </w:r>
      <w:r w:rsidRPr="00C02D45">
        <w:rPr>
          <w:b/>
          <w:sz w:val="20"/>
          <w:szCs w:val="20"/>
        </w:rPr>
        <w:t>young people 16–21 years</w:t>
      </w:r>
      <w:r w:rsidRPr="00C02D45">
        <w:rPr>
          <w:sz w:val="20"/>
          <w:szCs w:val="20"/>
        </w:rPr>
        <w:t xml:space="preserve"> of age who are looking for full time work or undertaking approved activities to improve their job prospects.</w:t>
      </w:r>
    </w:p>
    <w:p w14:paraId="483C90FA" w14:textId="21F73260" w:rsidR="007713B1" w:rsidRPr="00AD63EC" w:rsidRDefault="007713B1" w:rsidP="009008FD">
      <w:pPr>
        <w:pStyle w:val="Normalmorespace"/>
      </w:pPr>
      <w:r w:rsidRPr="00AD63EC">
        <w:t>The 2023-24 Budget included a number of measures that will increase financial support to recipients of working age payments from 20 September 2023:</w:t>
      </w:r>
    </w:p>
    <w:p w14:paraId="51331030" w14:textId="121D5138" w:rsidR="007713B1" w:rsidRPr="00FB7E4B" w:rsidRDefault="00FB7E4B" w:rsidP="009008FD">
      <w:pPr>
        <w:pStyle w:val="ListParagraph"/>
        <w:numPr>
          <w:ilvl w:val="0"/>
          <w:numId w:val="29"/>
        </w:numPr>
        <w:spacing w:before="80" w:after="80" w:line="240" w:lineRule="auto"/>
        <w:ind w:left="641" w:hanging="357"/>
        <w:contextualSpacing w:val="0"/>
        <w:rPr>
          <w:sz w:val="20"/>
          <w:szCs w:val="20"/>
        </w:rPr>
      </w:pPr>
      <w:r w:rsidRPr="00FB7E4B">
        <w:rPr>
          <w:sz w:val="20"/>
          <w:szCs w:val="20"/>
        </w:rPr>
        <w:t>$4.9 billion over 5 years to increase w</w:t>
      </w:r>
      <w:r w:rsidR="007713B1" w:rsidRPr="00FB7E4B">
        <w:rPr>
          <w:sz w:val="20"/>
          <w:szCs w:val="20"/>
        </w:rPr>
        <w:t xml:space="preserve">orking age </w:t>
      </w:r>
      <w:r w:rsidRPr="00FB7E4B">
        <w:rPr>
          <w:sz w:val="20"/>
          <w:szCs w:val="20"/>
        </w:rPr>
        <w:t xml:space="preserve">and student </w:t>
      </w:r>
      <w:r w:rsidR="007713B1" w:rsidRPr="00FB7E4B">
        <w:rPr>
          <w:sz w:val="20"/>
          <w:szCs w:val="20"/>
        </w:rPr>
        <w:t xml:space="preserve">payments </w:t>
      </w:r>
      <w:r w:rsidRPr="00FB7E4B">
        <w:rPr>
          <w:sz w:val="20"/>
          <w:szCs w:val="20"/>
        </w:rPr>
        <w:t xml:space="preserve">by $40 per fortnight, </w:t>
      </w:r>
      <w:r w:rsidR="007713B1" w:rsidRPr="00DB08EE">
        <w:rPr>
          <w:sz w:val="20"/>
          <w:szCs w:val="20"/>
        </w:rPr>
        <w:t>including JobSeeker Payment, Youth Allowance (Other) and Parenting Payment (Partnered)</w:t>
      </w:r>
      <w:r w:rsidRPr="00DB08EE">
        <w:rPr>
          <w:sz w:val="20"/>
          <w:szCs w:val="20"/>
        </w:rPr>
        <w:t xml:space="preserve">. This includes extending </w:t>
      </w:r>
      <w:r>
        <w:rPr>
          <w:sz w:val="20"/>
          <w:szCs w:val="20"/>
        </w:rPr>
        <w:t>e</w:t>
      </w:r>
      <w:r w:rsidR="007713B1" w:rsidRPr="00FB7E4B">
        <w:rPr>
          <w:sz w:val="20"/>
          <w:szCs w:val="20"/>
        </w:rPr>
        <w:t>ligibility for the higher single JobSeeker Payment rate for recipients aged 60 and over</w:t>
      </w:r>
      <w:r>
        <w:rPr>
          <w:sz w:val="20"/>
          <w:szCs w:val="20"/>
        </w:rPr>
        <w:t>, which</w:t>
      </w:r>
      <w:r w:rsidR="007713B1" w:rsidRPr="00FB7E4B">
        <w:rPr>
          <w:sz w:val="20"/>
          <w:szCs w:val="20"/>
        </w:rPr>
        <w:t xml:space="preserve"> will be extended to recipients aged 55 </w:t>
      </w:r>
      <w:r>
        <w:rPr>
          <w:sz w:val="20"/>
          <w:szCs w:val="20"/>
        </w:rPr>
        <w:t>and</w:t>
      </w:r>
      <w:r w:rsidR="007713B1" w:rsidRPr="00FB7E4B">
        <w:rPr>
          <w:sz w:val="20"/>
          <w:szCs w:val="20"/>
        </w:rPr>
        <w:t xml:space="preserve"> over who have been on payment for </w:t>
      </w:r>
      <w:r w:rsidR="00DB08EE">
        <w:rPr>
          <w:sz w:val="20"/>
          <w:szCs w:val="20"/>
        </w:rPr>
        <w:t>9</w:t>
      </w:r>
      <w:r w:rsidR="007713B1" w:rsidRPr="00FB7E4B">
        <w:rPr>
          <w:sz w:val="20"/>
          <w:szCs w:val="20"/>
        </w:rPr>
        <w:t xml:space="preserve"> or more continuous months</w:t>
      </w:r>
      <w:r w:rsidR="006D5DF5">
        <w:rPr>
          <w:sz w:val="20"/>
          <w:szCs w:val="20"/>
        </w:rPr>
        <w:t>.</w:t>
      </w:r>
    </w:p>
    <w:p w14:paraId="2F00E3F8" w14:textId="5BFEA98F" w:rsidR="007713B1" w:rsidRPr="00C02D45" w:rsidRDefault="00DB08EE" w:rsidP="009008FD">
      <w:pPr>
        <w:pStyle w:val="ListParagraph"/>
        <w:numPr>
          <w:ilvl w:val="0"/>
          <w:numId w:val="29"/>
        </w:numPr>
        <w:spacing w:before="80" w:after="80" w:line="240" w:lineRule="auto"/>
        <w:ind w:left="641" w:hanging="357"/>
        <w:contextualSpacing w:val="0"/>
        <w:rPr>
          <w:sz w:val="20"/>
          <w:szCs w:val="20"/>
        </w:rPr>
      </w:pPr>
      <w:r>
        <w:rPr>
          <w:sz w:val="20"/>
          <w:szCs w:val="20"/>
        </w:rPr>
        <w:t>$1.9 billion over 5 years to expand e</w:t>
      </w:r>
      <w:r w:rsidR="007713B1" w:rsidRPr="00C02D45">
        <w:rPr>
          <w:sz w:val="20"/>
          <w:szCs w:val="20"/>
        </w:rPr>
        <w:t>ligibility for Parenting Payment (Single) to parents with a youngest child under 14 years (up from 8 years).</w:t>
      </w:r>
    </w:p>
    <w:p w14:paraId="50367576" w14:textId="77777777" w:rsidR="007713B1" w:rsidRPr="00AD63EC" w:rsidRDefault="007713B1" w:rsidP="009008FD">
      <w:pPr>
        <w:pStyle w:val="Normalmorespace"/>
      </w:pPr>
      <w:r w:rsidRPr="00AD63EC">
        <w:rPr>
          <w:b/>
        </w:rPr>
        <w:t>The department</w:t>
      </w:r>
      <w:r w:rsidRPr="00AD63EC">
        <w:t xml:space="preserve"> is responsible for designing and implementing the key activity, including providing advice to Government on policy and legislation, program implementation and management, program performance, monitoring and meeting all relevant deliverables, setting guidelines and providing guidance and advice to Services Australia on the administration of the program. </w:t>
      </w:r>
    </w:p>
    <w:p w14:paraId="54451DF0" w14:textId="64D2027F" w:rsidR="007713B1" w:rsidRDefault="007713B1" w:rsidP="009008FD">
      <w:pPr>
        <w:pStyle w:val="Normalmorespace"/>
      </w:pPr>
      <w:r w:rsidRPr="00AD63EC">
        <w:rPr>
          <w:b/>
        </w:rPr>
        <w:t>Services Australia</w:t>
      </w:r>
      <w:r w:rsidRPr="00AD63EC">
        <w:t xml:space="preserve"> is the primary portfolio agency responsible for administering the key activities on the department’s behalf including receiving, processing and managing payment applications, and delivering the JobSeeker Payment, Parenting Payment and Youth Allowance (Other).</w:t>
      </w:r>
    </w:p>
    <w:p w14:paraId="67B6A3D7" w14:textId="64B869E9" w:rsidR="00740D34" w:rsidRDefault="00740D34">
      <w:pPr>
        <w:spacing w:before="0" w:after="200" w:line="276" w:lineRule="auto"/>
        <w:rPr>
          <w:sz w:val="20"/>
          <w:szCs w:val="20"/>
        </w:rPr>
      </w:pPr>
      <w:r>
        <w:rPr>
          <w:sz w:val="20"/>
          <w:szCs w:val="20"/>
        </w:rPr>
        <w:br w:type="page"/>
      </w:r>
    </w:p>
    <w:tbl>
      <w:tblPr>
        <w:tblStyle w:val="TableGrid39"/>
        <w:tblW w:w="5000" w:type="pct"/>
        <w:jc w:val="center"/>
        <w:tblLook w:val="04A0" w:firstRow="1" w:lastRow="0" w:firstColumn="1" w:lastColumn="0" w:noHBand="0" w:noVBand="1"/>
        <w:tblCaption w:val="1.6.1-1 performance measure and target"/>
        <w:tblDescription w:val="Table outlines the targeted payment percentages across 2023-24, 2024-25, 2025-26 and 2026-27"/>
      </w:tblPr>
      <w:tblGrid>
        <w:gridCol w:w="2640"/>
        <w:gridCol w:w="1676"/>
        <w:gridCol w:w="1676"/>
        <w:gridCol w:w="1676"/>
        <w:gridCol w:w="1676"/>
      </w:tblGrid>
      <w:tr w:rsidR="007713B1" w:rsidRPr="00AD63EC" w14:paraId="0D827B78" w14:textId="77777777" w:rsidTr="00CD76E2">
        <w:trPr>
          <w:cantSplit/>
          <w:trHeight w:val="356"/>
          <w:tblHeade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6"/>
            <w:hideMark/>
          </w:tcPr>
          <w:p w14:paraId="7A9A5381" w14:textId="77777777" w:rsidR="007713B1" w:rsidRPr="00723A4C" w:rsidRDefault="007713B1" w:rsidP="007713B1">
            <w:pPr>
              <w:spacing w:after="120"/>
              <w:rPr>
                <w:rFonts w:cstheme="minorHAnsi"/>
                <w:b/>
                <w:sz w:val="20"/>
                <w:szCs w:val="20"/>
              </w:rPr>
            </w:pPr>
            <w:r w:rsidRPr="00723A4C">
              <w:rPr>
                <w:rFonts w:cstheme="minorHAnsi"/>
                <w:b/>
                <w:sz w:val="20"/>
                <w:szCs w:val="20"/>
              </w:rPr>
              <w:t>Performance Measure</w:t>
            </w:r>
          </w:p>
        </w:tc>
      </w:tr>
      <w:tr w:rsidR="007713B1" w:rsidRPr="00AD63EC" w14:paraId="3A5F13F8" w14:textId="77777777" w:rsidTr="007713B1">
        <w:trPr>
          <w:cantSplit/>
          <w:trHeight w:val="356"/>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61C76AF5" w14:textId="77777777" w:rsidR="007713B1" w:rsidRPr="00723A4C" w:rsidRDefault="007713B1" w:rsidP="009008FD">
            <w:pPr>
              <w:spacing w:after="120"/>
              <w:rPr>
                <w:sz w:val="20"/>
                <w:szCs w:val="20"/>
              </w:rPr>
            </w:pPr>
            <w:r w:rsidRPr="00723A4C">
              <w:rPr>
                <w:sz w:val="20"/>
                <w:szCs w:val="20"/>
              </w:rPr>
              <w:t>1.6.1-1 Extent to which payments are made to, or with respect to, people unable to fully support themselves.</w:t>
            </w:r>
          </w:p>
        </w:tc>
      </w:tr>
      <w:tr w:rsidR="007713B1" w:rsidRPr="00AD63EC" w14:paraId="3EDAA1BB" w14:textId="77777777" w:rsidTr="007713B1">
        <w:trPr>
          <w:cantSplit/>
          <w:trHeight w:val="356"/>
          <w:jc w:val="center"/>
        </w:trPr>
        <w:tc>
          <w:tcPr>
            <w:tcW w:w="1412" w:type="pct"/>
            <w:tcBorders>
              <w:top w:val="single" w:sz="4" w:space="0" w:color="auto"/>
              <w:left w:val="single" w:sz="4" w:space="0" w:color="auto"/>
              <w:bottom w:val="single" w:sz="4" w:space="0" w:color="auto"/>
              <w:right w:val="single" w:sz="4" w:space="0" w:color="auto"/>
            </w:tcBorders>
            <w:shd w:val="clear" w:color="auto" w:fill="D9D9D6"/>
            <w:hideMark/>
          </w:tcPr>
          <w:p w14:paraId="6C8DD833" w14:textId="77777777" w:rsidR="007713B1" w:rsidRPr="00723A4C" w:rsidRDefault="007713B1" w:rsidP="007713B1">
            <w:pPr>
              <w:spacing w:after="120"/>
              <w:rPr>
                <w:rFonts w:cstheme="minorHAnsi"/>
                <w:b/>
                <w:sz w:val="20"/>
                <w:szCs w:val="20"/>
              </w:rPr>
            </w:pPr>
            <w:r w:rsidRPr="00723A4C">
              <w:rPr>
                <w:rFonts w:cstheme="minorHAnsi"/>
                <w:b/>
                <w:sz w:val="20"/>
                <w:szCs w:val="20"/>
              </w:rPr>
              <w:t>Target</w:t>
            </w:r>
          </w:p>
        </w:tc>
        <w:tc>
          <w:tcPr>
            <w:tcW w:w="897" w:type="pct"/>
            <w:tcBorders>
              <w:top w:val="single" w:sz="4" w:space="0" w:color="auto"/>
              <w:left w:val="single" w:sz="4" w:space="0" w:color="auto"/>
              <w:bottom w:val="single" w:sz="4" w:space="0" w:color="auto"/>
              <w:right w:val="single" w:sz="4" w:space="0" w:color="auto"/>
            </w:tcBorders>
            <w:shd w:val="clear" w:color="auto" w:fill="D9D9D6"/>
            <w:vAlign w:val="center"/>
            <w:hideMark/>
          </w:tcPr>
          <w:p w14:paraId="18AC04D5" w14:textId="77777777" w:rsidR="007713B1" w:rsidRPr="00723A4C" w:rsidRDefault="007713B1" w:rsidP="007713B1">
            <w:pPr>
              <w:spacing w:after="120"/>
              <w:rPr>
                <w:rFonts w:cstheme="minorHAnsi"/>
                <w:b/>
                <w:sz w:val="20"/>
                <w:szCs w:val="20"/>
              </w:rPr>
            </w:pPr>
            <w:r w:rsidRPr="00723A4C">
              <w:rPr>
                <w:rFonts w:cstheme="minorHAnsi"/>
                <w:b/>
                <w:sz w:val="20"/>
                <w:szCs w:val="20"/>
              </w:rPr>
              <w:t>2023–24</w:t>
            </w:r>
          </w:p>
        </w:tc>
        <w:tc>
          <w:tcPr>
            <w:tcW w:w="897" w:type="pct"/>
            <w:tcBorders>
              <w:top w:val="single" w:sz="4" w:space="0" w:color="auto"/>
              <w:left w:val="single" w:sz="4" w:space="0" w:color="auto"/>
              <w:bottom w:val="single" w:sz="4" w:space="0" w:color="auto"/>
              <w:right w:val="single" w:sz="4" w:space="0" w:color="auto"/>
            </w:tcBorders>
            <w:shd w:val="clear" w:color="auto" w:fill="D9D9D6"/>
            <w:vAlign w:val="center"/>
            <w:hideMark/>
          </w:tcPr>
          <w:p w14:paraId="1A420CDD" w14:textId="77777777" w:rsidR="007713B1" w:rsidRPr="00723A4C" w:rsidRDefault="007713B1" w:rsidP="007713B1">
            <w:pPr>
              <w:spacing w:after="120"/>
              <w:rPr>
                <w:rFonts w:cstheme="minorHAnsi"/>
                <w:b/>
                <w:sz w:val="20"/>
                <w:szCs w:val="20"/>
              </w:rPr>
            </w:pPr>
            <w:r w:rsidRPr="00723A4C">
              <w:rPr>
                <w:rFonts w:cstheme="minorHAnsi"/>
                <w:b/>
                <w:sz w:val="20"/>
                <w:szCs w:val="20"/>
              </w:rPr>
              <w:t>2024–25</w:t>
            </w:r>
          </w:p>
        </w:tc>
        <w:tc>
          <w:tcPr>
            <w:tcW w:w="897" w:type="pct"/>
            <w:tcBorders>
              <w:top w:val="single" w:sz="4" w:space="0" w:color="auto"/>
              <w:left w:val="single" w:sz="4" w:space="0" w:color="auto"/>
              <w:bottom w:val="single" w:sz="4" w:space="0" w:color="auto"/>
              <w:right w:val="single" w:sz="4" w:space="0" w:color="auto"/>
            </w:tcBorders>
            <w:shd w:val="clear" w:color="auto" w:fill="D9D9D6"/>
            <w:vAlign w:val="center"/>
            <w:hideMark/>
          </w:tcPr>
          <w:p w14:paraId="72F43793" w14:textId="77777777" w:rsidR="007713B1" w:rsidRPr="00723A4C" w:rsidRDefault="007713B1" w:rsidP="007713B1">
            <w:pPr>
              <w:spacing w:after="120"/>
              <w:rPr>
                <w:rFonts w:cstheme="minorHAnsi"/>
                <w:b/>
                <w:sz w:val="20"/>
                <w:szCs w:val="20"/>
              </w:rPr>
            </w:pPr>
            <w:r w:rsidRPr="00723A4C">
              <w:rPr>
                <w:rFonts w:cstheme="minorHAnsi"/>
                <w:b/>
                <w:sz w:val="20"/>
                <w:szCs w:val="20"/>
              </w:rPr>
              <w:t>2025–26</w:t>
            </w:r>
          </w:p>
        </w:tc>
        <w:tc>
          <w:tcPr>
            <w:tcW w:w="897" w:type="pct"/>
            <w:tcBorders>
              <w:top w:val="single" w:sz="4" w:space="0" w:color="auto"/>
              <w:left w:val="single" w:sz="4" w:space="0" w:color="auto"/>
              <w:bottom w:val="single" w:sz="4" w:space="0" w:color="auto"/>
              <w:right w:val="single" w:sz="4" w:space="0" w:color="auto"/>
            </w:tcBorders>
            <w:shd w:val="clear" w:color="auto" w:fill="D9D9D6"/>
            <w:vAlign w:val="center"/>
            <w:hideMark/>
          </w:tcPr>
          <w:p w14:paraId="1E04F293" w14:textId="77777777" w:rsidR="007713B1" w:rsidRPr="00723A4C" w:rsidRDefault="007713B1" w:rsidP="007713B1">
            <w:pPr>
              <w:spacing w:after="120"/>
              <w:rPr>
                <w:rFonts w:cstheme="minorHAnsi"/>
                <w:b/>
                <w:sz w:val="20"/>
                <w:szCs w:val="20"/>
              </w:rPr>
            </w:pPr>
            <w:r w:rsidRPr="00723A4C">
              <w:rPr>
                <w:rFonts w:cstheme="minorHAnsi"/>
                <w:b/>
                <w:sz w:val="20"/>
                <w:szCs w:val="20"/>
              </w:rPr>
              <w:t>2026–27</w:t>
            </w:r>
          </w:p>
        </w:tc>
      </w:tr>
      <w:tr w:rsidR="007713B1" w:rsidRPr="00AD63EC" w14:paraId="152E3FAA" w14:textId="77777777" w:rsidTr="007713B1">
        <w:trPr>
          <w:cantSplit/>
          <w:trHeight w:val="356"/>
          <w:jc w:val="center"/>
        </w:trPr>
        <w:tc>
          <w:tcPr>
            <w:tcW w:w="14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7B62D7" w14:textId="72B299CC" w:rsidR="007713B1" w:rsidRPr="00723A4C" w:rsidRDefault="007713B1" w:rsidP="007713B1">
            <w:pPr>
              <w:spacing w:after="120"/>
              <w:rPr>
                <w:rFonts w:cstheme="minorHAnsi"/>
                <w:sz w:val="20"/>
                <w:szCs w:val="20"/>
              </w:rPr>
            </w:pPr>
            <w:r w:rsidRPr="00723A4C">
              <w:rPr>
                <w:rFonts w:cstheme="minorHAnsi"/>
                <w:noProof/>
                <w:sz w:val="20"/>
                <w:szCs w:val="20"/>
              </w:rPr>
              <w:sym w:font="Wingdings" w:char="F074"/>
            </w:r>
            <w:r w:rsidR="00723A4C">
              <w:rPr>
                <w:rFonts w:cstheme="minorHAnsi"/>
                <w:noProof/>
                <w:sz w:val="20"/>
                <w:szCs w:val="20"/>
              </w:rPr>
              <w:t xml:space="preserve"> </w:t>
            </w:r>
            <w:r w:rsidRPr="00723A4C">
              <w:rPr>
                <w:rFonts w:cstheme="minorHAnsi"/>
                <w:noProof/>
                <w:sz w:val="20"/>
                <w:szCs w:val="20"/>
              </w:rPr>
              <w:t xml:space="preserve">1.6-1A </w:t>
            </w:r>
            <w:r w:rsidRPr="00723A4C">
              <w:rPr>
                <w:rFonts w:cstheme="minorHAnsi"/>
                <w:sz w:val="20"/>
                <w:szCs w:val="20"/>
              </w:rPr>
              <w:t>Recipient numbers reflect the number of people who are unable to fully support themselves through work.</w:t>
            </w:r>
          </w:p>
        </w:tc>
        <w:tc>
          <w:tcPr>
            <w:tcW w:w="8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BBF20" w14:textId="53BBB1BC" w:rsidR="007713B1" w:rsidRPr="00723A4C" w:rsidRDefault="007713B1" w:rsidP="00A26839">
            <w:pPr>
              <w:spacing w:after="120"/>
              <w:rPr>
                <w:rFonts w:cstheme="minorHAnsi"/>
                <w:sz w:val="20"/>
                <w:szCs w:val="20"/>
              </w:rPr>
            </w:pPr>
            <w:r w:rsidRPr="00723A4C">
              <w:rPr>
                <w:rFonts w:cstheme="minorHAnsi"/>
                <w:sz w:val="20"/>
                <w:szCs w:val="20"/>
              </w:rPr>
              <w:t>Recipient numbers align with changes in the unemployment rate</w:t>
            </w:r>
          </w:p>
        </w:tc>
        <w:tc>
          <w:tcPr>
            <w:tcW w:w="8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30137A" w14:textId="629E4A84" w:rsidR="007713B1" w:rsidRPr="00723A4C" w:rsidRDefault="007713B1" w:rsidP="00DD41FE">
            <w:pPr>
              <w:spacing w:after="120"/>
              <w:rPr>
                <w:rFonts w:cstheme="minorHAnsi"/>
                <w:sz w:val="20"/>
                <w:szCs w:val="20"/>
              </w:rPr>
            </w:pPr>
            <w:r w:rsidRPr="00723A4C">
              <w:rPr>
                <w:rFonts w:cstheme="minorHAnsi"/>
                <w:sz w:val="20"/>
                <w:szCs w:val="20"/>
              </w:rPr>
              <w:t>Recipient numbers align with changes in the unemployment rate</w:t>
            </w:r>
          </w:p>
        </w:tc>
        <w:tc>
          <w:tcPr>
            <w:tcW w:w="8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681C0A" w14:textId="6D9DA642" w:rsidR="007713B1" w:rsidRPr="00723A4C" w:rsidRDefault="007713B1" w:rsidP="00A26839">
            <w:pPr>
              <w:spacing w:after="120"/>
              <w:rPr>
                <w:rFonts w:cstheme="minorHAnsi"/>
                <w:sz w:val="20"/>
                <w:szCs w:val="20"/>
              </w:rPr>
            </w:pPr>
            <w:r w:rsidRPr="00723A4C">
              <w:rPr>
                <w:rFonts w:cstheme="minorHAnsi"/>
                <w:sz w:val="20"/>
                <w:szCs w:val="20"/>
              </w:rPr>
              <w:t>Recipient numbers align with changes in the unemployment rate</w:t>
            </w:r>
          </w:p>
        </w:tc>
        <w:tc>
          <w:tcPr>
            <w:tcW w:w="8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089AF9" w14:textId="540018ED" w:rsidR="007713B1" w:rsidRPr="00723A4C" w:rsidRDefault="007713B1" w:rsidP="00A26839">
            <w:pPr>
              <w:spacing w:after="120"/>
              <w:rPr>
                <w:rFonts w:cstheme="minorHAnsi"/>
                <w:sz w:val="20"/>
                <w:szCs w:val="20"/>
              </w:rPr>
            </w:pPr>
            <w:r w:rsidRPr="00723A4C">
              <w:rPr>
                <w:rFonts w:cstheme="minorHAnsi"/>
                <w:sz w:val="20"/>
                <w:szCs w:val="20"/>
              </w:rPr>
              <w:t>Recipient numbers align with changes in the unemployment rate</w:t>
            </w:r>
          </w:p>
        </w:tc>
      </w:tr>
    </w:tbl>
    <w:p w14:paraId="52A96BDC" w14:textId="77777777" w:rsidR="00013CF0" w:rsidRDefault="00013CF0" w:rsidP="00013CF0">
      <w:pPr>
        <w:pStyle w:val="Heading4"/>
        <w:shd w:val="clear" w:color="auto" w:fill="auto"/>
      </w:pPr>
    </w:p>
    <w:p w14:paraId="6C76FCCF" w14:textId="2DE5598E" w:rsidR="007713B1" w:rsidRPr="00AD63EC" w:rsidRDefault="007713B1" w:rsidP="00027309">
      <w:pPr>
        <w:pStyle w:val="Heading4"/>
        <w:shd w:val="clear" w:color="auto" w:fill="D9D9D9" w:themeFill="background1" w:themeFillShade="D9"/>
        <w:rPr>
          <w:rFonts w:asciiTheme="minorHAnsi" w:hAnsiTheme="minorHAnsi"/>
        </w:rPr>
      </w:pPr>
      <w:r w:rsidRPr="00AD63EC">
        <w:t>Rationale</w:t>
      </w:r>
    </w:p>
    <w:p w14:paraId="2BCD72AF" w14:textId="22C92C1E" w:rsidR="007713B1" w:rsidRPr="00AD63EC" w:rsidRDefault="007713B1" w:rsidP="009008FD">
      <w:pPr>
        <w:pStyle w:val="Normalmorespace"/>
      </w:pPr>
      <w:r w:rsidRPr="00AD63EC">
        <w:t xml:space="preserve">Measuring the </w:t>
      </w:r>
      <w:r w:rsidRPr="00AD63EC">
        <w:rPr>
          <w:i/>
        </w:rPr>
        <w:t>extent to which payments are made to, or with respect to, people unable to fully support themselves</w:t>
      </w:r>
      <w:r w:rsidRPr="00AD63EC">
        <w:t xml:space="preserve"> aims to demonstrate that people who are temporarily unable to support themselves through work or who have a limited capacity to work due </w:t>
      </w:r>
      <w:r w:rsidR="00A26839">
        <w:t>injury or illness or parenting</w:t>
      </w:r>
      <w:r w:rsidRPr="00AD63EC">
        <w:t xml:space="preserve"> responsibilities, are assisted financially. This measure demonstrates the </w:t>
      </w:r>
      <w:r w:rsidRPr="00AD63EC">
        <w:rPr>
          <w:b/>
        </w:rPr>
        <w:t>effectiveness</w:t>
      </w:r>
      <w:r w:rsidRPr="00AD63EC">
        <w:t xml:space="preserve"> of JobSeeker Payment, Parenting Payment &amp; Youth Allowance (Other) in achieving the objectives of the key activities: </w:t>
      </w:r>
      <w:r w:rsidRPr="00AD63EC">
        <w:rPr>
          <w:i/>
        </w:rPr>
        <w:t>To financially assist people who are temporarily unable to support themselves through work or have a limited capacity to work.</w:t>
      </w:r>
    </w:p>
    <w:p w14:paraId="03B56331" w14:textId="77777777" w:rsidR="007713B1" w:rsidRPr="00AD63EC" w:rsidRDefault="007713B1" w:rsidP="009008FD">
      <w:pPr>
        <w:pStyle w:val="Normalmorespace"/>
      </w:pPr>
      <w:r w:rsidRPr="00AD63EC">
        <w:t xml:space="preserve">The extent to which </w:t>
      </w:r>
      <w:r w:rsidRPr="00AD63EC">
        <w:rPr>
          <w:i/>
        </w:rPr>
        <w:t>changes in recipient numbers align with the unemployment rate</w:t>
      </w:r>
      <w:r w:rsidRPr="00AD63EC">
        <w:t xml:space="preserve"> demonstrates the </w:t>
      </w:r>
      <w:r w:rsidRPr="00AD63EC">
        <w:rPr>
          <w:b/>
        </w:rPr>
        <w:t xml:space="preserve">effectiveness </w:t>
      </w:r>
      <w:r w:rsidRPr="00AD63EC">
        <w:t xml:space="preserve">of the key activities, by showing how the system responds to need in the community when unemployment rates are high and that more people are able to support themselves through work when unemployment rates are low. It also demonstrates the effectiveness of payment policy in providing the right incentives for income support recipients to take up available work. </w:t>
      </w:r>
    </w:p>
    <w:p w14:paraId="60AB0A71" w14:textId="59870A8C" w:rsidR="007713B1" w:rsidRDefault="007713B1" w:rsidP="009008FD">
      <w:pPr>
        <w:pStyle w:val="Normalmorespace"/>
      </w:pPr>
      <w:r w:rsidRPr="00AD63EC">
        <w:t>Over the past year, the unemployment rate and the number of people supported by working age payments have been broadly aligned, with levels for both measures being relatively stable. The department will continue to closely monitor these indicators, giving consideration to whether the current measure and target are the best option for assessing the effectiveness of the Working Age Payments program.</w:t>
      </w:r>
    </w:p>
    <w:p w14:paraId="2CAC907A" w14:textId="77777777" w:rsidR="00013CF0" w:rsidRPr="00AD63EC" w:rsidRDefault="00013CF0" w:rsidP="009008FD">
      <w:pPr>
        <w:pStyle w:val="Normalmorespace"/>
      </w:pPr>
    </w:p>
    <w:p w14:paraId="1CBC815F" w14:textId="77777777" w:rsidR="007713B1" w:rsidRPr="00AD63EC" w:rsidRDefault="007713B1" w:rsidP="00027309">
      <w:pPr>
        <w:pStyle w:val="Heading4"/>
        <w:shd w:val="clear" w:color="auto" w:fill="D9D9D9" w:themeFill="background1" w:themeFillShade="D9"/>
      </w:pPr>
      <w:r w:rsidRPr="00AD63EC">
        <w:t>Methodology</w:t>
      </w:r>
    </w:p>
    <w:p w14:paraId="06BBD7B5" w14:textId="77777777" w:rsidR="007713B1" w:rsidRPr="00AD63EC" w:rsidRDefault="007713B1" w:rsidP="009008FD">
      <w:pPr>
        <w:pStyle w:val="Normalmorespace"/>
      </w:pPr>
      <w:r w:rsidRPr="00AD63EC">
        <w:t xml:space="preserve">The </w:t>
      </w:r>
      <w:r w:rsidRPr="00AD63EC">
        <w:rPr>
          <w:i/>
        </w:rPr>
        <w:t>number of people supported by Working Age Payments</w:t>
      </w:r>
      <w:r w:rsidRPr="00AD63EC">
        <w:t xml:space="preserve"> is calculated using the number of recipients of:</w:t>
      </w:r>
    </w:p>
    <w:p w14:paraId="6F4EE516" w14:textId="77777777" w:rsidR="007713B1" w:rsidRPr="00C02D45" w:rsidRDefault="007713B1" w:rsidP="009008FD">
      <w:pPr>
        <w:pStyle w:val="ListParagraph"/>
        <w:numPr>
          <w:ilvl w:val="0"/>
          <w:numId w:val="29"/>
        </w:numPr>
        <w:spacing w:before="80" w:after="80" w:line="240" w:lineRule="auto"/>
        <w:ind w:left="641" w:hanging="357"/>
        <w:contextualSpacing w:val="0"/>
        <w:rPr>
          <w:sz w:val="20"/>
          <w:szCs w:val="20"/>
        </w:rPr>
      </w:pPr>
      <w:r w:rsidRPr="00C02D45">
        <w:rPr>
          <w:sz w:val="20"/>
          <w:szCs w:val="20"/>
        </w:rPr>
        <w:t>JobSeeker Payment</w:t>
      </w:r>
    </w:p>
    <w:p w14:paraId="40B76EE2" w14:textId="77777777" w:rsidR="007713B1" w:rsidRPr="00C02D45" w:rsidRDefault="007713B1" w:rsidP="009008FD">
      <w:pPr>
        <w:pStyle w:val="ListParagraph"/>
        <w:numPr>
          <w:ilvl w:val="0"/>
          <w:numId w:val="29"/>
        </w:numPr>
        <w:spacing w:before="80" w:after="80" w:line="240" w:lineRule="auto"/>
        <w:ind w:left="641" w:hanging="357"/>
        <w:contextualSpacing w:val="0"/>
        <w:rPr>
          <w:sz w:val="20"/>
          <w:szCs w:val="20"/>
        </w:rPr>
      </w:pPr>
      <w:r w:rsidRPr="00C02D45">
        <w:rPr>
          <w:sz w:val="20"/>
          <w:szCs w:val="20"/>
        </w:rPr>
        <w:t>Parenting Payment (Partnered + Single)</w:t>
      </w:r>
    </w:p>
    <w:p w14:paraId="5825B189" w14:textId="77777777" w:rsidR="007713B1" w:rsidRPr="00C02D45" w:rsidRDefault="007713B1" w:rsidP="009008FD">
      <w:pPr>
        <w:pStyle w:val="ListParagraph"/>
        <w:numPr>
          <w:ilvl w:val="0"/>
          <w:numId w:val="29"/>
        </w:numPr>
        <w:spacing w:before="80" w:after="80" w:line="240" w:lineRule="auto"/>
        <w:ind w:left="641" w:hanging="357"/>
        <w:contextualSpacing w:val="0"/>
        <w:rPr>
          <w:sz w:val="20"/>
          <w:szCs w:val="20"/>
        </w:rPr>
      </w:pPr>
      <w:r w:rsidRPr="00C02D45">
        <w:rPr>
          <w:sz w:val="20"/>
          <w:szCs w:val="20"/>
        </w:rPr>
        <w:t>Youth Allowance (Other).</w:t>
      </w:r>
    </w:p>
    <w:p w14:paraId="56881C38" w14:textId="5D0BD94D" w:rsidR="007E32E3" w:rsidRPr="00AD63EC" w:rsidRDefault="007713B1" w:rsidP="009008FD">
      <w:pPr>
        <w:pStyle w:val="Normalmorespace"/>
      </w:pPr>
      <w:r w:rsidRPr="00AD63EC">
        <w:t xml:space="preserve">The </w:t>
      </w:r>
      <w:r w:rsidRPr="00AD63EC">
        <w:rPr>
          <w:i/>
        </w:rPr>
        <w:t>unemployment rate</w:t>
      </w:r>
      <w:r w:rsidRPr="00AD63EC">
        <w:t xml:space="preserve"> uses the Australian Bureau of Statistics, Labour Force Survey - Seasonally adjusted unemployment rate.</w:t>
      </w:r>
    </w:p>
    <w:p w14:paraId="610EADD4" w14:textId="77777777" w:rsidR="00013CF0" w:rsidRDefault="00013CF0" w:rsidP="009008FD">
      <w:pPr>
        <w:spacing w:before="80" w:after="80" w:line="240" w:lineRule="auto"/>
        <w:rPr>
          <w:sz w:val="20"/>
          <w:szCs w:val="20"/>
        </w:rPr>
      </w:pPr>
    </w:p>
    <w:p w14:paraId="11E22013" w14:textId="77777777" w:rsidR="00013CF0" w:rsidRDefault="00013CF0" w:rsidP="009008FD">
      <w:pPr>
        <w:spacing w:before="80" w:after="80" w:line="240" w:lineRule="auto"/>
        <w:rPr>
          <w:sz w:val="20"/>
          <w:szCs w:val="20"/>
        </w:rPr>
      </w:pPr>
    </w:p>
    <w:p w14:paraId="49FFA215" w14:textId="77777777" w:rsidR="00013CF0" w:rsidRDefault="00013CF0" w:rsidP="009008FD">
      <w:pPr>
        <w:spacing w:before="80" w:after="80" w:line="240" w:lineRule="auto"/>
        <w:rPr>
          <w:sz w:val="20"/>
          <w:szCs w:val="20"/>
        </w:rPr>
      </w:pPr>
    </w:p>
    <w:p w14:paraId="4A72036B" w14:textId="77777777" w:rsidR="00013CF0" w:rsidRDefault="00013CF0" w:rsidP="009008FD">
      <w:pPr>
        <w:spacing w:before="80" w:after="80" w:line="240" w:lineRule="auto"/>
        <w:rPr>
          <w:sz w:val="20"/>
          <w:szCs w:val="20"/>
        </w:rPr>
      </w:pPr>
    </w:p>
    <w:p w14:paraId="05D7E6DA" w14:textId="6372E96E" w:rsidR="007713B1" w:rsidRDefault="007713B1" w:rsidP="009008FD">
      <w:pPr>
        <w:spacing w:before="80" w:after="80" w:line="240" w:lineRule="auto"/>
        <w:rPr>
          <w:sz w:val="20"/>
          <w:szCs w:val="20"/>
        </w:rPr>
      </w:pPr>
      <w:r w:rsidRPr="00AD63EC">
        <w:rPr>
          <w:sz w:val="20"/>
          <w:szCs w:val="20"/>
        </w:rPr>
        <w:t xml:space="preserve">The </w:t>
      </w:r>
      <w:r w:rsidRPr="00AD63EC">
        <w:rPr>
          <w:b/>
          <w:sz w:val="20"/>
          <w:szCs w:val="20"/>
        </w:rPr>
        <w:t>data sources</w:t>
      </w:r>
      <w:r w:rsidRPr="00AD63EC">
        <w:rPr>
          <w:sz w:val="20"/>
          <w:szCs w:val="20"/>
        </w:rPr>
        <w:t xml:space="preserve"> used for this calculation are:</w:t>
      </w:r>
    </w:p>
    <w:tbl>
      <w:tblPr>
        <w:tblStyle w:val="TableGrid"/>
        <w:tblW w:w="0" w:type="auto"/>
        <w:tblLook w:val="04A0" w:firstRow="1" w:lastRow="0" w:firstColumn="1" w:lastColumn="0" w:noHBand="0" w:noVBand="1"/>
        <w:tblCaption w:val="Data Source"/>
        <w:tblDescription w:val="SS: Services Australia administrative data. SS: Australian Bureau of Statistics, Labour Force Survey - Seasonally adjusted unemployment rate."/>
      </w:tblPr>
      <w:tblGrid>
        <w:gridCol w:w="988"/>
        <w:gridCol w:w="8028"/>
      </w:tblGrid>
      <w:tr w:rsidR="006F5203" w:rsidRPr="00334F13" w14:paraId="0BEED476" w14:textId="77777777" w:rsidTr="0017156F">
        <w:trPr>
          <w:trHeight w:val="737"/>
          <w:tblHeader/>
        </w:trPr>
        <w:tc>
          <w:tcPr>
            <w:tcW w:w="988" w:type="dxa"/>
            <w:tcBorders>
              <w:top w:val="nil"/>
              <w:left w:val="nil"/>
              <w:bottom w:val="nil"/>
              <w:right w:val="nil"/>
            </w:tcBorders>
            <w:vAlign w:val="center"/>
          </w:tcPr>
          <w:p w14:paraId="16A721F2" w14:textId="77777777" w:rsidR="006F5203" w:rsidRDefault="006F5203" w:rsidP="00B81E0C">
            <w:r>
              <w:rPr>
                <w:noProof/>
                <w:color w:val="000000" w:themeColor="text1"/>
              </w:rPr>
              <w:drawing>
                <wp:inline distT="0" distB="0" distL="0" distR="0" wp14:anchorId="4FE1AE5C" wp14:editId="1FEAE314">
                  <wp:extent cx="457200" cy="342900"/>
                  <wp:effectExtent l="0" t="0" r="0" b="0"/>
                  <wp:docPr id="698" name="Picture 698"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tcBorders>
              <w:top w:val="nil"/>
              <w:left w:val="nil"/>
              <w:bottom w:val="nil"/>
              <w:right w:val="nil"/>
            </w:tcBorders>
            <w:vAlign w:val="center"/>
          </w:tcPr>
          <w:p w14:paraId="24CDF2F8" w14:textId="40F07505" w:rsidR="006F5203" w:rsidRPr="00334F13" w:rsidRDefault="006F5203" w:rsidP="00B81E0C">
            <w:pPr>
              <w:rPr>
                <w:sz w:val="20"/>
                <w:szCs w:val="20"/>
              </w:rPr>
            </w:pPr>
            <w:r>
              <w:rPr>
                <w:sz w:val="20"/>
                <w:szCs w:val="20"/>
              </w:rPr>
              <w:t>Services Australia administrative data</w:t>
            </w:r>
          </w:p>
        </w:tc>
      </w:tr>
      <w:tr w:rsidR="006F5203" w:rsidRPr="00334F13" w14:paraId="2A5D1454" w14:textId="77777777" w:rsidTr="008139F7">
        <w:trPr>
          <w:trHeight w:val="737"/>
        </w:trPr>
        <w:tc>
          <w:tcPr>
            <w:tcW w:w="988" w:type="dxa"/>
            <w:tcBorders>
              <w:top w:val="nil"/>
              <w:left w:val="nil"/>
              <w:bottom w:val="nil"/>
              <w:right w:val="nil"/>
            </w:tcBorders>
          </w:tcPr>
          <w:p w14:paraId="64596777" w14:textId="77777777" w:rsidR="006F5203" w:rsidRDefault="006F5203" w:rsidP="00B81E0C">
            <w:r>
              <w:rPr>
                <w:noProof/>
                <w:color w:val="000000" w:themeColor="text1"/>
              </w:rPr>
              <w:drawing>
                <wp:inline distT="0" distB="0" distL="0" distR="0" wp14:anchorId="11164013" wp14:editId="1DA4C929">
                  <wp:extent cx="457200" cy="342900"/>
                  <wp:effectExtent l="0" t="0" r="0" b="0"/>
                  <wp:docPr id="699" name="Picture 699"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tcBorders>
              <w:top w:val="nil"/>
              <w:left w:val="nil"/>
              <w:bottom w:val="nil"/>
              <w:right w:val="nil"/>
            </w:tcBorders>
          </w:tcPr>
          <w:p w14:paraId="54E32DB3" w14:textId="22CA9FF7" w:rsidR="006F5203" w:rsidRPr="00334F13" w:rsidRDefault="006F5203" w:rsidP="00B81E0C">
            <w:pPr>
              <w:rPr>
                <w:sz w:val="20"/>
                <w:szCs w:val="20"/>
              </w:rPr>
            </w:pPr>
            <w:r w:rsidRPr="00C02D45">
              <w:rPr>
                <w:sz w:val="20"/>
                <w:szCs w:val="20"/>
              </w:rPr>
              <w:t>Australian Bureau of Statistics, Labour Force Survey - Season</w:t>
            </w:r>
            <w:r w:rsidR="00437883">
              <w:rPr>
                <w:sz w:val="20"/>
                <w:szCs w:val="20"/>
              </w:rPr>
              <w:t>ally adjusted unemployment rate</w:t>
            </w:r>
          </w:p>
        </w:tc>
      </w:tr>
    </w:tbl>
    <w:p w14:paraId="62EDDC31" w14:textId="109D33C4" w:rsidR="007713B1" w:rsidRDefault="007713B1" w:rsidP="009008FD">
      <w:pPr>
        <w:pStyle w:val="Normalmorespace"/>
      </w:pPr>
      <w:r w:rsidRPr="00AD63EC">
        <w:t>It is important to note there are significant differences between the population measured by the Australian Bureau of Statistics to calculate the unemployment rate, and Working Age Payment population recipients. There is also a lag between changes in labour market conditions (as reflected in the change in unemployment rate) and people moving on to or off income support payments.</w:t>
      </w:r>
    </w:p>
    <w:p w14:paraId="79D791F6" w14:textId="77777777" w:rsidR="00013CF0" w:rsidRPr="00AD63EC" w:rsidRDefault="00013CF0" w:rsidP="009008FD">
      <w:pPr>
        <w:pStyle w:val="Normalmorespace"/>
      </w:pPr>
    </w:p>
    <w:p w14:paraId="5A253D7C" w14:textId="77777777" w:rsidR="007713B1" w:rsidRPr="00AD63EC" w:rsidRDefault="007713B1" w:rsidP="00027309">
      <w:pPr>
        <w:pStyle w:val="Heading4"/>
        <w:shd w:val="clear" w:color="auto" w:fill="D9D9D9" w:themeFill="background1" w:themeFillShade="D9"/>
      </w:pPr>
      <w:r w:rsidRPr="00AD63EC">
        <w:t xml:space="preserve">Supporting Information </w:t>
      </w:r>
    </w:p>
    <w:p w14:paraId="61B49749" w14:textId="77777777" w:rsidR="007713B1" w:rsidRPr="00C02D45" w:rsidRDefault="007713B1" w:rsidP="007572E0">
      <w:pPr>
        <w:pStyle w:val="ListParagraph"/>
        <w:numPr>
          <w:ilvl w:val="0"/>
          <w:numId w:val="29"/>
        </w:numPr>
        <w:spacing w:before="80" w:after="80" w:line="240" w:lineRule="auto"/>
        <w:ind w:left="641" w:hanging="357"/>
        <w:contextualSpacing w:val="0"/>
        <w:rPr>
          <w:sz w:val="20"/>
          <w:szCs w:val="20"/>
        </w:rPr>
      </w:pPr>
      <w:r w:rsidRPr="00C02D45">
        <w:rPr>
          <w:sz w:val="20"/>
          <w:szCs w:val="20"/>
        </w:rPr>
        <w:t>Administered outlays</w:t>
      </w:r>
    </w:p>
    <w:p w14:paraId="681CB22B" w14:textId="77777777" w:rsidR="007713B1" w:rsidRPr="00C02D45" w:rsidRDefault="007713B1" w:rsidP="007572E0">
      <w:pPr>
        <w:pStyle w:val="ListParagraph"/>
        <w:numPr>
          <w:ilvl w:val="0"/>
          <w:numId w:val="29"/>
        </w:numPr>
        <w:spacing w:before="80" w:after="80" w:line="240" w:lineRule="auto"/>
        <w:ind w:left="641" w:hanging="357"/>
        <w:contextualSpacing w:val="0"/>
        <w:rPr>
          <w:sz w:val="20"/>
          <w:szCs w:val="20"/>
        </w:rPr>
      </w:pPr>
      <w:r w:rsidRPr="00C02D45">
        <w:rPr>
          <w:sz w:val="20"/>
          <w:szCs w:val="20"/>
        </w:rPr>
        <w:t>Number of recipients</w:t>
      </w:r>
    </w:p>
    <w:p w14:paraId="2FEC15FB" w14:textId="52211328" w:rsidR="007713B1" w:rsidRPr="00C02D45" w:rsidRDefault="007713B1" w:rsidP="007572E0">
      <w:pPr>
        <w:pStyle w:val="ListParagraph"/>
        <w:numPr>
          <w:ilvl w:val="0"/>
          <w:numId w:val="29"/>
        </w:numPr>
        <w:spacing w:before="80" w:after="80" w:line="240" w:lineRule="auto"/>
        <w:ind w:left="641" w:hanging="357"/>
        <w:contextualSpacing w:val="0"/>
        <w:rPr>
          <w:sz w:val="20"/>
          <w:szCs w:val="20"/>
        </w:rPr>
      </w:pPr>
      <w:r w:rsidRPr="00C02D45">
        <w:rPr>
          <w:sz w:val="20"/>
          <w:szCs w:val="20"/>
        </w:rPr>
        <w:t>Payment accurac</w:t>
      </w:r>
      <w:r w:rsidR="006E74F5">
        <w:rPr>
          <w:sz w:val="20"/>
          <w:szCs w:val="20"/>
        </w:rPr>
        <w:t>y</w:t>
      </w:r>
    </w:p>
    <w:p w14:paraId="0F14096A" w14:textId="77777777" w:rsidR="007713B1" w:rsidRDefault="007713B1" w:rsidP="007713B1">
      <w:pPr>
        <w:ind w:left="284"/>
      </w:pPr>
    </w:p>
    <w:p w14:paraId="0EB9E913" w14:textId="77777777" w:rsidR="007713B1" w:rsidRDefault="007713B1" w:rsidP="007713B1">
      <w:pPr>
        <w:ind w:left="284"/>
      </w:pPr>
    </w:p>
    <w:p w14:paraId="0D2F2EE9" w14:textId="77777777" w:rsidR="007713B1" w:rsidRDefault="007713B1" w:rsidP="007713B1">
      <w:pPr>
        <w:ind w:left="284"/>
      </w:pPr>
    </w:p>
    <w:p w14:paraId="66274C2D" w14:textId="77777777" w:rsidR="007713B1" w:rsidRDefault="007713B1" w:rsidP="007713B1">
      <w:pPr>
        <w:ind w:left="284"/>
      </w:pPr>
    </w:p>
    <w:p w14:paraId="0CA248A5" w14:textId="77777777" w:rsidR="007713B1" w:rsidRDefault="007713B1" w:rsidP="007713B1">
      <w:pPr>
        <w:ind w:left="284"/>
      </w:pPr>
    </w:p>
    <w:p w14:paraId="48C9A3CE" w14:textId="77777777" w:rsidR="007713B1" w:rsidRDefault="007713B1" w:rsidP="007713B1">
      <w:pPr>
        <w:ind w:left="284"/>
      </w:pPr>
      <w:r>
        <w:br w:type="page"/>
      </w:r>
    </w:p>
    <w:p w14:paraId="7A9DE2B6" w14:textId="77777777" w:rsidR="007713B1" w:rsidRPr="004F492F" w:rsidRDefault="007713B1" w:rsidP="007A03BF">
      <w:pPr>
        <w:pStyle w:val="Heading3"/>
      </w:pPr>
      <w:r w:rsidRPr="004F492F">
        <w:t xml:space="preserve">PROGRAM 1.7 STUDENT PAYMENTS </w:t>
      </w:r>
    </w:p>
    <w:p w14:paraId="160F47E5" w14:textId="77777777" w:rsidR="007713B1" w:rsidRPr="00E01A7C" w:rsidRDefault="007713B1" w:rsidP="007713B1">
      <w:pPr>
        <w:shd w:val="clear" w:color="auto" w:fill="005A70"/>
        <w:rPr>
          <w:rFonts w:cstheme="minorHAnsi"/>
          <w:color w:val="FFFFFF" w:themeColor="background1"/>
          <w:sz w:val="20"/>
          <w:szCs w:val="20"/>
        </w:rPr>
      </w:pPr>
      <w:r w:rsidRPr="00E01A7C">
        <w:rPr>
          <w:rFonts w:cstheme="minorHAnsi"/>
          <w:color w:val="FFFFFF" w:themeColor="background1"/>
          <w:sz w:val="20"/>
          <w:szCs w:val="20"/>
        </w:rPr>
        <w:t>To support eligible students whilst they undertake education and training, so that they can gain employment. To increase access and participation by Indigenous Australian students in secondary and tertiary education and accelerate their educational outcomes.</w:t>
      </w:r>
    </w:p>
    <w:p w14:paraId="6345E5B2" w14:textId="77777777" w:rsidR="007713B1" w:rsidRPr="004F492F" w:rsidRDefault="007713B1" w:rsidP="00027309">
      <w:pPr>
        <w:pStyle w:val="Heading4"/>
        <w:shd w:val="clear" w:color="auto" w:fill="D9D9D9" w:themeFill="background1" w:themeFillShade="D9"/>
      </w:pPr>
      <w:r w:rsidRPr="004F492F">
        <w:t xml:space="preserve">Key Activity — 1.7.1 Youth Allowance (Student), Austudy, ABSTUDY </w:t>
      </w:r>
    </w:p>
    <w:p w14:paraId="0B89BEC6" w14:textId="77777777" w:rsidR="007713B1" w:rsidRPr="004F492F" w:rsidRDefault="007713B1" w:rsidP="009008FD">
      <w:pPr>
        <w:pStyle w:val="Normalmorespace"/>
      </w:pPr>
      <w:r w:rsidRPr="004F492F">
        <w:t>Youth Allowance (Student), Austudy and ABSTUDY are key activities of the Student Payments program.</w:t>
      </w:r>
    </w:p>
    <w:p w14:paraId="3E6874FE" w14:textId="77777777" w:rsidR="007713B1" w:rsidRPr="00C02D45" w:rsidRDefault="007713B1" w:rsidP="009008FD">
      <w:pPr>
        <w:pStyle w:val="ListParagraph"/>
        <w:numPr>
          <w:ilvl w:val="0"/>
          <w:numId w:val="18"/>
        </w:numPr>
        <w:spacing w:before="80" w:after="80" w:line="240" w:lineRule="auto"/>
        <w:ind w:left="641" w:hanging="357"/>
        <w:contextualSpacing w:val="0"/>
        <w:rPr>
          <w:sz w:val="20"/>
          <w:szCs w:val="20"/>
        </w:rPr>
      </w:pPr>
      <w:r w:rsidRPr="00C02D45">
        <w:rPr>
          <w:b/>
          <w:sz w:val="20"/>
          <w:szCs w:val="20"/>
        </w:rPr>
        <w:t>Youth Allowance (Student)</w:t>
      </w:r>
      <w:r w:rsidRPr="00C02D45">
        <w:rPr>
          <w:sz w:val="20"/>
          <w:szCs w:val="20"/>
        </w:rPr>
        <w:t xml:space="preserve"> is a payment to eligible </w:t>
      </w:r>
      <w:r w:rsidRPr="00C02D45">
        <w:rPr>
          <w:b/>
          <w:sz w:val="20"/>
          <w:szCs w:val="20"/>
        </w:rPr>
        <w:t>students or apprentices aged 16</w:t>
      </w:r>
      <w:r w:rsidRPr="00C02D45">
        <w:rPr>
          <w:b/>
          <w:sz w:val="20"/>
          <w:szCs w:val="20"/>
        </w:rPr>
        <w:noBreakHyphen/>
        <w:t>24 years</w:t>
      </w:r>
      <w:r w:rsidRPr="00C02D45">
        <w:rPr>
          <w:sz w:val="20"/>
          <w:szCs w:val="20"/>
        </w:rPr>
        <w:t xml:space="preserve"> who are in need of financial assistance to undertake education or training. </w:t>
      </w:r>
    </w:p>
    <w:p w14:paraId="485CFD8E" w14:textId="77777777" w:rsidR="007713B1" w:rsidRPr="00C02D45" w:rsidRDefault="007713B1" w:rsidP="009008FD">
      <w:pPr>
        <w:pStyle w:val="ListParagraph"/>
        <w:numPr>
          <w:ilvl w:val="0"/>
          <w:numId w:val="18"/>
        </w:numPr>
        <w:spacing w:before="80" w:after="80" w:line="240" w:lineRule="auto"/>
        <w:ind w:left="641" w:hanging="357"/>
        <w:contextualSpacing w:val="0"/>
        <w:rPr>
          <w:sz w:val="20"/>
          <w:szCs w:val="20"/>
        </w:rPr>
      </w:pPr>
      <w:r w:rsidRPr="00C02D45">
        <w:rPr>
          <w:b/>
          <w:sz w:val="20"/>
          <w:szCs w:val="20"/>
        </w:rPr>
        <w:t>Austudy</w:t>
      </w:r>
      <w:r w:rsidRPr="00C02D45">
        <w:rPr>
          <w:sz w:val="20"/>
          <w:szCs w:val="20"/>
        </w:rPr>
        <w:t xml:space="preserve"> is a payment to eligible </w:t>
      </w:r>
      <w:r w:rsidRPr="00C02D45">
        <w:rPr>
          <w:b/>
          <w:sz w:val="20"/>
          <w:szCs w:val="20"/>
        </w:rPr>
        <w:t>students or apprentices aged 25 years and over</w:t>
      </w:r>
      <w:r w:rsidRPr="00C02D45">
        <w:rPr>
          <w:sz w:val="20"/>
          <w:szCs w:val="20"/>
        </w:rPr>
        <w:t xml:space="preserve"> who are in need of financial assistance to undertake education or training. </w:t>
      </w:r>
    </w:p>
    <w:p w14:paraId="3277FCCA" w14:textId="77777777" w:rsidR="007713B1" w:rsidRPr="00C02D45" w:rsidRDefault="007713B1" w:rsidP="009008FD">
      <w:pPr>
        <w:pStyle w:val="ListParagraph"/>
        <w:numPr>
          <w:ilvl w:val="0"/>
          <w:numId w:val="18"/>
        </w:numPr>
        <w:spacing w:before="80" w:after="80" w:line="240" w:lineRule="auto"/>
        <w:ind w:left="641" w:hanging="357"/>
        <w:contextualSpacing w:val="0"/>
        <w:rPr>
          <w:sz w:val="20"/>
          <w:szCs w:val="20"/>
        </w:rPr>
      </w:pPr>
      <w:r w:rsidRPr="00C02D45">
        <w:rPr>
          <w:b/>
          <w:sz w:val="20"/>
          <w:szCs w:val="20"/>
        </w:rPr>
        <w:t>ABSTUDY</w:t>
      </w:r>
      <w:r w:rsidRPr="00C02D45">
        <w:rPr>
          <w:sz w:val="20"/>
          <w:szCs w:val="20"/>
        </w:rPr>
        <w:t xml:space="preserve"> provides a group of payments to eligible </w:t>
      </w:r>
      <w:r w:rsidRPr="00C02D45">
        <w:rPr>
          <w:b/>
          <w:sz w:val="20"/>
          <w:szCs w:val="20"/>
        </w:rPr>
        <w:t>Aboriginal and Torres Strait Islander students or apprentices</w:t>
      </w:r>
      <w:r w:rsidRPr="00C02D45">
        <w:rPr>
          <w:sz w:val="20"/>
          <w:szCs w:val="20"/>
        </w:rPr>
        <w:t xml:space="preserve"> to address the particular educational disadvantages faced by Aboriginal and Torres Strait Islander people. </w:t>
      </w:r>
    </w:p>
    <w:p w14:paraId="4029A0CF" w14:textId="77777777" w:rsidR="007713B1" w:rsidRPr="004F492F" w:rsidRDefault="007713B1" w:rsidP="009008FD">
      <w:pPr>
        <w:pStyle w:val="Normalmorespace"/>
      </w:pPr>
      <w:r w:rsidRPr="004F492F">
        <w:rPr>
          <w:b/>
        </w:rPr>
        <w:t>The department</w:t>
      </w:r>
      <w:r w:rsidRPr="004F492F">
        <w:t xml:space="preserve"> is responsible for designing and implementing the key activity, including providing advice to Government on policy and legislation, program implementation and management, program performance, monitoring and meeting all relevant deliverables, setting guidelines and providing guidance and advice to Services Australia on the administration of the program. </w:t>
      </w:r>
    </w:p>
    <w:p w14:paraId="0458E2AD" w14:textId="3088A32D" w:rsidR="005909EE" w:rsidRDefault="007713B1" w:rsidP="009008FD">
      <w:pPr>
        <w:pStyle w:val="Normalmorespace"/>
        <w:rPr>
          <w:rFonts w:cstheme="minorHAnsi"/>
        </w:rPr>
      </w:pPr>
      <w:r w:rsidRPr="004F492F">
        <w:rPr>
          <w:rFonts w:cstheme="minorHAnsi"/>
          <w:b/>
        </w:rPr>
        <w:t>Services Australia</w:t>
      </w:r>
      <w:r w:rsidRPr="004F492F">
        <w:rPr>
          <w:rFonts w:cstheme="minorHAnsi"/>
        </w:rPr>
        <w:t xml:space="preserve"> is the primary portfolio agency responsible for administering the key activities on the department’s behalf including receiving, processing and managing payment application and delivering student payments. </w:t>
      </w:r>
    </w:p>
    <w:p w14:paraId="04E8B6EA" w14:textId="77777777" w:rsidR="00013CF0" w:rsidRPr="004F492F" w:rsidRDefault="00013CF0" w:rsidP="009008FD">
      <w:pPr>
        <w:pStyle w:val="Normalmorespace"/>
        <w:rPr>
          <w:rFonts w:cstheme="minorHAnsi"/>
        </w:rPr>
      </w:pPr>
    </w:p>
    <w:tbl>
      <w:tblPr>
        <w:tblStyle w:val="TableGrid39"/>
        <w:tblW w:w="5000" w:type="pct"/>
        <w:jc w:val="center"/>
        <w:tblLook w:val="04A0" w:firstRow="1" w:lastRow="0" w:firstColumn="1" w:lastColumn="0" w:noHBand="0" w:noVBand="1"/>
        <w:tblCaption w:val="1.7.1-1 Extent to which payment recipients have improved financial self-reliance"/>
        <w:tblDescription w:val="Table outlines the targeted payment percentages across 2023-24, 2024-25, 2025-26 and 2026-27"/>
      </w:tblPr>
      <w:tblGrid>
        <w:gridCol w:w="2765"/>
        <w:gridCol w:w="1644"/>
        <w:gridCol w:w="1645"/>
        <w:gridCol w:w="1645"/>
        <w:gridCol w:w="1645"/>
      </w:tblGrid>
      <w:tr w:rsidR="007713B1" w:rsidRPr="004F492F" w14:paraId="264D8F88" w14:textId="77777777" w:rsidTr="00CD76E2">
        <w:trPr>
          <w:cantSplit/>
          <w:trHeight w:val="356"/>
          <w:tblHeade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6"/>
            <w:hideMark/>
          </w:tcPr>
          <w:p w14:paraId="764092D3" w14:textId="77777777" w:rsidR="007713B1" w:rsidRPr="00723A4C" w:rsidRDefault="007713B1" w:rsidP="007713B1">
            <w:pPr>
              <w:spacing w:after="120"/>
              <w:rPr>
                <w:rFonts w:cstheme="minorHAnsi"/>
                <w:b/>
                <w:sz w:val="20"/>
                <w:szCs w:val="20"/>
              </w:rPr>
            </w:pPr>
            <w:r w:rsidRPr="00723A4C">
              <w:rPr>
                <w:rFonts w:cstheme="minorHAnsi"/>
                <w:b/>
                <w:sz w:val="20"/>
                <w:szCs w:val="20"/>
              </w:rPr>
              <w:t>Performance Measure</w:t>
            </w:r>
          </w:p>
        </w:tc>
      </w:tr>
      <w:tr w:rsidR="007713B1" w:rsidRPr="004F492F" w14:paraId="67E7E0A6" w14:textId="77777777" w:rsidTr="007713B1">
        <w:trPr>
          <w:cantSplit/>
          <w:trHeight w:val="356"/>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08881705" w14:textId="57E18202" w:rsidR="007713B1" w:rsidRPr="00723A4C" w:rsidRDefault="007713B1" w:rsidP="00B27175">
            <w:pPr>
              <w:spacing w:after="120"/>
              <w:rPr>
                <w:rFonts w:cstheme="minorHAnsi"/>
                <w:b/>
                <w:sz w:val="20"/>
                <w:szCs w:val="20"/>
              </w:rPr>
            </w:pPr>
            <w:r w:rsidRPr="00723A4C">
              <w:rPr>
                <w:rFonts w:cstheme="minorHAnsi"/>
                <w:sz w:val="20"/>
                <w:szCs w:val="20"/>
              </w:rPr>
              <w:t>1.7.1</w:t>
            </w:r>
            <w:r w:rsidR="00B27175">
              <w:rPr>
                <w:rFonts w:cstheme="minorHAnsi"/>
                <w:sz w:val="20"/>
                <w:szCs w:val="20"/>
              </w:rPr>
              <w:t>-</w:t>
            </w:r>
            <w:r w:rsidRPr="00723A4C">
              <w:rPr>
                <w:rFonts w:cstheme="minorHAnsi"/>
                <w:sz w:val="20"/>
                <w:szCs w:val="20"/>
              </w:rPr>
              <w:t>1 Extent to which payment recipients have improved financial self-reliance.</w:t>
            </w:r>
          </w:p>
        </w:tc>
      </w:tr>
      <w:tr w:rsidR="007713B1" w:rsidRPr="004F492F" w14:paraId="532C6D4D" w14:textId="77777777" w:rsidTr="007713B1">
        <w:trPr>
          <w:cantSplit/>
          <w:trHeight w:val="356"/>
          <w:jc w:val="center"/>
        </w:trPr>
        <w:tc>
          <w:tcPr>
            <w:tcW w:w="1480" w:type="pct"/>
            <w:tcBorders>
              <w:top w:val="single" w:sz="4" w:space="0" w:color="auto"/>
              <w:left w:val="single" w:sz="4" w:space="0" w:color="auto"/>
              <w:bottom w:val="single" w:sz="4" w:space="0" w:color="auto"/>
              <w:right w:val="single" w:sz="4" w:space="0" w:color="auto"/>
            </w:tcBorders>
            <w:shd w:val="clear" w:color="auto" w:fill="D9D9D6"/>
            <w:hideMark/>
          </w:tcPr>
          <w:p w14:paraId="45A2253C" w14:textId="77777777" w:rsidR="007713B1" w:rsidRPr="00723A4C" w:rsidRDefault="007713B1" w:rsidP="007713B1">
            <w:pPr>
              <w:spacing w:after="120"/>
              <w:rPr>
                <w:rFonts w:cstheme="minorHAnsi"/>
                <w:b/>
                <w:sz w:val="20"/>
                <w:szCs w:val="20"/>
              </w:rPr>
            </w:pPr>
            <w:r w:rsidRPr="00723A4C">
              <w:rPr>
                <w:rFonts w:cstheme="minorHAnsi"/>
                <w:b/>
                <w:sz w:val="20"/>
                <w:szCs w:val="20"/>
              </w:rPr>
              <w:t>Target</w:t>
            </w:r>
          </w:p>
        </w:tc>
        <w:tc>
          <w:tcPr>
            <w:tcW w:w="880" w:type="pct"/>
            <w:tcBorders>
              <w:top w:val="single" w:sz="4" w:space="0" w:color="auto"/>
              <w:left w:val="single" w:sz="4" w:space="0" w:color="auto"/>
              <w:bottom w:val="single" w:sz="4" w:space="0" w:color="auto"/>
              <w:right w:val="single" w:sz="4" w:space="0" w:color="auto"/>
            </w:tcBorders>
            <w:shd w:val="clear" w:color="auto" w:fill="D9D9D6"/>
            <w:vAlign w:val="center"/>
            <w:hideMark/>
          </w:tcPr>
          <w:p w14:paraId="787B3BF8" w14:textId="77777777" w:rsidR="007713B1" w:rsidRPr="00723A4C" w:rsidRDefault="007713B1" w:rsidP="007713B1">
            <w:pPr>
              <w:spacing w:after="120"/>
              <w:rPr>
                <w:rFonts w:cstheme="minorHAnsi"/>
                <w:b/>
                <w:sz w:val="20"/>
                <w:szCs w:val="20"/>
              </w:rPr>
            </w:pPr>
            <w:r w:rsidRPr="00723A4C">
              <w:rPr>
                <w:rFonts w:cstheme="minorHAnsi"/>
                <w:b/>
                <w:sz w:val="20"/>
                <w:szCs w:val="20"/>
              </w:rPr>
              <w:t>2023–24</w:t>
            </w:r>
          </w:p>
        </w:tc>
        <w:tc>
          <w:tcPr>
            <w:tcW w:w="880" w:type="pct"/>
            <w:tcBorders>
              <w:top w:val="single" w:sz="4" w:space="0" w:color="auto"/>
              <w:left w:val="single" w:sz="4" w:space="0" w:color="auto"/>
              <w:bottom w:val="single" w:sz="4" w:space="0" w:color="auto"/>
              <w:right w:val="single" w:sz="4" w:space="0" w:color="auto"/>
            </w:tcBorders>
            <w:shd w:val="clear" w:color="auto" w:fill="D9D9D6"/>
            <w:vAlign w:val="center"/>
            <w:hideMark/>
          </w:tcPr>
          <w:p w14:paraId="2AB89CBF" w14:textId="77777777" w:rsidR="007713B1" w:rsidRPr="00723A4C" w:rsidRDefault="007713B1" w:rsidP="007713B1">
            <w:pPr>
              <w:spacing w:after="120"/>
              <w:rPr>
                <w:rFonts w:cstheme="minorHAnsi"/>
                <w:b/>
                <w:sz w:val="20"/>
                <w:szCs w:val="20"/>
              </w:rPr>
            </w:pPr>
            <w:r w:rsidRPr="00723A4C">
              <w:rPr>
                <w:rFonts w:cstheme="minorHAnsi"/>
                <w:b/>
                <w:sz w:val="20"/>
                <w:szCs w:val="20"/>
              </w:rPr>
              <w:t>2024–25</w:t>
            </w:r>
          </w:p>
        </w:tc>
        <w:tc>
          <w:tcPr>
            <w:tcW w:w="880" w:type="pct"/>
            <w:tcBorders>
              <w:top w:val="single" w:sz="4" w:space="0" w:color="auto"/>
              <w:left w:val="single" w:sz="4" w:space="0" w:color="auto"/>
              <w:bottom w:val="single" w:sz="4" w:space="0" w:color="auto"/>
              <w:right w:val="single" w:sz="4" w:space="0" w:color="auto"/>
            </w:tcBorders>
            <w:shd w:val="clear" w:color="auto" w:fill="D9D9D6"/>
            <w:vAlign w:val="center"/>
            <w:hideMark/>
          </w:tcPr>
          <w:p w14:paraId="07620469" w14:textId="77777777" w:rsidR="007713B1" w:rsidRPr="00723A4C" w:rsidRDefault="007713B1" w:rsidP="007713B1">
            <w:pPr>
              <w:spacing w:after="120"/>
              <w:rPr>
                <w:rFonts w:cstheme="minorHAnsi"/>
                <w:b/>
                <w:sz w:val="20"/>
                <w:szCs w:val="20"/>
              </w:rPr>
            </w:pPr>
            <w:r w:rsidRPr="00723A4C">
              <w:rPr>
                <w:rFonts w:cstheme="minorHAnsi"/>
                <w:b/>
                <w:sz w:val="20"/>
                <w:szCs w:val="20"/>
              </w:rPr>
              <w:t>2025–26</w:t>
            </w:r>
          </w:p>
        </w:tc>
        <w:tc>
          <w:tcPr>
            <w:tcW w:w="880" w:type="pct"/>
            <w:tcBorders>
              <w:top w:val="single" w:sz="4" w:space="0" w:color="auto"/>
              <w:left w:val="single" w:sz="4" w:space="0" w:color="auto"/>
              <w:bottom w:val="single" w:sz="4" w:space="0" w:color="auto"/>
              <w:right w:val="single" w:sz="4" w:space="0" w:color="auto"/>
            </w:tcBorders>
            <w:shd w:val="clear" w:color="auto" w:fill="D9D9D6"/>
            <w:vAlign w:val="center"/>
            <w:hideMark/>
          </w:tcPr>
          <w:p w14:paraId="564FEC63" w14:textId="77777777" w:rsidR="007713B1" w:rsidRPr="00723A4C" w:rsidRDefault="007713B1" w:rsidP="007713B1">
            <w:pPr>
              <w:spacing w:after="120"/>
              <w:rPr>
                <w:rFonts w:cstheme="minorHAnsi"/>
                <w:b/>
                <w:sz w:val="20"/>
                <w:szCs w:val="20"/>
              </w:rPr>
            </w:pPr>
            <w:r w:rsidRPr="00723A4C">
              <w:rPr>
                <w:rFonts w:cstheme="minorHAnsi"/>
                <w:b/>
                <w:sz w:val="20"/>
                <w:szCs w:val="20"/>
              </w:rPr>
              <w:t>2026–27</w:t>
            </w:r>
          </w:p>
        </w:tc>
      </w:tr>
      <w:tr w:rsidR="007713B1" w:rsidRPr="004F492F" w14:paraId="2C237E68" w14:textId="77777777" w:rsidTr="007713B1">
        <w:trPr>
          <w:cantSplit/>
          <w:trHeight w:val="356"/>
          <w:jc w:val="center"/>
        </w:trPr>
        <w:tc>
          <w:tcPr>
            <w:tcW w:w="148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6A0CEB" w14:textId="5CCF780D" w:rsidR="007713B1" w:rsidRPr="00723A4C" w:rsidRDefault="007713B1" w:rsidP="00B27175">
            <w:pPr>
              <w:spacing w:after="120"/>
              <w:rPr>
                <w:rFonts w:cstheme="minorHAnsi"/>
                <w:sz w:val="20"/>
                <w:szCs w:val="20"/>
              </w:rPr>
            </w:pPr>
            <w:r w:rsidRPr="00723A4C">
              <w:rPr>
                <w:sz w:val="20"/>
                <w:szCs w:val="20"/>
              </w:rPr>
              <w:sym w:font="Wingdings" w:char="F074"/>
            </w:r>
            <w:r w:rsidR="00366C4D">
              <w:rPr>
                <w:sz w:val="20"/>
                <w:szCs w:val="20"/>
              </w:rPr>
              <w:t xml:space="preserve"> </w:t>
            </w:r>
            <w:r w:rsidRPr="00723A4C">
              <w:rPr>
                <w:sz w:val="20"/>
                <w:szCs w:val="20"/>
              </w:rPr>
              <w:t>1.7.1</w:t>
            </w:r>
            <w:r w:rsidR="00B27175">
              <w:rPr>
                <w:sz w:val="20"/>
                <w:szCs w:val="20"/>
              </w:rPr>
              <w:t>-</w:t>
            </w:r>
            <w:r w:rsidRPr="00723A4C">
              <w:rPr>
                <w:sz w:val="20"/>
                <w:szCs w:val="20"/>
              </w:rPr>
              <w:t>1A</w:t>
            </w:r>
            <w:r w:rsidRPr="00723A4C">
              <w:rPr>
                <w:rFonts w:cstheme="minorHAnsi"/>
                <w:sz w:val="20"/>
                <w:szCs w:val="20"/>
              </w:rPr>
              <w:t xml:space="preserve"> The proportion of Austudy, Youth Allowance and ABSTUDY recipients who are not receiving income support 12 months after exiting student payments reflect the number of people who are unable to fully support themselves through work.</w:t>
            </w:r>
          </w:p>
        </w:tc>
        <w:tc>
          <w:tcPr>
            <w:tcW w:w="8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7E8D6F" w14:textId="77777777" w:rsidR="007713B1" w:rsidRPr="00723A4C" w:rsidRDefault="007713B1" w:rsidP="00C672B6">
            <w:pPr>
              <w:spacing w:after="120"/>
              <w:rPr>
                <w:rFonts w:cstheme="minorHAnsi"/>
                <w:sz w:val="20"/>
                <w:szCs w:val="20"/>
              </w:rPr>
            </w:pPr>
            <w:r w:rsidRPr="00723A4C">
              <w:rPr>
                <w:rFonts w:cstheme="minorHAnsi"/>
                <w:sz w:val="20"/>
                <w:szCs w:val="20"/>
              </w:rPr>
              <w:t>Changes in exit rates align with changes in unemployment rate</w:t>
            </w:r>
          </w:p>
        </w:tc>
        <w:tc>
          <w:tcPr>
            <w:tcW w:w="8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048AAD" w14:textId="77777777" w:rsidR="007713B1" w:rsidRPr="00723A4C" w:rsidRDefault="007713B1" w:rsidP="007713B1">
            <w:pPr>
              <w:spacing w:after="120"/>
              <w:rPr>
                <w:rFonts w:cstheme="minorHAnsi"/>
                <w:sz w:val="20"/>
                <w:szCs w:val="20"/>
              </w:rPr>
            </w:pPr>
            <w:r w:rsidRPr="00723A4C">
              <w:rPr>
                <w:rFonts w:cstheme="minorHAnsi"/>
                <w:sz w:val="20"/>
                <w:szCs w:val="20"/>
              </w:rPr>
              <w:t>Changes in exit rates align with changes in unemployment rate</w:t>
            </w:r>
          </w:p>
        </w:tc>
        <w:tc>
          <w:tcPr>
            <w:tcW w:w="8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490743" w14:textId="77777777" w:rsidR="007713B1" w:rsidRPr="00723A4C" w:rsidRDefault="007713B1" w:rsidP="007713B1">
            <w:pPr>
              <w:spacing w:after="120"/>
              <w:rPr>
                <w:rFonts w:cstheme="minorHAnsi"/>
                <w:sz w:val="20"/>
                <w:szCs w:val="20"/>
              </w:rPr>
            </w:pPr>
            <w:r w:rsidRPr="00723A4C">
              <w:rPr>
                <w:rFonts w:cstheme="minorHAnsi"/>
                <w:sz w:val="20"/>
                <w:szCs w:val="20"/>
              </w:rPr>
              <w:t>Changes in exit rates align with changes in unemployment rate</w:t>
            </w:r>
          </w:p>
        </w:tc>
        <w:tc>
          <w:tcPr>
            <w:tcW w:w="8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A85076" w14:textId="77777777" w:rsidR="007713B1" w:rsidRPr="00723A4C" w:rsidRDefault="007713B1" w:rsidP="007713B1">
            <w:pPr>
              <w:spacing w:after="120"/>
              <w:rPr>
                <w:rFonts w:cstheme="minorHAnsi"/>
                <w:sz w:val="20"/>
                <w:szCs w:val="20"/>
              </w:rPr>
            </w:pPr>
            <w:r w:rsidRPr="00723A4C">
              <w:rPr>
                <w:rFonts w:cstheme="minorHAnsi"/>
                <w:sz w:val="20"/>
                <w:szCs w:val="20"/>
              </w:rPr>
              <w:t>Changes in exit rates align with changes in unemployment rate</w:t>
            </w:r>
          </w:p>
        </w:tc>
      </w:tr>
    </w:tbl>
    <w:p w14:paraId="4C4F6597" w14:textId="77777777" w:rsidR="00013CF0" w:rsidRDefault="00013CF0" w:rsidP="00013CF0">
      <w:pPr>
        <w:pStyle w:val="Heading4"/>
        <w:shd w:val="clear" w:color="auto" w:fill="auto"/>
      </w:pPr>
    </w:p>
    <w:p w14:paraId="27D024FB" w14:textId="77777777" w:rsidR="00013CF0" w:rsidRDefault="00013CF0">
      <w:pPr>
        <w:spacing w:before="0" w:after="200" w:line="276" w:lineRule="auto"/>
        <w:rPr>
          <w:b/>
          <w:sz w:val="20"/>
          <w:szCs w:val="20"/>
        </w:rPr>
      </w:pPr>
      <w:r>
        <w:br w:type="page"/>
      </w:r>
    </w:p>
    <w:p w14:paraId="0B04E45E" w14:textId="6227B178" w:rsidR="007713B1" w:rsidRPr="004F492F" w:rsidRDefault="007713B1" w:rsidP="00027309">
      <w:pPr>
        <w:pStyle w:val="Heading4"/>
        <w:shd w:val="clear" w:color="auto" w:fill="D9D9D9" w:themeFill="background1" w:themeFillShade="D9"/>
        <w:rPr>
          <w:rFonts w:asciiTheme="minorHAnsi" w:hAnsiTheme="minorHAnsi"/>
        </w:rPr>
      </w:pPr>
      <w:r w:rsidRPr="004F492F">
        <w:t>Rationale</w:t>
      </w:r>
    </w:p>
    <w:p w14:paraId="55B9A7F7" w14:textId="77777777" w:rsidR="007713B1" w:rsidRPr="004F492F" w:rsidRDefault="007713B1" w:rsidP="009008FD">
      <w:pPr>
        <w:pStyle w:val="Normalmorespace"/>
      </w:pPr>
      <w:r w:rsidRPr="004F492F">
        <w:t>Measuring the extent to which payment recipients have improved financial self-reliance demonstrate</w:t>
      </w:r>
      <w:r>
        <w:t>s</w:t>
      </w:r>
      <w:r w:rsidRPr="004F492F">
        <w:t xml:space="preserve"> that students receive income support and other financial assistance to achieve growth in skills, qualifications, and productivity and have improved self-reliance. This measure demonstrates the </w:t>
      </w:r>
      <w:r w:rsidRPr="004F492F">
        <w:rPr>
          <w:b/>
        </w:rPr>
        <w:t>effectiveness</w:t>
      </w:r>
      <w:r w:rsidRPr="004F492F">
        <w:t xml:space="preserve"> of ABSTUDY, Austudy and Youth Allowance (Student) in achieving the objectives of the key activity: </w:t>
      </w:r>
      <w:r w:rsidRPr="004F492F">
        <w:rPr>
          <w:i/>
        </w:rPr>
        <w:t>recipients have improved financial self-reliance</w:t>
      </w:r>
      <w:r w:rsidRPr="004F492F">
        <w:t>.</w:t>
      </w:r>
    </w:p>
    <w:p w14:paraId="4E6D82F3" w14:textId="23FAE501" w:rsidR="007713B1" w:rsidRDefault="007713B1" w:rsidP="009008FD">
      <w:pPr>
        <w:pStyle w:val="Normalmorespace"/>
      </w:pPr>
      <w:r w:rsidRPr="004F492F">
        <w:t xml:space="preserve">Targeting the proportion of recipients who are not receiving income support </w:t>
      </w:r>
      <w:r w:rsidR="007F57B7">
        <w:t xml:space="preserve">12 months </w:t>
      </w:r>
      <w:r w:rsidRPr="004F492F">
        <w:t xml:space="preserve">after exiting student payments, aligns with movements in the unemployment rate, demonstrates the </w:t>
      </w:r>
      <w:r w:rsidRPr="004F492F">
        <w:rPr>
          <w:b/>
        </w:rPr>
        <w:t>effectiveness</w:t>
      </w:r>
      <w:r w:rsidRPr="004F492F">
        <w:t xml:space="preserve"> of the key activity by showing that those leaving the temporary payments are able to support themselves through employment.</w:t>
      </w:r>
    </w:p>
    <w:p w14:paraId="6B301540" w14:textId="77777777" w:rsidR="00013CF0" w:rsidRPr="004F492F" w:rsidRDefault="00013CF0" w:rsidP="009008FD">
      <w:pPr>
        <w:pStyle w:val="Normalmorespace"/>
      </w:pPr>
    </w:p>
    <w:p w14:paraId="5A458469" w14:textId="77777777" w:rsidR="007713B1" w:rsidRPr="004F492F" w:rsidRDefault="007713B1" w:rsidP="00027309">
      <w:pPr>
        <w:pStyle w:val="Heading4"/>
        <w:shd w:val="clear" w:color="auto" w:fill="D9D9D9" w:themeFill="background1" w:themeFillShade="D9"/>
      </w:pPr>
      <w:r w:rsidRPr="004F492F">
        <w:t>Methodology</w:t>
      </w:r>
    </w:p>
    <w:p w14:paraId="37F58BB5" w14:textId="77777777" w:rsidR="007713B1" w:rsidRPr="004F492F" w:rsidRDefault="007713B1" w:rsidP="009008FD">
      <w:pPr>
        <w:pStyle w:val="Normalmorespace"/>
      </w:pPr>
      <w:r w:rsidRPr="004F492F">
        <w:t>The number of recipients exiting student payments is calculated using the number of:</w:t>
      </w:r>
    </w:p>
    <w:p w14:paraId="61FD773E" w14:textId="77777777" w:rsidR="007713B1" w:rsidRPr="00C02D45" w:rsidRDefault="007713B1" w:rsidP="009008FD">
      <w:pPr>
        <w:pStyle w:val="ListParagraph"/>
        <w:numPr>
          <w:ilvl w:val="0"/>
          <w:numId w:val="18"/>
        </w:numPr>
        <w:spacing w:before="80" w:after="80" w:line="240" w:lineRule="auto"/>
        <w:ind w:left="641" w:hanging="357"/>
        <w:contextualSpacing w:val="0"/>
        <w:rPr>
          <w:sz w:val="20"/>
          <w:szCs w:val="20"/>
        </w:rPr>
      </w:pPr>
      <w:r w:rsidRPr="00C02D45">
        <w:rPr>
          <w:sz w:val="20"/>
          <w:szCs w:val="20"/>
        </w:rPr>
        <w:t>recipients that exit from Austudy, Youth Allowance (Student) and ABSTUDY over a 12 month calendar year, where the recipient has been on a student payment for more than 3 months</w:t>
      </w:r>
    </w:p>
    <w:p w14:paraId="53D47338" w14:textId="77777777" w:rsidR="007713B1" w:rsidRPr="00C02D45" w:rsidRDefault="007713B1" w:rsidP="009008FD">
      <w:pPr>
        <w:pStyle w:val="ListParagraph"/>
        <w:numPr>
          <w:ilvl w:val="0"/>
          <w:numId w:val="18"/>
        </w:numPr>
        <w:spacing w:before="80" w:after="80" w:line="240" w:lineRule="auto"/>
        <w:ind w:left="641" w:hanging="357"/>
        <w:contextualSpacing w:val="0"/>
        <w:rPr>
          <w:sz w:val="20"/>
          <w:szCs w:val="20"/>
        </w:rPr>
      </w:pPr>
      <w:r w:rsidRPr="00C02D45">
        <w:rPr>
          <w:sz w:val="20"/>
          <w:szCs w:val="20"/>
        </w:rPr>
        <w:t>recipient numbers for the 12 months following the calendar year of exit.</w:t>
      </w:r>
    </w:p>
    <w:p w14:paraId="18550230" w14:textId="77777777" w:rsidR="007713B1" w:rsidRPr="004F492F" w:rsidRDefault="007713B1" w:rsidP="009008FD">
      <w:pPr>
        <w:pStyle w:val="Normalmorespace"/>
      </w:pPr>
      <w:r w:rsidRPr="004F492F">
        <w:t xml:space="preserve">The </w:t>
      </w:r>
      <w:r w:rsidRPr="004F492F">
        <w:rPr>
          <w:i/>
        </w:rPr>
        <w:t>unemployment rate</w:t>
      </w:r>
      <w:r w:rsidRPr="004F492F">
        <w:t xml:space="preserve"> uses the Australian Bureau of Statistics, National Accounts, Labour Force Australia.</w:t>
      </w:r>
    </w:p>
    <w:p w14:paraId="1041B2EC" w14:textId="46988848" w:rsidR="007713B1" w:rsidRDefault="007713B1" w:rsidP="009008FD">
      <w:pPr>
        <w:spacing w:before="80" w:after="80" w:line="240" w:lineRule="auto"/>
        <w:rPr>
          <w:sz w:val="20"/>
          <w:szCs w:val="20"/>
        </w:rPr>
      </w:pPr>
      <w:r w:rsidRPr="004F492F">
        <w:rPr>
          <w:sz w:val="20"/>
          <w:szCs w:val="20"/>
        </w:rPr>
        <w:t xml:space="preserve">The </w:t>
      </w:r>
      <w:r w:rsidRPr="004F492F">
        <w:rPr>
          <w:b/>
          <w:sz w:val="20"/>
          <w:szCs w:val="20"/>
        </w:rPr>
        <w:t>data sources</w:t>
      </w:r>
      <w:r w:rsidRPr="004F492F">
        <w:rPr>
          <w:sz w:val="20"/>
          <w:szCs w:val="20"/>
        </w:rPr>
        <w:t xml:space="preserve"> used for this calculation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Source"/>
        <w:tblDescription w:val="SS: Services Australia administrative data. SS: Australian Bureau of Statistics, National Accounts – Labour Force Australia"/>
      </w:tblPr>
      <w:tblGrid>
        <w:gridCol w:w="988"/>
        <w:gridCol w:w="8028"/>
      </w:tblGrid>
      <w:tr w:rsidR="006F5203" w:rsidRPr="00334F13" w14:paraId="513DA957" w14:textId="77777777" w:rsidTr="0017156F">
        <w:trPr>
          <w:trHeight w:val="737"/>
          <w:tblHeader/>
        </w:trPr>
        <w:tc>
          <w:tcPr>
            <w:tcW w:w="988" w:type="dxa"/>
            <w:vAlign w:val="center"/>
          </w:tcPr>
          <w:p w14:paraId="0E574246" w14:textId="77777777" w:rsidR="006F5203" w:rsidRDefault="006F5203" w:rsidP="00B81E0C">
            <w:r>
              <w:rPr>
                <w:noProof/>
                <w:color w:val="000000" w:themeColor="text1"/>
              </w:rPr>
              <w:drawing>
                <wp:inline distT="0" distB="0" distL="0" distR="0" wp14:anchorId="600A8A5B" wp14:editId="0F6A9EC0">
                  <wp:extent cx="457200" cy="342900"/>
                  <wp:effectExtent l="0" t="0" r="0" b="0"/>
                  <wp:docPr id="702" name="Picture 702"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vAlign w:val="center"/>
          </w:tcPr>
          <w:p w14:paraId="4496335F" w14:textId="6223AA28" w:rsidR="006F5203" w:rsidRPr="00334F13" w:rsidRDefault="006F5203" w:rsidP="00B81E0C">
            <w:pPr>
              <w:rPr>
                <w:sz w:val="20"/>
                <w:szCs w:val="20"/>
              </w:rPr>
            </w:pPr>
            <w:r>
              <w:rPr>
                <w:sz w:val="20"/>
                <w:szCs w:val="20"/>
              </w:rPr>
              <w:t>Services Australia administrative data</w:t>
            </w:r>
          </w:p>
        </w:tc>
      </w:tr>
      <w:tr w:rsidR="006F5203" w:rsidRPr="00334F13" w14:paraId="082FBECE" w14:textId="77777777" w:rsidTr="007E32E3">
        <w:trPr>
          <w:trHeight w:val="737"/>
        </w:trPr>
        <w:tc>
          <w:tcPr>
            <w:tcW w:w="988" w:type="dxa"/>
            <w:vAlign w:val="center"/>
          </w:tcPr>
          <w:p w14:paraId="459642AD" w14:textId="77777777" w:rsidR="006F5203" w:rsidRDefault="006F5203" w:rsidP="007E32E3">
            <w:r>
              <w:rPr>
                <w:noProof/>
                <w:color w:val="000000" w:themeColor="text1"/>
              </w:rPr>
              <w:drawing>
                <wp:inline distT="0" distB="0" distL="0" distR="0" wp14:anchorId="0858EF7D" wp14:editId="56E849AD">
                  <wp:extent cx="457200" cy="342900"/>
                  <wp:effectExtent l="0" t="0" r="0" b="0"/>
                  <wp:docPr id="703" name="Picture 703"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vAlign w:val="center"/>
          </w:tcPr>
          <w:p w14:paraId="3088B90C" w14:textId="0E96169A" w:rsidR="006F5203" w:rsidRPr="00334F13" w:rsidRDefault="006F5203" w:rsidP="007E32E3">
            <w:pPr>
              <w:rPr>
                <w:sz w:val="20"/>
                <w:szCs w:val="20"/>
              </w:rPr>
            </w:pPr>
            <w:r w:rsidRPr="00C02D45">
              <w:rPr>
                <w:sz w:val="20"/>
                <w:szCs w:val="20"/>
              </w:rPr>
              <w:t xml:space="preserve">Australian Bureau of Statistics, </w:t>
            </w:r>
            <w:r>
              <w:rPr>
                <w:sz w:val="20"/>
                <w:szCs w:val="20"/>
              </w:rPr>
              <w:t>National Accounts – Labour Force Australia</w:t>
            </w:r>
          </w:p>
        </w:tc>
      </w:tr>
    </w:tbl>
    <w:p w14:paraId="4F11CC4F" w14:textId="77777777" w:rsidR="007713B1" w:rsidRPr="007A03BF" w:rsidRDefault="007713B1" w:rsidP="00027309">
      <w:pPr>
        <w:pStyle w:val="Heading4"/>
        <w:shd w:val="clear" w:color="auto" w:fill="D9D9D9" w:themeFill="background1" w:themeFillShade="D9"/>
      </w:pPr>
      <w:r w:rsidRPr="007A03BF">
        <w:t xml:space="preserve">Supporting Information </w:t>
      </w:r>
    </w:p>
    <w:p w14:paraId="78D7D141" w14:textId="77777777" w:rsidR="007713B1" w:rsidRPr="00C02D45" w:rsidRDefault="007713B1" w:rsidP="007572E0">
      <w:pPr>
        <w:pStyle w:val="ListParagraph"/>
        <w:numPr>
          <w:ilvl w:val="0"/>
          <w:numId w:val="18"/>
        </w:numPr>
        <w:spacing w:before="80" w:after="80" w:line="240" w:lineRule="auto"/>
        <w:ind w:left="641" w:hanging="357"/>
        <w:contextualSpacing w:val="0"/>
        <w:rPr>
          <w:sz w:val="20"/>
          <w:szCs w:val="20"/>
        </w:rPr>
      </w:pPr>
      <w:r w:rsidRPr="00C02D45">
        <w:rPr>
          <w:sz w:val="20"/>
          <w:szCs w:val="20"/>
        </w:rPr>
        <w:t>Administered outlays</w:t>
      </w:r>
    </w:p>
    <w:p w14:paraId="0A83B3A9" w14:textId="77777777" w:rsidR="007713B1" w:rsidRPr="00C02D45" w:rsidRDefault="007713B1" w:rsidP="007572E0">
      <w:pPr>
        <w:pStyle w:val="ListParagraph"/>
        <w:numPr>
          <w:ilvl w:val="0"/>
          <w:numId w:val="18"/>
        </w:numPr>
        <w:spacing w:before="80" w:after="80" w:line="240" w:lineRule="auto"/>
        <w:ind w:left="641" w:hanging="357"/>
        <w:contextualSpacing w:val="0"/>
        <w:rPr>
          <w:sz w:val="20"/>
          <w:szCs w:val="20"/>
        </w:rPr>
      </w:pPr>
      <w:r w:rsidRPr="00C02D45">
        <w:rPr>
          <w:sz w:val="20"/>
          <w:szCs w:val="20"/>
        </w:rPr>
        <w:t>Number of recipients</w:t>
      </w:r>
    </w:p>
    <w:p w14:paraId="79901669" w14:textId="0CCD0653" w:rsidR="007713B1" w:rsidRPr="00C02D45" w:rsidRDefault="006E74F5" w:rsidP="007572E0">
      <w:pPr>
        <w:pStyle w:val="ListParagraph"/>
        <w:numPr>
          <w:ilvl w:val="0"/>
          <w:numId w:val="18"/>
        </w:numPr>
        <w:spacing w:before="80" w:after="80" w:line="240" w:lineRule="auto"/>
        <w:ind w:left="641" w:hanging="357"/>
        <w:contextualSpacing w:val="0"/>
        <w:rPr>
          <w:sz w:val="20"/>
          <w:szCs w:val="20"/>
        </w:rPr>
      </w:pPr>
      <w:r>
        <w:rPr>
          <w:sz w:val="20"/>
          <w:szCs w:val="20"/>
        </w:rPr>
        <w:t>Payment accuracy</w:t>
      </w:r>
    </w:p>
    <w:p w14:paraId="27B8A6F1" w14:textId="77777777" w:rsidR="007713B1" w:rsidRDefault="007713B1" w:rsidP="007713B1">
      <w:pPr>
        <w:spacing w:before="80" w:after="80" w:line="240" w:lineRule="auto"/>
        <w:rPr>
          <w:sz w:val="20"/>
          <w:szCs w:val="20"/>
        </w:rPr>
      </w:pPr>
      <w:r>
        <w:rPr>
          <w:sz w:val="20"/>
          <w:szCs w:val="20"/>
        </w:rPr>
        <w:br w:type="page"/>
      </w:r>
    </w:p>
    <w:p w14:paraId="71E93B7F" w14:textId="77777777" w:rsidR="007713B1" w:rsidRPr="001476F4" w:rsidRDefault="007713B1" w:rsidP="007A03BF">
      <w:pPr>
        <w:pStyle w:val="Heading3"/>
      </w:pPr>
      <w:r w:rsidRPr="001476F4">
        <w:t xml:space="preserve">CROSS PROGRAM </w:t>
      </w:r>
      <w:r>
        <w:t xml:space="preserve">- </w:t>
      </w:r>
      <w:r w:rsidRPr="001476F4">
        <w:t>RENT ASSISTANCE</w:t>
      </w:r>
    </w:p>
    <w:p w14:paraId="1B9C7013" w14:textId="77777777" w:rsidR="007713B1" w:rsidRPr="001476F4" w:rsidRDefault="007713B1" w:rsidP="007713B1">
      <w:pPr>
        <w:shd w:val="clear" w:color="auto" w:fill="005A70"/>
        <w:rPr>
          <w:color w:val="FFFFFF" w:themeColor="background1"/>
          <w:sz w:val="20"/>
          <w:szCs w:val="20"/>
        </w:rPr>
      </w:pPr>
      <w:r>
        <w:rPr>
          <w:color w:val="FFFFFF" w:themeColor="background1"/>
          <w:sz w:val="20"/>
          <w:szCs w:val="20"/>
        </w:rPr>
        <w:t>T</w:t>
      </w:r>
      <w:r w:rsidRPr="001476F4">
        <w:rPr>
          <w:color w:val="FFFFFF" w:themeColor="background1"/>
          <w:sz w:val="20"/>
          <w:szCs w:val="20"/>
        </w:rPr>
        <w:t>o make payments to income support or family payment recipients to assist with the costs of renting private and community housing.</w:t>
      </w:r>
    </w:p>
    <w:p w14:paraId="5B8442F8" w14:textId="77777777" w:rsidR="007713B1" w:rsidRPr="001476F4" w:rsidRDefault="007713B1" w:rsidP="00027309">
      <w:pPr>
        <w:pStyle w:val="Heading4"/>
        <w:shd w:val="clear" w:color="auto" w:fill="D9D9D9" w:themeFill="background1" w:themeFillShade="D9"/>
      </w:pPr>
      <w:r w:rsidRPr="001476F4">
        <w:t>Key Activity —</w:t>
      </w:r>
      <w:r>
        <w:t xml:space="preserve"> </w:t>
      </w:r>
      <w:r w:rsidRPr="001476F4">
        <w:t>Rent Assistance</w:t>
      </w:r>
    </w:p>
    <w:p w14:paraId="7C0A1B87" w14:textId="77777777" w:rsidR="007713B1" w:rsidRPr="001476F4" w:rsidRDefault="007713B1" w:rsidP="009008FD">
      <w:pPr>
        <w:pStyle w:val="Normalmorespace"/>
      </w:pPr>
      <w:r w:rsidRPr="001476F4">
        <w:t>Cross-Program Rent Assistance is a supplementary payment to assist eligible Australians receiving income support or family assistance payments with the cost of private rental or community housing. Individuals receiving the following payments may be eligible for Rent Assistance:</w:t>
      </w:r>
    </w:p>
    <w:p w14:paraId="2ACEF86A" w14:textId="77777777" w:rsidR="007713B1" w:rsidRPr="00C02D45" w:rsidRDefault="007713B1" w:rsidP="009008FD">
      <w:pPr>
        <w:pStyle w:val="ListParagraph"/>
        <w:numPr>
          <w:ilvl w:val="0"/>
          <w:numId w:val="20"/>
        </w:numPr>
        <w:spacing w:before="80" w:after="80" w:line="240" w:lineRule="auto"/>
        <w:ind w:left="641" w:hanging="357"/>
        <w:contextualSpacing w:val="0"/>
        <w:rPr>
          <w:sz w:val="20"/>
          <w:szCs w:val="20"/>
        </w:rPr>
      </w:pPr>
      <w:r w:rsidRPr="00C02D45">
        <w:rPr>
          <w:sz w:val="20"/>
          <w:szCs w:val="20"/>
        </w:rPr>
        <w:t>Age Pension, Carer Payment or Disability Support Pension</w:t>
      </w:r>
    </w:p>
    <w:p w14:paraId="611CC369" w14:textId="77777777" w:rsidR="007713B1" w:rsidRPr="00C02D45" w:rsidRDefault="007713B1" w:rsidP="009008FD">
      <w:pPr>
        <w:pStyle w:val="ListParagraph"/>
        <w:numPr>
          <w:ilvl w:val="0"/>
          <w:numId w:val="20"/>
        </w:numPr>
        <w:spacing w:before="80" w:after="80" w:line="240" w:lineRule="auto"/>
        <w:ind w:left="641" w:hanging="357"/>
        <w:contextualSpacing w:val="0"/>
        <w:rPr>
          <w:sz w:val="20"/>
          <w:szCs w:val="20"/>
        </w:rPr>
      </w:pPr>
      <w:r w:rsidRPr="00C02D45">
        <w:rPr>
          <w:sz w:val="20"/>
          <w:szCs w:val="20"/>
        </w:rPr>
        <w:t>ABSTUDY Living Allowance, Austudy or Youth Allowance</w:t>
      </w:r>
    </w:p>
    <w:p w14:paraId="2781893C" w14:textId="77777777" w:rsidR="007713B1" w:rsidRPr="00C02D45" w:rsidRDefault="007713B1" w:rsidP="009008FD">
      <w:pPr>
        <w:pStyle w:val="ListParagraph"/>
        <w:numPr>
          <w:ilvl w:val="0"/>
          <w:numId w:val="20"/>
        </w:numPr>
        <w:spacing w:before="80" w:after="80" w:line="240" w:lineRule="auto"/>
        <w:ind w:left="641" w:hanging="357"/>
        <w:contextualSpacing w:val="0"/>
        <w:rPr>
          <w:sz w:val="20"/>
          <w:szCs w:val="20"/>
        </w:rPr>
      </w:pPr>
      <w:r w:rsidRPr="00C02D45">
        <w:rPr>
          <w:sz w:val="20"/>
          <w:szCs w:val="20"/>
        </w:rPr>
        <w:t>Widow Allowance</w:t>
      </w:r>
    </w:p>
    <w:p w14:paraId="2F7A8077" w14:textId="77777777" w:rsidR="007713B1" w:rsidRPr="00C02D45" w:rsidRDefault="007713B1" w:rsidP="009008FD">
      <w:pPr>
        <w:pStyle w:val="ListParagraph"/>
        <w:numPr>
          <w:ilvl w:val="0"/>
          <w:numId w:val="20"/>
        </w:numPr>
        <w:spacing w:before="80" w:after="80" w:line="240" w:lineRule="auto"/>
        <w:ind w:left="641" w:hanging="357"/>
        <w:contextualSpacing w:val="0"/>
        <w:rPr>
          <w:sz w:val="20"/>
          <w:szCs w:val="20"/>
        </w:rPr>
      </w:pPr>
      <w:r w:rsidRPr="00C02D45">
        <w:rPr>
          <w:sz w:val="20"/>
          <w:szCs w:val="20"/>
        </w:rPr>
        <w:t xml:space="preserve">Partner Allowance or Special Benefit </w:t>
      </w:r>
    </w:p>
    <w:p w14:paraId="099F1B84" w14:textId="77777777" w:rsidR="007713B1" w:rsidRPr="00C02D45" w:rsidRDefault="007713B1" w:rsidP="009008FD">
      <w:pPr>
        <w:pStyle w:val="ListParagraph"/>
        <w:numPr>
          <w:ilvl w:val="0"/>
          <w:numId w:val="20"/>
        </w:numPr>
        <w:spacing w:before="80" w:after="80" w:line="240" w:lineRule="auto"/>
        <w:ind w:left="641" w:hanging="357"/>
        <w:contextualSpacing w:val="0"/>
        <w:rPr>
          <w:sz w:val="20"/>
          <w:szCs w:val="20"/>
        </w:rPr>
      </w:pPr>
      <w:r w:rsidRPr="00C02D45">
        <w:rPr>
          <w:sz w:val="20"/>
          <w:szCs w:val="20"/>
        </w:rPr>
        <w:t>Family Tax Benefit (FTB) – Part A, at more than the base rate</w:t>
      </w:r>
    </w:p>
    <w:p w14:paraId="37EF58F7" w14:textId="77777777" w:rsidR="007713B1" w:rsidRPr="00C02D45" w:rsidRDefault="007713B1" w:rsidP="009008FD">
      <w:pPr>
        <w:pStyle w:val="ListParagraph"/>
        <w:numPr>
          <w:ilvl w:val="0"/>
          <w:numId w:val="20"/>
        </w:numPr>
        <w:spacing w:before="80" w:after="80" w:line="240" w:lineRule="auto"/>
        <w:ind w:left="641" w:hanging="357"/>
        <w:contextualSpacing w:val="0"/>
        <w:rPr>
          <w:sz w:val="20"/>
          <w:szCs w:val="20"/>
        </w:rPr>
      </w:pPr>
      <w:r w:rsidRPr="00C02D45">
        <w:rPr>
          <w:sz w:val="20"/>
          <w:szCs w:val="20"/>
        </w:rPr>
        <w:t>Parenting Payment, partnered and single</w:t>
      </w:r>
    </w:p>
    <w:p w14:paraId="7434D68A" w14:textId="77777777" w:rsidR="007713B1" w:rsidRPr="00C02D45" w:rsidRDefault="007713B1" w:rsidP="009008FD">
      <w:pPr>
        <w:pStyle w:val="ListParagraph"/>
        <w:numPr>
          <w:ilvl w:val="0"/>
          <w:numId w:val="20"/>
        </w:numPr>
        <w:spacing w:before="80" w:after="80" w:line="240" w:lineRule="auto"/>
        <w:ind w:left="641" w:hanging="357"/>
        <w:contextualSpacing w:val="0"/>
        <w:rPr>
          <w:sz w:val="20"/>
          <w:szCs w:val="20"/>
        </w:rPr>
      </w:pPr>
      <w:r w:rsidRPr="00C02D45">
        <w:rPr>
          <w:sz w:val="20"/>
          <w:szCs w:val="20"/>
        </w:rPr>
        <w:t>JobSeeker Payment or Farm Household Allowance</w:t>
      </w:r>
    </w:p>
    <w:p w14:paraId="2A177208" w14:textId="77777777" w:rsidR="007713B1" w:rsidRPr="00C02D45" w:rsidRDefault="007713B1" w:rsidP="009008FD">
      <w:pPr>
        <w:pStyle w:val="ListParagraph"/>
        <w:numPr>
          <w:ilvl w:val="0"/>
          <w:numId w:val="20"/>
        </w:numPr>
        <w:spacing w:before="80" w:after="80" w:line="240" w:lineRule="auto"/>
        <w:ind w:left="641" w:hanging="357"/>
        <w:contextualSpacing w:val="0"/>
        <w:rPr>
          <w:sz w:val="20"/>
          <w:szCs w:val="20"/>
        </w:rPr>
      </w:pPr>
      <w:r w:rsidRPr="00C02D45">
        <w:rPr>
          <w:sz w:val="20"/>
          <w:szCs w:val="20"/>
        </w:rPr>
        <w:t>Service Pension, Income Support Supplement, Veteran Payment, or Department of Veterans’ Affairs Education Schemes.</w:t>
      </w:r>
    </w:p>
    <w:p w14:paraId="607E6729" w14:textId="77777777" w:rsidR="007713B1" w:rsidRPr="001476F4" w:rsidRDefault="007713B1" w:rsidP="009008FD">
      <w:pPr>
        <w:pStyle w:val="Normalmorespace"/>
      </w:pPr>
      <w:r w:rsidRPr="001476F4">
        <w:t>The Government will provide $2.7 billion over 5 years from 2022–23 (around $0.7 billion per year ongoing) to increase the maximum rates of Rent Assistance by 15 per cent, effective from 20 September 2023. This is in addition to the roughly $5 billion the Government spends on Rent Assistance each year.</w:t>
      </w:r>
    </w:p>
    <w:p w14:paraId="6C4869F5" w14:textId="77777777" w:rsidR="007713B1" w:rsidRPr="001476F4" w:rsidRDefault="007713B1" w:rsidP="009008FD">
      <w:pPr>
        <w:pStyle w:val="Normalmorespace"/>
      </w:pPr>
      <w:r w:rsidRPr="001476F4">
        <w:rPr>
          <w:b/>
        </w:rPr>
        <w:t>The department</w:t>
      </w:r>
      <w:r w:rsidRPr="001476F4">
        <w:t xml:space="preserve"> is responsible for Rent Assistance policy and program management. </w:t>
      </w:r>
    </w:p>
    <w:p w14:paraId="3115C295" w14:textId="77777777" w:rsidR="007713B1" w:rsidRPr="001476F4" w:rsidRDefault="007713B1" w:rsidP="009008FD">
      <w:pPr>
        <w:pStyle w:val="Normalmorespace"/>
      </w:pPr>
      <w:r w:rsidRPr="001476F4">
        <w:rPr>
          <w:b/>
        </w:rPr>
        <w:t>Services Australia</w:t>
      </w:r>
      <w:r w:rsidRPr="001476F4">
        <w:t xml:space="preserve"> is the primary portfolio agency responsible for administering Rent Assistance, including assessments, compliance and payments.</w:t>
      </w:r>
    </w:p>
    <w:tbl>
      <w:tblPr>
        <w:tblStyle w:val="TableGrid39"/>
        <w:tblW w:w="4985" w:type="pct"/>
        <w:jc w:val="center"/>
        <w:tblLook w:val="04A0" w:firstRow="1" w:lastRow="0" w:firstColumn="1" w:lastColumn="0" w:noHBand="0" w:noVBand="1"/>
        <w:tblCaption w:val="Commonwealth Rent Assistance (CRA) - Performance measure and target"/>
        <w:tblDescription w:val="Table outlines the targeted CRA across 2022-23, 2023-24, 2024-25, 2025-26 and 2026-27"/>
      </w:tblPr>
      <w:tblGrid>
        <w:gridCol w:w="3092"/>
        <w:gridCol w:w="1556"/>
        <w:gridCol w:w="1556"/>
        <w:gridCol w:w="1556"/>
        <w:gridCol w:w="1556"/>
      </w:tblGrid>
      <w:tr w:rsidR="007713B1" w:rsidRPr="001476F4" w14:paraId="060DFCC1" w14:textId="77777777" w:rsidTr="00CD76E2">
        <w:trPr>
          <w:cantSplit/>
          <w:trHeight w:val="356"/>
          <w:tblHeader/>
          <w:jc w:val="center"/>
        </w:trPr>
        <w:tc>
          <w:tcPr>
            <w:tcW w:w="5000" w:type="pct"/>
            <w:gridSpan w:val="5"/>
            <w:shd w:val="clear" w:color="auto" w:fill="D9D9D6"/>
          </w:tcPr>
          <w:p w14:paraId="2AD69B3B" w14:textId="77777777" w:rsidR="007713B1" w:rsidRPr="00723A4C" w:rsidRDefault="007713B1" w:rsidP="007713B1">
            <w:pPr>
              <w:spacing w:after="120"/>
              <w:rPr>
                <w:b/>
                <w:sz w:val="20"/>
                <w:szCs w:val="20"/>
              </w:rPr>
            </w:pPr>
            <w:r w:rsidRPr="00723A4C">
              <w:rPr>
                <w:b/>
                <w:sz w:val="20"/>
                <w:szCs w:val="20"/>
              </w:rPr>
              <w:t>Performance Measure</w:t>
            </w:r>
            <w:r w:rsidRPr="00723A4C">
              <w:rPr>
                <w:b/>
                <w:sz w:val="20"/>
                <w:szCs w:val="20"/>
              </w:rPr>
              <w:tab/>
            </w:r>
          </w:p>
        </w:tc>
      </w:tr>
      <w:tr w:rsidR="007713B1" w:rsidRPr="001476F4" w14:paraId="405300F9" w14:textId="77777777" w:rsidTr="007713B1">
        <w:trPr>
          <w:cantSplit/>
          <w:trHeight w:val="356"/>
          <w:jc w:val="center"/>
        </w:trPr>
        <w:tc>
          <w:tcPr>
            <w:tcW w:w="5000" w:type="pct"/>
            <w:gridSpan w:val="5"/>
            <w:shd w:val="clear" w:color="auto" w:fill="auto"/>
          </w:tcPr>
          <w:p w14:paraId="61A6352E" w14:textId="77777777" w:rsidR="007713B1" w:rsidRPr="00723A4C" w:rsidRDefault="007713B1" w:rsidP="009008FD">
            <w:pPr>
              <w:spacing w:after="120"/>
              <w:rPr>
                <w:rFonts w:cstheme="minorHAnsi"/>
                <w:b/>
                <w:sz w:val="20"/>
                <w:szCs w:val="20"/>
              </w:rPr>
            </w:pPr>
            <w:r w:rsidRPr="00723A4C">
              <w:rPr>
                <w:sz w:val="20"/>
                <w:szCs w:val="20"/>
              </w:rPr>
              <w:t>Australians receiving income support or family assistance payments are assisted with the cost of private rental or community housing.</w:t>
            </w:r>
          </w:p>
        </w:tc>
      </w:tr>
      <w:tr w:rsidR="007713B1" w:rsidRPr="001476F4" w14:paraId="26618FC5" w14:textId="77777777" w:rsidTr="007713B1">
        <w:trPr>
          <w:cantSplit/>
          <w:trHeight w:val="356"/>
          <w:jc w:val="center"/>
        </w:trPr>
        <w:tc>
          <w:tcPr>
            <w:tcW w:w="1660" w:type="pct"/>
            <w:shd w:val="clear" w:color="auto" w:fill="D9D9D6"/>
          </w:tcPr>
          <w:p w14:paraId="4B593370" w14:textId="77777777" w:rsidR="007713B1" w:rsidRPr="00723A4C" w:rsidRDefault="007713B1" w:rsidP="007713B1">
            <w:pPr>
              <w:spacing w:after="120"/>
              <w:rPr>
                <w:rFonts w:cstheme="minorHAnsi"/>
                <w:b/>
                <w:sz w:val="20"/>
                <w:szCs w:val="20"/>
              </w:rPr>
            </w:pPr>
            <w:r w:rsidRPr="00723A4C">
              <w:rPr>
                <w:rFonts w:cstheme="minorHAnsi"/>
                <w:b/>
                <w:sz w:val="20"/>
                <w:szCs w:val="20"/>
              </w:rPr>
              <w:t>Target</w:t>
            </w:r>
          </w:p>
        </w:tc>
        <w:tc>
          <w:tcPr>
            <w:tcW w:w="835" w:type="pct"/>
            <w:shd w:val="clear" w:color="auto" w:fill="D9D9D6"/>
            <w:vAlign w:val="center"/>
          </w:tcPr>
          <w:p w14:paraId="38172781" w14:textId="77777777" w:rsidR="007713B1" w:rsidRPr="00723A4C" w:rsidRDefault="007713B1" w:rsidP="007713B1">
            <w:pPr>
              <w:spacing w:after="120"/>
              <w:rPr>
                <w:rFonts w:cstheme="minorHAnsi"/>
                <w:b/>
                <w:sz w:val="20"/>
                <w:szCs w:val="20"/>
              </w:rPr>
            </w:pPr>
            <w:r w:rsidRPr="00723A4C">
              <w:rPr>
                <w:rFonts w:cstheme="minorHAnsi"/>
                <w:b/>
                <w:sz w:val="20"/>
                <w:szCs w:val="20"/>
              </w:rPr>
              <w:t>2023–24</w:t>
            </w:r>
          </w:p>
        </w:tc>
        <w:tc>
          <w:tcPr>
            <w:tcW w:w="835" w:type="pct"/>
            <w:shd w:val="clear" w:color="auto" w:fill="D9D9D6"/>
            <w:vAlign w:val="center"/>
          </w:tcPr>
          <w:p w14:paraId="6B535534" w14:textId="77777777" w:rsidR="007713B1" w:rsidRPr="00723A4C" w:rsidRDefault="007713B1" w:rsidP="007713B1">
            <w:pPr>
              <w:spacing w:after="120"/>
              <w:rPr>
                <w:rFonts w:cstheme="minorHAnsi"/>
                <w:b/>
                <w:sz w:val="20"/>
                <w:szCs w:val="20"/>
              </w:rPr>
            </w:pPr>
            <w:r w:rsidRPr="00723A4C">
              <w:rPr>
                <w:rFonts w:cstheme="minorHAnsi"/>
                <w:b/>
                <w:sz w:val="20"/>
                <w:szCs w:val="20"/>
              </w:rPr>
              <w:t>2024–25</w:t>
            </w:r>
          </w:p>
        </w:tc>
        <w:tc>
          <w:tcPr>
            <w:tcW w:w="835" w:type="pct"/>
            <w:shd w:val="clear" w:color="auto" w:fill="D9D9D6"/>
            <w:vAlign w:val="center"/>
          </w:tcPr>
          <w:p w14:paraId="76F8A7D2" w14:textId="77777777" w:rsidR="007713B1" w:rsidRPr="00723A4C" w:rsidRDefault="007713B1" w:rsidP="007713B1">
            <w:pPr>
              <w:spacing w:after="120"/>
              <w:rPr>
                <w:rFonts w:cstheme="minorHAnsi"/>
                <w:b/>
                <w:sz w:val="20"/>
                <w:szCs w:val="20"/>
              </w:rPr>
            </w:pPr>
            <w:r w:rsidRPr="00723A4C">
              <w:rPr>
                <w:rFonts w:cstheme="minorHAnsi"/>
                <w:b/>
                <w:sz w:val="20"/>
                <w:szCs w:val="20"/>
              </w:rPr>
              <w:t>2025–26</w:t>
            </w:r>
          </w:p>
        </w:tc>
        <w:tc>
          <w:tcPr>
            <w:tcW w:w="835" w:type="pct"/>
            <w:shd w:val="clear" w:color="auto" w:fill="D9D9D6"/>
            <w:vAlign w:val="center"/>
          </w:tcPr>
          <w:p w14:paraId="3C4B0DEA" w14:textId="77777777" w:rsidR="007713B1" w:rsidRPr="00723A4C" w:rsidRDefault="007713B1" w:rsidP="007713B1">
            <w:pPr>
              <w:spacing w:after="120"/>
              <w:rPr>
                <w:rFonts w:cstheme="minorHAnsi"/>
                <w:b/>
                <w:sz w:val="20"/>
                <w:szCs w:val="20"/>
              </w:rPr>
            </w:pPr>
            <w:r w:rsidRPr="00723A4C">
              <w:rPr>
                <w:rFonts w:cstheme="minorHAnsi"/>
                <w:b/>
                <w:sz w:val="20"/>
                <w:szCs w:val="20"/>
              </w:rPr>
              <w:t>2026–27</w:t>
            </w:r>
          </w:p>
        </w:tc>
      </w:tr>
      <w:tr w:rsidR="007713B1" w:rsidRPr="001476F4" w14:paraId="72802F0A" w14:textId="77777777" w:rsidTr="007713B1">
        <w:trPr>
          <w:cantSplit/>
          <w:trHeight w:val="356"/>
          <w:jc w:val="center"/>
        </w:trPr>
        <w:tc>
          <w:tcPr>
            <w:tcW w:w="1660" w:type="pct"/>
            <w:shd w:val="clear" w:color="auto" w:fill="FFFFFF" w:themeFill="background1"/>
          </w:tcPr>
          <w:p w14:paraId="07D5302B" w14:textId="0E2985FC" w:rsidR="007713B1" w:rsidRPr="00723A4C" w:rsidRDefault="00FA6FC8" w:rsidP="007713B1">
            <w:pPr>
              <w:spacing w:after="120"/>
              <w:rPr>
                <w:rFonts w:cstheme="minorHAnsi"/>
                <w:sz w:val="20"/>
                <w:szCs w:val="20"/>
              </w:rPr>
            </w:pPr>
            <w:r w:rsidRPr="00723A4C">
              <w:rPr>
                <w:rFonts w:cstheme="minorHAnsi"/>
                <w:noProof/>
                <w:sz w:val="20"/>
                <w:szCs w:val="20"/>
              </w:rPr>
              <w:sym w:font="Wingdings" w:char="F074"/>
            </w:r>
            <w:r w:rsidR="00245ECD" w:rsidRPr="00723A4C">
              <w:rPr>
                <w:rFonts w:cstheme="minorHAnsi"/>
                <w:noProof/>
                <w:sz w:val="20"/>
                <w:szCs w:val="20"/>
              </w:rPr>
              <w:t xml:space="preserve"> </w:t>
            </w:r>
            <w:r w:rsidR="007713B1" w:rsidRPr="00723A4C">
              <w:rPr>
                <w:sz w:val="20"/>
                <w:szCs w:val="20"/>
                <w:lang w:eastAsia="en-GB"/>
              </w:rPr>
              <w:t>Commonwealth Rent Assistance (CRA) reduces the proportion of recipient households in "rental stress" by at least 25 percentage points</w:t>
            </w:r>
            <w:r w:rsidR="007713B1" w:rsidRPr="00723A4C">
              <w:rPr>
                <w:rStyle w:val="FootnoteReference"/>
                <w:sz w:val="20"/>
                <w:szCs w:val="20"/>
                <w:lang w:eastAsia="en-GB"/>
              </w:rPr>
              <w:footnoteReference w:id="2"/>
            </w:r>
          </w:p>
        </w:tc>
        <w:tc>
          <w:tcPr>
            <w:tcW w:w="835" w:type="pct"/>
            <w:shd w:val="clear" w:color="auto" w:fill="FFFFFF" w:themeFill="background1"/>
          </w:tcPr>
          <w:p w14:paraId="18A58C8F" w14:textId="77777777" w:rsidR="007713B1" w:rsidRPr="00723A4C" w:rsidRDefault="007713B1" w:rsidP="007713B1">
            <w:pPr>
              <w:spacing w:after="120"/>
              <w:rPr>
                <w:rFonts w:cstheme="minorHAnsi"/>
                <w:sz w:val="20"/>
                <w:szCs w:val="20"/>
              </w:rPr>
            </w:pPr>
            <w:r w:rsidRPr="00723A4C">
              <w:rPr>
                <w:sz w:val="20"/>
                <w:szCs w:val="20"/>
                <w:lang w:eastAsia="en-GB"/>
              </w:rPr>
              <w:t>CRA reduces the proportion of recipient households in "rental stress" by at least 25 percentage points</w:t>
            </w:r>
          </w:p>
        </w:tc>
        <w:tc>
          <w:tcPr>
            <w:tcW w:w="835" w:type="pct"/>
            <w:shd w:val="clear" w:color="auto" w:fill="FFFFFF" w:themeFill="background1"/>
          </w:tcPr>
          <w:p w14:paraId="220E0080" w14:textId="77777777" w:rsidR="007713B1" w:rsidRPr="00723A4C" w:rsidRDefault="007713B1" w:rsidP="007713B1">
            <w:pPr>
              <w:spacing w:after="120"/>
              <w:rPr>
                <w:rFonts w:cstheme="minorHAnsi"/>
                <w:sz w:val="20"/>
                <w:szCs w:val="20"/>
              </w:rPr>
            </w:pPr>
            <w:r w:rsidRPr="00723A4C">
              <w:rPr>
                <w:sz w:val="20"/>
                <w:szCs w:val="20"/>
                <w:lang w:eastAsia="en-GB"/>
              </w:rPr>
              <w:t>CRA reduces the proportion of recipient households in "rental stress" by at least 25 percentage points</w:t>
            </w:r>
          </w:p>
        </w:tc>
        <w:tc>
          <w:tcPr>
            <w:tcW w:w="835" w:type="pct"/>
            <w:shd w:val="clear" w:color="auto" w:fill="FFFFFF" w:themeFill="background1"/>
          </w:tcPr>
          <w:p w14:paraId="0E35EAF8" w14:textId="77777777" w:rsidR="007713B1" w:rsidRPr="00723A4C" w:rsidRDefault="007713B1" w:rsidP="007713B1">
            <w:pPr>
              <w:spacing w:after="120"/>
              <w:rPr>
                <w:rFonts w:cstheme="minorHAnsi"/>
                <w:sz w:val="20"/>
                <w:szCs w:val="20"/>
              </w:rPr>
            </w:pPr>
            <w:r w:rsidRPr="00723A4C">
              <w:rPr>
                <w:sz w:val="20"/>
                <w:szCs w:val="20"/>
                <w:lang w:eastAsia="en-GB"/>
              </w:rPr>
              <w:t>CRA reduces the proportion of recipient households in "rental stress" by at least 25 percentage points</w:t>
            </w:r>
          </w:p>
        </w:tc>
        <w:tc>
          <w:tcPr>
            <w:tcW w:w="835" w:type="pct"/>
            <w:shd w:val="clear" w:color="auto" w:fill="FFFFFF" w:themeFill="background1"/>
          </w:tcPr>
          <w:p w14:paraId="4583F5F9" w14:textId="77777777" w:rsidR="007713B1" w:rsidRPr="00723A4C" w:rsidRDefault="007713B1" w:rsidP="007713B1">
            <w:pPr>
              <w:spacing w:after="120"/>
              <w:rPr>
                <w:rFonts w:cstheme="minorHAnsi"/>
                <w:sz w:val="20"/>
                <w:szCs w:val="20"/>
              </w:rPr>
            </w:pPr>
            <w:r w:rsidRPr="00723A4C">
              <w:rPr>
                <w:sz w:val="20"/>
                <w:szCs w:val="20"/>
                <w:lang w:eastAsia="en-GB"/>
              </w:rPr>
              <w:t>CRA reduces the proportion of recipient households in "rental stress" by at least 25 percentage points</w:t>
            </w:r>
          </w:p>
        </w:tc>
      </w:tr>
    </w:tbl>
    <w:p w14:paraId="3A998DD1" w14:textId="3E81FDCB" w:rsidR="007713B1" w:rsidRDefault="007713B1" w:rsidP="007713B1">
      <w:pPr>
        <w:spacing w:after="0" w:line="240" w:lineRule="auto"/>
        <w:rPr>
          <w:sz w:val="20"/>
          <w:szCs w:val="20"/>
        </w:rPr>
      </w:pPr>
    </w:p>
    <w:p w14:paraId="1BF22752" w14:textId="77777777" w:rsidR="00F36D82" w:rsidRDefault="00F36D82" w:rsidP="007713B1">
      <w:pPr>
        <w:spacing w:after="0" w:line="240" w:lineRule="auto"/>
        <w:rPr>
          <w:sz w:val="20"/>
          <w:szCs w:val="20"/>
        </w:rPr>
      </w:pPr>
    </w:p>
    <w:p w14:paraId="2FE25615" w14:textId="77777777" w:rsidR="007713B1" w:rsidRPr="001476F4" w:rsidRDefault="007713B1" w:rsidP="00027309">
      <w:pPr>
        <w:pStyle w:val="Heading4"/>
        <w:shd w:val="clear" w:color="auto" w:fill="D9D9D9" w:themeFill="background1" w:themeFillShade="D9"/>
      </w:pPr>
      <w:r w:rsidRPr="001476F4">
        <w:t>Rationale</w:t>
      </w:r>
    </w:p>
    <w:p w14:paraId="190D1E3A" w14:textId="77777777" w:rsidR="007713B1" w:rsidRPr="001476F4" w:rsidRDefault="007713B1" w:rsidP="009008FD">
      <w:pPr>
        <w:pStyle w:val="Normalmorespace"/>
      </w:pPr>
      <w:r w:rsidRPr="001476F4">
        <w:t xml:space="preserve">This measure demonstrates the </w:t>
      </w:r>
      <w:r w:rsidRPr="001476F4">
        <w:rPr>
          <w:b/>
        </w:rPr>
        <w:t>effect</w:t>
      </w:r>
      <w:r w:rsidRPr="001476F4">
        <w:t xml:space="preserve"> of CRA in achieving the objective Outcome 1 </w:t>
      </w:r>
      <w:r>
        <w:t xml:space="preserve">in </w:t>
      </w:r>
      <w:r w:rsidRPr="001476F4">
        <w:t>deliver</w:t>
      </w:r>
      <w:r>
        <w:t>ing</w:t>
      </w:r>
      <w:r w:rsidRPr="001476F4">
        <w:t xml:space="preserve">: </w:t>
      </w:r>
      <w:r w:rsidRPr="001476F4">
        <w:rPr>
          <w:lang w:eastAsia="en-GB"/>
        </w:rPr>
        <w:t>a sustainable social security system that incentivises self-reliance and supports people who cannot fully support themselves by providing targeted payments and assistance.</w:t>
      </w:r>
      <w:r w:rsidRPr="001476F4" w:rsidDel="00A22CBB">
        <w:t xml:space="preserve"> </w:t>
      </w:r>
    </w:p>
    <w:p w14:paraId="274D4C32" w14:textId="7045DE0B" w:rsidR="007713B1" w:rsidRDefault="007713B1" w:rsidP="009008FD">
      <w:pPr>
        <w:pStyle w:val="Normalmorespace"/>
      </w:pPr>
      <w:r w:rsidRPr="001476F4">
        <w:t xml:space="preserve">Reducing </w:t>
      </w:r>
      <w:r w:rsidRPr="001476F4">
        <w:rPr>
          <w:lang w:eastAsia="en-GB"/>
        </w:rPr>
        <w:t xml:space="preserve">the proportion of recipient households in "rental stress" by at least 25 percentage points </w:t>
      </w:r>
      <w:r w:rsidRPr="001476F4">
        <w:t xml:space="preserve">measures the </w:t>
      </w:r>
      <w:r w:rsidRPr="001476F4">
        <w:rPr>
          <w:b/>
        </w:rPr>
        <w:t>effectiveness</w:t>
      </w:r>
      <w:r w:rsidRPr="001476F4">
        <w:t xml:space="preserve"> of CRA for the overall n</w:t>
      </w:r>
      <w:r>
        <w:t xml:space="preserve">umber of recipient households. </w:t>
      </w:r>
    </w:p>
    <w:p w14:paraId="436440CF" w14:textId="77777777" w:rsidR="00013CF0" w:rsidRPr="001476F4" w:rsidRDefault="00013CF0" w:rsidP="009008FD">
      <w:pPr>
        <w:pStyle w:val="Normalmorespace"/>
      </w:pPr>
    </w:p>
    <w:p w14:paraId="5B70EBAF" w14:textId="77777777" w:rsidR="007713B1" w:rsidRPr="001476F4" w:rsidRDefault="007713B1" w:rsidP="00027309">
      <w:pPr>
        <w:pStyle w:val="Heading4"/>
        <w:shd w:val="clear" w:color="auto" w:fill="D9D9D9" w:themeFill="background1" w:themeFillShade="D9"/>
      </w:pPr>
      <w:r w:rsidRPr="001476F4">
        <w:t>Methodology</w:t>
      </w:r>
    </w:p>
    <w:p w14:paraId="160E8A65" w14:textId="77777777" w:rsidR="007713B1" w:rsidRPr="001476F4" w:rsidRDefault="007713B1" w:rsidP="009008FD">
      <w:pPr>
        <w:pStyle w:val="Normalmorespace"/>
      </w:pPr>
      <w:r w:rsidRPr="001476F4">
        <w:t xml:space="preserve">Rental stress is defined as a Rent Assistance recipient household paying more than 30 per cent of their income on rent. The proportion of </w:t>
      </w:r>
      <w:r w:rsidRPr="001476F4">
        <w:rPr>
          <w:i/>
        </w:rPr>
        <w:t>individuals and families experiencing rental stress after receipt of CRA</w:t>
      </w:r>
      <w:r w:rsidRPr="001476F4">
        <w:t xml:space="preserve"> is calculated using:</w:t>
      </w:r>
    </w:p>
    <w:p w14:paraId="46DFF4CC" w14:textId="77777777" w:rsidR="007713B1" w:rsidRPr="00C02D45" w:rsidRDefault="007713B1" w:rsidP="009008FD">
      <w:pPr>
        <w:pStyle w:val="ListParagraph"/>
        <w:numPr>
          <w:ilvl w:val="0"/>
          <w:numId w:val="19"/>
        </w:numPr>
        <w:spacing w:before="80" w:after="80" w:line="240" w:lineRule="auto"/>
        <w:ind w:left="641" w:hanging="357"/>
        <w:contextualSpacing w:val="0"/>
        <w:rPr>
          <w:sz w:val="20"/>
          <w:szCs w:val="20"/>
        </w:rPr>
      </w:pPr>
      <w:r w:rsidRPr="00C02D45">
        <w:rPr>
          <w:sz w:val="20"/>
          <w:szCs w:val="20"/>
        </w:rPr>
        <w:t>Percentage of CRA recipients paying more than 30 per cent of their income in rent prior to receiving CRA</w:t>
      </w:r>
    </w:p>
    <w:p w14:paraId="18BF011E" w14:textId="77777777" w:rsidR="007713B1" w:rsidRPr="00C02D45" w:rsidRDefault="007713B1" w:rsidP="009008FD">
      <w:pPr>
        <w:pStyle w:val="ListParagraph"/>
        <w:numPr>
          <w:ilvl w:val="0"/>
          <w:numId w:val="19"/>
        </w:numPr>
        <w:spacing w:before="80" w:after="80" w:line="240" w:lineRule="auto"/>
        <w:ind w:left="641" w:hanging="357"/>
        <w:contextualSpacing w:val="0"/>
        <w:rPr>
          <w:sz w:val="20"/>
          <w:szCs w:val="20"/>
        </w:rPr>
      </w:pPr>
      <w:r w:rsidRPr="00C02D45">
        <w:rPr>
          <w:sz w:val="20"/>
          <w:szCs w:val="20"/>
        </w:rPr>
        <w:t>Percentage of CRA recipients paying more than 30 per cent of their income in rent including after receiving CRA.</w:t>
      </w:r>
    </w:p>
    <w:p w14:paraId="2C8B1C57" w14:textId="270590B4" w:rsidR="006F5203" w:rsidRDefault="007713B1" w:rsidP="009008FD">
      <w:pPr>
        <w:spacing w:before="80" w:after="80" w:line="240" w:lineRule="auto"/>
        <w:ind w:left="720" w:hanging="720"/>
        <w:rPr>
          <w:sz w:val="20"/>
          <w:szCs w:val="20"/>
        </w:rPr>
      </w:pPr>
      <w:r w:rsidRPr="001476F4">
        <w:rPr>
          <w:sz w:val="20"/>
          <w:szCs w:val="20"/>
        </w:rPr>
        <w:t xml:space="preserve">The </w:t>
      </w:r>
      <w:r w:rsidRPr="001476F4">
        <w:rPr>
          <w:b/>
          <w:sz w:val="20"/>
          <w:szCs w:val="20"/>
        </w:rPr>
        <w:t>data source</w:t>
      </w:r>
      <w:r w:rsidRPr="001476F4">
        <w:rPr>
          <w:sz w:val="20"/>
          <w:szCs w:val="20"/>
        </w:rPr>
        <w:t xml:space="preserve"> u</w:t>
      </w:r>
      <w:r>
        <w:rPr>
          <w:sz w:val="20"/>
          <w:szCs w:val="20"/>
        </w:rPr>
        <w:t>sed for this calculation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Source"/>
        <w:tblDescription w:val="SS: Department of Social Services Housing Data Set."/>
      </w:tblPr>
      <w:tblGrid>
        <w:gridCol w:w="988"/>
        <w:gridCol w:w="8028"/>
      </w:tblGrid>
      <w:tr w:rsidR="006F5203" w:rsidRPr="00334F13" w14:paraId="7DD47E7B" w14:textId="77777777" w:rsidTr="0017156F">
        <w:trPr>
          <w:trHeight w:val="737"/>
          <w:tblHeader/>
        </w:trPr>
        <w:tc>
          <w:tcPr>
            <w:tcW w:w="988" w:type="dxa"/>
            <w:vAlign w:val="center"/>
          </w:tcPr>
          <w:p w14:paraId="600CC525" w14:textId="77777777" w:rsidR="006F5203" w:rsidRDefault="006F5203" w:rsidP="00B81E0C">
            <w:r>
              <w:rPr>
                <w:noProof/>
                <w:color w:val="000000" w:themeColor="text1"/>
              </w:rPr>
              <w:drawing>
                <wp:inline distT="0" distB="0" distL="0" distR="0" wp14:anchorId="5C052F57" wp14:editId="4DF603C8">
                  <wp:extent cx="457200" cy="342900"/>
                  <wp:effectExtent l="0" t="0" r="0" b="0"/>
                  <wp:docPr id="229" name="Picture 229"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vAlign w:val="center"/>
          </w:tcPr>
          <w:p w14:paraId="64F3F395" w14:textId="3559ED79" w:rsidR="006F5203" w:rsidRPr="00334F13" w:rsidRDefault="006F5203" w:rsidP="00B81E0C">
            <w:pPr>
              <w:rPr>
                <w:sz w:val="20"/>
                <w:szCs w:val="20"/>
              </w:rPr>
            </w:pPr>
            <w:r w:rsidRPr="001476F4">
              <w:rPr>
                <w:sz w:val="20"/>
                <w:szCs w:val="20"/>
              </w:rPr>
              <w:t>Department of Social Services Housing Data Set.</w:t>
            </w:r>
          </w:p>
        </w:tc>
      </w:tr>
    </w:tbl>
    <w:p w14:paraId="12A15B47" w14:textId="77777777" w:rsidR="007713B1" w:rsidRPr="001476F4" w:rsidRDefault="007713B1" w:rsidP="00027309">
      <w:pPr>
        <w:pStyle w:val="Heading4"/>
        <w:shd w:val="clear" w:color="auto" w:fill="D9D9D9" w:themeFill="background1" w:themeFillShade="D9"/>
      </w:pPr>
      <w:r w:rsidRPr="001476F4">
        <w:t xml:space="preserve">Supporting Information </w:t>
      </w:r>
    </w:p>
    <w:p w14:paraId="533765E5" w14:textId="77777777" w:rsidR="007713B1" w:rsidRPr="00C02D45" w:rsidRDefault="007713B1" w:rsidP="007572E0">
      <w:pPr>
        <w:pStyle w:val="ListParagraph"/>
        <w:numPr>
          <w:ilvl w:val="0"/>
          <w:numId w:val="19"/>
        </w:numPr>
        <w:spacing w:before="80" w:after="80" w:line="240" w:lineRule="auto"/>
        <w:ind w:left="641" w:hanging="357"/>
        <w:contextualSpacing w:val="0"/>
        <w:rPr>
          <w:sz w:val="20"/>
          <w:szCs w:val="20"/>
        </w:rPr>
      </w:pPr>
      <w:r w:rsidRPr="00C02D45">
        <w:rPr>
          <w:sz w:val="20"/>
          <w:szCs w:val="20"/>
        </w:rPr>
        <w:t>Number of Commonwealth Rent Assistance income units.</w:t>
      </w:r>
    </w:p>
    <w:p w14:paraId="0F4CD763" w14:textId="77777777" w:rsidR="007713B1" w:rsidRDefault="007713B1" w:rsidP="007713B1">
      <w:pPr>
        <w:spacing w:after="160"/>
        <w:rPr>
          <w:rFonts w:asciiTheme="majorHAnsi" w:eastAsiaTheme="majorEastAsia" w:hAnsiTheme="majorHAnsi" w:cstheme="majorBidi"/>
          <w:color w:val="005A70"/>
          <w:sz w:val="36"/>
          <w:szCs w:val="36"/>
        </w:rPr>
      </w:pPr>
      <w:r>
        <w:rPr>
          <w:rFonts w:asciiTheme="majorHAnsi" w:eastAsiaTheme="majorEastAsia" w:hAnsiTheme="majorHAnsi" w:cstheme="majorBidi"/>
          <w:color w:val="005A70"/>
          <w:sz w:val="36"/>
          <w:szCs w:val="36"/>
        </w:rPr>
        <w:br w:type="page"/>
      </w:r>
    </w:p>
    <w:p w14:paraId="11EFB899" w14:textId="77777777" w:rsidR="007713B1" w:rsidRPr="00A47213" w:rsidRDefault="007713B1" w:rsidP="00A47213">
      <w:pPr>
        <w:pStyle w:val="Heading1"/>
        <w:rPr>
          <w:rFonts w:eastAsia="Times New Roman"/>
          <w:sz w:val="48"/>
          <w:szCs w:val="48"/>
        </w:rPr>
      </w:pPr>
      <w:bookmarkStart w:id="81" w:name="_Toc77593303"/>
      <w:bookmarkStart w:id="82" w:name="_Toc111026126"/>
      <w:bookmarkStart w:id="83" w:name="_Toc144385574"/>
      <w:bookmarkStart w:id="84" w:name="_Toc47604306"/>
      <w:bookmarkStart w:id="85" w:name="_Toc77081689"/>
      <w:bookmarkStart w:id="86" w:name="_Toc77593311"/>
      <w:bookmarkStart w:id="87" w:name="_Toc47604314"/>
      <w:bookmarkStart w:id="88" w:name="_Toc77081691"/>
      <w:r w:rsidRPr="00A47213">
        <w:rPr>
          <w:rFonts w:eastAsia="Times New Roman"/>
          <w:sz w:val="48"/>
          <w:szCs w:val="48"/>
        </w:rPr>
        <w:t>Outcome 2: Families and Communities</w:t>
      </w:r>
      <w:bookmarkEnd w:id="81"/>
      <w:bookmarkEnd w:id="82"/>
      <w:bookmarkEnd w:id="83"/>
    </w:p>
    <w:p w14:paraId="348991EF" w14:textId="77777777" w:rsidR="007713B1" w:rsidRPr="003D49C4" w:rsidRDefault="007713B1" w:rsidP="00A47213">
      <w:pPr>
        <w:pStyle w:val="Heading2"/>
        <w:rPr>
          <w:rFonts w:eastAsia="Times New Roman"/>
        </w:rPr>
      </w:pPr>
      <w:bookmarkStart w:id="89" w:name="_Toc77593305"/>
      <w:bookmarkStart w:id="90" w:name="_Toc111026127"/>
      <w:bookmarkStart w:id="91" w:name="_Toc144385575"/>
      <w:r w:rsidRPr="003D49C4">
        <w:rPr>
          <w:rFonts w:eastAsia="Times New Roman"/>
        </w:rPr>
        <w:t xml:space="preserve">Programs </w:t>
      </w:r>
      <w:r w:rsidRPr="00A47213">
        <w:t>and</w:t>
      </w:r>
      <w:r w:rsidRPr="003D49C4">
        <w:rPr>
          <w:rFonts w:eastAsia="Times New Roman"/>
        </w:rPr>
        <w:t xml:space="preserve"> activities</w:t>
      </w:r>
      <w:bookmarkEnd w:id="89"/>
      <w:bookmarkEnd w:id="90"/>
      <w:bookmarkEnd w:id="91"/>
    </w:p>
    <w:p w14:paraId="1CB05B30" w14:textId="77777777" w:rsidR="007713B1" w:rsidRPr="00D229C5" w:rsidRDefault="007713B1" w:rsidP="009008FD">
      <w:pPr>
        <w:pStyle w:val="Normalmorespace"/>
      </w:pPr>
      <w:r w:rsidRPr="00D229C5">
        <w:t>Outcome 2 comprises one program underpinned by a number of activities that seek to contribute to stronger and more resilient individuals, children, families and communities. The table below depicts how this purpose is translated into measurable activities.</w:t>
      </w:r>
    </w:p>
    <w:p w14:paraId="34A7005A" w14:textId="77777777" w:rsidR="007713B1" w:rsidRPr="00D229C5" w:rsidRDefault="007713B1" w:rsidP="009008FD">
      <w:pPr>
        <w:pStyle w:val="Normalmorespace"/>
      </w:pPr>
      <w:r w:rsidRPr="00D229C5">
        <w:t xml:space="preserve">An in-depth description of each of the activities, performance measures, targets, rationale, methodology and outputs are in the Performance Tables Section on the pages that follow. </w:t>
      </w:r>
    </w:p>
    <w:p w14:paraId="05C55437" w14:textId="77777777" w:rsidR="007713B1" w:rsidRPr="003A4CDE" w:rsidRDefault="007713B1" w:rsidP="00027309">
      <w:pPr>
        <w:pStyle w:val="Heading3"/>
        <w:shd w:val="clear" w:color="auto" w:fill="154C56"/>
      </w:pPr>
      <w:r w:rsidRPr="003A4CDE">
        <w:t xml:space="preserve">Outcome 2 – Families and Communities </w:t>
      </w:r>
    </w:p>
    <w:p w14:paraId="7E3C7B72" w14:textId="77777777" w:rsidR="007713B1" w:rsidRPr="00D229C5" w:rsidRDefault="007713B1" w:rsidP="00027309">
      <w:pPr>
        <w:shd w:val="clear" w:color="auto" w:fill="154C56"/>
        <w:spacing w:after="120"/>
        <w:rPr>
          <w:sz w:val="20"/>
          <w:szCs w:val="20"/>
        </w:rPr>
      </w:pPr>
      <w:r w:rsidRPr="003A4CDE">
        <w:rPr>
          <w:rFonts w:cs="Calibri"/>
          <w:color w:val="FFFFFF"/>
          <w:sz w:val="22"/>
          <w:szCs w:val="20"/>
          <w:bdr w:val="nil"/>
        </w:rPr>
        <w:t>Contribute to stronger and more resilient individuals, children, families, and communities by providing targeted supports</w:t>
      </w:r>
      <w:r w:rsidRPr="00D229C5">
        <w:rPr>
          <w:rFonts w:cs="Calibri"/>
          <w:color w:val="FFFFFF"/>
          <w:sz w:val="20"/>
          <w:szCs w:val="20"/>
          <w:bdr w:val="nil"/>
        </w:rPr>
        <w:t>.</w:t>
      </w:r>
    </w:p>
    <w:tbl>
      <w:tblPr>
        <w:tblStyle w:val="TableGrid"/>
        <w:tblW w:w="9594" w:type="dxa"/>
        <w:jc w:val="center"/>
        <w:tblBorders>
          <w:top w:val="none" w:sz="0" w:space="0" w:color="auto"/>
          <w:left w:val="single" w:sz="36" w:space="0" w:color="FFFFFF"/>
          <w:bottom w:val="single" w:sz="36" w:space="0" w:color="FFFFFF"/>
          <w:right w:val="single" w:sz="36" w:space="0" w:color="FFFFFF"/>
          <w:insideH w:val="none" w:sz="0" w:space="0" w:color="auto"/>
          <w:insideV w:val="single" w:sz="36" w:space="0" w:color="FFFFFF"/>
        </w:tblBorders>
        <w:tblLayout w:type="fixed"/>
        <w:tblLook w:val="04A0" w:firstRow="1" w:lastRow="0" w:firstColumn="1" w:lastColumn="0" w:noHBand="0" w:noVBand="1"/>
        <w:tblCaption w:val="Programs and activities"/>
        <w:tblDescription w:val="Outcome 1 Social Security"/>
      </w:tblPr>
      <w:tblGrid>
        <w:gridCol w:w="9594"/>
      </w:tblGrid>
      <w:tr w:rsidR="007713B1" w:rsidRPr="00D229C5" w14:paraId="5C6CBEEC" w14:textId="77777777" w:rsidTr="00027309">
        <w:trPr>
          <w:tblHeader/>
          <w:jc w:val="center"/>
        </w:trPr>
        <w:tc>
          <w:tcPr>
            <w:tcW w:w="9594" w:type="dxa"/>
            <w:tcBorders>
              <w:top w:val="single" w:sz="36" w:space="0" w:color="FFFFFF"/>
              <w:left w:val="single" w:sz="36" w:space="0" w:color="FFFFFF"/>
              <w:bottom w:val="single" w:sz="36" w:space="0" w:color="FFFFFF"/>
              <w:right w:val="single" w:sz="36" w:space="0" w:color="FFFFFF"/>
            </w:tcBorders>
            <w:shd w:val="clear" w:color="auto" w:fill="154C56"/>
          </w:tcPr>
          <w:p w14:paraId="7158D0D4" w14:textId="77777777" w:rsidR="007713B1" w:rsidRPr="00D229C5" w:rsidRDefault="007713B1" w:rsidP="007713B1">
            <w:pPr>
              <w:spacing w:after="120" w:line="259" w:lineRule="auto"/>
              <w:jc w:val="center"/>
              <w:rPr>
                <w:rFonts w:cs="Calibri"/>
                <w:b/>
                <w:color w:val="FFFFFF"/>
                <w:sz w:val="20"/>
                <w:szCs w:val="20"/>
              </w:rPr>
            </w:pPr>
            <w:r w:rsidRPr="00D229C5">
              <w:rPr>
                <w:rFonts w:cs="Calibri"/>
                <w:b/>
                <w:bCs/>
                <w:color w:val="FFFFFF"/>
                <w:sz w:val="20"/>
                <w:szCs w:val="20"/>
              </w:rPr>
              <w:t>Program 2.1</w:t>
            </w:r>
          </w:p>
          <w:p w14:paraId="77503E23" w14:textId="77777777" w:rsidR="007713B1" w:rsidRPr="00D229C5" w:rsidRDefault="007713B1" w:rsidP="007713B1">
            <w:pPr>
              <w:spacing w:after="120" w:line="259" w:lineRule="auto"/>
              <w:jc w:val="center"/>
              <w:rPr>
                <w:rFonts w:cs="Calibri"/>
                <w:color w:val="FFFFFF"/>
                <w:sz w:val="20"/>
                <w:szCs w:val="20"/>
              </w:rPr>
            </w:pPr>
            <w:r w:rsidRPr="00D229C5">
              <w:rPr>
                <w:rFonts w:cs="Calibri"/>
                <w:b/>
                <w:color w:val="FFFFFF"/>
                <w:sz w:val="20"/>
                <w:szCs w:val="20"/>
              </w:rPr>
              <w:t>Families and Communities</w:t>
            </w:r>
            <w:r w:rsidRPr="00D229C5">
              <w:rPr>
                <w:rFonts w:cs="Calibri"/>
                <w:color w:val="FFFFFF"/>
                <w:sz w:val="20"/>
                <w:szCs w:val="20"/>
              </w:rPr>
              <w:t xml:space="preserve"> </w:t>
            </w:r>
          </w:p>
        </w:tc>
      </w:tr>
      <w:tr w:rsidR="007713B1" w:rsidRPr="00D229C5" w14:paraId="1E4F8FFE" w14:textId="77777777" w:rsidTr="00027309">
        <w:trPr>
          <w:jc w:val="center"/>
        </w:trPr>
        <w:tc>
          <w:tcPr>
            <w:tcW w:w="9594" w:type="dxa"/>
            <w:tcBorders>
              <w:top w:val="single" w:sz="36" w:space="0" w:color="FFFFFF"/>
              <w:left w:val="single" w:sz="36" w:space="0" w:color="FFFFFF"/>
              <w:bottom w:val="single" w:sz="36" w:space="0" w:color="FFFFFF"/>
              <w:right w:val="single" w:sz="36" w:space="0" w:color="FFFFFF"/>
            </w:tcBorders>
            <w:shd w:val="clear" w:color="auto" w:fill="D9D9D9" w:themeFill="background1" w:themeFillShade="D9"/>
          </w:tcPr>
          <w:p w14:paraId="52E54777" w14:textId="0AA71495" w:rsidR="007713B1" w:rsidRPr="00D229C5" w:rsidRDefault="007713B1" w:rsidP="00F36D82">
            <w:pPr>
              <w:spacing w:after="120" w:line="259" w:lineRule="auto"/>
              <w:jc w:val="center"/>
              <w:rPr>
                <w:rFonts w:cs="Calibri"/>
                <w:b/>
                <w:sz w:val="20"/>
                <w:szCs w:val="20"/>
              </w:rPr>
            </w:pPr>
            <w:r w:rsidRPr="00D229C5">
              <w:rPr>
                <w:rFonts w:cs="Calibri"/>
                <w:b/>
                <w:bCs/>
                <w:sz w:val="20"/>
                <w:szCs w:val="20"/>
              </w:rPr>
              <w:t>Key activities</w:t>
            </w:r>
            <w:r w:rsidR="0051305F" w:rsidRPr="00AF04D5">
              <w:rPr>
                <w:rFonts w:cs="Calibri"/>
                <w:b/>
                <w:bCs/>
                <w:sz w:val="18"/>
                <w:szCs w:val="20"/>
              </w:rPr>
              <w:t>*</w:t>
            </w:r>
          </w:p>
          <w:p w14:paraId="40F37101" w14:textId="77777777" w:rsidR="007713B1" w:rsidRPr="00D229C5" w:rsidRDefault="007713B1" w:rsidP="00F36D82">
            <w:pPr>
              <w:spacing w:after="120" w:line="259" w:lineRule="auto"/>
              <w:rPr>
                <w:rFonts w:cs="Calibri"/>
                <w:sz w:val="20"/>
                <w:szCs w:val="20"/>
              </w:rPr>
            </w:pPr>
            <w:r w:rsidRPr="00D229C5">
              <w:rPr>
                <w:rFonts w:cs="Calibri"/>
                <w:sz w:val="20"/>
                <w:szCs w:val="20"/>
              </w:rPr>
              <w:t>2.1.1 – Families and Children</w:t>
            </w:r>
          </w:p>
          <w:p w14:paraId="564305DC" w14:textId="77777777" w:rsidR="007713B1" w:rsidRPr="00D229C5" w:rsidRDefault="007713B1" w:rsidP="00F36D82">
            <w:pPr>
              <w:spacing w:after="120" w:line="259" w:lineRule="auto"/>
              <w:rPr>
                <w:rFonts w:cs="Calibri"/>
                <w:sz w:val="20"/>
                <w:szCs w:val="20"/>
              </w:rPr>
            </w:pPr>
            <w:r w:rsidRPr="00D229C5">
              <w:rPr>
                <w:rFonts w:cs="Calibri"/>
                <w:sz w:val="20"/>
                <w:szCs w:val="20"/>
              </w:rPr>
              <w:t xml:space="preserve">2.1.2 – Women’s Safety </w:t>
            </w:r>
          </w:p>
          <w:p w14:paraId="6444A23C" w14:textId="77777777" w:rsidR="007713B1" w:rsidRPr="00D229C5" w:rsidRDefault="007713B1" w:rsidP="00F36D82">
            <w:pPr>
              <w:spacing w:after="120" w:line="259" w:lineRule="auto"/>
              <w:rPr>
                <w:rFonts w:cs="Calibri"/>
                <w:sz w:val="20"/>
                <w:szCs w:val="20"/>
              </w:rPr>
            </w:pPr>
            <w:r w:rsidRPr="00D229C5">
              <w:rPr>
                <w:rFonts w:cs="Calibri"/>
                <w:sz w:val="20"/>
                <w:szCs w:val="20"/>
              </w:rPr>
              <w:t>2.1.5 – Financial Wellbeing and Capability</w:t>
            </w:r>
          </w:p>
          <w:p w14:paraId="3810C56B" w14:textId="2FBE007D" w:rsidR="007713B1" w:rsidRDefault="007713B1" w:rsidP="00F36D82">
            <w:pPr>
              <w:spacing w:after="120" w:line="259" w:lineRule="auto"/>
              <w:rPr>
                <w:rFonts w:cs="Calibri"/>
                <w:sz w:val="20"/>
                <w:szCs w:val="20"/>
              </w:rPr>
            </w:pPr>
            <w:r w:rsidRPr="00D229C5">
              <w:rPr>
                <w:rFonts w:cs="Calibri"/>
                <w:sz w:val="20"/>
                <w:szCs w:val="20"/>
              </w:rPr>
              <w:t>2.1.7 – National Redress Scheme for Institutional Child Sexual Abuse</w:t>
            </w:r>
          </w:p>
          <w:p w14:paraId="767269BE" w14:textId="2DB57084" w:rsidR="007713B1" w:rsidRPr="0051305F" w:rsidRDefault="0051305F" w:rsidP="00AF04D5">
            <w:pPr>
              <w:spacing w:after="160"/>
              <w:rPr>
                <w:sz w:val="14"/>
                <w:szCs w:val="14"/>
              </w:rPr>
            </w:pPr>
            <w:r>
              <w:rPr>
                <w:rFonts w:eastAsiaTheme="majorEastAsia" w:cs="Arial"/>
                <w:bCs/>
                <w:sz w:val="14"/>
                <w:szCs w:val="14"/>
              </w:rPr>
              <w:t xml:space="preserve">* </w:t>
            </w:r>
            <w:r w:rsidRPr="0051305F">
              <w:rPr>
                <w:rFonts w:eastAsiaTheme="majorEastAsia" w:cs="Arial"/>
                <w:bCs/>
                <w:sz w:val="14"/>
                <w:szCs w:val="14"/>
              </w:rPr>
              <w:t xml:space="preserve">The </w:t>
            </w:r>
            <w:r>
              <w:rPr>
                <w:rFonts w:eastAsiaTheme="majorEastAsia" w:cs="Arial"/>
                <w:bCs/>
                <w:sz w:val="14"/>
                <w:szCs w:val="14"/>
              </w:rPr>
              <w:t>key activity numbering</w:t>
            </w:r>
            <w:r w:rsidRPr="0051305F">
              <w:rPr>
                <w:rFonts w:eastAsiaTheme="majorEastAsia" w:cs="Arial"/>
                <w:bCs/>
                <w:sz w:val="14"/>
                <w:szCs w:val="14"/>
              </w:rPr>
              <w:t xml:space="preserve"> </w:t>
            </w:r>
            <w:r>
              <w:rPr>
                <w:rFonts w:eastAsiaTheme="majorEastAsia" w:cs="Arial"/>
                <w:bCs/>
                <w:sz w:val="14"/>
                <w:szCs w:val="14"/>
              </w:rPr>
              <w:t xml:space="preserve">in </w:t>
            </w:r>
            <w:r w:rsidRPr="0051305F">
              <w:rPr>
                <w:rFonts w:eastAsiaTheme="majorEastAsia" w:cs="Arial"/>
                <w:bCs/>
                <w:sz w:val="14"/>
                <w:szCs w:val="14"/>
              </w:rPr>
              <w:t>Outcome</w:t>
            </w:r>
            <w:r>
              <w:rPr>
                <w:rFonts w:eastAsiaTheme="majorEastAsia" w:cs="Arial"/>
                <w:bCs/>
                <w:sz w:val="14"/>
                <w:szCs w:val="14"/>
              </w:rPr>
              <w:t xml:space="preserve"> 2</w:t>
            </w:r>
            <w:r w:rsidRPr="0051305F">
              <w:rPr>
                <w:rFonts w:eastAsiaTheme="majorEastAsia" w:cs="Arial"/>
                <w:bCs/>
                <w:sz w:val="14"/>
                <w:szCs w:val="14"/>
              </w:rPr>
              <w:t xml:space="preserve"> </w:t>
            </w:r>
            <w:r>
              <w:rPr>
                <w:rFonts w:eastAsiaTheme="majorEastAsia" w:cs="Arial"/>
                <w:bCs/>
                <w:sz w:val="14"/>
                <w:szCs w:val="14"/>
              </w:rPr>
              <w:t>is</w:t>
            </w:r>
            <w:r w:rsidRPr="0051305F">
              <w:rPr>
                <w:rFonts w:eastAsiaTheme="majorEastAsia" w:cs="Arial"/>
                <w:bCs/>
                <w:sz w:val="14"/>
                <w:szCs w:val="14"/>
              </w:rPr>
              <w:t xml:space="preserve"> not consecutive as </w:t>
            </w:r>
            <w:r>
              <w:rPr>
                <w:rFonts w:eastAsiaTheme="majorEastAsia" w:cs="Arial"/>
                <w:bCs/>
                <w:sz w:val="14"/>
                <w:szCs w:val="14"/>
              </w:rPr>
              <w:t>it</w:t>
            </w:r>
            <w:r w:rsidRPr="0051305F">
              <w:rPr>
                <w:rFonts w:eastAsiaTheme="majorEastAsia" w:cs="Arial"/>
                <w:bCs/>
                <w:sz w:val="14"/>
                <w:szCs w:val="14"/>
              </w:rPr>
              <w:t xml:space="preserve"> </w:t>
            </w:r>
            <w:r w:rsidR="00AF04D5">
              <w:rPr>
                <w:rFonts w:eastAsiaTheme="majorEastAsia" w:cs="Arial"/>
                <w:bCs/>
                <w:sz w:val="14"/>
                <w:szCs w:val="14"/>
              </w:rPr>
              <w:t>reflects the</w:t>
            </w:r>
            <w:r w:rsidRPr="0051305F">
              <w:rPr>
                <w:rFonts w:eastAsiaTheme="majorEastAsia" w:cs="Arial"/>
                <w:bCs/>
                <w:sz w:val="14"/>
                <w:szCs w:val="14"/>
              </w:rPr>
              <w:t xml:space="preserve"> 2023-24 Portfolio Budget Statement appropriation numbering.</w:t>
            </w:r>
          </w:p>
        </w:tc>
      </w:tr>
    </w:tbl>
    <w:p w14:paraId="412EE30F" w14:textId="77777777" w:rsidR="007713B1" w:rsidRDefault="007713B1" w:rsidP="007713B1">
      <w:pPr>
        <w:spacing w:after="160"/>
      </w:pPr>
    </w:p>
    <w:p w14:paraId="3EC98619" w14:textId="77777777" w:rsidR="007713B1" w:rsidRDefault="007713B1" w:rsidP="007713B1">
      <w:pPr>
        <w:spacing w:after="160"/>
      </w:pPr>
    </w:p>
    <w:p w14:paraId="542A4A24" w14:textId="77777777" w:rsidR="007713B1" w:rsidRDefault="007713B1" w:rsidP="007713B1">
      <w:pPr>
        <w:spacing w:after="160"/>
      </w:pPr>
      <w:r>
        <w:br w:type="page"/>
      </w:r>
    </w:p>
    <w:p w14:paraId="756B37D8" w14:textId="77777777" w:rsidR="007713B1" w:rsidRPr="00B94313" w:rsidRDefault="007713B1" w:rsidP="00027309">
      <w:pPr>
        <w:pStyle w:val="Heading3"/>
        <w:shd w:val="clear" w:color="auto" w:fill="154C56"/>
      </w:pPr>
      <w:r w:rsidRPr="00B94313">
        <w:t>PROGRAM 2.1 FAMILIES AND COMMUNITIES</w:t>
      </w:r>
    </w:p>
    <w:p w14:paraId="2D4A4178" w14:textId="77777777" w:rsidR="007713B1" w:rsidRPr="00B94313" w:rsidRDefault="007713B1" w:rsidP="00027309">
      <w:pPr>
        <w:shd w:val="clear" w:color="auto" w:fill="154C56"/>
        <w:rPr>
          <w:color w:val="FFFFFF" w:themeColor="background1"/>
          <w:sz w:val="20"/>
        </w:rPr>
      </w:pPr>
      <w:r w:rsidRPr="00B94313">
        <w:rPr>
          <w:color w:val="FFFFFF" w:themeColor="background1"/>
          <w:sz w:val="20"/>
        </w:rPr>
        <w:t>To strengthen relationships, support families, improve wellbeing of children and young people, reduce the cost of family breakdown, and strengthen family and community functioning.</w:t>
      </w:r>
    </w:p>
    <w:p w14:paraId="14BE76EE" w14:textId="77777777" w:rsidR="007713B1" w:rsidRPr="00B94313" w:rsidRDefault="007713B1" w:rsidP="00027309">
      <w:pPr>
        <w:pStyle w:val="Heading4"/>
        <w:shd w:val="clear" w:color="auto" w:fill="D9D9D9" w:themeFill="background1" w:themeFillShade="D9"/>
      </w:pPr>
      <w:r w:rsidRPr="00B94313">
        <w:t xml:space="preserve">Key Activity — 2.1.1 Families and Children </w:t>
      </w:r>
    </w:p>
    <w:p w14:paraId="69E5563C" w14:textId="77777777" w:rsidR="007713B1" w:rsidRPr="00B94313" w:rsidRDefault="007713B1" w:rsidP="009008FD">
      <w:pPr>
        <w:pStyle w:val="Normalmorespace"/>
      </w:pPr>
      <w:r w:rsidRPr="00B94313">
        <w:t>Families and Children is a key activity of the Families and Communities Program. The Families and Children key activity provide</w:t>
      </w:r>
      <w:r>
        <w:t>s</w:t>
      </w:r>
      <w:r w:rsidRPr="00B94313">
        <w:t xml:space="preserve"> services and initiatives to support families, strengthen relationships, improve the wellbeing of children and young people, enhance family and community functioning, and build capacity within the families and communities sector.</w:t>
      </w:r>
    </w:p>
    <w:p w14:paraId="1E2A2A78" w14:textId="77777777" w:rsidR="007713B1" w:rsidRPr="00B94313" w:rsidRDefault="007713B1" w:rsidP="009008FD">
      <w:pPr>
        <w:pStyle w:val="Normalmorespace"/>
      </w:pPr>
      <w:r w:rsidRPr="00B94313">
        <w:rPr>
          <w:b/>
        </w:rPr>
        <w:t>Families and children service providers</w:t>
      </w:r>
      <w:r w:rsidRPr="00B94313">
        <w:t xml:space="preserve"> deliver early intervention and prevention activities to improve the wellbeing of families and children (including after separation), including parenting programs, relationship counselling, playgroups and other supports.</w:t>
      </w:r>
    </w:p>
    <w:p w14:paraId="52ABFBEF" w14:textId="77777777" w:rsidR="007713B1" w:rsidRPr="00B94313" w:rsidRDefault="007713B1" w:rsidP="009008FD">
      <w:pPr>
        <w:pStyle w:val="Normalmorespace"/>
      </w:pPr>
      <w:r w:rsidRPr="00B94313">
        <w:rPr>
          <w:b/>
        </w:rPr>
        <w:t>The department</w:t>
      </w:r>
      <w:r w:rsidRPr="00B94313">
        <w:t xml:space="preserve"> is responsible for designing and implementing the Families and Children key activity, including: </w:t>
      </w:r>
    </w:p>
    <w:p w14:paraId="2AECDE76" w14:textId="77777777" w:rsidR="007713B1" w:rsidRPr="00256DE3" w:rsidRDefault="007713B1" w:rsidP="009008FD">
      <w:pPr>
        <w:numPr>
          <w:ilvl w:val="0"/>
          <w:numId w:val="39"/>
        </w:numPr>
        <w:spacing w:before="80" w:after="80" w:line="240" w:lineRule="auto"/>
        <w:ind w:left="714" w:hanging="357"/>
        <w:rPr>
          <w:rFonts w:cs="Arial"/>
          <w:sz w:val="20"/>
          <w:szCs w:val="20"/>
        </w:rPr>
      </w:pPr>
      <w:r w:rsidRPr="00256DE3">
        <w:rPr>
          <w:rFonts w:cs="Arial"/>
          <w:sz w:val="20"/>
          <w:szCs w:val="20"/>
        </w:rPr>
        <w:t xml:space="preserve">designing policy and legislation, and </w:t>
      </w:r>
    </w:p>
    <w:p w14:paraId="5C1F1827" w14:textId="77777777" w:rsidR="007713B1" w:rsidRPr="00256DE3" w:rsidRDefault="007713B1" w:rsidP="009008FD">
      <w:pPr>
        <w:numPr>
          <w:ilvl w:val="0"/>
          <w:numId w:val="39"/>
        </w:numPr>
        <w:spacing w:before="80" w:after="80" w:line="240" w:lineRule="auto"/>
        <w:ind w:left="714" w:hanging="357"/>
        <w:rPr>
          <w:rFonts w:cs="Arial"/>
          <w:sz w:val="20"/>
          <w:szCs w:val="20"/>
        </w:rPr>
      </w:pPr>
      <w:r w:rsidRPr="00256DE3">
        <w:rPr>
          <w:rFonts w:cs="Arial"/>
          <w:sz w:val="20"/>
          <w:szCs w:val="20"/>
        </w:rPr>
        <w:t xml:space="preserve">designing and managing grants to service providers. </w:t>
      </w:r>
    </w:p>
    <w:tbl>
      <w:tblPr>
        <w:tblStyle w:val="TableGrid39"/>
        <w:tblW w:w="4976" w:type="pct"/>
        <w:jc w:val="center"/>
        <w:tblLook w:val="04A0" w:firstRow="1" w:lastRow="0" w:firstColumn="1" w:lastColumn="0" w:noHBand="0" w:noVBand="1"/>
        <w:tblCaption w:val="2.1.1-1 Extent to which individuals have improved individual and family functioning."/>
        <w:tblDescription w:val="Table outlines the targeted payment percentages across 2023-24, 2024-25, 2025-26 and 2026-27"/>
      </w:tblPr>
      <w:tblGrid>
        <w:gridCol w:w="3039"/>
        <w:gridCol w:w="1657"/>
        <w:gridCol w:w="1616"/>
        <w:gridCol w:w="1469"/>
        <w:gridCol w:w="1518"/>
      </w:tblGrid>
      <w:tr w:rsidR="007713B1" w:rsidRPr="00B94313" w14:paraId="690C58E5" w14:textId="77777777" w:rsidTr="00CD76E2">
        <w:trPr>
          <w:cantSplit/>
          <w:trHeight w:val="356"/>
          <w:tblHeader/>
          <w:jc w:val="center"/>
        </w:trPr>
        <w:tc>
          <w:tcPr>
            <w:tcW w:w="5000" w:type="pct"/>
            <w:gridSpan w:val="5"/>
            <w:shd w:val="clear" w:color="auto" w:fill="D9D9D6"/>
          </w:tcPr>
          <w:p w14:paraId="2FEE6E5B" w14:textId="77777777" w:rsidR="007713B1" w:rsidRPr="00723A4C" w:rsidRDefault="007713B1" w:rsidP="007713B1">
            <w:pPr>
              <w:spacing w:after="120"/>
              <w:rPr>
                <w:rFonts w:cstheme="minorHAnsi"/>
                <w:b/>
                <w:sz w:val="20"/>
                <w:szCs w:val="20"/>
              </w:rPr>
            </w:pPr>
            <w:r w:rsidRPr="00723A4C">
              <w:rPr>
                <w:rFonts w:cstheme="minorHAnsi"/>
                <w:b/>
                <w:sz w:val="20"/>
                <w:szCs w:val="20"/>
              </w:rPr>
              <w:t>Performance Measure</w:t>
            </w:r>
          </w:p>
        </w:tc>
      </w:tr>
      <w:tr w:rsidR="007713B1" w:rsidRPr="00B94313" w14:paraId="3F970966" w14:textId="77777777" w:rsidTr="007713B1">
        <w:trPr>
          <w:cantSplit/>
          <w:trHeight w:val="356"/>
          <w:jc w:val="center"/>
        </w:trPr>
        <w:tc>
          <w:tcPr>
            <w:tcW w:w="5000" w:type="pct"/>
            <w:gridSpan w:val="5"/>
            <w:shd w:val="clear" w:color="auto" w:fill="auto"/>
          </w:tcPr>
          <w:p w14:paraId="19BB401B" w14:textId="77777777" w:rsidR="007713B1" w:rsidRPr="00723A4C" w:rsidRDefault="007713B1" w:rsidP="007713B1">
            <w:pPr>
              <w:spacing w:after="120"/>
              <w:rPr>
                <w:rFonts w:cstheme="minorHAnsi"/>
                <w:b/>
                <w:sz w:val="20"/>
                <w:szCs w:val="20"/>
              </w:rPr>
            </w:pPr>
            <w:r w:rsidRPr="00723A4C">
              <w:rPr>
                <w:sz w:val="20"/>
                <w:szCs w:val="20"/>
              </w:rPr>
              <w:t>2.1.1-1 Extent to which individuals have improved individual and family functioning.</w:t>
            </w:r>
          </w:p>
        </w:tc>
      </w:tr>
      <w:tr w:rsidR="007713B1" w:rsidRPr="00B94313" w14:paraId="45DB9B3A" w14:textId="77777777" w:rsidTr="007713B1">
        <w:trPr>
          <w:cantSplit/>
          <w:trHeight w:val="356"/>
          <w:jc w:val="center"/>
        </w:trPr>
        <w:tc>
          <w:tcPr>
            <w:tcW w:w="1634" w:type="pct"/>
            <w:shd w:val="clear" w:color="auto" w:fill="D9D9D6"/>
          </w:tcPr>
          <w:p w14:paraId="205073BC" w14:textId="77777777" w:rsidR="007713B1" w:rsidRPr="00723A4C" w:rsidRDefault="007713B1" w:rsidP="007713B1">
            <w:pPr>
              <w:spacing w:after="120"/>
              <w:rPr>
                <w:rFonts w:cstheme="minorHAnsi"/>
                <w:sz w:val="20"/>
                <w:szCs w:val="20"/>
              </w:rPr>
            </w:pPr>
            <w:r w:rsidRPr="00723A4C">
              <w:rPr>
                <w:rFonts w:cstheme="minorHAnsi"/>
                <w:b/>
                <w:sz w:val="20"/>
                <w:szCs w:val="20"/>
              </w:rPr>
              <w:t>Target</w:t>
            </w:r>
          </w:p>
        </w:tc>
        <w:tc>
          <w:tcPr>
            <w:tcW w:w="891" w:type="pct"/>
            <w:shd w:val="clear" w:color="auto" w:fill="D9D9D6"/>
            <w:vAlign w:val="center"/>
          </w:tcPr>
          <w:p w14:paraId="4974B96E" w14:textId="77777777" w:rsidR="007713B1" w:rsidRPr="00723A4C" w:rsidRDefault="007713B1" w:rsidP="007713B1">
            <w:pPr>
              <w:spacing w:after="120"/>
              <w:rPr>
                <w:rFonts w:cstheme="minorHAnsi"/>
                <w:sz w:val="20"/>
                <w:szCs w:val="20"/>
              </w:rPr>
            </w:pPr>
            <w:r w:rsidRPr="00723A4C">
              <w:rPr>
                <w:rFonts w:cstheme="minorHAnsi"/>
                <w:b/>
                <w:sz w:val="20"/>
                <w:szCs w:val="20"/>
              </w:rPr>
              <w:t>2023–24</w:t>
            </w:r>
          </w:p>
        </w:tc>
        <w:tc>
          <w:tcPr>
            <w:tcW w:w="869" w:type="pct"/>
            <w:shd w:val="clear" w:color="auto" w:fill="D9D9D6"/>
            <w:vAlign w:val="center"/>
          </w:tcPr>
          <w:p w14:paraId="1DFA8B67" w14:textId="77777777" w:rsidR="007713B1" w:rsidRPr="00723A4C" w:rsidRDefault="007713B1" w:rsidP="007713B1">
            <w:pPr>
              <w:spacing w:after="120"/>
              <w:rPr>
                <w:rFonts w:cstheme="minorHAnsi"/>
                <w:b/>
                <w:sz w:val="20"/>
                <w:szCs w:val="20"/>
              </w:rPr>
            </w:pPr>
            <w:r w:rsidRPr="00723A4C">
              <w:rPr>
                <w:rFonts w:cstheme="minorHAnsi"/>
                <w:b/>
                <w:sz w:val="20"/>
                <w:szCs w:val="20"/>
              </w:rPr>
              <w:t>2024–25</w:t>
            </w:r>
          </w:p>
        </w:tc>
        <w:tc>
          <w:tcPr>
            <w:tcW w:w="790" w:type="pct"/>
            <w:shd w:val="clear" w:color="auto" w:fill="D9D9D6"/>
            <w:vAlign w:val="center"/>
          </w:tcPr>
          <w:p w14:paraId="2FC2AB1C" w14:textId="77777777" w:rsidR="007713B1" w:rsidRPr="00723A4C" w:rsidRDefault="007713B1" w:rsidP="007713B1">
            <w:pPr>
              <w:spacing w:after="120"/>
              <w:rPr>
                <w:rFonts w:cstheme="minorHAnsi"/>
                <w:b/>
                <w:sz w:val="20"/>
                <w:szCs w:val="20"/>
              </w:rPr>
            </w:pPr>
            <w:r w:rsidRPr="00723A4C">
              <w:rPr>
                <w:rFonts w:cstheme="minorHAnsi"/>
                <w:b/>
                <w:sz w:val="20"/>
                <w:szCs w:val="20"/>
              </w:rPr>
              <w:t>2025–26</w:t>
            </w:r>
          </w:p>
        </w:tc>
        <w:tc>
          <w:tcPr>
            <w:tcW w:w="816" w:type="pct"/>
            <w:shd w:val="clear" w:color="auto" w:fill="D9D9D6"/>
            <w:vAlign w:val="center"/>
          </w:tcPr>
          <w:p w14:paraId="5A2B2FF4" w14:textId="77777777" w:rsidR="007713B1" w:rsidRPr="00723A4C" w:rsidRDefault="007713B1" w:rsidP="007713B1">
            <w:pPr>
              <w:spacing w:after="120"/>
              <w:rPr>
                <w:rFonts w:cstheme="minorHAnsi"/>
                <w:b/>
                <w:sz w:val="20"/>
                <w:szCs w:val="20"/>
              </w:rPr>
            </w:pPr>
            <w:r w:rsidRPr="00723A4C">
              <w:rPr>
                <w:rFonts w:cstheme="minorHAnsi"/>
                <w:b/>
                <w:sz w:val="20"/>
                <w:szCs w:val="20"/>
              </w:rPr>
              <w:t>2026–27</w:t>
            </w:r>
          </w:p>
        </w:tc>
      </w:tr>
      <w:tr w:rsidR="007713B1" w:rsidRPr="00B94313" w14:paraId="684B3693" w14:textId="77777777" w:rsidTr="007713B1">
        <w:trPr>
          <w:cantSplit/>
          <w:trHeight w:val="356"/>
          <w:jc w:val="center"/>
        </w:trPr>
        <w:tc>
          <w:tcPr>
            <w:tcW w:w="1634" w:type="pct"/>
            <w:shd w:val="clear" w:color="auto" w:fill="FFFFFF" w:themeFill="background1"/>
          </w:tcPr>
          <w:p w14:paraId="14DED604" w14:textId="77777777" w:rsidR="007713B1" w:rsidRPr="00723A4C" w:rsidRDefault="007713B1" w:rsidP="007713B1">
            <w:pPr>
              <w:spacing w:after="120"/>
              <w:rPr>
                <w:rFonts w:cstheme="minorHAnsi"/>
                <w:sz w:val="20"/>
                <w:szCs w:val="20"/>
              </w:rPr>
            </w:pPr>
            <w:r w:rsidRPr="00723A4C">
              <w:rPr>
                <w:rFonts w:cstheme="minorHAnsi"/>
                <w:sz w:val="20"/>
                <w:szCs w:val="20"/>
              </w:rPr>
              <w:sym w:font="Wingdings" w:char="F074"/>
            </w:r>
            <w:r w:rsidRPr="00723A4C">
              <w:rPr>
                <w:sz w:val="20"/>
                <w:szCs w:val="20"/>
              </w:rPr>
              <w:t xml:space="preserve"> 2.1.1-1A - </w:t>
            </w:r>
            <w:r w:rsidRPr="00723A4C">
              <w:rPr>
                <w:rFonts w:cstheme="minorHAnsi"/>
                <w:sz w:val="20"/>
                <w:szCs w:val="20"/>
              </w:rPr>
              <w:t>At least 75% of clients in reporting services have improved family functioning.</w:t>
            </w:r>
          </w:p>
        </w:tc>
        <w:tc>
          <w:tcPr>
            <w:tcW w:w="891" w:type="pct"/>
          </w:tcPr>
          <w:p w14:paraId="43C5180B" w14:textId="77777777" w:rsidR="007713B1" w:rsidRPr="00723A4C" w:rsidRDefault="007713B1" w:rsidP="007713B1">
            <w:pPr>
              <w:spacing w:after="120"/>
              <w:rPr>
                <w:rFonts w:cstheme="minorHAnsi"/>
                <w:sz w:val="20"/>
                <w:szCs w:val="20"/>
              </w:rPr>
            </w:pPr>
            <w:r w:rsidRPr="00723A4C">
              <w:rPr>
                <w:sz w:val="20"/>
                <w:szCs w:val="20"/>
                <w:lang w:eastAsia="en-GB"/>
              </w:rPr>
              <w:t>≥75 %</w:t>
            </w:r>
          </w:p>
        </w:tc>
        <w:tc>
          <w:tcPr>
            <w:tcW w:w="869" w:type="pct"/>
          </w:tcPr>
          <w:p w14:paraId="7B38277F" w14:textId="77777777" w:rsidR="007713B1" w:rsidRPr="00723A4C" w:rsidRDefault="007713B1" w:rsidP="007713B1">
            <w:pPr>
              <w:spacing w:after="120"/>
              <w:rPr>
                <w:rFonts w:cstheme="minorHAnsi"/>
                <w:sz w:val="20"/>
                <w:szCs w:val="20"/>
              </w:rPr>
            </w:pPr>
            <w:r w:rsidRPr="00723A4C">
              <w:rPr>
                <w:sz w:val="20"/>
                <w:szCs w:val="20"/>
                <w:lang w:eastAsia="en-GB"/>
              </w:rPr>
              <w:t>≥75 %</w:t>
            </w:r>
          </w:p>
        </w:tc>
        <w:tc>
          <w:tcPr>
            <w:tcW w:w="790" w:type="pct"/>
          </w:tcPr>
          <w:p w14:paraId="34503A9C" w14:textId="77777777" w:rsidR="007713B1" w:rsidRPr="00723A4C" w:rsidRDefault="007713B1" w:rsidP="007713B1">
            <w:pPr>
              <w:spacing w:after="120"/>
              <w:rPr>
                <w:rFonts w:cstheme="minorHAnsi"/>
                <w:sz w:val="20"/>
                <w:szCs w:val="20"/>
              </w:rPr>
            </w:pPr>
            <w:r w:rsidRPr="00723A4C">
              <w:rPr>
                <w:sz w:val="20"/>
                <w:szCs w:val="20"/>
                <w:lang w:eastAsia="en-GB"/>
              </w:rPr>
              <w:t>≥75 %</w:t>
            </w:r>
          </w:p>
        </w:tc>
        <w:tc>
          <w:tcPr>
            <w:tcW w:w="816" w:type="pct"/>
            <w:shd w:val="clear" w:color="auto" w:fill="FFFFFF" w:themeFill="background1"/>
          </w:tcPr>
          <w:p w14:paraId="04E535BD" w14:textId="77777777" w:rsidR="007713B1" w:rsidRPr="00723A4C" w:rsidRDefault="007713B1" w:rsidP="007713B1">
            <w:pPr>
              <w:spacing w:after="120"/>
              <w:rPr>
                <w:sz w:val="20"/>
                <w:szCs w:val="20"/>
                <w:lang w:eastAsia="en-GB"/>
              </w:rPr>
            </w:pPr>
            <w:r w:rsidRPr="00723A4C">
              <w:rPr>
                <w:sz w:val="20"/>
                <w:szCs w:val="20"/>
                <w:lang w:eastAsia="en-GB"/>
              </w:rPr>
              <w:t>≥75 %</w:t>
            </w:r>
          </w:p>
        </w:tc>
      </w:tr>
    </w:tbl>
    <w:p w14:paraId="68AD77FB" w14:textId="77777777" w:rsidR="00013CF0" w:rsidRDefault="00013CF0" w:rsidP="00013CF0">
      <w:pPr>
        <w:pStyle w:val="Heading4"/>
        <w:shd w:val="clear" w:color="auto" w:fill="auto"/>
      </w:pPr>
    </w:p>
    <w:p w14:paraId="5BC7D484" w14:textId="12BFF1D7" w:rsidR="007713B1" w:rsidRPr="00B94313" w:rsidRDefault="007713B1" w:rsidP="00027309">
      <w:pPr>
        <w:pStyle w:val="Heading4"/>
        <w:shd w:val="clear" w:color="auto" w:fill="D9D9D9" w:themeFill="background1" w:themeFillShade="D9"/>
      </w:pPr>
      <w:r w:rsidRPr="00B94313">
        <w:t>Rationale</w:t>
      </w:r>
    </w:p>
    <w:p w14:paraId="1C30BA7A" w14:textId="77777777" w:rsidR="007713B1" w:rsidRPr="00B94313" w:rsidRDefault="007713B1" w:rsidP="009008FD">
      <w:pPr>
        <w:pStyle w:val="Normalmorespace"/>
      </w:pPr>
      <w:r w:rsidRPr="00B94313">
        <w:t>Measuring the extent to which individuals have improved individual and family functioning demonstrate</w:t>
      </w:r>
      <w:r>
        <w:t>s</w:t>
      </w:r>
      <w:r w:rsidRPr="00B94313">
        <w:t xml:space="preserve"> that Families and Children Service Providers have strengthened family functioning. This measure demonstrates the </w:t>
      </w:r>
      <w:r w:rsidRPr="00B94313">
        <w:rPr>
          <w:b/>
        </w:rPr>
        <w:t>effectiveness</w:t>
      </w:r>
      <w:r w:rsidRPr="00B94313">
        <w:t xml:space="preserve"> of Families and Children in achieving the objective of the key activity: to provide services and initiatives to support families, strengthen relationships, improve the wellbeing of children and young people, enhance family and community functioning, and build capacity within the families and communities sector.</w:t>
      </w:r>
    </w:p>
    <w:p w14:paraId="449F41DC" w14:textId="3FB3109A" w:rsidR="00471573" w:rsidRDefault="007713B1" w:rsidP="009008FD">
      <w:pPr>
        <w:pStyle w:val="Normalmorespace"/>
      </w:pPr>
      <w:r w:rsidRPr="00B94313">
        <w:t xml:space="preserve">The target of </w:t>
      </w:r>
      <w:r w:rsidR="00437883">
        <w:t>‘</w:t>
      </w:r>
      <w:r w:rsidRPr="00B94313">
        <w:t xml:space="preserve">at least 75 per cent of clients in reporting services have improved family functioning’ demonstrates the </w:t>
      </w:r>
      <w:r w:rsidRPr="00B94313">
        <w:rPr>
          <w:b/>
        </w:rPr>
        <w:t>effectiveness</w:t>
      </w:r>
      <w:r w:rsidRPr="00B94313">
        <w:t xml:space="preserve"> of the key activity by showing that significant majority of clients that received services from Families and Children service providers have improved individual and family functioning.</w:t>
      </w:r>
    </w:p>
    <w:p w14:paraId="4113FF28" w14:textId="77777777" w:rsidR="00013CF0" w:rsidRPr="00B94313" w:rsidRDefault="00013CF0" w:rsidP="009008FD">
      <w:pPr>
        <w:pStyle w:val="Normalmorespace"/>
        <w:rPr>
          <w:rFonts w:cstheme="minorHAnsi"/>
        </w:rPr>
      </w:pPr>
    </w:p>
    <w:p w14:paraId="353AA1A8" w14:textId="77777777" w:rsidR="00013CF0" w:rsidRDefault="00013CF0">
      <w:pPr>
        <w:spacing w:before="0" w:after="200" w:line="276" w:lineRule="auto"/>
        <w:rPr>
          <w:b/>
          <w:sz w:val="20"/>
          <w:szCs w:val="20"/>
        </w:rPr>
      </w:pPr>
      <w:r>
        <w:br w:type="page"/>
      </w:r>
    </w:p>
    <w:p w14:paraId="6FCCC215" w14:textId="3DF32E0E" w:rsidR="007713B1" w:rsidRPr="00B94313" w:rsidRDefault="007713B1" w:rsidP="00027309">
      <w:pPr>
        <w:pStyle w:val="Heading4"/>
        <w:shd w:val="clear" w:color="auto" w:fill="D9D9D9" w:themeFill="background1" w:themeFillShade="D9"/>
      </w:pPr>
      <w:r w:rsidRPr="00B94313">
        <w:t>Methodology</w:t>
      </w:r>
    </w:p>
    <w:p w14:paraId="759BCA1D" w14:textId="79149CE9" w:rsidR="00666749" w:rsidRDefault="007713B1" w:rsidP="009008FD">
      <w:pPr>
        <w:pStyle w:val="Normalmorespace"/>
      </w:pPr>
      <w:r w:rsidRPr="00B94313">
        <w:t>Funded service providers conduct a survey with a sample of clients to whom they provide a service. Client Circumstances data is based on a self-assessment of functioning, pre-service to establish a base-line and post service to record the self-assessed outcome.</w:t>
      </w:r>
    </w:p>
    <w:p w14:paraId="03088846" w14:textId="3459D70D" w:rsidR="007713B1" w:rsidRDefault="007713B1" w:rsidP="009008FD">
      <w:pPr>
        <w:pStyle w:val="Normalmorespace"/>
      </w:pPr>
      <w:r w:rsidRPr="00B94313">
        <w:t xml:space="preserve">The </w:t>
      </w:r>
      <w:r w:rsidRPr="00B94313">
        <w:rPr>
          <w:b/>
        </w:rPr>
        <w:t>data source</w:t>
      </w:r>
      <w:r w:rsidRPr="00B94313">
        <w:t xml:space="preserve"> used for this calculation is</w:t>
      </w:r>
      <w:r>
        <w:t>:</w:t>
      </w:r>
      <w:r w:rsidRPr="00B9431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Source"/>
        <w:tblDescription w:val="SS: The data source used for this calculation is the Department of Social Services Data Exchange. SS: Standard Client / Community Outcome Reporting (SCORE) – Family functioning – Client SCORE Circumstances and Client SCORE Goals."/>
      </w:tblPr>
      <w:tblGrid>
        <w:gridCol w:w="988"/>
        <w:gridCol w:w="8028"/>
      </w:tblGrid>
      <w:tr w:rsidR="006F5203" w:rsidRPr="00334F13" w14:paraId="63EF6F84" w14:textId="77777777" w:rsidTr="00437883">
        <w:trPr>
          <w:trHeight w:val="737"/>
          <w:tblHeader/>
        </w:trPr>
        <w:tc>
          <w:tcPr>
            <w:tcW w:w="988" w:type="dxa"/>
          </w:tcPr>
          <w:p w14:paraId="774B3018" w14:textId="77777777" w:rsidR="006F5203" w:rsidRDefault="006F5203" w:rsidP="00B81E0C">
            <w:r>
              <w:rPr>
                <w:noProof/>
              </w:rPr>
              <mc:AlternateContent>
                <mc:Choice Requires="wps">
                  <w:drawing>
                    <wp:anchor distT="0" distB="0" distL="114300" distR="114300" simplePos="0" relativeHeight="251674675" behindDoc="0" locked="0" layoutInCell="1" allowOverlap="1" wp14:anchorId="73960580" wp14:editId="3BE706CE">
                      <wp:simplePos x="0" y="0"/>
                      <wp:positionH relativeFrom="margin">
                        <wp:posOffset>-6350</wp:posOffset>
                      </wp:positionH>
                      <wp:positionV relativeFrom="paragraph">
                        <wp:posOffset>111958</wp:posOffset>
                      </wp:positionV>
                      <wp:extent cx="446400" cy="327600"/>
                      <wp:effectExtent l="0" t="0" r="11430" b="15875"/>
                      <wp:wrapNone/>
                      <wp:docPr id="235" name="Rounded Rectangle 235"/>
                      <wp:cNvGraphicFramePr/>
                      <a:graphic xmlns:a="http://schemas.openxmlformats.org/drawingml/2006/main">
                        <a:graphicData uri="http://schemas.microsoft.com/office/word/2010/wordprocessingShape">
                          <wps:wsp>
                            <wps:cNvSpPr/>
                            <wps:spPr>
                              <a:xfrm>
                                <a:off x="0" y="0"/>
                                <a:ext cx="446400" cy="327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FB85DD" w14:textId="77777777" w:rsidR="00027309" w:rsidRPr="00F24CAC" w:rsidRDefault="00027309" w:rsidP="006F5203">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960580" id="Rounded Rectangle 235" o:spid="_x0000_s1029" style="position:absolute;margin-left:-.5pt;margin-top:8.8pt;width:35.15pt;height:25.8pt;z-index:2516746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" fillcolor="#005a70 [3204]" strokecolor="#002c37 [1604]" strokeweight=".73403mm">
                      <v:textbox>
                        <w:txbxContent>
                          <w:p w14:paraId="27FB85DD" w14:textId="77777777" w:rsidR="00027309" w:rsidRPr="00F24CAC" w:rsidRDefault="00027309" w:rsidP="006F5203">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v:textbox>
                      <w10:wrap anchorx="margin"/>
                    </v:roundrect>
                  </w:pict>
                </mc:Fallback>
              </mc:AlternateContent>
            </w:r>
          </w:p>
        </w:tc>
        <w:tc>
          <w:tcPr>
            <w:tcW w:w="8028" w:type="dxa"/>
            <w:vAlign w:val="center"/>
          </w:tcPr>
          <w:p w14:paraId="1A810D7F" w14:textId="0AD52649" w:rsidR="006F5203" w:rsidRPr="00334F13" w:rsidRDefault="006F5203" w:rsidP="00437883">
            <w:pPr>
              <w:rPr>
                <w:sz w:val="20"/>
                <w:szCs w:val="20"/>
              </w:rPr>
            </w:pPr>
            <w:r>
              <w:rPr>
                <w:sz w:val="20"/>
                <w:szCs w:val="20"/>
              </w:rPr>
              <w:t>Department of Social Services Data Exchange</w:t>
            </w:r>
          </w:p>
        </w:tc>
      </w:tr>
      <w:tr w:rsidR="006F5203" w:rsidRPr="00334F13" w14:paraId="03EEBDE4" w14:textId="77777777" w:rsidTr="00437883">
        <w:trPr>
          <w:trHeight w:val="737"/>
        </w:trPr>
        <w:tc>
          <w:tcPr>
            <w:tcW w:w="988" w:type="dxa"/>
          </w:tcPr>
          <w:p w14:paraId="03F99A81" w14:textId="0A6EB7E5" w:rsidR="006F5203" w:rsidRDefault="006F5203" w:rsidP="00B81E0C">
            <w:r>
              <w:rPr>
                <w:noProof/>
              </w:rPr>
              <mc:AlternateContent>
                <mc:Choice Requires="wps">
                  <w:drawing>
                    <wp:anchor distT="0" distB="0" distL="114300" distR="114300" simplePos="0" relativeHeight="251676723" behindDoc="0" locked="0" layoutInCell="1" allowOverlap="1" wp14:anchorId="78F78F2B" wp14:editId="4C3C5F6E">
                      <wp:simplePos x="0" y="0"/>
                      <wp:positionH relativeFrom="margin">
                        <wp:posOffset>-6350</wp:posOffset>
                      </wp:positionH>
                      <wp:positionV relativeFrom="paragraph">
                        <wp:posOffset>111958</wp:posOffset>
                      </wp:positionV>
                      <wp:extent cx="446400" cy="327600"/>
                      <wp:effectExtent l="0" t="0" r="11430" b="15875"/>
                      <wp:wrapNone/>
                      <wp:docPr id="237" name="Rounded Rectangle 237"/>
                      <wp:cNvGraphicFramePr/>
                      <a:graphic xmlns:a="http://schemas.openxmlformats.org/drawingml/2006/main">
                        <a:graphicData uri="http://schemas.microsoft.com/office/word/2010/wordprocessingShape">
                          <wps:wsp>
                            <wps:cNvSpPr/>
                            <wps:spPr>
                              <a:xfrm>
                                <a:off x="0" y="0"/>
                                <a:ext cx="446400" cy="327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C9DB94" w14:textId="77777777" w:rsidR="00027309" w:rsidRPr="00F24CAC" w:rsidRDefault="00027309" w:rsidP="006F5203">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78F2B" id="Rounded Rectangle 237" o:spid="_x0000_s1030" style="position:absolute;margin-left:-.5pt;margin-top:8.8pt;width:35.15pt;height:25.8pt;z-index:2516767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" fillcolor="#005a70 [3204]" strokecolor="#002c37 [1604]" strokeweight=".73403mm">
                      <v:textbox>
                        <w:txbxContent>
                          <w:p w14:paraId="3DC9DB94" w14:textId="77777777" w:rsidR="00027309" w:rsidRPr="00F24CAC" w:rsidRDefault="00027309" w:rsidP="006F5203">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v:textbox>
                      <w10:wrap anchorx="margin"/>
                    </v:roundrect>
                  </w:pict>
                </mc:Fallback>
              </mc:AlternateContent>
            </w:r>
          </w:p>
        </w:tc>
        <w:tc>
          <w:tcPr>
            <w:tcW w:w="8028" w:type="dxa"/>
            <w:vAlign w:val="center"/>
          </w:tcPr>
          <w:p w14:paraId="19A90342" w14:textId="27FD1152" w:rsidR="006F5203" w:rsidRPr="00334F13" w:rsidRDefault="006F5203" w:rsidP="00437883">
            <w:pPr>
              <w:rPr>
                <w:sz w:val="20"/>
                <w:szCs w:val="20"/>
              </w:rPr>
            </w:pPr>
            <w:r w:rsidRPr="00B94313">
              <w:rPr>
                <w:rFonts w:cstheme="minorHAnsi"/>
                <w:sz w:val="20"/>
              </w:rPr>
              <w:t>Standard Client / Community Outcome Reporting (SCORE) – Family functioning – Client SCORE Circumstances and Client SCORE Goals</w:t>
            </w:r>
            <w:r>
              <w:rPr>
                <w:rFonts w:cstheme="minorHAnsi"/>
                <w:sz w:val="20"/>
              </w:rPr>
              <w:t>.</w:t>
            </w:r>
          </w:p>
        </w:tc>
      </w:tr>
    </w:tbl>
    <w:p w14:paraId="027DF1D7" w14:textId="0ABD0DD4" w:rsidR="007713B1" w:rsidRPr="00B94313" w:rsidRDefault="007713B1" w:rsidP="00027309">
      <w:pPr>
        <w:pStyle w:val="Heading4"/>
        <w:shd w:val="clear" w:color="auto" w:fill="D9D9D9" w:themeFill="background1" w:themeFillShade="D9"/>
      </w:pPr>
      <w:r w:rsidRPr="00B94313">
        <w:t>Supporting Information</w:t>
      </w:r>
    </w:p>
    <w:p w14:paraId="34B38997" w14:textId="77777777" w:rsidR="007713B1" w:rsidRPr="00B94313" w:rsidRDefault="007713B1" w:rsidP="007572E0">
      <w:pPr>
        <w:numPr>
          <w:ilvl w:val="0"/>
          <w:numId w:val="39"/>
        </w:numPr>
        <w:spacing w:before="80" w:after="80" w:line="240" w:lineRule="auto"/>
        <w:ind w:left="714" w:hanging="357"/>
        <w:rPr>
          <w:rFonts w:cs="Arial"/>
          <w:sz w:val="20"/>
          <w:szCs w:val="20"/>
        </w:rPr>
      </w:pPr>
      <w:r w:rsidRPr="00B94313">
        <w:rPr>
          <w:rFonts w:cs="Arial"/>
          <w:sz w:val="20"/>
          <w:szCs w:val="20"/>
        </w:rPr>
        <w:t>Administered Outlays</w:t>
      </w:r>
    </w:p>
    <w:p w14:paraId="66B24072" w14:textId="77777777" w:rsidR="007713B1" w:rsidRPr="00B94313" w:rsidRDefault="007713B1" w:rsidP="007572E0">
      <w:pPr>
        <w:numPr>
          <w:ilvl w:val="0"/>
          <w:numId w:val="39"/>
        </w:numPr>
        <w:spacing w:before="80" w:after="80" w:line="240" w:lineRule="auto"/>
        <w:ind w:left="714" w:hanging="357"/>
        <w:rPr>
          <w:rFonts w:cs="Arial"/>
          <w:sz w:val="20"/>
          <w:szCs w:val="20"/>
        </w:rPr>
      </w:pPr>
      <w:r w:rsidRPr="00B94313">
        <w:rPr>
          <w:rFonts w:cs="Arial"/>
          <w:sz w:val="20"/>
          <w:szCs w:val="20"/>
        </w:rPr>
        <w:t>Number of individuals assisted</w:t>
      </w:r>
    </w:p>
    <w:p w14:paraId="5F5F370B" w14:textId="77777777" w:rsidR="007713B1" w:rsidRPr="00B94313" w:rsidRDefault="007713B1" w:rsidP="007572E0">
      <w:pPr>
        <w:numPr>
          <w:ilvl w:val="0"/>
          <w:numId w:val="39"/>
        </w:numPr>
        <w:spacing w:before="80" w:after="80" w:line="240" w:lineRule="auto"/>
        <w:ind w:left="714" w:hanging="357"/>
        <w:rPr>
          <w:rFonts w:cs="Arial"/>
          <w:sz w:val="20"/>
          <w:szCs w:val="20"/>
        </w:rPr>
      </w:pPr>
      <w:r w:rsidRPr="00B94313">
        <w:rPr>
          <w:rFonts w:cs="Arial"/>
          <w:sz w:val="20"/>
          <w:szCs w:val="20"/>
        </w:rPr>
        <w:t>Percentage of assisted individuals from priority groups</w:t>
      </w:r>
    </w:p>
    <w:p w14:paraId="62CF94D5" w14:textId="77777777" w:rsidR="007713B1" w:rsidRPr="0072124D" w:rsidRDefault="007713B1" w:rsidP="007572E0">
      <w:pPr>
        <w:numPr>
          <w:ilvl w:val="0"/>
          <w:numId w:val="39"/>
        </w:numPr>
        <w:spacing w:before="80" w:after="80" w:line="240" w:lineRule="auto"/>
        <w:ind w:left="714" w:hanging="357"/>
        <w:rPr>
          <w:rFonts w:cs="Arial"/>
          <w:sz w:val="20"/>
          <w:szCs w:val="20"/>
        </w:rPr>
      </w:pPr>
      <w:r w:rsidRPr="00B94313">
        <w:rPr>
          <w:rFonts w:cs="Arial"/>
          <w:sz w:val="20"/>
          <w:szCs w:val="20"/>
        </w:rPr>
        <w:t>Nu</w:t>
      </w:r>
      <w:r w:rsidRPr="0072124D">
        <w:rPr>
          <w:rFonts w:cs="Arial"/>
          <w:sz w:val="20"/>
          <w:szCs w:val="20"/>
        </w:rPr>
        <w:t>mber of organisations contracted or receiving grant funding to deliver services</w:t>
      </w:r>
      <w:r>
        <w:rPr>
          <w:rFonts w:cs="Arial"/>
          <w:sz w:val="20"/>
          <w:szCs w:val="20"/>
        </w:rPr>
        <w:t>.</w:t>
      </w:r>
    </w:p>
    <w:p w14:paraId="508DA88A" w14:textId="77777777" w:rsidR="007713B1" w:rsidRDefault="007713B1" w:rsidP="007713B1">
      <w:pPr>
        <w:rPr>
          <w:sz w:val="20"/>
        </w:rPr>
      </w:pPr>
    </w:p>
    <w:p w14:paraId="658784F5" w14:textId="77777777" w:rsidR="007713B1" w:rsidRDefault="007713B1" w:rsidP="007713B1">
      <w:pPr>
        <w:rPr>
          <w:sz w:val="20"/>
        </w:rPr>
      </w:pPr>
      <w:r>
        <w:rPr>
          <w:sz w:val="20"/>
        </w:rPr>
        <w:br w:type="page"/>
      </w:r>
    </w:p>
    <w:p w14:paraId="1B048824" w14:textId="77777777" w:rsidR="007713B1" w:rsidRPr="00946E15" w:rsidRDefault="007713B1" w:rsidP="00027309">
      <w:pPr>
        <w:pStyle w:val="Heading3"/>
        <w:shd w:val="clear" w:color="auto" w:fill="154C56"/>
      </w:pPr>
      <w:r w:rsidRPr="00946E15">
        <w:t>PROGRAM 2.1 — FAMILIES AND COMMUNITIES</w:t>
      </w:r>
    </w:p>
    <w:p w14:paraId="17E79E74" w14:textId="77777777" w:rsidR="007713B1" w:rsidRPr="00946E15" w:rsidRDefault="007713B1" w:rsidP="00027309">
      <w:pPr>
        <w:shd w:val="clear" w:color="auto" w:fill="154C56"/>
        <w:spacing w:line="252" w:lineRule="auto"/>
        <w:rPr>
          <w:rFonts w:cstheme="minorHAnsi"/>
          <w:color w:val="FFFFFF" w:themeColor="background1"/>
          <w:sz w:val="20"/>
        </w:rPr>
      </w:pPr>
      <w:r w:rsidRPr="00946E15">
        <w:rPr>
          <w:rFonts w:cstheme="minorHAnsi"/>
          <w:color w:val="FFFFFF" w:themeColor="background1"/>
          <w:sz w:val="20"/>
        </w:rPr>
        <w:t>To strengthen relationships, support families, improve wellbeing of children and young people, reduce the cost of family breakdown, and strengthen family and community functioning.</w:t>
      </w:r>
    </w:p>
    <w:p w14:paraId="2BB685A9" w14:textId="77777777" w:rsidR="007713B1" w:rsidRPr="00946E15" w:rsidRDefault="007713B1" w:rsidP="00027309">
      <w:pPr>
        <w:pStyle w:val="Heading4"/>
        <w:shd w:val="clear" w:color="auto" w:fill="D9D9D9" w:themeFill="background1" w:themeFillShade="D9"/>
      </w:pPr>
      <w:r w:rsidRPr="00946E15">
        <w:t>Key Activity — 2.1.2 Women’s Safety</w:t>
      </w:r>
    </w:p>
    <w:p w14:paraId="4E53A2C3" w14:textId="11A82C96" w:rsidR="007572E0" w:rsidRPr="00E56BD0" w:rsidRDefault="007572E0" w:rsidP="009008FD">
      <w:pPr>
        <w:pStyle w:val="Normalmorespace"/>
      </w:pPr>
      <w:r w:rsidRPr="00E56BD0">
        <w:t xml:space="preserve">The department’s work in women’s safety aims to end gender-based violence in one generation. The main vehicle to achieve this goal is through the implementation of the </w:t>
      </w:r>
      <w:hyperlink r:id="rId29" w:history="1">
        <w:r w:rsidRPr="00E56BD0">
          <w:rPr>
            <w:rStyle w:val="Hyperlink"/>
            <w:rFonts w:cstheme="minorHAnsi"/>
            <w:sz w:val="20"/>
          </w:rPr>
          <w:t>National Plan to End Violence against Women and Children 2022-2032</w:t>
        </w:r>
      </w:hyperlink>
      <w:r w:rsidRPr="00E56BD0">
        <w:t xml:space="preserve"> (National Plan). The National Plan utilises a public health approach, </w:t>
      </w:r>
      <w:r w:rsidR="00DF3752">
        <w:t>with clear objectives spanning 4</w:t>
      </w:r>
      <w:r w:rsidRPr="00E56BD0">
        <w:t xml:space="preserve"> domains: prevention, early intervention, response, and recovery and healing. All Australian governments have committed to the National Plan with clear actions for implementation outlined in the First </w:t>
      </w:r>
      <w:hyperlink r:id="rId30" w:history="1">
        <w:r w:rsidRPr="00E56BD0">
          <w:rPr>
            <w:rStyle w:val="Hyperlink"/>
            <w:rFonts w:cstheme="minorHAnsi"/>
            <w:sz w:val="20"/>
          </w:rPr>
          <w:t>Action Plan</w:t>
        </w:r>
      </w:hyperlink>
      <w:r w:rsidRPr="00E56BD0">
        <w:t xml:space="preserve"> and dedicated </w:t>
      </w:r>
      <w:hyperlink r:id="rId31" w:history="1">
        <w:r w:rsidRPr="00E56BD0">
          <w:rPr>
            <w:rStyle w:val="Hyperlink"/>
            <w:rFonts w:cstheme="minorHAnsi"/>
            <w:sz w:val="20"/>
          </w:rPr>
          <w:t>Aboriginal and Torres Strait Islander Action Plan</w:t>
        </w:r>
      </w:hyperlink>
      <w:r w:rsidRPr="00E56BD0">
        <w:t>, as well as 6 national targets against which progress can be measured over the long term.</w:t>
      </w:r>
    </w:p>
    <w:p w14:paraId="799803C1" w14:textId="77777777" w:rsidR="007572E0" w:rsidRPr="00E56BD0" w:rsidRDefault="007572E0" w:rsidP="009008FD">
      <w:pPr>
        <w:pStyle w:val="Normalmorespace"/>
      </w:pPr>
      <w:r w:rsidRPr="00E56BD0">
        <w:t xml:space="preserve">The First Action Plan details 10 cross-cutting actions with Commonwealth, state and territory activities/initiatives aligned to ensure the outcomes and objectives of the National Plan are met. As outlined in the first Action Plan’s </w:t>
      </w:r>
      <w:hyperlink r:id="rId32" w:history="1">
        <w:r w:rsidRPr="00E56BD0">
          <w:rPr>
            <w:rStyle w:val="Hyperlink"/>
            <w:rFonts w:cs="Arial"/>
            <w:sz w:val="20"/>
          </w:rPr>
          <w:t>Activities Addendum</w:t>
        </w:r>
      </w:hyperlink>
      <w:r w:rsidRPr="00E56BD0">
        <w:t>, the department is responsible for administering a number of activities across the Actions. Consistent with previous reporting, 8 key national initiatives for which the department is responsible are listed below and mapped to corresponding Actions within the Action Plan.</w:t>
      </w:r>
    </w:p>
    <w:tbl>
      <w:tblPr>
        <w:tblStyle w:val="TableGrid"/>
        <w:tblW w:w="0" w:type="auto"/>
        <w:tblInd w:w="137" w:type="dxa"/>
        <w:tblLook w:val="04A0" w:firstRow="1" w:lastRow="0" w:firstColumn="1" w:lastColumn="0" w:noHBand="0" w:noVBand="1"/>
        <w:tblCaption w:val="Key activity table 2.1.2 - Womens safety"/>
        <w:tblDescription w:val="Table outlines the initiatives for 'our watch', 'stop it at the start', Australia's national research organisation for Women's safety, DV alert, 1800RESPECT, Safe places Emergency Accomodation, Keeping women safe in their home and Escaping violence payment programs."/>
      </w:tblPr>
      <w:tblGrid>
        <w:gridCol w:w="3119"/>
        <w:gridCol w:w="5953"/>
      </w:tblGrid>
      <w:tr w:rsidR="007572E0" w14:paraId="1A4D0932" w14:textId="77777777" w:rsidTr="00027309">
        <w:trPr>
          <w:tblHeader/>
        </w:trPr>
        <w:tc>
          <w:tcPr>
            <w:tcW w:w="3119" w:type="dxa"/>
            <w:shd w:val="clear" w:color="auto" w:fill="154C56"/>
          </w:tcPr>
          <w:p w14:paraId="57D4F90D" w14:textId="77777777" w:rsidR="007572E0" w:rsidRPr="00E31589" w:rsidRDefault="007572E0" w:rsidP="00437883">
            <w:pPr>
              <w:spacing w:before="60" w:after="60"/>
              <w:rPr>
                <w:rFonts w:cs="Arial"/>
                <w:sz w:val="20"/>
                <w:szCs w:val="20"/>
              </w:rPr>
            </w:pPr>
            <w:r w:rsidRPr="00E31589">
              <w:rPr>
                <w:rFonts w:cs="Arial"/>
                <w:sz w:val="20"/>
                <w:szCs w:val="20"/>
              </w:rPr>
              <w:t>Initiatives</w:t>
            </w:r>
          </w:p>
        </w:tc>
        <w:tc>
          <w:tcPr>
            <w:tcW w:w="5953" w:type="dxa"/>
            <w:shd w:val="clear" w:color="auto" w:fill="154C56"/>
          </w:tcPr>
          <w:p w14:paraId="20633DF8" w14:textId="77777777" w:rsidR="007572E0" w:rsidRPr="00E31589" w:rsidRDefault="007572E0" w:rsidP="00437883">
            <w:pPr>
              <w:spacing w:before="60" w:after="60"/>
              <w:rPr>
                <w:rFonts w:cs="Arial"/>
                <w:sz w:val="20"/>
                <w:szCs w:val="20"/>
              </w:rPr>
            </w:pPr>
            <w:r w:rsidRPr="00E31589">
              <w:rPr>
                <w:rFonts w:cs="Arial"/>
                <w:sz w:val="20"/>
                <w:szCs w:val="20"/>
              </w:rPr>
              <w:t>Actions</w:t>
            </w:r>
          </w:p>
        </w:tc>
      </w:tr>
      <w:tr w:rsidR="007572E0" w14:paraId="4A18DBCF" w14:textId="77777777" w:rsidTr="00FA45F4">
        <w:tc>
          <w:tcPr>
            <w:tcW w:w="3119" w:type="dxa"/>
          </w:tcPr>
          <w:p w14:paraId="18667C30" w14:textId="77777777" w:rsidR="007572E0" w:rsidRPr="00437883" w:rsidRDefault="007572E0" w:rsidP="00437883">
            <w:pPr>
              <w:pStyle w:val="ListParagraph"/>
              <w:numPr>
                <w:ilvl w:val="0"/>
                <w:numId w:val="52"/>
              </w:numPr>
              <w:spacing w:after="0"/>
              <w:rPr>
                <w:rFonts w:eastAsia="Calibri"/>
                <w:color w:val="000000" w:themeColor="text1"/>
                <w:spacing w:val="0"/>
                <w:sz w:val="20"/>
                <w:szCs w:val="20"/>
              </w:rPr>
            </w:pPr>
            <w:r w:rsidRPr="00437883">
              <w:rPr>
                <w:rFonts w:eastAsia="Calibri"/>
                <w:color w:val="000000" w:themeColor="text1"/>
                <w:spacing w:val="0"/>
                <w:sz w:val="20"/>
                <w:szCs w:val="20"/>
              </w:rPr>
              <w:t>Our Watch</w:t>
            </w:r>
          </w:p>
          <w:p w14:paraId="2EB6F9AE" w14:textId="77777777" w:rsidR="007572E0" w:rsidRPr="00437883" w:rsidRDefault="007572E0" w:rsidP="00437883">
            <w:pPr>
              <w:pStyle w:val="ListParagraph"/>
              <w:numPr>
                <w:ilvl w:val="0"/>
                <w:numId w:val="52"/>
              </w:numPr>
              <w:spacing w:after="0"/>
              <w:rPr>
                <w:rFonts w:eastAsia="Calibri"/>
                <w:color w:val="000000" w:themeColor="text1"/>
                <w:spacing w:val="0"/>
                <w:sz w:val="20"/>
                <w:szCs w:val="20"/>
              </w:rPr>
            </w:pPr>
            <w:r w:rsidRPr="00437883">
              <w:rPr>
                <w:rFonts w:eastAsia="Calibri"/>
                <w:color w:val="000000" w:themeColor="text1"/>
                <w:spacing w:val="0"/>
                <w:sz w:val="20"/>
                <w:szCs w:val="20"/>
              </w:rPr>
              <w:t>Stop it at the Start Campaign</w:t>
            </w:r>
          </w:p>
        </w:tc>
        <w:tc>
          <w:tcPr>
            <w:tcW w:w="5953" w:type="dxa"/>
          </w:tcPr>
          <w:p w14:paraId="3C95638D" w14:textId="77777777" w:rsidR="007572E0" w:rsidRPr="00437883" w:rsidRDefault="007572E0" w:rsidP="00437883">
            <w:pPr>
              <w:spacing w:after="0"/>
              <w:rPr>
                <w:rFonts w:eastAsia="Calibri"/>
                <w:color w:val="000000" w:themeColor="text1"/>
                <w:spacing w:val="0"/>
                <w:sz w:val="20"/>
                <w:szCs w:val="20"/>
              </w:rPr>
            </w:pPr>
            <w:r w:rsidRPr="00437883">
              <w:rPr>
                <w:rFonts w:eastAsia="Calibri"/>
                <w:b/>
                <w:color w:val="000000" w:themeColor="text1"/>
                <w:spacing w:val="0"/>
                <w:sz w:val="20"/>
                <w:szCs w:val="20"/>
              </w:rPr>
              <w:t>Action 1:</w:t>
            </w:r>
            <w:r w:rsidRPr="00437883">
              <w:rPr>
                <w:rFonts w:eastAsia="Calibri"/>
                <w:color w:val="000000" w:themeColor="text1"/>
                <w:spacing w:val="0"/>
                <w:sz w:val="20"/>
                <w:szCs w:val="20"/>
              </w:rPr>
              <w:t xml:space="preserve"> Advance gender equality and address the drivers of all forms of gender-based violence, including through initiatives aimed to improve community attitudes and norms toward family, domestic, and sexual violence.</w:t>
            </w:r>
          </w:p>
        </w:tc>
      </w:tr>
      <w:tr w:rsidR="007572E0" w14:paraId="356D69B1" w14:textId="77777777" w:rsidTr="00FA45F4">
        <w:trPr>
          <w:trHeight w:val="1361"/>
        </w:trPr>
        <w:tc>
          <w:tcPr>
            <w:tcW w:w="3119" w:type="dxa"/>
          </w:tcPr>
          <w:p w14:paraId="36B567E5" w14:textId="77777777" w:rsidR="007572E0" w:rsidRPr="00437883" w:rsidRDefault="007572E0" w:rsidP="00437883">
            <w:pPr>
              <w:pStyle w:val="ListParagraph"/>
              <w:numPr>
                <w:ilvl w:val="0"/>
                <w:numId w:val="52"/>
              </w:numPr>
              <w:spacing w:after="0"/>
              <w:rPr>
                <w:rFonts w:eastAsia="Calibri"/>
                <w:color w:val="000000" w:themeColor="text1"/>
                <w:spacing w:val="0"/>
                <w:sz w:val="20"/>
                <w:szCs w:val="20"/>
              </w:rPr>
            </w:pPr>
            <w:r w:rsidRPr="00437883">
              <w:rPr>
                <w:rFonts w:eastAsia="Calibri"/>
                <w:color w:val="000000" w:themeColor="text1"/>
                <w:spacing w:val="0"/>
                <w:sz w:val="20"/>
                <w:szCs w:val="20"/>
              </w:rPr>
              <w:t>Australia’s National Research Organisation for Women’s Safety</w:t>
            </w:r>
          </w:p>
        </w:tc>
        <w:tc>
          <w:tcPr>
            <w:tcW w:w="5953" w:type="dxa"/>
          </w:tcPr>
          <w:p w14:paraId="685F91E8" w14:textId="77777777" w:rsidR="007572E0" w:rsidRPr="00437883" w:rsidRDefault="007572E0" w:rsidP="00437883">
            <w:pPr>
              <w:spacing w:after="0"/>
              <w:rPr>
                <w:rFonts w:eastAsia="Calibri"/>
                <w:color w:val="000000" w:themeColor="text1"/>
                <w:spacing w:val="0"/>
                <w:sz w:val="20"/>
                <w:szCs w:val="20"/>
              </w:rPr>
            </w:pPr>
            <w:r w:rsidRPr="00437883">
              <w:rPr>
                <w:rFonts w:eastAsia="Calibri"/>
                <w:b/>
                <w:color w:val="000000" w:themeColor="text1"/>
                <w:spacing w:val="0"/>
                <w:sz w:val="20"/>
                <w:szCs w:val="20"/>
              </w:rPr>
              <w:t>Action 2:</w:t>
            </w:r>
            <w:r w:rsidRPr="00437883">
              <w:rPr>
                <w:rFonts w:eastAsia="Calibri"/>
                <w:color w:val="000000" w:themeColor="text1"/>
                <w:spacing w:val="0"/>
                <w:sz w:val="20"/>
                <w:szCs w:val="20"/>
              </w:rPr>
              <w:t xml:space="preserve"> Improve the national evidence base by working towards consistent terminology and monitoring and evaluation frameworks, and by strengthening collection and sharing of data and evidence.</w:t>
            </w:r>
          </w:p>
        </w:tc>
      </w:tr>
      <w:tr w:rsidR="007572E0" w14:paraId="237F5A8F" w14:textId="77777777" w:rsidTr="00FA45F4">
        <w:tc>
          <w:tcPr>
            <w:tcW w:w="3119" w:type="dxa"/>
          </w:tcPr>
          <w:p w14:paraId="417C812B" w14:textId="77777777" w:rsidR="007572E0" w:rsidRPr="00437883" w:rsidRDefault="007572E0" w:rsidP="00437883">
            <w:pPr>
              <w:pStyle w:val="ListParagraph"/>
              <w:numPr>
                <w:ilvl w:val="0"/>
                <w:numId w:val="52"/>
              </w:numPr>
              <w:spacing w:after="0"/>
              <w:rPr>
                <w:rFonts w:eastAsia="Calibri"/>
                <w:color w:val="000000" w:themeColor="text1"/>
                <w:spacing w:val="0"/>
                <w:sz w:val="20"/>
                <w:szCs w:val="20"/>
              </w:rPr>
            </w:pPr>
            <w:r w:rsidRPr="00437883">
              <w:rPr>
                <w:rFonts w:eastAsia="Calibri"/>
                <w:color w:val="000000" w:themeColor="text1"/>
                <w:spacing w:val="0"/>
                <w:sz w:val="20"/>
                <w:szCs w:val="20"/>
              </w:rPr>
              <w:t>DV-Alert</w:t>
            </w:r>
          </w:p>
          <w:p w14:paraId="60742E9A" w14:textId="77777777" w:rsidR="007572E0" w:rsidRPr="00437883" w:rsidRDefault="007572E0" w:rsidP="00437883">
            <w:pPr>
              <w:spacing w:after="0"/>
              <w:rPr>
                <w:rFonts w:eastAsia="Calibri"/>
                <w:color w:val="000000" w:themeColor="text1"/>
                <w:spacing w:val="0"/>
                <w:sz w:val="20"/>
                <w:szCs w:val="20"/>
              </w:rPr>
            </w:pPr>
          </w:p>
        </w:tc>
        <w:tc>
          <w:tcPr>
            <w:tcW w:w="5953" w:type="dxa"/>
          </w:tcPr>
          <w:p w14:paraId="642CBDEF" w14:textId="20CD5B17" w:rsidR="007572E0" w:rsidRPr="00437883" w:rsidRDefault="007572E0" w:rsidP="00437883">
            <w:pPr>
              <w:spacing w:after="0"/>
              <w:rPr>
                <w:rFonts w:eastAsia="Calibri"/>
                <w:color w:val="000000" w:themeColor="text1"/>
                <w:spacing w:val="0"/>
                <w:sz w:val="20"/>
                <w:szCs w:val="20"/>
              </w:rPr>
            </w:pPr>
            <w:r w:rsidRPr="00437883">
              <w:rPr>
                <w:rFonts w:eastAsia="Calibri"/>
                <w:b/>
                <w:color w:val="000000" w:themeColor="text1"/>
                <w:spacing w:val="0"/>
                <w:sz w:val="20"/>
                <w:szCs w:val="20"/>
              </w:rPr>
              <w:t>Action 3:</w:t>
            </w:r>
            <w:r w:rsidRPr="00437883">
              <w:rPr>
                <w:rFonts w:eastAsia="Calibri"/>
                <w:color w:val="000000" w:themeColor="text1"/>
                <w:spacing w:val="0"/>
                <w:sz w:val="20"/>
                <w:szCs w:val="20"/>
              </w:rPr>
              <w:t xml:space="preserve"> Increase and strengthen the capability of mainstream and specialist workforces to deliver quality services, activities and programs across the </w:t>
            </w:r>
            <w:r w:rsidR="00DF3752" w:rsidRPr="00437883">
              <w:rPr>
                <w:rFonts w:eastAsia="Calibri"/>
                <w:color w:val="000000" w:themeColor="text1"/>
                <w:spacing w:val="0"/>
                <w:sz w:val="20"/>
                <w:szCs w:val="20"/>
              </w:rPr>
              <w:t>4</w:t>
            </w:r>
            <w:r w:rsidRPr="00437883">
              <w:rPr>
                <w:rFonts w:eastAsia="Calibri"/>
                <w:color w:val="000000" w:themeColor="text1"/>
                <w:spacing w:val="0"/>
                <w:sz w:val="20"/>
                <w:szCs w:val="20"/>
              </w:rPr>
              <w:t xml:space="preserve"> domains, including those that are tailored to respond to the unique experiences of all victim-survivors. </w:t>
            </w:r>
          </w:p>
        </w:tc>
      </w:tr>
      <w:tr w:rsidR="007572E0" w14:paraId="71FE686F" w14:textId="77777777" w:rsidTr="00FA45F4">
        <w:tc>
          <w:tcPr>
            <w:tcW w:w="3119" w:type="dxa"/>
          </w:tcPr>
          <w:p w14:paraId="67C1E688" w14:textId="77777777" w:rsidR="007572E0" w:rsidRPr="00437883" w:rsidRDefault="007572E0" w:rsidP="00437883">
            <w:pPr>
              <w:pStyle w:val="ListParagraph"/>
              <w:numPr>
                <w:ilvl w:val="0"/>
                <w:numId w:val="52"/>
              </w:numPr>
              <w:spacing w:after="0"/>
              <w:rPr>
                <w:rFonts w:eastAsia="Calibri"/>
                <w:color w:val="000000" w:themeColor="text1"/>
                <w:spacing w:val="0"/>
                <w:sz w:val="20"/>
                <w:szCs w:val="20"/>
              </w:rPr>
            </w:pPr>
            <w:r w:rsidRPr="00437883">
              <w:rPr>
                <w:rFonts w:eastAsia="Calibri"/>
                <w:color w:val="000000" w:themeColor="text1"/>
                <w:spacing w:val="0"/>
                <w:sz w:val="20"/>
                <w:szCs w:val="20"/>
              </w:rPr>
              <w:t>1800Respect</w:t>
            </w:r>
          </w:p>
          <w:p w14:paraId="14B5CD4B" w14:textId="77777777" w:rsidR="007572E0" w:rsidRPr="00437883" w:rsidRDefault="007572E0" w:rsidP="00437883">
            <w:pPr>
              <w:spacing w:after="0"/>
              <w:rPr>
                <w:rFonts w:eastAsia="Calibri"/>
                <w:color w:val="000000" w:themeColor="text1"/>
                <w:spacing w:val="0"/>
                <w:sz w:val="20"/>
                <w:szCs w:val="20"/>
              </w:rPr>
            </w:pPr>
          </w:p>
        </w:tc>
        <w:tc>
          <w:tcPr>
            <w:tcW w:w="5953" w:type="dxa"/>
          </w:tcPr>
          <w:p w14:paraId="1D918094" w14:textId="77777777" w:rsidR="007572E0" w:rsidRPr="00437883" w:rsidRDefault="007572E0" w:rsidP="00437883">
            <w:pPr>
              <w:spacing w:after="0"/>
              <w:rPr>
                <w:rFonts w:eastAsia="Calibri"/>
                <w:color w:val="000000" w:themeColor="text1"/>
                <w:spacing w:val="0"/>
                <w:sz w:val="20"/>
                <w:szCs w:val="20"/>
              </w:rPr>
            </w:pPr>
            <w:r w:rsidRPr="00437883">
              <w:rPr>
                <w:rFonts w:eastAsia="Calibri"/>
                <w:b/>
                <w:color w:val="000000" w:themeColor="text1"/>
                <w:spacing w:val="0"/>
                <w:sz w:val="20"/>
                <w:szCs w:val="20"/>
              </w:rPr>
              <w:t>Action 4:</w:t>
            </w:r>
            <w:r w:rsidRPr="00437883">
              <w:rPr>
                <w:rFonts w:eastAsia="Calibri"/>
                <w:color w:val="000000" w:themeColor="text1"/>
                <w:spacing w:val="0"/>
                <w:sz w:val="20"/>
                <w:szCs w:val="20"/>
              </w:rPr>
              <w:t xml:space="preserve"> Build the capacity of services and systems that support victim-survivors to provide trauma-informed, connected and coordinated responses that support long-term recovery, health and wellbeing</w:t>
            </w:r>
          </w:p>
        </w:tc>
      </w:tr>
      <w:tr w:rsidR="007572E0" w14:paraId="385B3AD4" w14:textId="77777777" w:rsidTr="00FA45F4">
        <w:tc>
          <w:tcPr>
            <w:tcW w:w="3119" w:type="dxa"/>
          </w:tcPr>
          <w:p w14:paraId="47F94CC8" w14:textId="77777777" w:rsidR="007572E0" w:rsidRPr="00437883" w:rsidRDefault="007572E0" w:rsidP="00437883">
            <w:pPr>
              <w:pStyle w:val="ListParagraph"/>
              <w:numPr>
                <w:ilvl w:val="0"/>
                <w:numId w:val="52"/>
              </w:numPr>
              <w:spacing w:after="0"/>
              <w:rPr>
                <w:rFonts w:eastAsia="Calibri"/>
                <w:color w:val="000000" w:themeColor="text1"/>
                <w:spacing w:val="0"/>
                <w:sz w:val="20"/>
                <w:szCs w:val="20"/>
              </w:rPr>
            </w:pPr>
            <w:r w:rsidRPr="00437883">
              <w:rPr>
                <w:rFonts w:eastAsia="Calibri"/>
                <w:color w:val="000000" w:themeColor="text1"/>
                <w:spacing w:val="0"/>
                <w:sz w:val="20"/>
                <w:szCs w:val="20"/>
              </w:rPr>
              <w:t>Safe Places Emergency Accommodation program</w:t>
            </w:r>
          </w:p>
          <w:p w14:paraId="42036235" w14:textId="77777777" w:rsidR="007572E0" w:rsidRPr="00437883" w:rsidRDefault="007572E0" w:rsidP="00437883">
            <w:pPr>
              <w:pStyle w:val="ListParagraph"/>
              <w:numPr>
                <w:ilvl w:val="0"/>
                <w:numId w:val="52"/>
              </w:numPr>
              <w:spacing w:after="0"/>
              <w:rPr>
                <w:rFonts w:eastAsia="Calibri"/>
                <w:color w:val="000000" w:themeColor="text1"/>
                <w:spacing w:val="0"/>
                <w:sz w:val="20"/>
                <w:szCs w:val="20"/>
              </w:rPr>
            </w:pPr>
            <w:r w:rsidRPr="00437883">
              <w:rPr>
                <w:rFonts w:eastAsia="Calibri"/>
                <w:color w:val="000000" w:themeColor="text1"/>
                <w:spacing w:val="0"/>
                <w:sz w:val="20"/>
                <w:szCs w:val="20"/>
              </w:rPr>
              <w:t>Keeping Women Safe in their Homes program</w:t>
            </w:r>
          </w:p>
          <w:p w14:paraId="16DB6505" w14:textId="77777777" w:rsidR="007572E0" w:rsidRPr="00437883" w:rsidRDefault="007572E0" w:rsidP="00437883">
            <w:pPr>
              <w:pStyle w:val="ListParagraph"/>
              <w:numPr>
                <w:ilvl w:val="0"/>
                <w:numId w:val="52"/>
              </w:numPr>
              <w:spacing w:after="0"/>
              <w:rPr>
                <w:rFonts w:eastAsia="Calibri"/>
                <w:color w:val="000000" w:themeColor="text1"/>
                <w:spacing w:val="0"/>
                <w:sz w:val="20"/>
                <w:szCs w:val="20"/>
              </w:rPr>
            </w:pPr>
            <w:r w:rsidRPr="00437883">
              <w:rPr>
                <w:rFonts w:eastAsia="Calibri"/>
                <w:color w:val="000000" w:themeColor="text1"/>
                <w:spacing w:val="0"/>
                <w:sz w:val="20"/>
                <w:szCs w:val="20"/>
              </w:rPr>
              <w:t>Escaping Violence Payment</w:t>
            </w:r>
          </w:p>
        </w:tc>
        <w:tc>
          <w:tcPr>
            <w:tcW w:w="5953" w:type="dxa"/>
          </w:tcPr>
          <w:p w14:paraId="79BF3B84" w14:textId="77777777" w:rsidR="007572E0" w:rsidRPr="00437883" w:rsidRDefault="007572E0" w:rsidP="00437883">
            <w:pPr>
              <w:spacing w:after="0"/>
              <w:rPr>
                <w:color w:val="000000" w:themeColor="text1"/>
                <w:sz w:val="20"/>
                <w:szCs w:val="20"/>
              </w:rPr>
            </w:pPr>
            <w:r w:rsidRPr="00437883">
              <w:rPr>
                <w:b/>
                <w:bCs/>
                <w:color w:val="000000" w:themeColor="text1"/>
                <w:sz w:val="20"/>
                <w:szCs w:val="20"/>
              </w:rPr>
              <w:t>Action 10</w:t>
            </w:r>
            <w:r w:rsidRPr="00437883">
              <w:rPr>
                <w:color w:val="000000" w:themeColor="text1"/>
                <w:sz w:val="20"/>
                <w:szCs w:val="20"/>
              </w:rPr>
              <w:t xml:space="preserve">: </w:t>
            </w:r>
            <w:r w:rsidRPr="00437883">
              <w:rPr>
                <w:rFonts w:eastAsia="Calibri"/>
                <w:color w:val="000000" w:themeColor="text1"/>
                <w:spacing w:val="0"/>
                <w:sz w:val="20"/>
                <w:szCs w:val="20"/>
              </w:rPr>
              <w:t>Improve access to short-term, medium and long-term housing for women and children experiencing violence, including those living in institutional settings, and support women to stay in their own homes when they choose to do so.</w:t>
            </w:r>
          </w:p>
        </w:tc>
      </w:tr>
    </w:tbl>
    <w:p w14:paraId="1EECA4DE" w14:textId="77777777" w:rsidR="007572E0" w:rsidRDefault="007572E0" w:rsidP="007572E0">
      <w:pPr>
        <w:rPr>
          <w:rFonts w:cs="Arial"/>
          <w:sz w:val="20"/>
          <w:szCs w:val="20"/>
        </w:rPr>
      </w:pPr>
    </w:p>
    <w:tbl>
      <w:tblPr>
        <w:tblStyle w:val="TableGrid39"/>
        <w:tblW w:w="4992" w:type="pct"/>
        <w:jc w:val="center"/>
        <w:tblLook w:val="04A0" w:firstRow="1" w:lastRow="0" w:firstColumn="1" w:lastColumn="0" w:noHBand="0" w:noVBand="1"/>
        <w:tblCaption w:val="2.1.2-1 performance measure and target"/>
        <w:tblDescription w:val="Table outlines the achievement of sucessful delivery of initiatives under the plan to end violence against women and children in 2023-24, 2024-25, 2025-26 and 2026-27"/>
      </w:tblPr>
      <w:tblGrid>
        <w:gridCol w:w="3228"/>
        <w:gridCol w:w="1614"/>
        <w:gridCol w:w="1614"/>
        <w:gridCol w:w="1470"/>
        <w:gridCol w:w="1403"/>
      </w:tblGrid>
      <w:tr w:rsidR="007572E0" w:rsidRPr="00830F02" w14:paraId="2A9FE952" w14:textId="77777777" w:rsidTr="00CD76E2">
        <w:trPr>
          <w:cantSplit/>
          <w:trHeight w:val="356"/>
          <w:tblHeader/>
          <w:jc w:val="center"/>
        </w:trPr>
        <w:tc>
          <w:tcPr>
            <w:tcW w:w="5000" w:type="pct"/>
            <w:gridSpan w:val="5"/>
            <w:shd w:val="clear" w:color="auto" w:fill="D9D9D9" w:themeFill="background1" w:themeFillShade="D9"/>
          </w:tcPr>
          <w:p w14:paraId="777DA7EB" w14:textId="77777777" w:rsidR="007572E0" w:rsidRPr="00723A4C" w:rsidRDefault="007572E0" w:rsidP="00E56BD0">
            <w:pPr>
              <w:spacing w:after="120"/>
              <w:rPr>
                <w:rFonts w:cstheme="minorHAnsi"/>
                <w:b/>
                <w:sz w:val="20"/>
                <w:szCs w:val="20"/>
              </w:rPr>
            </w:pPr>
            <w:r w:rsidRPr="00723A4C">
              <w:rPr>
                <w:rFonts w:cstheme="minorHAnsi"/>
                <w:b/>
                <w:sz w:val="20"/>
                <w:szCs w:val="20"/>
              </w:rPr>
              <w:t>Performance Measure</w:t>
            </w:r>
          </w:p>
        </w:tc>
      </w:tr>
      <w:tr w:rsidR="007572E0" w:rsidRPr="00830F02" w14:paraId="07151353" w14:textId="77777777" w:rsidTr="00E56BD0">
        <w:trPr>
          <w:cantSplit/>
          <w:trHeight w:val="356"/>
          <w:jc w:val="center"/>
        </w:trPr>
        <w:tc>
          <w:tcPr>
            <w:tcW w:w="5000" w:type="pct"/>
            <w:gridSpan w:val="5"/>
            <w:tcBorders>
              <w:bottom w:val="single" w:sz="4" w:space="0" w:color="auto"/>
            </w:tcBorders>
            <w:shd w:val="clear" w:color="auto" w:fill="auto"/>
          </w:tcPr>
          <w:p w14:paraId="53C6A782" w14:textId="77777777" w:rsidR="007572E0" w:rsidRPr="00723A4C" w:rsidRDefault="007572E0" w:rsidP="009008FD">
            <w:pPr>
              <w:spacing w:after="120"/>
              <w:rPr>
                <w:rFonts w:cstheme="minorHAnsi"/>
                <w:b/>
                <w:sz w:val="20"/>
                <w:szCs w:val="20"/>
              </w:rPr>
            </w:pPr>
            <w:r w:rsidRPr="00723A4C">
              <w:rPr>
                <w:rFonts w:cstheme="minorHAnsi"/>
                <w:sz w:val="20"/>
                <w:szCs w:val="20"/>
              </w:rPr>
              <w:t>2.1.2-1 Successful delivery of initiatives under the National Plan to End Violence against Women and Children 2022-2032.</w:t>
            </w:r>
          </w:p>
        </w:tc>
      </w:tr>
      <w:tr w:rsidR="007572E0" w:rsidRPr="00830F02" w14:paraId="7FDE2B7D" w14:textId="77777777" w:rsidTr="00E56BD0">
        <w:trPr>
          <w:cantSplit/>
          <w:trHeight w:val="356"/>
          <w:jc w:val="center"/>
        </w:trPr>
        <w:tc>
          <w:tcPr>
            <w:tcW w:w="1730" w:type="pct"/>
            <w:shd w:val="clear" w:color="auto" w:fill="D9D9D9" w:themeFill="background1" w:themeFillShade="D9"/>
          </w:tcPr>
          <w:p w14:paraId="4E931C9C" w14:textId="77777777" w:rsidR="007572E0" w:rsidRPr="00723A4C" w:rsidRDefault="007572E0" w:rsidP="00E56BD0">
            <w:pPr>
              <w:spacing w:after="120"/>
              <w:rPr>
                <w:rFonts w:cstheme="minorHAnsi"/>
                <w:sz w:val="20"/>
                <w:szCs w:val="20"/>
              </w:rPr>
            </w:pPr>
            <w:r w:rsidRPr="00723A4C">
              <w:rPr>
                <w:rFonts w:cstheme="minorHAnsi"/>
                <w:b/>
                <w:sz w:val="20"/>
                <w:szCs w:val="20"/>
              </w:rPr>
              <w:t>Target</w:t>
            </w:r>
          </w:p>
        </w:tc>
        <w:tc>
          <w:tcPr>
            <w:tcW w:w="865" w:type="pct"/>
            <w:shd w:val="clear" w:color="auto" w:fill="D9D9D9" w:themeFill="background1" w:themeFillShade="D9"/>
            <w:vAlign w:val="center"/>
          </w:tcPr>
          <w:p w14:paraId="7CBD751E" w14:textId="77777777" w:rsidR="007572E0" w:rsidRPr="00723A4C" w:rsidRDefault="007572E0" w:rsidP="00E56BD0">
            <w:pPr>
              <w:spacing w:after="120"/>
              <w:jc w:val="center"/>
              <w:rPr>
                <w:rFonts w:cstheme="minorHAnsi"/>
                <w:sz w:val="20"/>
                <w:szCs w:val="20"/>
              </w:rPr>
            </w:pPr>
            <w:r w:rsidRPr="00723A4C">
              <w:rPr>
                <w:rFonts w:cstheme="minorHAnsi"/>
                <w:b/>
                <w:sz w:val="20"/>
                <w:szCs w:val="20"/>
              </w:rPr>
              <w:t>2023–24</w:t>
            </w:r>
          </w:p>
        </w:tc>
        <w:tc>
          <w:tcPr>
            <w:tcW w:w="865" w:type="pct"/>
            <w:shd w:val="clear" w:color="auto" w:fill="D9D9D9" w:themeFill="background1" w:themeFillShade="D9"/>
            <w:vAlign w:val="center"/>
          </w:tcPr>
          <w:p w14:paraId="0B43080C" w14:textId="77777777" w:rsidR="007572E0" w:rsidRPr="00723A4C" w:rsidRDefault="007572E0" w:rsidP="00E56BD0">
            <w:pPr>
              <w:spacing w:after="120"/>
              <w:jc w:val="center"/>
              <w:rPr>
                <w:rFonts w:cstheme="minorHAnsi"/>
                <w:b/>
                <w:sz w:val="20"/>
                <w:szCs w:val="20"/>
              </w:rPr>
            </w:pPr>
            <w:r w:rsidRPr="00723A4C">
              <w:rPr>
                <w:rFonts w:cstheme="minorHAnsi"/>
                <w:b/>
                <w:sz w:val="20"/>
                <w:szCs w:val="20"/>
              </w:rPr>
              <w:t>2024–25</w:t>
            </w:r>
          </w:p>
        </w:tc>
        <w:tc>
          <w:tcPr>
            <w:tcW w:w="788" w:type="pct"/>
            <w:shd w:val="clear" w:color="auto" w:fill="D9D9D9" w:themeFill="background1" w:themeFillShade="D9"/>
            <w:vAlign w:val="center"/>
          </w:tcPr>
          <w:p w14:paraId="2598697C" w14:textId="77777777" w:rsidR="007572E0" w:rsidRPr="00723A4C" w:rsidRDefault="007572E0" w:rsidP="00E56BD0">
            <w:pPr>
              <w:spacing w:after="120"/>
              <w:jc w:val="center"/>
              <w:rPr>
                <w:rFonts w:cstheme="minorHAnsi"/>
                <w:b/>
                <w:sz w:val="20"/>
                <w:szCs w:val="20"/>
              </w:rPr>
            </w:pPr>
            <w:r w:rsidRPr="00723A4C">
              <w:rPr>
                <w:rFonts w:cstheme="minorHAnsi"/>
                <w:b/>
                <w:sz w:val="20"/>
                <w:szCs w:val="20"/>
              </w:rPr>
              <w:t>2025–26</w:t>
            </w:r>
          </w:p>
        </w:tc>
        <w:tc>
          <w:tcPr>
            <w:tcW w:w="751" w:type="pct"/>
            <w:shd w:val="clear" w:color="auto" w:fill="D9D9D9" w:themeFill="background1" w:themeFillShade="D9"/>
            <w:vAlign w:val="center"/>
          </w:tcPr>
          <w:p w14:paraId="63138B91" w14:textId="77777777" w:rsidR="007572E0" w:rsidRPr="00723A4C" w:rsidRDefault="007572E0" w:rsidP="00E56BD0">
            <w:pPr>
              <w:spacing w:after="120"/>
              <w:jc w:val="center"/>
              <w:rPr>
                <w:rFonts w:cstheme="minorHAnsi"/>
                <w:b/>
                <w:sz w:val="20"/>
                <w:szCs w:val="20"/>
              </w:rPr>
            </w:pPr>
            <w:r w:rsidRPr="00723A4C">
              <w:rPr>
                <w:rFonts w:cstheme="minorHAnsi"/>
                <w:b/>
                <w:sz w:val="20"/>
                <w:szCs w:val="20"/>
              </w:rPr>
              <w:t>2026–27</w:t>
            </w:r>
          </w:p>
        </w:tc>
      </w:tr>
      <w:tr w:rsidR="007572E0" w:rsidRPr="00830F02" w14:paraId="5324104D" w14:textId="77777777" w:rsidTr="00E56BD0">
        <w:trPr>
          <w:cantSplit/>
          <w:trHeight w:val="356"/>
          <w:jc w:val="center"/>
        </w:trPr>
        <w:tc>
          <w:tcPr>
            <w:tcW w:w="1730" w:type="pct"/>
            <w:shd w:val="clear" w:color="auto" w:fill="FFFFFF" w:themeFill="background1"/>
          </w:tcPr>
          <w:p w14:paraId="0937573F" w14:textId="77777777" w:rsidR="007572E0" w:rsidRPr="00723A4C" w:rsidRDefault="007572E0" w:rsidP="00E56BD0">
            <w:pPr>
              <w:spacing w:after="120"/>
              <w:rPr>
                <w:rFonts w:cstheme="minorHAnsi"/>
                <w:sz w:val="20"/>
                <w:szCs w:val="20"/>
              </w:rPr>
            </w:pPr>
            <w:r w:rsidRPr="00723A4C">
              <w:rPr>
                <w:rFonts w:cstheme="minorHAnsi"/>
                <w:noProof/>
                <w:sz w:val="20"/>
                <w:szCs w:val="20"/>
              </w:rPr>
              <w:sym w:font="Wingdings" w:char="F074"/>
            </w:r>
            <w:r w:rsidRPr="00723A4C">
              <w:rPr>
                <w:rFonts w:cstheme="minorHAnsi"/>
                <w:sz w:val="20"/>
                <w:szCs w:val="20"/>
              </w:rPr>
              <w:t xml:space="preserve"> 2.1.2-1A - Demonstrated achievement of continued successful delivery of initiatives under the National Plan to End Violence against Women and Children 2022-2032.</w:t>
            </w:r>
          </w:p>
        </w:tc>
        <w:tc>
          <w:tcPr>
            <w:tcW w:w="865" w:type="pct"/>
            <w:shd w:val="clear" w:color="auto" w:fill="FFFFFF" w:themeFill="background1"/>
          </w:tcPr>
          <w:p w14:paraId="2B1AB0AE" w14:textId="77777777" w:rsidR="007572E0" w:rsidRPr="00723A4C" w:rsidRDefault="007572E0" w:rsidP="00E56BD0">
            <w:pPr>
              <w:spacing w:after="120"/>
              <w:rPr>
                <w:rFonts w:cstheme="minorHAnsi"/>
                <w:sz w:val="20"/>
                <w:szCs w:val="20"/>
              </w:rPr>
            </w:pPr>
            <w:r w:rsidRPr="00723A4C">
              <w:rPr>
                <w:rFonts w:cstheme="minorHAnsi"/>
                <w:sz w:val="20"/>
                <w:szCs w:val="20"/>
              </w:rPr>
              <w:t>The department will report outputs for 8 significant initiatives</w:t>
            </w:r>
          </w:p>
        </w:tc>
        <w:tc>
          <w:tcPr>
            <w:tcW w:w="865" w:type="pct"/>
            <w:shd w:val="clear" w:color="auto" w:fill="FFFFFF" w:themeFill="background1"/>
          </w:tcPr>
          <w:p w14:paraId="39F8BDCE" w14:textId="77777777" w:rsidR="007572E0" w:rsidRPr="00723A4C" w:rsidRDefault="007572E0" w:rsidP="00E56BD0">
            <w:pPr>
              <w:spacing w:after="120"/>
              <w:rPr>
                <w:rFonts w:cstheme="minorHAnsi"/>
                <w:sz w:val="20"/>
                <w:szCs w:val="20"/>
              </w:rPr>
            </w:pPr>
            <w:r w:rsidRPr="00723A4C">
              <w:rPr>
                <w:rFonts w:cstheme="minorHAnsi"/>
                <w:sz w:val="20"/>
                <w:szCs w:val="20"/>
              </w:rPr>
              <w:t>The department will report outputs for 8 significant initiatives</w:t>
            </w:r>
          </w:p>
        </w:tc>
        <w:tc>
          <w:tcPr>
            <w:tcW w:w="788" w:type="pct"/>
            <w:shd w:val="clear" w:color="auto" w:fill="FFFFFF" w:themeFill="background1"/>
          </w:tcPr>
          <w:p w14:paraId="16966354" w14:textId="77777777" w:rsidR="007572E0" w:rsidRPr="00723A4C" w:rsidRDefault="007572E0" w:rsidP="00E56BD0">
            <w:pPr>
              <w:spacing w:after="120"/>
              <w:rPr>
                <w:rFonts w:cstheme="minorHAnsi"/>
                <w:sz w:val="20"/>
                <w:szCs w:val="20"/>
              </w:rPr>
            </w:pPr>
            <w:r w:rsidRPr="00723A4C">
              <w:rPr>
                <w:rFonts w:cstheme="minorHAnsi"/>
                <w:sz w:val="20"/>
                <w:szCs w:val="20"/>
              </w:rPr>
              <w:t xml:space="preserve">The department will report </w:t>
            </w:r>
            <w:r>
              <w:rPr>
                <w:rFonts w:cstheme="minorHAnsi"/>
                <w:sz w:val="20"/>
                <w:szCs w:val="20"/>
              </w:rPr>
              <w:t xml:space="preserve">select </w:t>
            </w:r>
            <w:r w:rsidRPr="00723A4C">
              <w:rPr>
                <w:rFonts w:cstheme="minorHAnsi"/>
                <w:sz w:val="20"/>
                <w:szCs w:val="20"/>
              </w:rPr>
              <w:t>outcomes under the National plan</w:t>
            </w:r>
          </w:p>
        </w:tc>
        <w:tc>
          <w:tcPr>
            <w:tcW w:w="751" w:type="pct"/>
            <w:shd w:val="clear" w:color="auto" w:fill="FFFFFF" w:themeFill="background1"/>
          </w:tcPr>
          <w:p w14:paraId="226D38AD" w14:textId="77777777" w:rsidR="007572E0" w:rsidRPr="00723A4C" w:rsidRDefault="007572E0" w:rsidP="00E56BD0">
            <w:pPr>
              <w:spacing w:after="120"/>
              <w:rPr>
                <w:rFonts w:cstheme="minorHAnsi"/>
                <w:sz w:val="20"/>
                <w:szCs w:val="20"/>
              </w:rPr>
            </w:pPr>
            <w:r w:rsidRPr="00723A4C">
              <w:rPr>
                <w:rFonts w:cstheme="minorHAnsi"/>
                <w:sz w:val="20"/>
                <w:szCs w:val="20"/>
              </w:rPr>
              <w:t xml:space="preserve">The department will report </w:t>
            </w:r>
            <w:r>
              <w:rPr>
                <w:rFonts w:cstheme="minorHAnsi"/>
                <w:sz w:val="20"/>
                <w:szCs w:val="20"/>
              </w:rPr>
              <w:t xml:space="preserve">select </w:t>
            </w:r>
            <w:r w:rsidRPr="00723A4C">
              <w:rPr>
                <w:rFonts w:cstheme="minorHAnsi"/>
                <w:sz w:val="20"/>
                <w:szCs w:val="20"/>
              </w:rPr>
              <w:t>outcomes under the National plan</w:t>
            </w:r>
          </w:p>
        </w:tc>
      </w:tr>
    </w:tbl>
    <w:p w14:paraId="27B2073A" w14:textId="77777777" w:rsidR="00013CF0" w:rsidRDefault="00013CF0" w:rsidP="00013CF0">
      <w:pPr>
        <w:pStyle w:val="Heading4"/>
        <w:shd w:val="clear" w:color="auto" w:fill="auto"/>
      </w:pPr>
    </w:p>
    <w:p w14:paraId="68592A0D" w14:textId="74276DF3" w:rsidR="007572E0" w:rsidRPr="00830F02" w:rsidRDefault="007572E0" w:rsidP="00027309">
      <w:pPr>
        <w:pStyle w:val="Heading4"/>
        <w:shd w:val="clear" w:color="auto" w:fill="D9D9D9" w:themeFill="background1" w:themeFillShade="D9"/>
      </w:pPr>
      <w:r w:rsidRPr="00830F02">
        <w:t>Rationale</w:t>
      </w:r>
    </w:p>
    <w:p w14:paraId="3FAF2E1B" w14:textId="77777777" w:rsidR="007572E0" w:rsidRPr="00830F02" w:rsidRDefault="007572E0" w:rsidP="009008FD">
      <w:pPr>
        <w:pStyle w:val="Normalmorespace"/>
        <w:rPr>
          <w:rFonts w:eastAsia="Calibri"/>
        </w:rPr>
      </w:pPr>
      <w:r w:rsidRPr="00830F02">
        <w:rPr>
          <w:rFonts w:eastAsia="Calibri"/>
        </w:rPr>
        <w:t xml:space="preserve">This measure primarily demonstrates the achievement of </w:t>
      </w:r>
      <w:r w:rsidRPr="00830F02">
        <w:rPr>
          <w:rFonts w:eastAsia="Calibri"/>
          <w:b/>
        </w:rPr>
        <w:t>outputs</w:t>
      </w:r>
      <w:r w:rsidRPr="00830F02">
        <w:rPr>
          <w:rFonts w:eastAsia="Calibri"/>
        </w:rPr>
        <w:t xml:space="preserve"> of Women’s Safety key activities, supporting the achievement of its objective: to implement the National Plan, which includes strategies and </w:t>
      </w:r>
      <w:r w:rsidRPr="00437883">
        <w:rPr>
          <w:rFonts w:eastAsia="Calibri"/>
        </w:rPr>
        <w:t>initiatives</w:t>
      </w:r>
      <w:r w:rsidRPr="00830F02">
        <w:rPr>
          <w:rFonts w:eastAsia="Calibri"/>
        </w:rPr>
        <w:t xml:space="preserve"> led by the Commonwealth, state and territory governments. </w:t>
      </w:r>
    </w:p>
    <w:p w14:paraId="3E88A58A" w14:textId="77777777" w:rsidR="007572E0" w:rsidRPr="00830F02" w:rsidRDefault="007572E0" w:rsidP="009008FD">
      <w:pPr>
        <w:pStyle w:val="Normalmorespace"/>
        <w:rPr>
          <w:rFonts w:eastAsia="Calibri"/>
        </w:rPr>
      </w:pPr>
      <w:r w:rsidRPr="00830F02">
        <w:rPr>
          <w:rFonts w:eastAsia="Calibri"/>
        </w:rPr>
        <w:t xml:space="preserve">Reporting outputs for significant initiatives the </w:t>
      </w:r>
      <w:r>
        <w:rPr>
          <w:rFonts w:eastAsia="Calibri"/>
        </w:rPr>
        <w:t>d</w:t>
      </w:r>
      <w:r w:rsidRPr="00830F02">
        <w:rPr>
          <w:rFonts w:eastAsia="Calibri"/>
        </w:rPr>
        <w:t>epartment continues to administer through the National Plan, will demonstrate achievement under this key activity.</w:t>
      </w:r>
    </w:p>
    <w:p w14:paraId="1B436FE8" w14:textId="77777777" w:rsidR="007572E0" w:rsidRDefault="007572E0" w:rsidP="009008FD">
      <w:pPr>
        <w:pStyle w:val="Normalmorespace"/>
        <w:rPr>
          <w:rFonts w:eastAsia="Calibri"/>
        </w:rPr>
      </w:pPr>
      <w:r w:rsidRPr="006B0F61">
        <w:rPr>
          <w:rFonts w:eastAsia="Calibri"/>
        </w:rPr>
        <w:t>The 8 initiatives</w:t>
      </w:r>
      <w:r w:rsidRPr="00830F02">
        <w:rPr>
          <w:rFonts w:eastAsia="Calibri"/>
        </w:rPr>
        <w:t xml:space="preserve"> selected for reporting through this target are nationally focussed programs that contribute to addressing the prevention, early intervention</w:t>
      </w:r>
      <w:r w:rsidRPr="00830F02" w:rsidDel="00DF5C03">
        <w:rPr>
          <w:rFonts w:eastAsia="Calibri"/>
        </w:rPr>
        <w:t xml:space="preserve"> and</w:t>
      </w:r>
      <w:r w:rsidRPr="00830F02">
        <w:rPr>
          <w:rFonts w:eastAsia="Calibri"/>
        </w:rPr>
        <w:t xml:space="preserve"> response domains of the National Plan as well as supporting the continued development of the national evidence base. </w:t>
      </w:r>
    </w:p>
    <w:p w14:paraId="0528E9C8" w14:textId="5B00553A" w:rsidR="007572E0" w:rsidRDefault="007572E0" w:rsidP="009008FD">
      <w:pPr>
        <w:pStyle w:val="Normalmorespace"/>
      </w:pPr>
      <w:r w:rsidRPr="00830F02">
        <w:t xml:space="preserve">The </w:t>
      </w:r>
      <w:r>
        <w:t>d</w:t>
      </w:r>
      <w:r w:rsidRPr="00830F02">
        <w:t xml:space="preserve">epartment will report outputs for these </w:t>
      </w:r>
      <w:r>
        <w:t>8</w:t>
      </w:r>
      <w:r w:rsidRPr="00830F02">
        <w:t xml:space="preserve"> initiatives </w:t>
      </w:r>
      <w:r>
        <w:t>in 2023-24 and 2024-25 while the evidence base is built to support outcomes reporting</w:t>
      </w:r>
      <w:r w:rsidRPr="00830F02">
        <w:t xml:space="preserve"> </w:t>
      </w:r>
      <w:r>
        <w:t>where appropriate.</w:t>
      </w:r>
    </w:p>
    <w:p w14:paraId="36D27979" w14:textId="4EE17E83" w:rsidR="00437883" w:rsidRDefault="00437883" w:rsidP="009008FD">
      <w:pPr>
        <w:pStyle w:val="Normalmorespace"/>
      </w:pPr>
    </w:p>
    <w:p w14:paraId="0D9D509C" w14:textId="77777777" w:rsidR="007572E0" w:rsidRPr="002873F2" w:rsidRDefault="007572E0" w:rsidP="007572E0">
      <w:pPr>
        <w:rPr>
          <w:rFonts w:eastAsia="Calibri"/>
          <w:b/>
          <w:sz w:val="20"/>
          <w:szCs w:val="20"/>
        </w:rPr>
      </w:pPr>
      <w:r w:rsidRPr="002873F2">
        <w:rPr>
          <w:rFonts w:eastAsia="Calibri"/>
          <w:b/>
          <w:sz w:val="20"/>
          <w:szCs w:val="20"/>
        </w:rPr>
        <w:t>Success Criteria</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3"/>
        <w:gridCol w:w="1848"/>
        <w:gridCol w:w="5665"/>
      </w:tblGrid>
      <w:tr w:rsidR="007572E0" w14:paraId="404255DF" w14:textId="77777777" w:rsidTr="007B0D41">
        <w:trPr>
          <w:tblHeader/>
        </w:trPr>
        <w:tc>
          <w:tcPr>
            <w:tcW w:w="1833" w:type="dxa"/>
            <w:shd w:val="clear" w:color="auto" w:fill="154C56"/>
          </w:tcPr>
          <w:p w14:paraId="672A37ED" w14:textId="77777777" w:rsidR="007572E0" w:rsidRDefault="007572E0" w:rsidP="00E56BD0">
            <w:pPr>
              <w:pStyle w:val="ListParagraph"/>
              <w:spacing w:before="60" w:after="60" w:line="252" w:lineRule="auto"/>
              <w:ind w:left="0" w:right="96"/>
              <w:contextualSpacing w:val="0"/>
              <w:rPr>
                <w:b/>
                <w:bCs/>
              </w:rPr>
            </w:pPr>
            <w:r>
              <w:rPr>
                <w:b/>
                <w:bCs/>
              </w:rPr>
              <w:t>Data category</w:t>
            </w:r>
          </w:p>
        </w:tc>
        <w:tc>
          <w:tcPr>
            <w:tcW w:w="1848" w:type="dxa"/>
            <w:shd w:val="clear" w:color="auto" w:fill="154C56"/>
            <w:tcMar>
              <w:top w:w="0" w:type="dxa"/>
              <w:left w:w="108" w:type="dxa"/>
              <w:bottom w:w="0" w:type="dxa"/>
              <w:right w:w="108" w:type="dxa"/>
            </w:tcMar>
            <w:vAlign w:val="center"/>
            <w:hideMark/>
          </w:tcPr>
          <w:p w14:paraId="59B07555" w14:textId="77777777" w:rsidR="007572E0" w:rsidRDefault="007572E0" w:rsidP="00013CF0">
            <w:pPr>
              <w:pStyle w:val="ListParagraph"/>
              <w:spacing w:before="60" w:after="60" w:line="252" w:lineRule="auto"/>
              <w:ind w:left="0" w:right="96"/>
              <w:contextualSpacing w:val="0"/>
              <w:rPr>
                <w:b/>
                <w:bCs/>
                <w:spacing w:val="0"/>
                <w:sz w:val="20"/>
                <w:szCs w:val="20"/>
                <w:lang w:eastAsia="en-US"/>
              </w:rPr>
            </w:pPr>
            <w:r>
              <w:rPr>
                <w:b/>
                <w:bCs/>
              </w:rPr>
              <w:t>Initiative</w:t>
            </w:r>
          </w:p>
        </w:tc>
        <w:tc>
          <w:tcPr>
            <w:tcW w:w="5665" w:type="dxa"/>
            <w:shd w:val="clear" w:color="auto" w:fill="154C56"/>
            <w:tcMar>
              <w:top w:w="0" w:type="dxa"/>
              <w:left w:w="108" w:type="dxa"/>
              <w:bottom w:w="0" w:type="dxa"/>
              <w:right w:w="108" w:type="dxa"/>
            </w:tcMar>
            <w:vAlign w:val="center"/>
            <w:hideMark/>
          </w:tcPr>
          <w:p w14:paraId="61922FD8" w14:textId="77777777" w:rsidR="007572E0" w:rsidRDefault="007572E0" w:rsidP="00013CF0">
            <w:pPr>
              <w:pStyle w:val="ListParagraph"/>
              <w:spacing w:before="60" w:after="60" w:line="252" w:lineRule="auto"/>
              <w:ind w:left="0" w:right="96"/>
              <w:contextualSpacing w:val="0"/>
              <w:rPr>
                <w:b/>
                <w:bCs/>
              </w:rPr>
            </w:pPr>
            <w:r>
              <w:rPr>
                <w:b/>
                <w:bCs/>
              </w:rPr>
              <w:t xml:space="preserve">Measure </w:t>
            </w:r>
          </w:p>
        </w:tc>
      </w:tr>
      <w:tr w:rsidR="007572E0" w14:paraId="2DF568BE" w14:textId="77777777" w:rsidTr="00437883">
        <w:tc>
          <w:tcPr>
            <w:tcW w:w="1833" w:type="dxa"/>
          </w:tcPr>
          <w:p w14:paraId="4BE53523" w14:textId="77777777" w:rsidR="007572E0" w:rsidRDefault="007572E0" w:rsidP="00E56BD0">
            <w:pPr>
              <w:rPr>
                <w:sz w:val="20"/>
                <w:szCs w:val="20"/>
              </w:rPr>
            </w:pPr>
            <w:r>
              <w:rPr>
                <w:noProof/>
                <w:color w:val="000000" w:themeColor="text1"/>
              </w:rPr>
              <mc:AlternateContent>
                <mc:Choice Requires="wps">
                  <w:drawing>
                    <wp:anchor distT="0" distB="0" distL="114300" distR="114300" simplePos="0" relativeHeight="251660339" behindDoc="0" locked="0" layoutInCell="1" allowOverlap="1" wp14:anchorId="576D9249" wp14:editId="4A624ECC">
                      <wp:simplePos x="0" y="0"/>
                      <wp:positionH relativeFrom="column">
                        <wp:posOffset>240665</wp:posOffset>
                      </wp:positionH>
                      <wp:positionV relativeFrom="paragraph">
                        <wp:posOffset>209550</wp:posOffset>
                      </wp:positionV>
                      <wp:extent cx="446400" cy="327600"/>
                      <wp:effectExtent l="0" t="0" r="11430" b="15875"/>
                      <wp:wrapNone/>
                      <wp:docPr id="676" name="Rounded Rectangle 676"/>
                      <wp:cNvGraphicFramePr/>
                      <a:graphic xmlns:a="http://schemas.openxmlformats.org/drawingml/2006/main">
                        <a:graphicData uri="http://schemas.microsoft.com/office/word/2010/wordprocessingShape">
                          <wps:wsp>
                            <wps:cNvSpPr/>
                            <wps:spPr>
                              <a:xfrm>
                                <a:off x="0" y="0"/>
                                <a:ext cx="446400" cy="327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AB7D03" w14:textId="77777777" w:rsidR="00027309" w:rsidRPr="00F24CAC" w:rsidRDefault="00027309" w:rsidP="00FA45F4">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6D9249" id="Rounded Rectangle 676" o:spid="_x0000_s1031" style="position:absolute;margin-left:18.95pt;margin-top:16.5pt;width:35.15pt;height:25.8pt;z-index:251660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" fillcolor="#005a70 [3204]" strokecolor="#002c37 [1604]" strokeweight=".73403mm">
                      <v:textbox>
                        <w:txbxContent>
                          <w:p w14:paraId="02AB7D03" w14:textId="77777777" w:rsidR="00027309" w:rsidRPr="00F24CAC" w:rsidRDefault="00027309" w:rsidP="00FA45F4">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v:textbox>
                    </v:roundrect>
                  </w:pict>
                </mc:Fallback>
              </mc:AlternateContent>
            </w:r>
          </w:p>
        </w:tc>
        <w:tc>
          <w:tcPr>
            <w:tcW w:w="1848" w:type="dxa"/>
            <w:tcMar>
              <w:top w:w="0" w:type="dxa"/>
              <w:left w:w="108" w:type="dxa"/>
              <w:bottom w:w="0" w:type="dxa"/>
              <w:right w:w="108" w:type="dxa"/>
            </w:tcMar>
            <w:vAlign w:val="center"/>
            <w:hideMark/>
          </w:tcPr>
          <w:p w14:paraId="3334537C" w14:textId="77777777" w:rsidR="007572E0" w:rsidRDefault="007572E0" w:rsidP="00013CF0">
            <w:pPr>
              <w:rPr>
                <w:sz w:val="20"/>
                <w:szCs w:val="20"/>
              </w:rPr>
            </w:pPr>
            <w:r>
              <w:rPr>
                <w:sz w:val="20"/>
                <w:szCs w:val="20"/>
              </w:rPr>
              <w:t>1800RESPECT</w:t>
            </w:r>
          </w:p>
        </w:tc>
        <w:tc>
          <w:tcPr>
            <w:tcW w:w="5665" w:type="dxa"/>
            <w:tcMar>
              <w:top w:w="0" w:type="dxa"/>
              <w:left w:w="108" w:type="dxa"/>
              <w:bottom w:w="0" w:type="dxa"/>
              <w:right w:w="108" w:type="dxa"/>
            </w:tcMar>
            <w:vAlign w:val="center"/>
            <w:hideMark/>
          </w:tcPr>
          <w:p w14:paraId="797398BB" w14:textId="77777777" w:rsidR="007572E0" w:rsidRDefault="007572E0" w:rsidP="00013CF0">
            <w:pPr>
              <w:spacing w:after="120" w:line="252" w:lineRule="auto"/>
              <w:rPr>
                <w:sz w:val="20"/>
                <w:szCs w:val="20"/>
              </w:rPr>
            </w:pPr>
            <w:r>
              <w:rPr>
                <w:sz w:val="20"/>
                <w:szCs w:val="20"/>
              </w:rPr>
              <w:t>The number of calls answered within 20 seconds.</w:t>
            </w:r>
          </w:p>
          <w:p w14:paraId="290E8AF4" w14:textId="150815DD" w:rsidR="007572E0" w:rsidRPr="00013CF0" w:rsidRDefault="007572E0" w:rsidP="00013CF0">
            <w:pPr>
              <w:spacing w:after="120" w:line="252" w:lineRule="auto"/>
              <w:rPr>
                <w:sz w:val="20"/>
                <w:szCs w:val="20"/>
              </w:rPr>
            </w:pPr>
            <w:r>
              <w:rPr>
                <w:sz w:val="20"/>
                <w:szCs w:val="20"/>
              </w:rPr>
              <w:t>This is calculated as a percentage of the total number of calls answered and number of calls abandoned (minus the number of cal</w:t>
            </w:r>
            <w:r w:rsidR="00013CF0">
              <w:rPr>
                <w:sz w:val="20"/>
                <w:szCs w:val="20"/>
              </w:rPr>
              <w:t>ls abandoned within 5 seconds).</w:t>
            </w:r>
          </w:p>
        </w:tc>
      </w:tr>
      <w:tr w:rsidR="007572E0" w14:paraId="0CEB8C74" w14:textId="77777777" w:rsidTr="00437883">
        <w:tc>
          <w:tcPr>
            <w:tcW w:w="1833" w:type="dxa"/>
          </w:tcPr>
          <w:p w14:paraId="3ABFFA0B" w14:textId="77777777" w:rsidR="007572E0" w:rsidRDefault="007572E0" w:rsidP="00E56BD0">
            <w:pPr>
              <w:rPr>
                <w:sz w:val="20"/>
                <w:szCs w:val="20"/>
              </w:rPr>
            </w:pPr>
            <w:r>
              <w:rPr>
                <w:noProof/>
                <w:color w:val="000000" w:themeColor="text1"/>
              </w:rPr>
              <mc:AlternateContent>
                <mc:Choice Requires="wps">
                  <w:drawing>
                    <wp:anchor distT="0" distB="0" distL="114300" distR="114300" simplePos="0" relativeHeight="251661363" behindDoc="0" locked="0" layoutInCell="1" allowOverlap="1" wp14:anchorId="754FBF47" wp14:editId="0F69F637">
                      <wp:simplePos x="0" y="0"/>
                      <wp:positionH relativeFrom="column">
                        <wp:posOffset>240665</wp:posOffset>
                      </wp:positionH>
                      <wp:positionV relativeFrom="paragraph">
                        <wp:posOffset>118059</wp:posOffset>
                      </wp:positionV>
                      <wp:extent cx="449356" cy="322729"/>
                      <wp:effectExtent l="0" t="0" r="27305" b="20320"/>
                      <wp:wrapNone/>
                      <wp:docPr id="677" name="Rounded Rectangle 677"/>
                      <wp:cNvGraphicFramePr/>
                      <a:graphic xmlns:a="http://schemas.openxmlformats.org/drawingml/2006/main">
                        <a:graphicData uri="http://schemas.microsoft.com/office/word/2010/wordprocessingShape">
                          <wps:wsp>
                            <wps:cNvSpPr/>
                            <wps:spPr>
                              <a:xfrm>
                                <a:off x="0" y="0"/>
                                <a:ext cx="449356" cy="32272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E79EDB" w14:textId="77777777" w:rsidR="00027309" w:rsidRPr="00F24CAC" w:rsidRDefault="00027309" w:rsidP="00FA45F4">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FBF47" id="Rounded Rectangle 677" o:spid="_x0000_s1032" style="position:absolute;margin-left:18.95pt;margin-top:9.3pt;width:35.4pt;height:25.4pt;z-index:251661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" fillcolor="#005a70 [3204]" strokecolor="#002c37 [1604]" strokeweight=".73403mm">
                      <v:textbox>
                        <w:txbxContent>
                          <w:p w14:paraId="07E79EDB" w14:textId="77777777" w:rsidR="00027309" w:rsidRPr="00F24CAC" w:rsidRDefault="00027309" w:rsidP="00FA45F4">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v:textbox>
                    </v:roundrect>
                  </w:pict>
                </mc:Fallback>
              </mc:AlternateContent>
            </w:r>
          </w:p>
        </w:tc>
        <w:tc>
          <w:tcPr>
            <w:tcW w:w="1848" w:type="dxa"/>
            <w:tcMar>
              <w:top w:w="0" w:type="dxa"/>
              <w:left w:w="108" w:type="dxa"/>
              <w:bottom w:w="0" w:type="dxa"/>
              <w:right w:w="108" w:type="dxa"/>
            </w:tcMar>
            <w:vAlign w:val="center"/>
            <w:hideMark/>
          </w:tcPr>
          <w:p w14:paraId="71E85A99" w14:textId="77777777" w:rsidR="007572E0" w:rsidRDefault="007572E0" w:rsidP="00013CF0">
            <w:pPr>
              <w:rPr>
                <w:sz w:val="20"/>
                <w:szCs w:val="20"/>
              </w:rPr>
            </w:pPr>
            <w:r>
              <w:rPr>
                <w:sz w:val="20"/>
                <w:szCs w:val="20"/>
              </w:rPr>
              <w:t xml:space="preserve">Our Watch </w:t>
            </w:r>
          </w:p>
        </w:tc>
        <w:tc>
          <w:tcPr>
            <w:tcW w:w="5665" w:type="dxa"/>
            <w:tcMar>
              <w:top w:w="0" w:type="dxa"/>
              <w:left w:w="108" w:type="dxa"/>
              <w:bottom w:w="0" w:type="dxa"/>
              <w:right w:w="108" w:type="dxa"/>
            </w:tcMar>
            <w:vAlign w:val="center"/>
            <w:hideMark/>
          </w:tcPr>
          <w:p w14:paraId="6C80312D" w14:textId="68460C0B" w:rsidR="007572E0" w:rsidRDefault="007572E0" w:rsidP="00013CF0">
            <w:pPr>
              <w:spacing w:after="120" w:line="252" w:lineRule="auto"/>
              <w:rPr>
                <w:b/>
                <w:bCs/>
                <w:sz w:val="20"/>
                <w:szCs w:val="20"/>
              </w:rPr>
            </w:pPr>
            <w:r>
              <w:rPr>
                <w:sz w:val="20"/>
                <w:szCs w:val="20"/>
              </w:rPr>
              <w:t>Number of new pieces of content (articles, videos etc) published by Our Watch on The Line website and/or relevant social media channels.</w:t>
            </w:r>
          </w:p>
        </w:tc>
      </w:tr>
      <w:tr w:rsidR="007572E0" w14:paraId="602C8CA8" w14:textId="77777777" w:rsidTr="00437883">
        <w:tc>
          <w:tcPr>
            <w:tcW w:w="1833" w:type="dxa"/>
          </w:tcPr>
          <w:p w14:paraId="4377F06B" w14:textId="77777777" w:rsidR="007572E0" w:rsidRDefault="007572E0" w:rsidP="00E56BD0">
            <w:pPr>
              <w:rPr>
                <w:sz w:val="20"/>
                <w:szCs w:val="20"/>
              </w:rPr>
            </w:pPr>
            <w:r>
              <w:rPr>
                <w:noProof/>
                <w:color w:val="000000" w:themeColor="text1"/>
              </w:rPr>
              <mc:AlternateContent>
                <mc:Choice Requires="wps">
                  <w:drawing>
                    <wp:anchor distT="0" distB="0" distL="114300" distR="114300" simplePos="0" relativeHeight="251662387" behindDoc="0" locked="0" layoutInCell="1" allowOverlap="1" wp14:anchorId="6F17535A" wp14:editId="5DA64622">
                      <wp:simplePos x="0" y="0"/>
                      <wp:positionH relativeFrom="column">
                        <wp:posOffset>240030</wp:posOffset>
                      </wp:positionH>
                      <wp:positionV relativeFrom="paragraph">
                        <wp:posOffset>141316</wp:posOffset>
                      </wp:positionV>
                      <wp:extent cx="449356" cy="322729"/>
                      <wp:effectExtent l="0" t="0" r="27305" b="20320"/>
                      <wp:wrapNone/>
                      <wp:docPr id="681" name="Rounded Rectangle 681"/>
                      <wp:cNvGraphicFramePr/>
                      <a:graphic xmlns:a="http://schemas.openxmlformats.org/drawingml/2006/main">
                        <a:graphicData uri="http://schemas.microsoft.com/office/word/2010/wordprocessingShape">
                          <wps:wsp>
                            <wps:cNvSpPr/>
                            <wps:spPr>
                              <a:xfrm>
                                <a:off x="0" y="0"/>
                                <a:ext cx="449356" cy="32272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C5E4F7" w14:textId="77777777" w:rsidR="00027309" w:rsidRPr="00F24CAC" w:rsidRDefault="00027309" w:rsidP="00FA45F4">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7535A" id="Rounded Rectangle 681" o:spid="_x0000_s1033" style="position:absolute;margin-left:18.9pt;margin-top:11.15pt;width:35.4pt;height:25.4pt;z-index:251662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" fillcolor="#005a70 [3204]" strokecolor="#002c37 [1604]" strokeweight=".73403mm">
                      <v:textbox>
                        <w:txbxContent>
                          <w:p w14:paraId="5BC5E4F7" w14:textId="77777777" w:rsidR="00027309" w:rsidRPr="00F24CAC" w:rsidRDefault="00027309" w:rsidP="00FA45F4">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v:textbox>
                    </v:roundrect>
                  </w:pict>
                </mc:Fallback>
              </mc:AlternateContent>
            </w:r>
          </w:p>
        </w:tc>
        <w:tc>
          <w:tcPr>
            <w:tcW w:w="1848" w:type="dxa"/>
            <w:tcMar>
              <w:top w:w="0" w:type="dxa"/>
              <w:left w:w="108" w:type="dxa"/>
              <w:bottom w:w="0" w:type="dxa"/>
              <w:right w:w="108" w:type="dxa"/>
            </w:tcMar>
            <w:vAlign w:val="center"/>
            <w:hideMark/>
          </w:tcPr>
          <w:p w14:paraId="6B4F0E23" w14:textId="77777777" w:rsidR="007572E0" w:rsidRDefault="007572E0" w:rsidP="00013CF0">
            <w:pPr>
              <w:rPr>
                <w:sz w:val="20"/>
                <w:szCs w:val="20"/>
              </w:rPr>
            </w:pPr>
            <w:r>
              <w:rPr>
                <w:sz w:val="20"/>
                <w:szCs w:val="20"/>
              </w:rPr>
              <w:t>DV-alert</w:t>
            </w:r>
          </w:p>
        </w:tc>
        <w:tc>
          <w:tcPr>
            <w:tcW w:w="5665" w:type="dxa"/>
            <w:tcMar>
              <w:top w:w="0" w:type="dxa"/>
              <w:left w:w="108" w:type="dxa"/>
              <w:bottom w:w="0" w:type="dxa"/>
              <w:right w:w="108" w:type="dxa"/>
            </w:tcMar>
            <w:vAlign w:val="center"/>
            <w:hideMark/>
          </w:tcPr>
          <w:p w14:paraId="34BD6085" w14:textId="2B09F7CF" w:rsidR="007572E0" w:rsidRDefault="007572E0" w:rsidP="00013CF0">
            <w:pPr>
              <w:spacing w:after="120" w:line="252" w:lineRule="auto"/>
              <w:rPr>
                <w:b/>
                <w:bCs/>
                <w:sz w:val="20"/>
                <w:szCs w:val="20"/>
              </w:rPr>
            </w:pPr>
            <w:r>
              <w:rPr>
                <w:sz w:val="20"/>
                <w:szCs w:val="20"/>
              </w:rPr>
              <w:t>The total number of workshops delivered is calculated as a percentage of the target number of workshops specified for delivery in the Activity Work Plan.</w:t>
            </w:r>
          </w:p>
        </w:tc>
      </w:tr>
      <w:tr w:rsidR="007572E0" w14:paraId="5AC9F73E" w14:textId="77777777" w:rsidTr="00437883">
        <w:tc>
          <w:tcPr>
            <w:tcW w:w="1833" w:type="dxa"/>
          </w:tcPr>
          <w:p w14:paraId="281CE7AB" w14:textId="4DA3AA47" w:rsidR="007572E0" w:rsidRDefault="007572E0" w:rsidP="00E56BD0">
            <w:pPr>
              <w:rPr>
                <w:sz w:val="20"/>
                <w:szCs w:val="20"/>
              </w:rPr>
            </w:pPr>
          </w:p>
        </w:tc>
        <w:tc>
          <w:tcPr>
            <w:tcW w:w="1848" w:type="dxa"/>
            <w:tcMar>
              <w:top w:w="0" w:type="dxa"/>
              <w:left w:w="108" w:type="dxa"/>
              <w:bottom w:w="0" w:type="dxa"/>
              <w:right w:w="108" w:type="dxa"/>
            </w:tcMar>
            <w:vAlign w:val="center"/>
            <w:hideMark/>
          </w:tcPr>
          <w:p w14:paraId="77F04E67" w14:textId="77777777" w:rsidR="007572E0" w:rsidRDefault="007572E0" w:rsidP="00013CF0">
            <w:pPr>
              <w:rPr>
                <w:sz w:val="20"/>
                <w:szCs w:val="20"/>
              </w:rPr>
            </w:pPr>
            <w:r>
              <w:rPr>
                <w:sz w:val="20"/>
                <w:szCs w:val="20"/>
              </w:rPr>
              <w:t>Australia’s National Research Organisation for Women’s Safety (ANROWS)</w:t>
            </w:r>
          </w:p>
        </w:tc>
        <w:tc>
          <w:tcPr>
            <w:tcW w:w="5665" w:type="dxa"/>
            <w:tcMar>
              <w:top w:w="0" w:type="dxa"/>
              <w:left w:w="108" w:type="dxa"/>
              <w:bottom w:w="0" w:type="dxa"/>
              <w:right w:w="108" w:type="dxa"/>
            </w:tcMar>
            <w:vAlign w:val="center"/>
            <w:hideMark/>
          </w:tcPr>
          <w:p w14:paraId="74DCEF01" w14:textId="7FB021C7" w:rsidR="007572E0" w:rsidRDefault="007572E0" w:rsidP="00013CF0">
            <w:pPr>
              <w:spacing w:before="60" w:after="60" w:line="252" w:lineRule="auto"/>
              <w:rPr>
                <w:b/>
                <w:bCs/>
                <w:sz w:val="20"/>
                <w:szCs w:val="20"/>
              </w:rPr>
            </w:pPr>
            <w:r>
              <w:rPr>
                <w:sz w:val="20"/>
                <w:szCs w:val="20"/>
              </w:rPr>
              <w:t>The total number of research and/or technical reports provided to the department and then published on the ANROWS website for the public to access</w:t>
            </w:r>
            <w:r w:rsidR="00013CF0">
              <w:rPr>
                <w:sz w:val="20"/>
                <w:szCs w:val="20"/>
              </w:rPr>
              <w:t xml:space="preserve"> in the 2023-24 financial year.</w:t>
            </w:r>
          </w:p>
        </w:tc>
      </w:tr>
      <w:tr w:rsidR="007572E0" w14:paraId="6ACA6224" w14:textId="77777777" w:rsidTr="00437883">
        <w:trPr>
          <w:trHeight w:val="1090"/>
        </w:trPr>
        <w:tc>
          <w:tcPr>
            <w:tcW w:w="1833" w:type="dxa"/>
          </w:tcPr>
          <w:p w14:paraId="111EE55C" w14:textId="3127CFAC" w:rsidR="007572E0" w:rsidRDefault="007572E0" w:rsidP="00E56BD0">
            <w:pPr>
              <w:rPr>
                <w:sz w:val="20"/>
                <w:szCs w:val="20"/>
              </w:rPr>
            </w:pPr>
            <w:r>
              <w:rPr>
                <w:noProof/>
                <w:color w:val="000000" w:themeColor="text1"/>
              </w:rPr>
              <mc:AlternateContent>
                <mc:Choice Requires="wps">
                  <w:drawing>
                    <wp:anchor distT="0" distB="0" distL="114300" distR="114300" simplePos="0" relativeHeight="251664435" behindDoc="0" locked="0" layoutInCell="1" allowOverlap="1" wp14:anchorId="09AFB310" wp14:editId="1E24694A">
                      <wp:simplePos x="0" y="0"/>
                      <wp:positionH relativeFrom="column">
                        <wp:posOffset>309966</wp:posOffset>
                      </wp:positionH>
                      <wp:positionV relativeFrom="paragraph">
                        <wp:posOffset>200356</wp:posOffset>
                      </wp:positionV>
                      <wp:extent cx="449356" cy="322729"/>
                      <wp:effectExtent l="0" t="0" r="27305" b="20320"/>
                      <wp:wrapNone/>
                      <wp:docPr id="685" name="Rounded Rectangle 685"/>
                      <wp:cNvGraphicFramePr/>
                      <a:graphic xmlns:a="http://schemas.openxmlformats.org/drawingml/2006/main">
                        <a:graphicData uri="http://schemas.microsoft.com/office/word/2010/wordprocessingShape">
                          <wps:wsp>
                            <wps:cNvSpPr/>
                            <wps:spPr>
                              <a:xfrm>
                                <a:off x="0" y="0"/>
                                <a:ext cx="449356" cy="32272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A15715" w14:textId="77777777" w:rsidR="00027309" w:rsidRPr="00F24CAC" w:rsidRDefault="00027309" w:rsidP="00FA45F4">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AFB310" id="Rounded Rectangle 685" o:spid="_x0000_s1034" style="position:absolute;margin-left:24.4pt;margin-top:15.8pt;width:35.4pt;height:25.4pt;z-index:251664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" fillcolor="#005a70 [3204]" strokecolor="#002c37 [1604]" strokeweight=".73403mm">
                      <v:textbox>
                        <w:txbxContent>
                          <w:p w14:paraId="2AA15715" w14:textId="77777777" w:rsidR="00027309" w:rsidRPr="00F24CAC" w:rsidRDefault="00027309" w:rsidP="00FA45F4">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v:textbox>
                    </v:roundrect>
                  </w:pict>
                </mc:Fallback>
              </mc:AlternateContent>
            </w:r>
          </w:p>
        </w:tc>
        <w:tc>
          <w:tcPr>
            <w:tcW w:w="1848" w:type="dxa"/>
            <w:tcMar>
              <w:top w:w="0" w:type="dxa"/>
              <w:left w:w="108" w:type="dxa"/>
              <w:bottom w:w="0" w:type="dxa"/>
              <w:right w:w="108" w:type="dxa"/>
            </w:tcMar>
            <w:vAlign w:val="center"/>
            <w:hideMark/>
          </w:tcPr>
          <w:p w14:paraId="6951BA1C" w14:textId="1AC84674" w:rsidR="007572E0" w:rsidRDefault="00437883" w:rsidP="00013CF0">
            <w:pPr>
              <w:rPr>
                <w:sz w:val="20"/>
                <w:szCs w:val="20"/>
              </w:rPr>
            </w:pPr>
            <w:r>
              <w:rPr>
                <w:noProof/>
                <w:color w:val="000000" w:themeColor="text1"/>
              </w:rPr>
              <mc:AlternateContent>
                <mc:Choice Requires="wps">
                  <w:drawing>
                    <wp:anchor distT="0" distB="0" distL="114300" distR="114300" simplePos="0" relativeHeight="251663411" behindDoc="0" locked="0" layoutInCell="1" allowOverlap="1" wp14:anchorId="3C63D334" wp14:editId="05C18BD7">
                      <wp:simplePos x="0" y="0"/>
                      <wp:positionH relativeFrom="column">
                        <wp:posOffset>-913765</wp:posOffset>
                      </wp:positionH>
                      <wp:positionV relativeFrom="paragraph">
                        <wp:posOffset>-941705</wp:posOffset>
                      </wp:positionV>
                      <wp:extent cx="448945" cy="322580"/>
                      <wp:effectExtent l="0" t="0" r="27305" b="20320"/>
                      <wp:wrapNone/>
                      <wp:docPr id="684" name="Rounded Rectangle 684"/>
                      <wp:cNvGraphicFramePr/>
                      <a:graphic xmlns:a="http://schemas.openxmlformats.org/drawingml/2006/main">
                        <a:graphicData uri="http://schemas.microsoft.com/office/word/2010/wordprocessingShape">
                          <wps:wsp>
                            <wps:cNvSpPr/>
                            <wps:spPr>
                              <a:xfrm>
                                <a:off x="0" y="0"/>
                                <a:ext cx="448945" cy="3225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EDCB69" w14:textId="77777777" w:rsidR="00027309" w:rsidRPr="00F24CAC" w:rsidRDefault="00027309" w:rsidP="00FA45F4">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3D334" id="Rounded Rectangle 684" o:spid="_x0000_s1035" style="position:absolute;margin-left:-71.95pt;margin-top:-74.15pt;width:35.35pt;height:25.4pt;z-index:251663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" fillcolor="#005a70 [3204]" strokecolor="#002c37 [1604]" strokeweight=".73403mm">
                      <v:textbox>
                        <w:txbxContent>
                          <w:p w14:paraId="51EDCB69" w14:textId="77777777" w:rsidR="00027309" w:rsidRPr="00F24CAC" w:rsidRDefault="00027309" w:rsidP="00FA45F4">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v:textbox>
                    </v:roundrect>
                  </w:pict>
                </mc:Fallback>
              </mc:AlternateContent>
            </w:r>
            <w:r w:rsidR="007572E0">
              <w:rPr>
                <w:sz w:val="20"/>
                <w:szCs w:val="20"/>
              </w:rPr>
              <w:t>The Stop it at the Start Campaign</w:t>
            </w:r>
          </w:p>
        </w:tc>
        <w:tc>
          <w:tcPr>
            <w:tcW w:w="5665" w:type="dxa"/>
            <w:tcMar>
              <w:top w:w="0" w:type="dxa"/>
              <w:left w:w="108" w:type="dxa"/>
              <w:bottom w:w="0" w:type="dxa"/>
              <w:right w:w="108" w:type="dxa"/>
            </w:tcMar>
            <w:vAlign w:val="center"/>
            <w:hideMark/>
          </w:tcPr>
          <w:p w14:paraId="47C850A3" w14:textId="66593741" w:rsidR="007572E0" w:rsidRDefault="007572E0" w:rsidP="00013CF0">
            <w:pPr>
              <w:spacing w:before="60" w:after="60" w:line="252" w:lineRule="auto"/>
              <w:rPr>
                <w:b/>
                <w:bCs/>
                <w:sz w:val="20"/>
                <w:szCs w:val="20"/>
              </w:rPr>
            </w:pPr>
            <w:r>
              <w:rPr>
                <w:sz w:val="20"/>
                <w:szCs w:val="20"/>
              </w:rPr>
              <w:t xml:space="preserve">The success criterion is met if there is evidence supporting delivery of </w:t>
            </w:r>
            <w:r w:rsidRPr="005E55A5">
              <w:rPr>
                <w:sz w:val="20"/>
                <w:szCs w:val="20"/>
              </w:rPr>
              <w:t>phase 5</w:t>
            </w:r>
            <w:r>
              <w:rPr>
                <w:sz w:val="20"/>
                <w:szCs w:val="20"/>
              </w:rPr>
              <w:t>.</w:t>
            </w:r>
            <w:r w:rsidRPr="005E55A5">
              <w:rPr>
                <w:sz w:val="20"/>
                <w:szCs w:val="20"/>
              </w:rPr>
              <w:t xml:space="preserve"> </w:t>
            </w:r>
          </w:p>
        </w:tc>
      </w:tr>
      <w:tr w:rsidR="007572E0" w14:paraId="22D83965" w14:textId="77777777" w:rsidTr="00437883">
        <w:tc>
          <w:tcPr>
            <w:tcW w:w="1833" w:type="dxa"/>
          </w:tcPr>
          <w:p w14:paraId="7123F29D" w14:textId="53799FBA" w:rsidR="007572E0" w:rsidRDefault="007572E0" w:rsidP="00E56BD0">
            <w:pPr>
              <w:rPr>
                <w:sz w:val="20"/>
                <w:szCs w:val="20"/>
              </w:rPr>
            </w:pPr>
            <w:r>
              <w:rPr>
                <w:noProof/>
                <w:color w:val="000000" w:themeColor="text1"/>
              </w:rPr>
              <mc:AlternateContent>
                <mc:Choice Requires="wps">
                  <w:drawing>
                    <wp:anchor distT="0" distB="0" distL="114300" distR="114300" simplePos="0" relativeHeight="251667507" behindDoc="0" locked="0" layoutInCell="1" allowOverlap="1" wp14:anchorId="0A36E1A6" wp14:editId="470B27D1">
                      <wp:simplePos x="0" y="0"/>
                      <wp:positionH relativeFrom="column">
                        <wp:posOffset>316230</wp:posOffset>
                      </wp:positionH>
                      <wp:positionV relativeFrom="paragraph">
                        <wp:posOffset>405130</wp:posOffset>
                      </wp:positionV>
                      <wp:extent cx="450000" cy="322729"/>
                      <wp:effectExtent l="0" t="0" r="26670" b="20320"/>
                      <wp:wrapNone/>
                      <wp:docPr id="686" name="Rounded Rectangle 686"/>
                      <wp:cNvGraphicFramePr/>
                      <a:graphic xmlns:a="http://schemas.openxmlformats.org/drawingml/2006/main">
                        <a:graphicData uri="http://schemas.microsoft.com/office/word/2010/wordprocessingShape">
                          <wps:wsp>
                            <wps:cNvSpPr/>
                            <wps:spPr>
                              <a:xfrm>
                                <a:off x="0" y="0"/>
                                <a:ext cx="450000" cy="32272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96959A" w14:textId="77777777" w:rsidR="00027309" w:rsidRPr="00F24CAC" w:rsidRDefault="00027309" w:rsidP="00FA45F4">
                                  <w:pPr>
                                    <w:spacing w:before="0" w:after="0" w:line="240" w:lineRule="auto"/>
                                    <w:jc w:val="center"/>
                                    <w:rPr>
                                      <w:color w:val="FFFFFF" w:themeColor="background1"/>
                                      <w:sz w:val="36"/>
                                    </w:rPr>
                                  </w:pPr>
                                  <w:r w:rsidRPr="00F24CAC">
                                    <w:rPr>
                                      <w:color w:val="FFFFFF" w:themeColor="background1"/>
                                      <w:sz w:val="14"/>
                                    </w:rPr>
                                    <w:t>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6E1A6" id="Rounded Rectangle 686" o:spid="_x0000_s1036" style="position:absolute;margin-left:24.9pt;margin-top:31.9pt;width:35.45pt;height:25.4pt;z-index:2516675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" fillcolor="#005a70 [3204]" strokecolor="#002c37 [1604]" strokeweight=".73403mm">
                      <v:textbox>
                        <w:txbxContent>
                          <w:p w14:paraId="0A96959A" w14:textId="77777777" w:rsidR="00027309" w:rsidRPr="00F24CAC" w:rsidRDefault="00027309" w:rsidP="00FA45F4">
                            <w:pPr>
                              <w:spacing w:before="0" w:after="0" w:line="240" w:lineRule="auto"/>
                              <w:jc w:val="center"/>
                              <w:rPr>
                                <w:color w:val="FFFFFF" w:themeColor="background1"/>
                                <w:sz w:val="36"/>
                              </w:rPr>
                            </w:pPr>
                            <w:r w:rsidRPr="00F24CAC">
                              <w:rPr>
                                <w:color w:val="FFFFFF" w:themeColor="background1"/>
                                <w:sz w:val="14"/>
                              </w:rPr>
                              <w:t>PS</w:t>
                            </w:r>
                          </w:p>
                        </w:txbxContent>
                      </v:textbox>
                    </v:roundrect>
                  </w:pict>
                </mc:Fallback>
              </mc:AlternateContent>
            </w:r>
          </w:p>
        </w:tc>
        <w:tc>
          <w:tcPr>
            <w:tcW w:w="1848" w:type="dxa"/>
            <w:tcMar>
              <w:top w:w="0" w:type="dxa"/>
              <w:left w:w="108" w:type="dxa"/>
              <w:bottom w:w="0" w:type="dxa"/>
              <w:right w:w="108" w:type="dxa"/>
            </w:tcMar>
            <w:vAlign w:val="center"/>
            <w:hideMark/>
          </w:tcPr>
          <w:p w14:paraId="0B1F74D6" w14:textId="14D40280" w:rsidR="007572E0" w:rsidRDefault="007572E0" w:rsidP="00013CF0">
            <w:pPr>
              <w:rPr>
                <w:sz w:val="20"/>
                <w:szCs w:val="20"/>
              </w:rPr>
            </w:pPr>
            <w:r>
              <w:rPr>
                <w:sz w:val="20"/>
                <w:szCs w:val="20"/>
              </w:rPr>
              <w:t xml:space="preserve">Safe Places Emergency Accommodation Program (Safe Places) </w:t>
            </w:r>
          </w:p>
        </w:tc>
        <w:tc>
          <w:tcPr>
            <w:tcW w:w="5665" w:type="dxa"/>
            <w:tcMar>
              <w:top w:w="0" w:type="dxa"/>
              <w:left w:w="108" w:type="dxa"/>
              <w:bottom w:w="0" w:type="dxa"/>
              <w:right w:w="108" w:type="dxa"/>
            </w:tcMar>
            <w:vAlign w:val="center"/>
            <w:hideMark/>
          </w:tcPr>
          <w:p w14:paraId="50D1FCB3" w14:textId="1DA10309" w:rsidR="007572E0" w:rsidRDefault="007572E0" w:rsidP="00013CF0">
            <w:pPr>
              <w:spacing w:before="60" w:after="60" w:line="252" w:lineRule="auto"/>
              <w:rPr>
                <w:sz w:val="20"/>
                <w:szCs w:val="20"/>
              </w:rPr>
            </w:pPr>
            <w:r>
              <w:rPr>
                <w:sz w:val="20"/>
                <w:szCs w:val="20"/>
              </w:rPr>
              <w:t>Confirmation a funded Safe Places project(s) has achieved completion (i.e. capital works/building phase completed) and therefore services are being provided and designated use has commenced.</w:t>
            </w:r>
          </w:p>
        </w:tc>
      </w:tr>
      <w:tr w:rsidR="007572E0" w14:paraId="1AE1F187" w14:textId="77777777" w:rsidTr="00437883">
        <w:tc>
          <w:tcPr>
            <w:tcW w:w="1833" w:type="dxa"/>
          </w:tcPr>
          <w:p w14:paraId="5C1E8D6A" w14:textId="77777777" w:rsidR="007572E0" w:rsidRDefault="007572E0" w:rsidP="00E56BD0">
            <w:pPr>
              <w:rPr>
                <w:sz w:val="20"/>
                <w:szCs w:val="20"/>
              </w:rPr>
            </w:pPr>
            <w:r>
              <w:rPr>
                <w:noProof/>
                <w:color w:val="000000" w:themeColor="text1"/>
              </w:rPr>
              <mc:AlternateContent>
                <mc:Choice Requires="wps">
                  <w:drawing>
                    <wp:anchor distT="0" distB="0" distL="114300" distR="114300" simplePos="0" relativeHeight="251665459" behindDoc="0" locked="0" layoutInCell="1" allowOverlap="1" wp14:anchorId="72D9E5B5" wp14:editId="2C4E3BAE">
                      <wp:simplePos x="0" y="0"/>
                      <wp:positionH relativeFrom="column">
                        <wp:posOffset>302281</wp:posOffset>
                      </wp:positionH>
                      <wp:positionV relativeFrom="paragraph">
                        <wp:posOffset>304123</wp:posOffset>
                      </wp:positionV>
                      <wp:extent cx="449356" cy="322729"/>
                      <wp:effectExtent l="0" t="0" r="27305" b="20320"/>
                      <wp:wrapNone/>
                      <wp:docPr id="687" name="Rounded Rectangle 687"/>
                      <wp:cNvGraphicFramePr/>
                      <a:graphic xmlns:a="http://schemas.openxmlformats.org/drawingml/2006/main">
                        <a:graphicData uri="http://schemas.microsoft.com/office/word/2010/wordprocessingShape">
                          <wps:wsp>
                            <wps:cNvSpPr/>
                            <wps:spPr>
                              <a:xfrm>
                                <a:off x="0" y="0"/>
                                <a:ext cx="449356" cy="32272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F5E7AC" w14:textId="77777777" w:rsidR="00027309" w:rsidRPr="00F24CAC" w:rsidRDefault="00027309" w:rsidP="00FA45F4">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9E5B5" id="Rounded Rectangle 687" o:spid="_x0000_s1037" style="position:absolute;margin-left:23.8pt;margin-top:23.95pt;width:35.4pt;height:25.4pt;z-index:251665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" fillcolor="#005a70 [3204]" strokecolor="#002c37 [1604]" strokeweight=".73403mm">
                      <v:textbox>
                        <w:txbxContent>
                          <w:p w14:paraId="4DF5E7AC" w14:textId="77777777" w:rsidR="00027309" w:rsidRPr="00F24CAC" w:rsidRDefault="00027309" w:rsidP="00FA45F4">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v:textbox>
                    </v:roundrect>
                  </w:pict>
                </mc:Fallback>
              </mc:AlternateContent>
            </w:r>
          </w:p>
        </w:tc>
        <w:tc>
          <w:tcPr>
            <w:tcW w:w="1848" w:type="dxa"/>
            <w:tcMar>
              <w:top w:w="0" w:type="dxa"/>
              <w:left w:w="108" w:type="dxa"/>
              <w:bottom w:w="0" w:type="dxa"/>
              <w:right w:w="108" w:type="dxa"/>
            </w:tcMar>
            <w:vAlign w:val="center"/>
            <w:hideMark/>
          </w:tcPr>
          <w:p w14:paraId="1B23FE6A" w14:textId="77777777" w:rsidR="007572E0" w:rsidRPr="005E55A5" w:rsidRDefault="007572E0" w:rsidP="00013CF0">
            <w:pPr>
              <w:rPr>
                <w:sz w:val="20"/>
                <w:szCs w:val="20"/>
              </w:rPr>
            </w:pPr>
            <w:r w:rsidRPr="005E55A5">
              <w:rPr>
                <w:sz w:val="20"/>
                <w:szCs w:val="20"/>
              </w:rPr>
              <w:t>Keeping Women Safe in their Homes (KWSITH) program</w:t>
            </w:r>
          </w:p>
        </w:tc>
        <w:tc>
          <w:tcPr>
            <w:tcW w:w="5665" w:type="dxa"/>
            <w:tcMar>
              <w:top w:w="0" w:type="dxa"/>
              <w:left w:w="108" w:type="dxa"/>
              <w:bottom w:w="0" w:type="dxa"/>
              <w:right w:w="108" w:type="dxa"/>
            </w:tcMar>
            <w:vAlign w:val="center"/>
            <w:hideMark/>
          </w:tcPr>
          <w:p w14:paraId="4EE3F95B" w14:textId="77777777" w:rsidR="007572E0" w:rsidRPr="005E55A5" w:rsidRDefault="007572E0" w:rsidP="00013CF0">
            <w:pPr>
              <w:spacing w:after="240"/>
              <w:rPr>
                <w:bCs/>
                <w:sz w:val="20"/>
                <w:szCs w:val="20"/>
              </w:rPr>
            </w:pPr>
            <w:r w:rsidRPr="005E55A5">
              <w:rPr>
                <w:bCs/>
                <w:sz w:val="20"/>
                <w:szCs w:val="20"/>
              </w:rPr>
              <w:t xml:space="preserve">The number of KWSITH clients assisted nationally varies less than 20% compared to the same period last financial year. </w:t>
            </w:r>
          </w:p>
        </w:tc>
      </w:tr>
      <w:tr w:rsidR="007572E0" w14:paraId="1482808E" w14:textId="77777777" w:rsidTr="00437883">
        <w:tc>
          <w:tcPr>
            <w:tcW w:w="1833" w:type="dxa"/>
          </w:tcPr>
          <w:p w14:paraId="68FB76DF" w14:textId="77777777" w:rsidR="007572E0" w:rsidRDefault="007572E0" w:rsidP="00E56BD0">
            <w:pPr>
              <w:rPr>
                <w:sz w:val="20"/>
                <w:szCs w:val="20"/>
              </w:rPr>
            </w:pPr>
            <w:r>
              <w:rPr>
                <w:noProof/>
                <w:color w:val="000000" w:themeColor="text1"/>
              </w:rPr>
              <mc:AlternateContent>
                <mc:Choice Requires="wps">
                  <w:drawing>
                    <wp:anchor distT="0" distB="0" distL="114300" distR="114300" simplePos="0" relativeHeight="251666483" behindDoc="0" locked="0" layoutInCell="1" allowOverlap="1" wp14:anchorId="50543D7B" wp14:editId="44D6A6C4">
                      <wp:simplePos x="0" y="0"/>
                      <wp:positionH relativeFrom="column">
                        <wp:posOffset>309880</wp:posOffset>
                      </wp:positionH>
                      <wp:positionV relativeFrom="paragraph">
                        <wp:posOffset>325755</wp:posOffset>
                      </wp:positionV>
                      <wp:extent cx="450000" cy="322729"/>
                      <wp:effectExtent l="0" t="0" r="26670" b="20320"/>
                      <wp:wrapNone/>
                      <wp:docPr id="688" name="Rounded Rectangle 688"/>
                      <wp:cNvGraphicFramePr/>
                      <a:graphic xmlns:a="http://schemas.openxmlformats.org/drawingml/2006/main">
                        <a:graphicData uri="http://schemas.microsoft.com/office/word/2010/wordprocessingShape">
                          <wps:wsp>
                            <wps:cNvSpPr/>
                            <wps:spPr>
                              <a:xfrm>
                                <a:off x="0" y="0"/>
                                <a:ext cx="450000" cy="32272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C58A32" w14:textId="77777777" w:rsidR="00027309" w:rsidRPr="00F24CAC" w:rsidRDefault="00027309" w:rsidP="00FA45F4">
                                  <w:pPr>
                                    <w:spacing w:before="0" w:after="0" w:line="240" w:lineRule="auto"/>
                                    <w:jc w:val="center"/>
                                    <w:rPr>
                                      <w:color w:val="FFFFFF" w:themeColor="background1"/>
                                      <w:sz w:val="36"/>
                                    </w:rPr>
                                  </w:pPr>
                                  <w:r w:rsidRPr="00F24CAC">
                                    <w:rPr>
                                      <w:color w:val="FFFFFF" w:themeColor="background1"/>
                                      <w:sz w:val="14"/>
                                    </w:rPr>
                                    <w:t>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43D7B" id="Rounded Rectangle 688" o:spid="_x0000_s1038" style="position:absolute;margin-left:24.4pt;margin-top:25.65pt;width:35.45pt;height:25.4pt;z-index:2516664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" fillcolor="#005a70 [3204]" strokecolor="#002c37 [1604]" strokeweight=".73403mm">
                      <v:textbox>
                        <w:txbxContent>
                          <w:p w14:paraId="6DC58A32" w14:textId="77777777" w:rsidR="00027309" w:rsidRPr="00F24CAC" w:rsidRDefault="00027309" w:rsidP="00FA45F4">
                            <w:pPr>
                              <w:spacing w:before="0" w:after="0" w:line="240" w:lineRule="auto"/>
                              <w:jc w:val="center"/>
                              <w:rPr>
                                <w:color w:val="FFFFFF" w:themeColor="background1"/>
                                <w:sz w:val="36"/>
                              </w:rPr>
                            </w:pPr>
                            <w:r w:rsidRPr="00F24CAC">
                              <w:rPr>
                                <w:color w:val="FFFFFF" w:themeColor="background1"/>
                                <w:sz w:val="14"/>
                              </w:rPr>
                              <w:t>PS</w:t>
                            </w:r>
                          </w:p>
                        </w:txbxContent>
                      </v:textbox>
                    </v:roundrect>
                  </w:pict>
                </mc:Fallback>
              </mc:AlternateContent>
            </w:r>
          </w:p>
        </w:tc>
        <w:tc>
          <w:tcPr>
            <w:tcW w:w="1848" w:type="dxa"/>
            <w:tcMar>
              <w:top w:w="0" w:type="dxa"/>
              <w:left w:w="108" w:type="dxa"/>
              <w:bottom w:w="0" w:type="dxa"/>
              <w:right w:w="108" w:type="dxa"/>
            </w:tcMar>
            <w:vAlign w:val="center"/>
            <w:hideMark/>
          </w:tcPr>
          <w:p w14:paraId="120C3702" w14:textId="77777777" w:rsidR="007572E0" w:rsidRDefault="007572E0" w:rsidP="00013CF0">
            <w:pPr>
              <w:rPr>
                <w:sz w:val="20"/>
                <w:szCs w:val="20"/>
              </w:rPr>
            </w:pPr>
            <w:r>
              <w:rPr>
                <w:sz w:val="20"/>
                <w:szCs w:val="20"/>
              </w:rPr>
              <w:t>Evaluation of the Escaping Violence Payment (EVP) trial</w:t>
            </w:r>
          </w:p>
        </w:tc>
        <w:tc>
          <w:tcPr>
            <w:tcW w:w="5665" w:type="dxa"/>
            <w:tcMar>
              <w:top w:w="0" w:type="dxa"/>
              <w:left w:w="108" w:type="dxa"/>
              <w:bottom w:w="0" w:type="dxa"/>
              <w:right w:w="108" w:type="dxa"/>
            </w:tcMar>
            <w:vAlign w:val="center"/>
          </w:tcPr>
          <w:p w14:paraId="19BA20A1" w14:textId="60CD49E8" w:rsidR="007572E0" w:rsidRDefault="007572E0" w:rsidP="00013CF0">
            <w:pPr>
              <w:spacing w:before="60" w:after="60" w:line="252" w:lineRule="auto"/>
              <w:rPr>
                <w:rFonts w:eastAsiaTheme="majorEastAsia"/>
              </w:rPr>
            </w:pPr>
            <w:r>
              <w:rPr>
                <w:sz w:val="20"/>
                <w:szCs w:val="20"/>
              </w:rPr>
              <w:t>The total number of packages delivered nationally by the provider for the trial by June 2024.</w:t>
            </w:r>
          </w:p>
        </w:tc>
      </w:tr>
    </w:tbl>
    <w:p w14:paraId="027371D3" w14:textId="77777777" w:rsidR="00013CF0" w:rsidRDefault="00013CF0" w:rsidP="00013CF0">
      <w:pPr>
        <w:pStyle w:val="Heading4"/>
        <w:shd w:val="clear" w:color="auto" w:fill="auto"/>
      </w:pPr>
    </w:p>
    <w:p w14:paraId="765D7270" w14:textId="2D85D61A" w:rsidR="007572E0" w:rsidRPr="00830F02" w:rsidRDefault="007572E0" w:rsidP="007B0D41">
      <w:pPr>
        <w:pStyle w:val="Heading4"/>
        <w:shd w:val="clear" w:color="auto" w:fill="D9D9D9" w:themeFill="background1" w:themeFillShade="D9"/>
      </w:pPr>
      <w:r w:rsidRPr="00830F02">
        <w:t xml:space="preserve">Supporting Information </w:t>
      </w:r>
    </w:p>
    <w:p w14:paraId="79FC1990" w14:textId="4A5D47D7" w:rsidR="007572E0" w:rsidRDefault="007572E0" w:rsidP="007572E0">
      <w:pPr>
        <w:pStyle w:val="ListParagraph"/>
        <w:numPr>
          <w:ilvl w:val="0"/>
          <w:numId w:val="42"/>
        </w:numPr>
        <w:spacing w:before="0" w:after="160" w:line="259" w:lineRule="auto"/>
        <w:rPr>
          <w:rFonts w:cs="Arial"/>
          <w:sz w:val="20"/>
          <w:szCs w:val="20"/>
        </w:rPr>
      </w:pPr>
      <w:r w:rsidRPr="009E0992">
        <w:rPr>
          <w:rFonts w:cs="Arial"/>
          <w:sz w:val="20"/>
          <w:szCs w:val="20"/>
        </w:rPr>
        <w:t>Administered outlays</w:t>
      </w:r>
    </w:p>
    <w:p w14:paraId="7799CF28" w14:textId="7047DF83" w:rsidR="00FA45F4" w:rsidRDefault="00FA45F4">
      <w:pPr>
        <w:spacing w:before="0" w:after="200" w:line="276" w:lineRule="auto"/>
        <w:rPr>
          <w:rFonts w:cs="Arial"/>
          <w:sz w:val="20"/>
          <w:szCs w:val="20"/>
        </w:rPr>
      </w:pPr>
      <w:r>
        <w:rPr>
          <w:rFonts w:cs="Arial"/>
          <w:sz w:val="20"/>
          <w:szCs w:val="20"/>
        </w:rPr>
        <w:br w:type="page"/>
      </w:r>
    </w:p>
    <w:p w14:paraId="4DB1D6AA" w14:textId="77777777" w:rsidR="007713B1" w:rsidRPr="00421FF5" w:rsidRDefault="007713B1" w:rsidP="00027309">
      <w:pPr>
        <w:pStyle w:val="Heading3"/>
        <w:shd w:val="clear" w:color="auto" w:fill="154C56"/>
      </w:pPr>
      <w:r w:rsidRPr="00421FF5">
        <w:t>PROGRAM 2.1 — FAMILIES AND COMMUNITIES</w:t>
      </w:r>
    </w:p>
    <w:p w14:paraId="3A85090E" w14:textId="77777777" w:rsidR="007713B1" w:rsidRPr="00421FF5" w:rsidRDefault="007713B1" w:rsidP="00027309">
      <w:pPr>
        <w:shd w:val="clear" w:color="auto" w:fill="154C56"/>
        <w:spacing w:line="252" w:lineRule="auto"/>
        <w:rPr>
          <w:rFonts w:cs="Arial"/>
          <w:color w:val="FFFFFF" w:themeColor="background1"/>
          <w:sz w:val="20"/>
          <w:szCs w:val="20"/>
        </w:rPr>
      </w:pPr>
      <w:r w:rsidRPr="00421FF5">
        <w:rPr>
          <w:rFonts w:cs="Arial"/>
          <w:color w:val="FFFFFF" w:themeColor="background1"/>
          <w:sz w:val="20"/>
          <w:szCs w:val="20"/>
        </w:rPr>
        <w:t>To strengthen relationships, support families, improve wellbeing of children and young people, reduce the cost of family breakdown, and strengthen family and community functioning.</w:t>
      </w:r>
    </w:p>
    <w:p w14:paraId="1CB93B00" w14:textId="77777777" w:rsidR="007713B1" w:rsidRPr="00421FF5" w:rsidRDefault="007713B1" w:rsidP="00027309">
      <w:pPr>
        <w:pStyle w:val="Heading4"/>
        <w:shd w:val="clear" w:color="auto" w:fill="D9D9D9" w:themeFill="background1" w:themeFillShade="D9"/>
      </w:pPr>
      <w:r w:rsidRPr="00421FF5">
        <w:t>Key Activity — 2.1.</w:t>
      </w:r>
      <w:r>
        <w:t>5</w:t>
      </w:r>
      <w:r w:rsidRPr="00421FF5">
        <w:t xml:space="preserve"> Financial Wellbeing and Capability</w:t>
      </w:r>
    </w:p>
    <w:p w14:paraId="09192B79" w14:textId="48EACA65" w:rsidR="007713B1" w:rsidRPr="00421FF5" w:rsidRDefault="007713B1" w:rsidP="009008FD">
      <w:pPr>
        <w:pStyle w:val="Normalmorespace"/>
      </w:pPr>
      <w:r w:rsidRPr="00421FF5">
        <w:t xml:space="preserve">Financial Wellbeing and Capability (FWC) is a key activity of the Families and Communities Program. It aims to provide services and initiatives to support vulnerable individuals and families to navigate financial crises, manage financial stress and hardship, and to </w:t>
      </w:r>
      <w:r w:rsidR="00120601">
        <w:t>improve</w:t>
      </w:r>
      <w:r w:rsidRPr="00421FF5">
        <w:t xml:space="preserve"> financial wellbeing for individuals and families.</w:t>
      </w:r>
    </w:p>
    <w:p w14:paraId="25A5647A" w14:textId="7E7E4E6F" w:rsidR="007713B1" w:rsidRPr="00421FF5" w:rsidRDefault="007713B1" w:rsidP="009008FD">
      <w:pPr>
        <w:pStyle w:val="Normalmorespace"/>
      </w:pPr>
      <w:r w:rsidRPr="00421FF5">
        <w:t xml:space="preserve">The department provides grants FWC service providers to deliver </w:t>
      </w:r>
      <w:r w:rsidR="007C6336">
        <w:t>F</w:t>
      </w:r>
      <w:r w:rsidRPr="00421FF5">
        <w:t>inancial Crisis and Material Aid, including the provision of Emergency Relief and Food Relief (ER/FR).</w:t>
      </w:r>
    </w:p>
    <w:p w14:paraId="550C538B" w14:textId="77777777" w:rsidR="007713B1" w:rsidRPr="00421FF5" w:rsidRDefault="007713B1" w:rsidP="009008FD">
      <w:pPr>
        <w:numPr>
          <w:ilvl w:val="0"/>
          <w:numId w:val="39"/>
        </w:numPr>
        <w:spacing w:before="80" w:after="80" w:line="240" w:lineRule="auto"/>
        <w:ind w:left="714" w:hanging="357"/>
        <w:rPr>
          <w:rFonts w:cs="Arial"/>
          <w:sz w:val="20"/>
          <w:szCs w:val="20"/>
        </w:rPr>
      </w:pPr>
      <w:r w:rsidRPr="00421FF5">
        <w:rPr>
          <w:rFonts w:cs="Arial"/>
          <w:sz w:val="20"/>
          <w:szCs w:val="20"/>
        </w:rPr>
        <w:t>ER provides immediate financial and/or material support to people in financial crisis.</w:t>
      </w:r>
    </w:p>
    <w:p w14:paraId="54EDD050" w14:textId="77777777" w:rsidR="007713B1" w:rsidRPr="00421FF5" w:rsidRDefault="007713B1" w:rsidP="009008FD">
      <w:pPr>
        <w:numPr>
          <w:ilvl w:val="0"/>
          <w:numId w:val="39"/>
        </w:numPr>
        <w:spacing w:before="80" w:after="80" w:line="240" w:lineRule="auto"/>
        <w:ind w:left="714" w:hanging="357"/>
        <w:rPr>
          <w:rFonts w:cs="Arial"/>
          <w:sz w:val="20"/>
          <w:szCs w:val="20"/>
        </w:rPr>
      </w:pPr>
      <w:r w:rsidRPr="00421FF5">
        <w:rPr>
          <w:rFonts w:cs="Arial"/>
          <w:sz w:val="20"/>
          <w:szCs w:val="20"/>
        </w:rPr>
        <w:t xml:space="preserve">FR increases emergency relief organisations’ access to a cost-effective supply of food items which are provided to people in need across Australia. </w:t>
      </w:r>
    </w:p>
    <w:p w14:paraId="425D7E94" w14:textId="77777777" w:rsidR="007713B1" w:rsidRPr="00421FF5" w:rsidRDefault="007713B1" w:rsidP="009008FD">
      <w:pPr>
        <w:pStyle w:val="Normalmorespace"/>
      </w:pPr>
      <w:r w:rsidRPr="00421FF5">
        <w:t>Financial Counselling, Capability and Resilience provides financial counselling, financial literacy education, and access to financial services including microfinance products such as low or no interest loans.</w:t>
      </w:r>
    </w:p>
    <w:p w14:paraId="17CDD4BA" w14:textId="77777777" w:rsidR="007713B1" w:rsidRPr="00421FF5" w:rsidRDefault="007713B1" w:rsidP="009008FD">
      <w:pPr>
        <w:numPr>
          <w:ilvl w:val="0"/>
          <w:numId w:val="39"/>
        </w:numPr>
        <w:spacing w:before="80" w:after="80" w:line="240" w:lineRule="auto"/>
        <w:ind w:left="714" w:hanging="357"/>
        <w:rPr>
          <w:rFonts w:cs="Arial"/>
          <w:sz w:val="20"/>
          <w:szCs w:val="20"/>
        </w:rPr>
      </w:pPr>
      <w:r w:rsidRPr="00421FF5">
        <w:rPr>
          <w:rFonts w:cs="Arial"/>
          <w:sz w:val="20"/>
          <w:szCs w:val="20"/>
        </w:rPr>
        <w:t>Commonwealth Financial Counselling helps people in financial difficulty to address their financial problems and make informed choices.</w:t>
      </w:r>
    </w:p>
    <w:p w14:paraId="4E6698B2" w14:textId="77777777" w:rsidR="007713B1" w:rsidRPr="00421FF5" w:rsidRDefault="007713B1" w:rsidP="009008FD">
      <w:pPr>
        <w:numPr>
          <w:ilvl w:val="0"/>
          <w:numId w:val="39"/>
        </w:numPr>
        <w:spacing w:before="80" w:after="80" w:line="240" w:lineRule="auto"/>
        <w:ind w:left="714" w:hanging="357"/>
        <w:rPr>
          <w:rFonts w:cs="Arial"/>
          <w:sz w:val="20"/>
          <w:szCs w:val="20"/>
        </w:rPr>
      </w:pPr>
      <w:r w:rsidRPr="00421FF5">
        <w:rPr>
          <w:rFonts w:cs="Arial"/>
          <w:sz w:val="20"/>
          <w:szCs w:val="20"/>
        </w:rPr>
        <w:t>Financial Capability services aim to help people build longer-term capability to budget and manage their money better.</w:t>
      </w:r>
    </w:p>
    <w:p w14:paraId="50FCB62F" w14:textId="77777777" w:rsidR="007713B1" w:rsidRPr="00421FF5" w:rsidRDefault="007713B1" w:rsidP="009008FD">
      <w:pPr>
        <w:numPr>
          <w:ilvl w:val="0"/>
          <w:numId w:val="39"/>
        </w:numPr>
        <w:spacing w:before="80" w:after="80" w:line="240" w:lineRule="auto"/>
        <w:ind w:left="714" w:hanging="357"/>
        <w:rPr>
          <w:rFonts w:cs="Arial"/>
          <w:sz w:val="20"/>
          <w:szCs w:val="20"/>
        </w:rPr>
      </w:pPr>
      <w:r w:rsidRPr="00421FF5">
        <w:rPr>
          <w:rFonts w:cs="Arial"/>
          <w:sz w:val="20"/>
          <w:szCs w:val="20"/>
        </w:rPr>
        <w:t>Financial Resilience offers a variety of financial services and products targeted at financially vulnerable people that helps build self-reliance and provide access to financial products.</w:t>
      </w:r>
    </w:p>
    <w:p w14:paraId="09E61AE5" w14:textId="77777777" w:rsidR="007713B1" w:rsidRPr="00421FF5" w:rsidRDefault="007713B1" w:rsidP="009008FD">
      <w:pPr>
        <w:pStyle w:val="Normalmorespace"/>
      </w:pPr>
      <w:r w:rsidRPr="00421FF5">
        <w:rPr>
          <w:b/>
        </w:rPr>
        <w:t>The department</w:t>
      </w:r>
      <w:r w:rsidRPr="00421FF5">
        <w:t xml:space="preserve"> is responsible for designing and implementing services and initiatives for FWC. The department’s role is to:</w:t>
      </w:r>
    </w:p>
    <w:p w14:paraId="5BA2734B" w14:textId="77777777" w:rsidR="007713B1" w:rsidRPr="00421FF5" w:rsidRDefault="007713B1" w:rsidP="009008FD">
      <w:pPr>
        <w:numPr>
          <w:ilvl w:val="0"/>
          <w:numId w:val="39"/>
        </w:numPr>
        <w:spacing w:before="80" w:after="80" w:line="240" w:lineRule="auto"/>
        <w:ind w:left="714" w:hanging="357"/>
        <w:rPr>
          <w:rFonts w:cs="Arial"/>
          <w:sz w:val="20"/>
          <w:szCs w:val="20"/>
        </w:rPr>
      </w:pPr>
      <w:r w:rsidRPr="00421FF5">
        <w:rPr>
          <w:rFonts w:cs="Arial"/>
          <w:sz w:val="20"/>
          <w:szCs w:val="20"/>
        </w:rPr>
        <w:t>design and implement policy</w:t>
      </w:r>
    </w:p>
    <w:p w14:paraId="022DF59E" w14:textId="77777777" w:rsidR="007713B1" w:rsidRPr="00421FF5" w:rsidRDefault="007713B1" w:rsidP="009008FD">
      <w:pPr>
        <w:numPr>
          <w:ilvl w:val="0"/>
          <w:numId w:val="39"/>
        </w:numPr>
        <w:spacing w:before="80" w:after="80" w:line="240" w:lineRule="auto"/>
        <w:ind w:left="714" w:hanging="357"/>
        <w:rPr>
          <w:rFonts w:cs="Arial"/>
          <w:sz w:val="20"/>
          <w:szCs w:val="20"/>
        </w:rPr>
      </w:pPr>
      <w:r w:rsidRPr="00421FF5">
        <w:rPr>
          <w:rFonts w:cs="Arial"/>
          <w:sz w:val="20"/>
          <w:szCs w:val="20"/>
        </w:rPr>
        <w:t>undertake research and evaluation</w:t>
      </w:r>
    </w:p>
    <w:p w14:paraId="38345B0E" w14:textId="26C3974E" w:rsidR="007713B1" w:rsidRDefault="007713B1" w:rsidP="009008FD">
      <w:pPr>
        <w:numPr>
          <w:ilvl w:val="0"/>
          <w:numId w:val="39"/>
        </w:numPr>
        <w:spacing w:before="80" w:after="80" w:line="240" w:lineRule="auto"/>
        <w:ind w:left="714" w:hanging="357"/>
        <w:rPr>
          <w:rFonts w:cs="Arial"/>
          <w:sz w:val="20"/>
          <w:szCs w:val="20"/>
        </w:rPr>
      </w:pPr>
      <w:r w:rsidRPr="00421FF5">
        <w:rPr>
          <w:rFonts w:cs="Arial"/>
          <w:sz w:val="20"/>
          <w:szCs w:val="20"/>
        </w:rPr>
        <w:t>design and management of grants</w:t>
      </w:r>
      <w:r w:rsidR="007C6336">
        <w:rPr>
          <w:rFonts w:cs="Arial"/>
          <w:sz w:val="20"/>
          <w:szCs w:val="20"/>
        </w:rPr>
        <w:t xml:space="preserve"> to service providers</w:t>
      </w:r>
      <w:r w:rsidRPr="00421FF5">
        <w:rPr>
          <w:rFonts w:cs="Arial"/>
          <w:sz w:val="20"/>
          <w:szCs w:val="20"/>
        </w:rPr>
        <w:t>.</w:t>
      </w:r>
    </w:p>
    <w:p w14:paraId="7F5D03CF" w14:textId="65D367B7" w:rsidR="00957999" w:rsidRDefault="00957999" w:rsidP="009008FD">
      <w:pPr>
        <w:pStyle w:val="Normalmorespace"/>
        <w:rPr>
          <w:rFonts w:asciiTheme="minorHAnsi" w:hAnsiTheme="minorHAnsi"/>
          <w:szCs w:val="22"/>
        </w:rPr>
      </w:pPr>
      <w:r>
        <w:rPr>
          <w:b/>
        </w:rPr>
        <w:t>Enhanced Income Management</w:t>
      </w:r>
      <w:r>
        <w:t xml:space="preserve"> (enhanced IM) is a component of the Financial Wellbeing and Capability Key Activity in the Families and Communities Program. </w:t>
      </w:r>
    </w:p>
    <w:p w14:paraId="2E681369" w14:textId="77777777" w:rsidR="00957999" w:rsidRDefault="00957999" w:rsidP="009008FD">
      <w:pPr>
        <w:pStyle w:val="Normalmorespace"/>
      </w:pPr>
      <w:r>
        <w:t>Former Cashless Debit Card (CDC) participants in the Northern Territory and the Cape York and Doomadgee regions transitioned from the CDC to enhanced IM on 6 March 2023, along with volunteers from the former CDC regions.</w:t>
      </w:r>
    </w:p>
    <w:p w14:paraId="69BD7CAE" w14:textId="2E6D82B6" w:rsidR="00957999" w:rsidRDefault="00957999" w:rsidP="009008FD">
      <w:pPr>
        <w:pStyle w:val="Normalmorespace"/>
      </w:pPr>
      <w:r>
        <w:t>Enhanced IM</w:t>
      </w:r>
      <w:r>
        <w:rPr>
          <w:shd w:val="clear" w:color="auto" w:fill="FFFFFF"/>
        </w:rPr>
        <w:t xml:space="preserve"> does not change the amount of payments a person receives</w:t>
      </w:r>
      <w:r>
        <w:t xml:space="preserve">. </w:t>
      </w:r>
      <w:r w:rsidR="00120601">
        <w:t>E</w:t>
      </w:r>
      <w:r>
        <w:t>nhanced IM helps people budget their income support payments to meet essential household needs and expenses, like food, rent, bills and education.</w:t>
      </w:r>
    </w:p>
    <w:p w14:paraId="69021460" w14:textId="1AEBCFFA" w:rsidR="00957999" w:rsidRDefault="00957999" w:rsidP="009008FD">
      <w:pPr>
        <w:pStyle w:val="Normalmorespace"/>
      </w:pPr>
      <w:r>
        <w:rPr>
          <w:b/>
        </w:rPr>
        <w:t xml:space="preserve">The </w:t>
      </w:r>
      <w:r w:rsidR="00073300">
        <w:rPr>
          <w:b/>
        </w:rPr>
        <w:t>d</w:t>
      </w:r>
      <w:r>
        <w:rPr>
          <w:b/>
        </w:rPr>
        <w:t>epartment</w:t>
      </w:r>
      <w:r>
        <w:t xml:space="preserve"> is responsible for designing, delivering and implementing the Australian Government’s commitment to reform policy for enhanced IM and ensuring that appropriate supports are in place, while Services Australia is responsible for servic</w:t>
      </w:r>
      <w:r w:rsidR="00073300">
        <w:t>e delivery implementation. The d</w:t>
      </w:r>
      <w:r>
        <w:t>epartment is undertaking consultation and engagement to inform these reforms.</w:t>
      </w:r>
    </w:p>
    <w:p w14:paraId="33CC132C" w14:textId="1D00A224" w:rsidR="00957999" w:rsidRDefault="00073300" w:rsidP="009008FD">
      <w:pPr>
        <w:rPr>
          <w:rFonts w:cstheme="minorBidi"/>
          <w:sz w:val="20"/>
        </w:rPr>
      </w:pPr>
      <w:r>
        <w:rPr>
          <w:rFonts w:cstheme="minorHAnsi"/>
          <w:b/>
          <w:sz w:val="20"/>
        </w:rPr>
        <w:t>The d</w:t>
      </w:r>
      <w:r w:rsidR="00957999">
        <w:rPr>
          <w:rFonts w:cstheme="minorHAnsi"/>
          <w:b/>
          <w:sz w:val="20"/>
        </w:rPr>
        <w:t>epartment</w:t>
      </w:r>
      <w:r w:rsidR="00957999">
        <w:rPr>
          <w:rFonts w:cstheme="minorHAnsi"/>
          <w:sz w:val="20"/>
        </w:rPr>
        <w:t xml:space="preserve"> also provides </w:t>
      </w:r>
      <w:r w:rsidR="00957999">
        <w:rPr>
          <w:sz w:val="20"/>
        </w:rPr>
        <w:t xml:space="preserve">a broad range of community driven; locally tailored and evidence-based support services that respond to specific needs identified by communities in the former CDC regions. </w:t>
      </w:r>
    </w:p>
    <w:p w14:paraId="1C3AA974" w14:textId="77777777" w:rsidR="006D5DF5" w:rsidRDefault="006D5DF5" w:rsidP="009008FD">
      <w:pPr>
        <w:spacing w:after="0" w:line="240" w:lineRule="auto"/>
        <w:rPr>
          <w:b/>
          <w:sz w:val="20"/>
        </w:rPr>
      </w:pPr>
    </w:p>
    <w:p w14:paraId="0E53D87F" w14:textId="77777777" w:rsidR="006D5DF5" w:rsidRDefault="006D5DF5" w:rsidP="009008FD">
      <w:pPr>
        <w:spacing w:after="0" w:line="240" w:lineRule="auto"/>
        <w:rPr>
          <w:b/>
          <w:sz w:val="20"/>
        </w:rPr>
      </w:pPr>
    </w:p>
    <w:p w14:paraId="544D5EF5" w14:textId="74A23839" w:rsidR="00957999" w:rsidRDefault="00957999" w:rsidP="009008FD">
      <w:pPr>
        <w:spacing w:after="0" w:line="240" w:lineRule="auto"/>
        <w:rPr>
          <w:sz w:val="20"/>
        </w:rPr>
      </w:pPr>
      <w:r>
        <w:rPr>
          <w:b/>
          <w:sz w:val="20"/>
        </w:rPr>
        <w:t>Services Australia</w:t>
      </w:r>
      <w:r>
        <w:rPr>
          <w:sz w:val="20"/>
        </w:rPr>
        <w:t xml:space="preserve"> is responsible for delivery of the </w:t>
      </w:r>
      <w:r w:rsidR="002821EC">
        <w:rPr>
          <w:sz w:val="20"/>
        </w:rPr>
        <w:t>e</w:t>
      </w:r>
      <w:r>
        <w:rPr>
          <w:sz w:val="20"/>
        </w:rPr>
        <w:t xml:space="preserve">nhanced </w:t>
      </w:r>
      <w:r w:rsidR="002821EC">
        <w:rPr>
          <w:sz w:val="20"/>
        </w:rPr>
        <w:t>IM</w:t>
      </w:r>
      <w:r>
        <w:rPr>
          <w:sz w:val="20"/>
        </w:rPr>
        <w:t xml:space="preserve"> program, including:</w:t>
      </w:r>
    </w:p>
    <w:p w14:paraId="3740AEAD" w14:textId="6935B22B" w:rsidR="00957999" w:rsidRDefault="00957999" w:rsidP="009008FD">
      <w:pPr>
        <w:pStyle w:val="ListParagraph"/>
        <w:numPr>
          <w:ilvl w:val="0"/>
          <w:numId w:val="44"/>
        </w:numPr>
        <w:spacing w:before="0" w:after="0" w:line="240" w:lineRule="auto"/>
        <w:rPr>
          <w:sz w:val="20"/>
        </w:rPr>
      </w:pPr>
      <w:r>
        <w:rPr>
          <w:sz w:val="20"/>
        </w:rPr>
        <w:t xml:space="preserve">providing card and account support to enhanced </w:t>
      </w:r>
      <w:r w:rsidR="002821EC">
        <w:rPr>
          <w:sz w:val="20"/>
        </w:rPr>
        <w:t>IM</w:t>
      </w:r>
      <w:r>
        <w:rPr>
          <w:sz w:val="20"/>
        </w:rPr>
        <w:t xml:space="preserve"> customers</w:t>
      </w:r>
    </w:p>
    <w:p w14:paraId="4779FC3D" w14:textId="6E0E94CC" w:rsidR="00957999" w:rsidRDefault="00957999" w:rsidP="009008FD">
      <w:pPr>
        <w:pStyle w:val="ListParagraph"/>
        <w:numPr>
          <w:ilvl w:val="0"/>
          <w:numId w:val="44"/>
        </w:numPr>
        <w:spacing w:before="0" w:after="0" w:line="240" w:lineRule="auto"/>
        <w:rPr>
          <w:sz w:val="20"/>
        </w:rPr>
      </w:pPr>
      <w:r>
        <w:rPr>
          <w:sz w:val="20"/>
        </w:rPr>
        <w:t>managing customer accounts and interaction with the third party financial institu</w:t>
      </w:r>
      <w:r w:rsidR="009008FD">
        <w:rPr>
          <w:sz w:val="20"/>
        </w:rPr>
        <w:t>tions to support its operation.</w:t>
      </w:r>
    </w:p>
    <w:p w14:paraId="2DCE7E63" w14:textId="77777777" w:rsidR="00957999" w:rsidRDefault="00957999" w:rsidP="009008FD">
      <w:pPr>
        <w:pStyle w:val="Normalmorespace"/>
      </w:pPr>
      <w:r>
        <w:t>This is a shift from the previous arrangements under the Cashless Debit Card where the department had direct responsibility for this delivery via third party providers.   </w:t>
      </w:r>
    </w:p>
    <w:tbl>
      <w:tblPr>
        <w:tblStyle w:val="TableGrid39"/>
        <w:tblW w:w="4976" w:type="pct"/>
        <w:jc w:val="center"/>
        <w:tblLook w:val="04A0" w:firstRow="1" w:lastRow="0" w:firstColumn="1" w:lastColumn="0" w:noHBand="0" w:noVBand="1"/>
        <w:tblCaption w:val="2.1.5-2 Extent to which individuals and families can navigate through financial crisis, build financial resilience and reduce vulnerability to financial shock."/>
        <w:tblDescription w:val="Table outlines the targeted payment percentages across 2023-24, 2024-25. 2025-26, 2026-27"/>
      </w:tblPr>
      <w:tblGrid>
        <w:gridCol w:w="4109"/>
        <w:gridCol w:w="1322"/>
        <w:gridCol w:w="1320"/>
        <w:gridCol w:w="1322"/>
        <w:gridCol w:w="1226"/>
      </w:tblGrid>
      <w:tr w:rsidR="007713B1" w:rsidRPr="00421FF5" w14:paraId="565038B3" w14:textId="77777777" w:rsidTr="00CD76E2">
        <w:trPr>
          <w:cantSplit/>
          <w:trHeight w:val="356"/>
          <w:tblHeader/>
          <w:jc w:val="center"/>
        </w:trPr>
        <w:tc>
          <w:tcPr>
            <w:tcW w:w="5000" w:type="pct"/>
            <w:gridSpan w:val="5"/>
            <w:shd w:val="clear" w:color="auto" w:fill="D9D9D6"/>
          </w:tcPr>
          <w:p w14:paraId="4B960BD1" w14:textId="77777777" w:rsidR="007713B1" w:rsidRPr="00723A4C" w:rsidRDefault="007713B1" w:rsidP="007713B1">
            <w:pPr>
              <w:spacing w:after="120"/>
              <w:rPr>
                <w:rFonts w:cs="Arial"/>
                <w:b/>
                <w:sz w:val="20"/>
                <w:szCs w:val="20"/>
              </w:rPr>
            </w:pPr>
            <w:r w:rsidRPr="00723A4C">
              <w:rPr>
                <w:rFonts w:cs="Arial"/>
                <w:b/>
                <w:sz w:val="20"/>
                <w:szCs w:val="20"/>
              </w:rPr>
              <w:t>Performance Measure</w:t>
            </w:r>
          </w:p>
        </w:tc>
      </w:tr>
      <w:tr w:rsidR="007713B1" w:rsidRPr="00421FF5" w14:paraId="25BDC46E" w14:textId="77777777" w:rsidTr="007713B1">
        <w:trPr>
          <w:cantSplit/>
          <w:trHeight w:val="356"/>
          <w:jc w:val="center"/>
        </w:trPr>
        <w:tc>
          <w:tcPr>
            <w:tcW w:w="5000" w:type="pct"/>
            <w:gridSpan w:val="5"/>
            <w:shd w:val="clear" w:color="auto" w:fill="auto"/>
          </w:tcPr>
          <w:p w14:paraId="5E9C1AD2" w14:textId="77777777" w:rsidR="007713B1" w:rsidRPr="00723A4C" w:rsidRDefault="007713B1" w:rsidP="009008FD">
            <w:pPr>
              <w:spacing w:after="120"/>
              <w:rPr>
                <w:rFonts w:cs="Arial"/>
                <w:b/>
                <w:sz w:val="20"/>
                <w:szCs w:val="20"/>
              </w:rPr>
            </w:pPr>
            <w:r w:rsidRPr="00723A4C">
              <w:rPr>
                <w:rFonts w:cs="Arial"/>
                <w:sz w:val="20"/>
                <w:szCs w:val="20"/>
              </w:rPr>
              <w:t>2.1.5-1 Extent to which individuals and families can navigate through financial crisis, build financial resilience and reduce vulnerability to financial shock.</w:t>
            </w:r>
          </w:p>
        </w:tc>
      </w:tr>
      <w:tr w:rsidR="007713B1" w:rsidRPr="00421FF5" w14:paraId="2B7A504A" w14:textId="77777777" w:rsidTr="007713B1">
        <w:trPr>
          <w:cantSplit/>
          <w:trHeight w:val="356"/>
          <w:jc w:val="center"/>
        </w:trPr>
        <w:tc>
          <w:tcPr>
            <w:tcW w:w="2209" w:type="pct"/>
            <w:shd w:val="clear" w:color="auto" w:fill="D9D9D6"/>
          </w:tcPr>
          <w:p w14:paraId="7C257724" w14:textId="77777777" w:rsidR="007713B1" w:rsidRPr="00723A4C" w:rsidRDefault="007713B1" w:rsidP="007713B1">
            <w:pPr>
              <w:spacing w:after="120"/>
              <w:rPr>
                <w:rFonts w:cs="Arial"/>
                <w:sz w:val="20"/>
                <w:szCs w:val="20"/>
              </w:rPr>
            </w:pPr>
            <w:r w:rsidRPr="00723A4C">
              <w:rPr>
                <w:rFonts w:cs="Arial"/>
                <w:b/>
                <w:sz w:val="20"/>
                <w:szCs w:val="20"/>
              </w:rPr>
              <w:t>Target</w:t>
            </w:r>
          </w:p>
        </w:tc>
        <w:tc>
          <w:tcPr>
            <w:tcW w:w="711" w:type="pct"/>
            <w:shd w:val="clear" w:color="auto" w:fill="D9D9D6"/>
          </w:tcPr>
          <w:p w14:paraId="44588F59" w14:textId="77777777" w:rsidR="007713B1" w:rsidRPr="00723A4C" w:rsidRDefault="007713B1" w:rsidP="007713B1">
            <w:pPr>
              <w:keepNext/>
              <w:spacing w:after="120"/>
              <w:rPr>
                <w:rFonts w:cs="Arial"/>
                <w:sz w:val="20"/>
                <w:szCs w:val="20"/>
              </w:rPr>
            </w:pPr>
            <w:r w:rsidRPr="00723A4C">
              <w:rPr>
                <w:rFonts w:cs="Arial"/>
                <w:b/>
                <w:sz w:val="20"/>
                <w:szCs w:val="20"/>
              </w:rPr>
              <w:t>2023–24</w:t>
            </w:r>
          </w:p>
        </w:tc>
        <w:tc>
          <w:tcPr>
            <w:tcW w:w="710" w:type="pct"/>
            <w:shd w:val="clear" w:color="auto" w:fill="D9D9D6"/>
          </w:tcPr>
          <w:p w14:paraId="14801922" w14:textId="77777777" w:rsidR="007713B1" w:rsidRPr="00723A4C" w:rsidRDefault="007713B1" w:rsidP="007713B1">
            <w:pPr>
              <w:keepNext/>
              <w:spacing w:after="120"/>
              <w:rPr>
                <w:rFonts w:cs="Arial"/>
                <w:b/>
                <w:sz w:val="20"/>
                <w:szCs w:val="20"/>
              </w:rPr>
            </w:pPr>
            <w:r w:rsidRPr="00723A4C">
              <w:rPr>
                <w:rFonts w:cs="Arial"/>
                <w:b/>
                <w:sz w:val="20"/>
                <w:szCs w:val="20"/>
              </w:rPr>
              <w:t>2024–25</w:t>
            </w:r>
          </w:p>
        </w:tc>
        <w:tc>
          <w:tcPr>
            <w:tcW w:w="711" w:type="pct"/>
            <w:shd w:val="clear" w:color="auto" w:fill="D9D9D6"/>
          </w:tcPr>
          <w:p w14:paraId="1150F1FD" w14:textId="77777777" w:rsidR="007713B1" w:rsidRPr="00723A4C" w:rsidRDefault="007713B1" w:rsidP="007713B1">
            <w:pPr>
              <w:keepNext/>
              <w:spacing w:after="120"/>
              <w:rPr>
                <w:rFonts w:cs="Arial"/>
                <w:b/>
                <w:sz w:val="20"/>
                <w:szCs w:val="20"/>
              </w:rPr>
            </w:pPr>
            <w:r w:rsidRPr="00723A4C">
              <w:rPr>
                <w:rFonts w:cs="Arial"/>
                <w:b/>
                <w:sz w:val="20"/>
                <w:szCs w:val="20"/>
              </w:rPr>
              <w:t>2025–26</w:t>
            </w:r>
          </w:p>
        </w:tc>
        <w:tc>
          <w:tcPr>
            <w:tcW w:w="659" w:type="pct"/>
            <w:shd w:val="clear" w:color="auto" w:fill="D9D9D6"/>
          </w:tcPr>
          <w:p w14:paraId="69603912" w14:textId="77777777" w:rsidR="007713B1" w:rsidRPr="00723A4C" w:rsidRDefault="007713B1" w:rsidP="007713B1">
            <w:pPr>
              <w:keepNext/>
              <w:spacing w:after="120"/>
              <w:rPr>
                <w:rFonts w:cs="Arial"/>
                <w:b/>
                <w:sz w:val="20"/>
                <w:szCs w:val="20"/>
              </w:rPr>
            </w:pPr>
            <w:r w:rsidRPr="00723A4C">
              <w:rPr>
                <w:rFonts w:cs="Arial"/>
                <w:b/>
                <w:sz w:val="20"/>
                <w:szCs w:val="20"/>
              </w:rPr>
              <w:t>2026–27</w:t>
            </w:r>
          </w:p>
        </w:tc>
      </w:tr>
      <w:tr w:rsidR="007713B1" w:rsidRPr="00421FF5" w14:paraId="30689988" w14:textId="77777777" w:rsidTr="007713B1">
        <w:trPr>
          <w:cantSplit/>
          <w:trHeight w:val="356"/>
          <w:jc w:val="center"/>
        </w:trPr>
        <w:tc>
          <w:tcPr>
            <w:tcW w:w="2209" w:type="pct"/>
            <w:shd w:val="clear" w:color="auto" w:fill="FFFFFF" w:themeFill="background1"/>
          </w:tcPr>
          <w:p w14:paraId="0E66FE2D" w14:textId="77777777" w:rsidR="007713B1" w:rsidRPr="00723A4C" w:rsidRDefault="007713B1" w:rsidP="007713B1">
            <w:pPr>
              <w:pStyle w:val="PBSbullet"/>
              <w:keepLines w:val="0"/>
              <w:numPr>
                <w:ilvl w:val="0"/>
                <w:numId w:val="0"/>
              </w:numPr>
              <w:pBdr>
                <w:top w:val="nil"/>
                <w:left w:val="nil"/>
                <w:bottom w:val="nil"/>
                <w:right w:val="nil"/>
                <w:between w:val="nil"/>
                <w:bar w:val="nil"/>
              </w:pBdr>
              <w:spacing w:before="120" w:after="120" w:line="259" w:lineRule="auto"/>
              <w:contextualSpacing w:val="0"/>
              <w:rPr>
                <w:rFonts w:eastAsia="Calibri"/>
                <w:sz w:val="20"/>
                <w:szCs w:val="20"/>
                <w:bdr w:val="nil"/>
              </w:rPr>
            </w:pPr>
            <w:r w:rsidRPr="00723A4C">
              <w:rPr>
                <w:noProof/>
                <w:sz w:val="20"/>
                <w:szCs w:val="20"/>
                <w:lang w:eastAsia="en-AU"/>
              </w:rPr>
              <w:sym w:font="Wingdings" w:char="F074"/>
            </w:r>
            <w:r w:rsidRPr="00723A4C">
              <w:rPr>
                <w:noProof/>
                <w:sz w:val="20"/>
                <w:szCs w:val="20"/>
                <w:lang w:eastAsia="en-AU"/>
              </w:rPr>
              <w:t xml:space="preserve"> 2.1.5-1A - </w:t>
            </w:r>
            <w:r w:rsidRPr="00723A4C">
              <w:rPr>
                <w:rFonts w:eastAsia="Calibri"/>
                <w:sz w:val="20"/>
                <w:szCs w:val="20"/>
                <w:bdr w:val="nil"/>
              </w:rPr>
              <w:t>20% or less of people with multiple requests for Emergency Relief.</w:t>
            </w:r>
          </w:p>
        </w:tc>
        <w:tc>
          <w:tcPr>
            <w:tcW w:w="711" w:type="pct"/>
          </w:tcPr>
          <w:p w14:paraId="2031CF47" w14:textId="77777777" w:rsidR="007713B1" w:rsidRPr="00723A4C" w:rsidRDefault="007713B1" w:rsidP="007713B1">
            <w:pPr>
              <w:keepNext/>
              <w:spacing w:after="120"/>
              <w:rPr>
                <w:rFonts w:cs="Arial"/>
                <w:sz w:val="20"/>
                <w:szCs w:val="20"/>
              </w:rPr>
            </w:pPr>
            <w:r w:rsidRPr="00723A4C">
              <w:rPr>
                <w:rFonts w:cs="Arial"/>
                <w:sz w:val="20"/>
                <w:szCs w:val="20"/>
              </w:rPr>
              <w:t>≤20 %</w:t>
            </w:r>
          </w:p>
        </w:tc>
        <w:tc>
          <w:tcPr>
            <w:tcW w:w="710" w:type="pct"/>
          </w:tcPr>
          <w:p w14:paraId="31E9A2D9" w14:textId="77777777" w:rsidR="007713B1" w:rsidRPr="00723A4C" w:rsidRDefault="007713B1" w:rsidP="007713B1">
            <w:pPr>
              <w:keepNext/>
              <w:spacing w:after="120"/>
              <w:rPr>
                <w:rFonts w:cs="Arial"/>
                <w:sz w:val="20"/>
                <w:szCs w:val="20"/>
              </w:rPr>
            </w:pPr>
            <w:r w:rsidRPr="00723A4C">
              <w:rPr>
                <w:rFonts w:cs="Arial"/>
                <w:sz w:val="20"/>
                <w:szCs w:val="20"/>
              </w:rPr>
              <w:t>≤20 %</w:t>
            </w:r>
          </w:p>
        </w:tc>
        <w:tc>
          <w:tcPr>
            <w:tcW w:w="711" w:type="pct"/>
          </w:tcPr>
          <w:p w14:paraId="6B192051" w14:textId="77777777" w:rsidR="007713B1" w:rsidRPr="00723A4C" w:rsidRDefault="007713B1" w:rsidP="007713B1">
            <w:pPr>
              <w:keepNext/>
              <w:spacing w:after="120"/>
              <w:rPr>
                <w:rFonts w:cs="Arial"/>
                <w:sz w:val="20"/>
                <w:szCs w:val="20"/>
              </w:rPr>
            </w:pPr>
            <w:r w:rsidRPr="00723A4C">
              <w:rPr>
                <w:rFonts w:cs="Arial"/>
                <w:sz w:val="20"/>
                <w:szCs w:val="20"/>
              </w:rPr>
              <w:t>≤20 %</w:t>
            </w:r>
          </w:p>
        </w:tc>
        <w:tc>
          <w:tcPr>
            <w:tcW w:w="659" w:type="pct"/>
          </w:tcPr>
          <w:p w14:paraId="3DF9BA30" w14:textId="77777777" w:rsidR="007713B1" w:rsidRPr="00723A4C" w:rsidRDefault="007713B1" w:rsidP="007713B1">
            <w:pPr>
              <w:keepNext/>
              <w:spacing w:after="120"/>
              <w:rPr>
                <w:rFonts w:cs="Arial"/>
                <w:sz w:val="20"/>
                <w:szCs w:val="20"/>
              </w:rPr>
            </w:pPr>
            <w:r w:rsidRPr="00723A4C">
              <w:rPr>
                <w:rFonts w:cs="Arial"/>
                <w:sz w:val="20"/>
                <w:szCs w:val="20"/>
              </w:rPr>
              <w:t>≤20 %</w:t>
            </w:r>
          </w:p>
        </w:tc>
      </w:tr>
      <w:tr w:rsidR="007713B1" w:rsidRPr="00421FF5" w14:paraId="25A98C75" w14:textId="77777777" w:rsidTr="007713B1">
        <w:trPr>
          <w:cantSplit/>
          <w:trHeight w:val="356"/>
          <w:jc w:val="center"/>
        </w:trPr>
        <w:tc>
          <w:tcPr>
            <w:tcW w:w="2209" w:type="pct"/>
            <w:shd w:val="clear" w:color="auto" w:fill="FFFFFF" w:themeFill="background1"/>
          </w:tcPr>
          <w:p w14:paraId="37D6C4EF" w14:textId="77777777" w:rsidR="007713B1" w:rsidRPr="00723A4C" w:rsidRDefault="007713B1" w:rsidP="007713B1">
            <w:pPr>
              <w:pStyle w:val="PBSbullet"/>
              <w:keepLines w:val="0"/>
              <w:numPr>
                <w:ilvl w:val="0"/>
                <w:numId w:val="0"/>
              </w:numPr>
              <w:pBdr>
                <w:top w:val="nil"/>
                <w:left w:val="nil"/>
                <w:bottom w:val="nil"/>
                <w:right w:val="nil"/>
                <w:between w:val="nil"/>
                <w:bar w:val="nil"/>
              </w:pBdr>
              <w:spacing w:before="120" w:after="120" w:line="259" w:lineRule="auto"/>
              <w:contextualSpacing w:val="0"/>
              <w:rPr>
                <w:rFonts w:eastAsia="Calibri"/>
                <w:sz w:val="20"/>
                <w:szCs w:val="20"/>
                <w:bdr w:val="nil"/>
              </w:rPr>
            </w:pPr>
            <w:r w:rsidRPr="00723A4C">
              <w:rPr>
                <w:noProof/>
                <w:sz w:val="20"/>
                <w:szCs w:val="20"/>
                <w:lang w:eastAsia="en-AU"/>
              </w:rPr>
              <w:sym w:font="Wingdings" w:char="F074"/>
            </w:r>
            <w:r w:rsidRPr="00723A4C">
              <w:rPr>
                <w:noProof/>
                <w:sz w:val="20"/>
                <w:szCs w:val="20"/>
                <w:lang w:eastAsia="en-AU"/>
              </w:rPr>
              <w:t xml:space="preserve"> 2.1.5-1B - </w:t>
            </w:r>
            <w:r w:rsidRPr="00723A4C">
              <w:rPr>
                <w:rFonts w:eastAsia="Calibri"/>
                <w:sz w:val="20"/>
                <w:szCs w:val="20"/>
                <w:bdr w:val="nil"/>
              </w:rPr>
              <w:t>At least 70% of people report an improvement in their financial wellbeing following engagement with a funded service.</w:t>
            </w:r>
          </w:p>
        </w:tc>
        <w:tc>
          <w:tcPr>
            <w:tcW w:w="711" w:type="pct"/>
          </w:tcPr>
          <w:p w14:paraId="454DC616" w14:textId="77777777" w:rsidR="007713B1" w:rsidRPr="00723A4C" w:rsidRDefault="007713B1" w:rsidP="007713B1">
            <w:pPr>
              <w:keepNext/>
              <w:spacing w:after="120"/>
              <w:rPr>
                <w:rFonts w:cs="Arial"/>
                <w:sz w:val="20"/>
                <w:szCs w:val="20"/>
              </w:rPr>
            </w:pPr>
            <w:r w:rsidRPr="00723A4C">
              <w:rPr>
                <w:rFonts w:cs="Arial"/>
                <w:sz w:val="20"/>
                <w:szCs w:val="20"/>
              </w:rPr>
              <w:t>≥70 %</w:t>
            </w:r>
          </w:p>
        </w:tc>
        <w:tc>
          <w:tcPr>
            <w:tcW w:w="710" w:type="pct"/>
          </w:tcPr>
          <w:p w14:paraId="53B51BD9" w14:textId="77777777" w:rsidR="007713B1" w:rsidRPr="00723A4C" w:rsidRDefault="007713B1" w:rsidP="007713B1">
            <w:pPr>
              <w:keepNext/>
              <w:spacing w:after="120"/>
              <w:rPr>
                <w:rFonts w:cs="Arial"/>
                <w:sz w:val="20"/>
                <w:szCs w:val="20"/>
              </w:rPr>
            </w:pPr>
            <w:r w:rsidRPr="00723A4C">
              <w:rPr>
                <w:rFonts w:cs="Arial"/>
                <w:sz w:val="20"/>
                <w:szCs w:val="20"/>
              </w:rPr>
              <w:t>≥70 %</w:t>
            </w:r>
          </w:p>
        </w:tc>
        <w:tc>
          <w:tcPr>
            <w:tcW w:w="711" w:type="pct"/>
          </w:tcPr>
          <w:p w14:paraId="65FA3636" w14:textId="77777777" w:rsidR="007713B1" w:rsidRPr="00723A4C" w:rsidRDefault="007713B1" w:rsidP="007713B1">
            <w:pPr>
              <w:keepNext/>
              <w:spacing w:after="120"/>
              <w:rPr>
                <w:rFonts w:cs="Arial"/>
                <w:sz w:val="20"/>
                <w:szCs w:val="20"/>
              </w:rPr>
            </w:pPr>
            <w:r w:rsidRPr="00723A4C">
              <w:rPr>
                <w:rFonts w:cs="Arial"/>
                <w:sz w:val="20"/>
                <w:szCs w:val="20"/>
              </w:rPr>
              <w:t>≥70 %</w:t>
            </w:r>
          </w:p>
        </w:tc>
        <w:tc>
          <w:tcPr>
            <w:tcW w:w="659" w:type="pct"/>
          </w:tcPr>
          <w:p w14:paraId="4AFEA26A" w14:textId="77777777" w:rsidR="007713B1" w:rsidRPr="00723A4C" w:rsidRDefault="007713B1" w:rsidP="007713B1">
            <w:pPr>
              <w:keepNext/>
              <w:spacing w:after="120"/>
              <w:rPr>
                <w:rFonts w:cs="Arial"/>
                <w:sz w:val="20"/>
                <w:szCs w:val="20"/>
              </w:rPr>
            </w:pPr>
            <w:r w:rsidRPr="00723A4C">
              <w:rPr>
                <w:rFonts w:cs="Arial"/>
                <w:sz w:val="20"/>
                <w:szCs w:val="20"/>
              </w:rPr>
              <w:t>≥70 %</w:t>
            </w:r>
          </w:p>
        </w:tc>
      </w:tr>
    </w:tbl>
    <w:p w14:paraId="747E3712" w14:textId="77777777" w:rsidR="007713B1" w:rsidRPr="00421FF5" w:rsidRDefault="007713B1" w:rsidP="00027309">
      <w:pPr>
        <w:pStyle w:val="Heading4"/>
        <w:shd w:val="clear" w:color="auto" w:fill="D9D9D9" w:themeFill="background1" w:themeFillShade="D9"/>
      </w:pPr>
      <w:r w:rsidRPr="00421FF5">
        <w:t>Rationale</w:t>
      </w:r>
    </w:p>
    <w:p w14:paraId="2913B430" w14:textId="77777777" w:rsidR="007713B1" w:rsidRPr="00421FF5" w:rsidRDefault="007713B1" w:rsidP="009008FD">
      <w:pPr>
        <w:pStyle w:val="Normalmorespace"/>
      </w:pPr>
      <w:r w:rsidRPr="00421FF5">
        <w:t xml:space="preserve">This measure demonstrates the </w:t>
      </w:r>
      <w:r w:rsidRPr="00421FF5">
        <w:rPr>
          <w:b/>
        </w:rPr>
        <w:t xml:space="preserve">effectiveness </w:t>
      </w:r>
      <w:r w:rsidRPr="00421FF5">
        <w:t>of FWC in achieving the objective of the key activity: to support vulnerable individuals and families to navigate financial crises, address financial stress and hardship, and increase financial literacy for individuals and families.</w:t>
      </w:r>
    </w:p>
    <w:p w14:paraId="73F458A5" w14:textId="77777777" w:rsidR="007713B1" w:rsidRPr="00421FF5" w:rsidRDefault="007713B1" w:rsidP="009008FD">
      <w:pPr>
        <w:pStyle w:val="ListParagraph"/>
        <w:numPr>
          <w:ilvl w:val="0"/>
          <w:numId w:val="40"/>
        </w:numPr>
        <w:spacing w:before="80" w:after="80" w:line="240" w:lineRule="auto"/>
        <w:ind w:left="714" w:hanging="357"/>
        <w:contextualSpacing w:val="0"/>
        <w:rPr>
          <w:rFonts w:cs="Arial"/>
          <w:sz w:val="20"/>
          <w:szCs w:val="20"/>
        </w:rPr>
      </w:pPr>
      <w:r w:rsidRPr="00421FF5">
        <w:rPr>
          <w:rFonts w:cs="Arial"/>
          <w:sz w:val="20"/>
          <w:szCs w:val="20"/>
        </w:rPr>
        <w:t>Targeting 20</w:t>
      </w:r>
      <w:r>
        <w:rPr>
          <w:rFonts w:cs="Arial"/>
          <w:sz w:val="20"/>
          <w:szCs w:val="20"/>
        </w:rPr>
        <w:t xml:space="preserve"> per cent</w:t>
      </w:r>
      <w:r w:rsidRPr="00421FF5">
        <w:rPr>
          <w:rFonts w:cs="Arial"/>
          <w:sz w:val="20"/>
          <w:szCs w:val="20"/>
        </w:rPr>
        <w:t xml:space="preserve"> or less of people with multiple requests for ER demonstrates the </w:t>
      </w:r>
      <w:r w:rsidRPr="00421FF5">
        <w:rPr>
          <w:rFonts w:cs="Arial"/>
          <w:b/>
          <w:sz w:val="20"/>
          <w:szCs w:val="20"/>
        </w:rPr>
        <w:t>effectiveness</w:t>
      </w:r>
      <w:r w:rsidRPr="00421FF5">
        <w:rPr>
          <w:rFonts w:cs="Arial"/>
          <w:sz w:val="20"/>
          <w:szCs w:val="20"/>
        </w:rPr>
        <w:t xml:space="preserve"> of the key activity by showing people who have experienced financial crisis (i.e. require ER) have reduced their reliance on ER as a result of being more financially resilient and navigating through financial crisis.</w:t>
      </w:r>
    </w:p>
    <w:p w14:paraId="7FF9AF85" w14:textId="77777777" w:rsidR="007713B1" w:rsidRPr="00421FF5" w:rsidRDefault="007713B1" w:rsidP="009008FD">
      <w:pPr>
        <w:pStyle w:val="ListParagraph"/>
        <w:numPr>
          <w:ilvl w:val="0"/>
          <w:numId w:val="40"/>
        </w:numPr>
        <w:spacing w:before="80" w:after="80" w:line="240" w:lineRule="auto"/>
        <w:ind w:left="714" w:hanging="357"/>
        <w:contextualSpacing w:val="0"/>
        <w:rPr>
          <w:rFonts w:cs="Arial"/>
          <w:sz w:val="20"/>
          <w:szCs w:val="20"/>
        </w:rPr>
      </w:pPr>
      <w:r w:rsidRPr="00421FF5">
        <w:rPr>
          <w:rFonts w:cs="Arial"/>
          <w:sz w:val="20"/>
          <w:szCs w:val="20"/>
        </w:rPr>
        <w:t>Targeting at least 70</w:t>
      </w:r>
      <w:r>
        <w:rPr>
          <w:rFonts w:cs="Arial"/>
          <w:sz w:val="20"/>
          <w:szCs w:val="20"/>
        </w:rPr>
        <w:t xml:space="preserve"> per cent</w:t>
      </w:r>
      <w:r w:rsidRPr="00421FF5">
        <w:rPr>
          <w:rFonts w:cs="Arial"/>
          <w:sz w:val="20"/>
          <w:szCs w:val="20"/>
        </w:rPr>
        <w:t xml:space="preserve"> of people who report an improvement in their financial wellbeing following engagement with a funded service demonstrates the </w:t>
      </w:r>
      <w:r w:rsidRPr="00421FF5">
        <w:rPr>
          <w:rFonts w:cs="Arial"/>
          <w:b/>
          <w:sz w:val="20"/>
          <w:szCs w:val="20"/>
        </w:rPr>
        <w:t>effectiveness</w:t>
      </w:r>
      <w:r w:rsidRPr="00421FF5">
        <w:rPr>
          <w:rFonts w:cs="Arial"/>
          <w:sz w:val="20"/>
          <w:szCs w:val="20"/>
        </w:rPr>
        <w:t xml:space="preserve"> of the key activity by showing improvements in ‘financial wellbeing’ of services provided to clients as they navigate life transitions and/or financial stress or crisis.</w:t>
      </w:r>
    </w:p>
    <w:p w14:paraId="28CF6BA4" w14:textId="77777777" w:rsidR="007713B1" w:rsidRPr="00421FF5" w:rsidRDefault="007713B1" w:rsidP="00027309">
      <w:pPr>
        <w:pStyle w:val="Heading4"/>
        <w:shd w:val="clear" w:color="auto" w:fill="D9D9D9" w:themeFill="background1" w:themeFillShade="D9"/>
      </w:pPr>
      <w:r w:rsidRPr="00421FF5">
        <w:t>Methodology</w:t>
      </w:r>
    </w:p>
    <w:p w14:paraId="386142D4" w14:textId="238FA8C3" w:rsidR="007713B1" w:rsidRDefault="007713B1" w:rsidP="009008FD">
      <w:pPr>
        <w:pStyle w:val="Normalmorespace"/>
      </w:pPr>
      <w:r w:rsidRPr="00421FF5">
        <w:t xml:space="preserve">The percentage for ER is based on the cohort of clients that had at least </w:t>
      </w:r>
      <w:r w:rsidR="00DF3752">
        <w:t>5</w:t>
      </w:r>
      <w:r w:rsidRPr="00421FF5">
        <w:t xml:space="preserve"> sessions of ER within a 90 day period in the current reporting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Source"/>
        <w:tblDescription w:val="TS: The data source used for this calculation is the Department of Social Services Data Exchange using Statistical Linkage Key match of de-identified clients"/>
      </w:tblPr>
      <w:tblGrid>
        <w:gridCol w:w="988"/>
        <w:gridCol w:w="8028"/>
      </w:tblGrid>
      <w:tr w:rsidR="006F5203" w:rsidRPr="00334F13" w14:paraId="79D203F5" w14:textId="77777777" w:rsidTr="0017156F">
        <w:trPr>
          <w:trHeight w:val="737"/>
          <w:tblHeader/>
        </w:trPr>
        <w:tc>
          <w:tcPr>
            <w:tcW w:w="988" w:type="dxa"/>
          </w:tcPr>
          <w:p w14:paraId="408A61F2" w14:textId="77777777" w:rsidR="006F5203" w:rsidRDefault="006F5203" w:rsidP="00B81E0C">
            <w:r>
              <w:rPr>
                <w:noProof/>
              </w:rPr>
              <mc:AlternateContent>
                <mc:Choice Requires="wps">
                  <w:drawing>
                    <wp:inline distT="0" distB="0" distL="0" distR="0" wp14:anchorId="1A39CF3B" wp14:editId="2E68C055">
                      <wp:extent cx="446400" cy="327600"/>
                      <wp:effectExtent l="0" t="0" r="11430" b="15875"/>
                      <wp:docPr id="10" name="Rounded Rectangle 10"/>
                      <wp:cNvGraphicFramePr/>
                      <a:graphic xmlns:a="http://schemas.openxmlformats.org/drawingml/2006/main">
                        <a:graphicData uri="http://schemas.microsoft.com/office/word/2010/wordprocessingShape">
                          <wps:wsp>
                            <wps:cNvSpPr/>
                            <wps:spPr>
                              <a:xfrm>
                                <a:off x="0" y="0"/>
                                <a:ext cx="446400" cy="327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AA54F7" w14:textId="77777777" w:rsidR="00027309" w:rsidRPr="00F24CAC" w:rsidRDefault="00027309" w:rsidP="006F5203">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A39CF3B" id="Rounded Rectangle 10" o:spid="_x0000_s1039" style="width:35.15pt;height:2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" fillcolor="#005a70 [3204]" strokecolor="#002c37 [1604]" strokeweight=".73403mm">
                      <v:textbox>
                        <w:txbxContent>
                          <w:p w14:paraId="2BAA54F7" w14:textId="77777777" w:rsidR="00027309" w:rsidRPr="00F24CAC" w:rsidRDefault="00027309" w:rsidP="006F5203">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v:textbox>
                      <w10:anchorlock/>
                    </v:roundrect>
                  </w:pict>
                </mc:Fallback>
              </mc:AlternateContent>
            </w:r>
          </w:p>
        </w:tc>
        <w:tc>
          <w:tcPr>
            <w:tcW w:w="8028" w:type="dxa"/>
          </w:tcPr>
          <w:p w14:paraId="17DC4F11" w14:textId="6A3856B1" w:rsidR="006F5203" w:rsidRPr="00334F13" w:rsidRDefault="006F5203" w:rsidP="00B81E0C">
            <w:pPr>
              <w:rPr>
                <w:sz w:val="20"/>
                <w:szCs w:val="20"/>
              </w:rPr>
            </w:pPr>
            <w:r w:rsidRPr="00334F13">
              <w:rPr>
                <w:sz w:val="20"/>
                <w:szCs w:val="20"/>
              </w:rPr>
              <w:t xml:space="preserve">The </w:t>
            </w:r>
            <w:r w:rsidRPr="00334F13">
              <w:rPr>
                <w:b/>
                <w:sz w:val="20"/>
                <w:szCs w:val="20"/>
              </w:rPr>
              <w:t>data source</w:t>
            </w:r>
            <w:r w:rsidRPr="00334F13">
              <w:rPr>
                <w:sz w:val="20"/>
                <w:szCs w:val="20"/>
              </w:rPr>
              <w:t xml:space="preserve"> used for this calculation is </w:t>
            </w:r>
            <w:r w:rsidR="00180C2E" w:rsidRPr="00421FF5">
              <w:rPr>
                <w:rFonts w:cs="Arial"/>
                <w:sz w:val="20"/>
                <w:szCs w:val="20"/>
              </w:rPr>
              <w:t>the Department of Social Services Data Exchange using Statistical Linkage Key match of de-identified clients</w:t>
            </w:r>
          </w:p>
        </w:tc>
      </w:tr>
    </w:tbl>
    <w:p w14:paraId="674499E1" w14:textId="0C259F83" w:rsidR="007713B1" w:rsidRDefault="007713B1" w:rsidP="009008FD">
      <w:pPr>
        <w:pStyle w:val="Normalmorespace"/>
      </w:pPr>
      <w:r w:rsidRPr="00421FF5">
        <w:t xml:space="preserve">The percentage for financial wellbeing is based on improved financial wellbeing measured as a positive change in financial wellbeing circumstances during the assistance period as compared to initial circumstances, recorded on the </w:t>
      </w:r>
      <w:r w:rsidR="00467B8F">
        <w:t xml:space="preserve">5 </w:t>
      </w:r>
      <w:r w:rsidR="00E0797A">
        <w:t>point</w:t>
      </w:r>
      <w:r w:rsidRPr="00421FF5">
        <w:t xml:space="preserve"> Data Exchange Client Circumstances Standard Client/Community Outcome Reporting. The circumstance domain Standard Client/Community Outcome Reporting used in this measure are Financial Resilience and Material Wellbeing and Basic Necessities.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Source"/>
        <w:tblDescription w:val="TS: The data source used for this calculation is the Department of Social Services Data Exchange Standard Client/Community Outcome Reporting."/>
      </w:tblPr>
      <w:tblGrid>
        <w:gridCol w:w="988"/>
        <w:gridCol w:w="8028"/>
      </w:tblGrid>
      <w:tr w:rsidR="00180C2E" w:rsidRPr="00334F13" w14:paraId="397AE0A8" w14:textId="77777777" w:rsidTr="0017156F">
        <w:trPr>
          <w:trHeight w:val="737"/>
          <w:tblHeader/>
        </w:trPr>
        <w:tc>
          <w:tcPr>
            <w:tcW w:w="988" w:type="dxa"/>
          </w:tcPr>
          <w:p w14:paraId="45545D7C" w14:textId="77777777" w:rsidR="00180C2E" w:rsidRDefault="00180C2E" w:rsidP="00B81E0C">
            <w:r>
              <w:rPr>
                <w:noProof/>
              </w:rPr>
              <mc:AlternateContent>
                <mc:Choice Requires="wps">
                  <w:drawing>
                    <wp:inline distT="0" distB="0" distL="0" distR="0" wp14:anchorId="3A09623A" wp14:editId="150A12B4">
                      <wp:extent cx="446400" cy="327600"/>
                      <wp:effectExtent l="0" t="0" r="11430" b="15875"/>
                      <wp:docPr id="239" name="Rounded Rectangle 239"/>
                      <wp:cNvGraphicFramePr/>
                      <a:graphic xmlns:a="http://schemas.openxmlformats.org/drawingml/2006/main">
                        <a:graphicData uri="http://schemas.microsoft.com/office/word/2010/wordprocessingShape">
                          <wps:wsp>
                            <wps:cNvSpPr/>
                            <wps:spPr>
                              <a:xfrm>
                                <a:off x="0" y="0"/>
                                <a:ext cx="446400" cy="327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4E13A4" w14:textId="77777777" w:rsidR="00027309" w:rsidRPr="00F24CAC" w:rsidRDefault="00027309" w:rsidP="00180C2E">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A09623A" id="Rounded Rectangle 239" o:spid="_x0000_s1040" style="width:35.15pt;height:2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" fillcolor="#005a70 [3204]" strokecolor="#002c37 [1604]" strokeweight=".73403mm">
                      <v:textbox>
                        <w:txbxContent>
                          <w:p w14:paraId="634E13A4" w14:textId="77777777" w:rsidR="00027309" w:rsidRPr="00F24CAC" w:rsidRDefault="00027309" w:rsidP="00180C2E">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v:textbox>
                      <w10:anchorlock/>
                    </v:roundrect>
                  </w:pict>
                </mc:Fallback>
              </mc:AlternateContent>
            </w:r>
          </w:p>
        </w:tc>
        <w:tc>
          <w:tcPr>
            <w:tcW w:w="8028" w:type="dxa"/>
          </w:tcPr>
          <w:p w14:paraId="50932EE5" w14:textId="57752665" w:rsidR="00180C2E" w:rsidRPr="00334F13" w:rsidRDefault="00180C2E" w:rsidP="00B81E0C">
            <w:pPr>
              <w:rPr>
                <w:sz w:val="20"/>
                <w:szCs w:val="20"/>
              </w:rPr>
            </w:pPr>
            <w:r w:rsidRPr="00334F13">
              <w:rPr>
                <w:sz w:val="20"/>
                <w:szCs w:val="20"/>
              </w:rPr>
              <w:t xml:space="preserve">The </w:t>
            </w:r>
            <w:r w:rsidRPr="00334F13">
              <w:rPr>
                <w:b/>
                <w:sz w:val="20"/>
                <w:szCs w:val="20"/>
              </w:rPr>
              <w:t>data source</w:t>
            </w:r>
            <w:r w:rsidRPr="00334F13">
              <w:rPr>
                <w:sz w:val="20"/>
                <w:szCs w:val="20"/>
              </w:rPr>
              <w:t xml:space="preserve"> used for this calculation is </w:t>
            </w:r>
            <w:r w:rsidRPr="00421FF5">
              <w:rPr>
                <w:rFonts w:cs="Arial"/>
                <w:sz w:val="20"/>
                <w:szCs w:val="20"/>
              </w:rPr>
              <w:t>the Department of Social Services Data Exchange Standard Client/Community Outcome Reporting.</w:t>
            </w:r>
          </w:p>
        </w:tc>
      </w:tr>
    </w:tbl>
    <w:tbl>
      <w:tblPr>
        <w:tblStyle w:val="TableGrid39"/>
        <w:tblW w:w="4976" w:type="pct"/>
        <w:jc w:val="center"/>
        <w:tblLook w:val="04A0" w:firstRow="1" w:lastRow="0" w:firstColumn="1" w:lastColumn="0" w:noHBand="0" w:noVBand="1"/>
        <w:tblCaption w:val="Data Source"/>
        <w:tblDescription w:val="TS: The data source used for this calculation is the Department of Social Services Data Exchange Standard Client/Community Outcome Reporting."/>
      </w:tblPr>
      <w:tblGrid>
        <w:gridCol w:w="4109"/>
        <w:gridCol w:w="1322"/>
        <w:gridCol w:w="1320"/>
        <w:gridCol w:w="1322"/>
        <w:gridCol w:w="1226"/>
      </w:tblGrid>
      <w:tr w:rsidR="00957999" w14:paraId="798135FD" w14:textId="77777777" w:rsidTr="00CD76E2">
        <w:trPr>
          <w:cantSplit/>
          <w:trHeight w:val="356"/>
          <w:tblHeade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6"/>
            <w:hideMark/>
          </w:tcPr>
          <w:p w14:paraId="797ADD1A" w14:textId="77777777" w:rsidR="00957999" w:rsidRDefault="00957999">
            <w:pPr>
              <w:rPr>
                <w:rFonts w:asciiTheme="minorHAnsi" w:hAnsiTheme="minorHAnsi" w:cstheme="minorHAnsi"/>
                <w:b/>
                <w:spacing w:val="0"/>
                <w:sz w:val="20"/>
                <w:szCs w:val="22"/>
              </w:rPr>
            </w:pPr>
            <w:r>
              <w:rPr>
                <w:rFonts w:cstheme="minorHAnsi"/>
                <w:b/>
                <w:sz w:val="20"/>
              </w:rPr>
              <w:t>Performance Measure</w:t>
            </w:r>
          </w:p>
        </w:tc>
      </w:tr>
      <w:tr w:rsidR="00957999" w14:paraId="5E842470" w14:textId="77777777" w:rsidTr="00957999">
        <w:trPr>
          <w:cantSplit/>
          <w:trHeight w:val="356"/>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6D011B60" w14:textId="6B176DD8" w:rsidR="00957999" w:rsidRDefault="00882BA1" w:rsidP="009008FD">
            <w:pPr>
              <w:rPr>
                <w:rFonts w:cstheme="minorHAnsi"/>
                <w:b/>
                <w:sz w:val="20"/>
              </w:rPr>
            </w:pPr>
            <w:r>
              <w:rPr>
                <w:rFonts w:cstheme="minorHAnsi"/>
                <w:sz w:val="20"/>
              </w:rPr>
              <w:t>2.1.5</w:t>
            </w:r>
            <w:r w:rsidR="00957999">
              <w:rPr>
                <w:rFonts w:cstheme="minorHAnsi"/>
                <w:sz w:val="20"/>
              </w:rPr>
              <w:t xml:space="preserve">-2 </w:t>
            </w:r>
            <w:r w:rsidR="00957999">
              <w:rPr>
                <w:rFonts w:cs="Arial"/>
                <w:sz w:val="20"/>
                <w:szCs w:val="20"/>
              </w:rPr>
              <w:t>Participants transitioned to Enhanced Income Management have accessed their account.</w:t>
            </w:r>
          </w:p>
        </w:tc>
      </w:tr>
      <w:tr w:rsidR="00957999" w14:paraId="79BC3D08" w14:textId="77777777" w:rsidTr="00957999">
        <w:trPr>
          <w:cantSplit/>
          <w:trHeight w:val="356"/>
          <w:jc w:val="center"/>
        </w:trPr>
        <w:tc>
          <w:tcPr>
            <w:tcW w:w="2209" w:type="pct"/>
            <w:tcBorders>
              <w:top w:val="single" w:sz="4" w:space="0" w:color="auto"/>
              <w:left w:val="single" w:sz="4" w:space="0" w:color="auto"/>
              <w:bottom w:val="single" w:sz="4" w:space="0" w:color="auto"/>
              <w:right w:val="single" w:sz="4" w:space="0" w:color="auto"/>
            </w:tcBorders>
            <w:shd w:val="clear" w:color="auto" w:fill="D9D9D6"/>
            <w:hideMark/>
          </w:tcPr>
          <w:p w14:paraId="0E76D28E" w14:textId="77777777" w:rsidR="00957999" w:rsidRDefault="00957999">
            <w:pPr>
              <w:rPr>
                <w:rFonts w:cstheme="minorHAnsi"/>
                <w:sz w:val="20"/>
              </w:rPr>
            </w:pPr>
            <w:r>
              <w:rPr>
                <w:rFonts w:cstheme="minorHAnsi"/>
                <w:b/>
                <w:sz w:val="20"/>
              </w:rPr>
              <w:t>Target</w:t>
            </w:r>
          </w:p>
        </w:tc>
        <w:tc>
          <w:tcPr>
            <w:tcW w:w="711" w:type="pct"/>
            <w:tcBorders>
              <w:top w:val="single" w:sz="4" w:space="0" w:color="auto"/>
              <w:left w:val="single" w:sz="4" w:space="0" w:color="auto"/>
              <w:bottom w:val="single" w:sz="4" w:space="0" w:color="auto"/>
              <w:right w:val="single" w:sz="4" w:space="0" w:color="auto"/>
            </w:tcBorders>
            <w:shd w:val="clear" w:color="auto" w:fill="D9D9D6"/>
            <w:vAlign w:val="center"/>
            <w:hideMark/>
          </w:tcPr>
          <w:p w14:paraId="7F783A58" w14:textId="77777777" w:rsidR="00957999" w:rsidRDefault="00957999">
            <w:pPr>
              <w:jc w:val="center"/>
              <w:rPr>
                <w:rFonts w:cstheme="minorHAnsi"/>
                <w:sz w:val="20"/>
              </w:rPr>
            </w:pPr>
            <w:r>
              <w:rPr>
                <w:rFonts w:cstheme="minorHAnsi"/>
                <w:b/>
                <w:sz w:val="20"/>
              </w:rPr>
              <w:t>2023–24</w:t>
            </w:r>
          </w:p>
        </w:tc>
        <w:tc>
          <w:tcPr>
            <w:tcW w:w="710" w:type="pct"/>
            <w:tcBorders>
              <w:top w:val="single" w:sz="4" w:space="0" w:color="auto"/>
              <w:left w:val="single" w:sz="4" w:space="0" w:color="auto"/>
              <w:bottom w:val="single" w:sz="4" w:space="0" w:color="auto"/>
              <w:right w:val="single" w:sz="4" w:space="0" w:color="auto"/>
            </w:tcBorders>
            <w:shd w:val="clear" w:color="auto" w:fill="D9D9D6"/>
            <w:vAlign w:val="center"/>
            <w:hideMark/>
          </w:tcPr>
          <w:p w14:paraId="42633AFA" w14:textId="77777777" w:rsidR="00957999" w:rsidRDefault="00957999">
            <w:pPr>
              <w:jc w:val="center"/>
              <w:rPr>
                <w:rFonts w:cstheme="minorHAnsi"/>
                <w:b/>
                <w:sz w:val="20"/>
              </w:rPr>
            </w:pPr>
            <w:r>
              <w:rPr>
                <w:rFonts w:cstheme="minorHAnsi"/>
                <w:b/>
                <w:sz w:val="20"/>
              </w:rPr>
              <w:t>2024–25</w:t>
            </w:r>
          </w:p>
        </w:tc>
        <w:tc>
          <w:tcPr>
            <w:tcW w:w="711" w:type="pct"/>
            <w:tcBorders>
              <w:top w:val="single" w:sz="4" w:space="0" w:color="auto"/>
              <w:left w:val="single" w:sz="4" w:space="0" w:color="auto"/>
              <w:bottom w:val="single" w:sz="4" w:space="0" w:color="auto"/>
              <w:right w:val="single" w:sz="4" w:space="0" w:color="auto"/>
            </w:tcBorders>
            <w:shd w:val="clear" w:color="auto" w:fill="D9D9D6"/>
            <w:vAlign w:val="center"/>
            <w:hideMark/>
          </w:tcPr>
          <w:p w14:paraId="73DA7025" w14:textId="77777777" w:rsidR="00957999" w:rsidRDefault="00957999">
            <w:pPr>
              <w:jc w:val="center"/>
              <w:rPr>
                <w:rFonts w:cstheme="minorHAnsi"/>
                <w:b/>
                <w:sz w:val="20"/>
              </w:rPr>
            </w:pPr>
            <w:r>
              <w:rPr>
                <w:rFonts w:cstheme="minorHAnsi"/>
                <w:b/>
                <w:sz w:val="20"/>
              </w:rPr>
              <w:t>2025–26</w:t>
            </w:r>
          </w:p>
        </w:tc>
        <w:tc>
          <w:tcPr>
            <w:tcW w:w="659" w:type="pct"/>
            <w:tcBorders>
              <w:top w:val="single" w:sz="4" w:space="0" w:color="auto"/>
              <w:left w:val="single" w:sz="4" w:space="0" w:color="auto"/>
              <w:bottom w:val="single" w:sz="4" w:space="0" w:color="auto"/>
              <w:right w:val="single" w:sz="4" w:space="0" w:color="auto"/>
            </w:tcBorders>
            <w:shd w:val="clear" w:color="auto" w:fill="D9D9D6"/>
            <w:vAlign w:val="center"/>
            <w:hideMark/>
          </w:tcPr>
          <w:p w14:paraId="1E0D27CA" w14:textId="77777777" w:rsidR="00957999" w:rsidRDefault="00957999">
            <w:pPr>
              <w:jc w:val="center"/>
              <w:rPr>
                <w:rFonts w:cstheme="minorHAnsi"/>
                <w:b/>
                <w:sz w:val="20"/>
              </w:rPr>
            </w:pPr>
            <w:r>
              <w:rPr>
                <w:rFonts w:cstheme="minorHAnsi"/>
                <w:b/>
                <w:sz w:val="20"/>
              </w:rPr>
              <w:t>2026–27</w:t>
            </w:r>
          </w:p>
        </w:tc>
      </w:tr>
      <w:tr w:rsidR="00957999" w14:paraId="761F2B5D" w14:textId="77777777" w:rsidTr="00957999">
        <w:trPr>
          <w:cantSplit/>
          <w:trHeight w:val="356"/>
          <w:jc w:val="center"/>
        </w:trPr>
        <w:tc>
          <w:tcPr>
            <w:tcW w:w="220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57E5524" w14:textId="039D28B2" w:rsidR="00957999" w:rsidRDefault="00957999" w:rsidP="00DA7D1D">
            <w:pPr>
              <w:pStyle w:val="PBSbullet"/>
              <w:keepLines w:val="0"/>
              <w:numPr>
                <w:ilvl w:val="0"/>
                <w:numId w:val="0"/>
              </w:numPr>
              <w:spacing w:after="160" w:line="256" w:lineRule="auto"/>
              <w:rPr>
                <w:rFonts w:asciiTheme="minorHAnsi" w:eastAsia="Calibri" w:hAnsiTheme="minorHAnsi" w:cstheme="minorHAnsi"/>
                <w:sz w:val="20"/>
                <w:szCs w:val="22"/>
                <w:bdr w:val="none" w:sz="0" w:space="0" w:color="auto" w:frame="1"/>
              </w:rPr>
            </w:pPr>
            <w:r>
              <w:rPr>
                <w:rFonts w:asciiTheme="minorHAnsi" w:hAnsiTheme="minorHAnsi" w:cstheme="minorHAnsi"/>
                <w:noProof/>
                <w:sz w:val="20"/>
                <w:szCs w:val="22"/>
                <w:lang w:eastAsia="en-AU"/>
              </w:rPr>
              <w:sym w:font="Wingdings" w:char="F074"/>
            </w:r>
            <w:r>
              <w:rPr>
                <w:rFonts w:asciiTheme="minorHAnsi" w:hAnsiTheme="minorHAnsi" w:cstheme="minorHAnsi"/>
                <w:noProof/>
                <w:sz w:val="20"/>
                <w:szCs w:val="22"/>
                <w:lang w:eastAsia="en-AU"/>
              </w:rPr>
              <w:t xml:space="preserve"> 2.1.5-2A –</w:t>
            </w:r>
            <w:r w:rsidR="00DA7D1D">
              <w:rPr>
                <w:rFonts w:asciiTheme="minorHAnsi" w:hAnsiTheme="minorHAnsi" w:cstheme="minorHAnsi"/>
                <w:noProof/>
                <w:sz w:val="20"/>
                <w:szCs w:val="22"/>
                <w:lang w:eastAsia="en-AU"/>
              </w:rPr>
              <w:t xml:space="preserve"> At least </w:t>
            </w:r>
            <w:r>
              <w:rPr>
                <w:rFonts w:asciiTheme="minorHAnsi" w:hAnsiTheme="minorHAnsi" w:cstheme="minorHAnsi"/>
                <w:sz w:val="20"/>
                <w:szCs w:val="22"/>
              </w:rPr>
              <w:t>95% of Enhanced Income Management participants have accessed their account.</w:t>
            </w:r>
          </w:p>
        </w:tc>
        <w:tc>
          <w:tcPr>
            <w:tcW w:w="711" w:type="pct"/>
            <w:tcBorders>
              <w:top w:val="single" w:sz="4" w:space="0" w:color="auto"/>
              <w:left w:val="single" w:sz="4" w:space="0" w:color="auto"/>
              <w:bottom w:val="single" w:sz="4" w:space="0" w:color="auto"/>
              <w:right w:val="single" w:sz="4" w:space="0" w:color="auto"/>
            </w:tcBorders>
            <w:vAlign w:val="center"/>
            <w:hideMark/>
          </w:tcPr>
          <w:p w14:paraId="1A951C06" w14:textId="7A4D81EA" w:rsidR="00957999" w:rsidRDefault="00DA7D1D" w:rsidP="00DA7D1D">
            <w:pPr>
              <w:jc w:val="center"/>
              <w:rPr>
                <w:rFonts w:asciiTheme="minorHAnsi" w:eastAsiaTheme="minorEastAsia" w:hAnsiTheme="minorHAnsi" w:cstheme="minorHAnsi"/>
                <w:sz w:val="20"/>
                <w:szCs w:val="22"/>
              </w:rPr>
            </w:pPr>
            <w:r w:rsidRPr="004111BD">
              <w:rPr>
                <w:rFonts w:cs="Arial"/>
                <w:sz w:val="20"/>
                <w:szCs w:val="20"/>
              </w:rPr>
              <w:t>≥</w:t>
            </w:r>
            <w:r w:rsidR="00957999">
              <w:rPr>
                <w:rFonts w:cstheme="minorHAnsi"/>
                <w:sz w:val="20"/>
                <w:szCs w:val="20"/>
              </w:rPr>
              <w:t>95 %</w:t>
            </w:r>
          </w:p>
        </w:tc>
        <w:tc>
          <w:tcPr>
            <w:tcW w:w="710" w:type="pct"/>
            <w:tcBorders>
              <w:top w:val="single" w:sz="4" w:space="0" w:color="auto"/>
              <w:left w:val="single" w:sz="4" w:space="0" w:color="auto"/>
              <w:bottom w:val="single" w:sz="4" w:space="0" w:color="auto"/>
              <w:right w:val="single" w:sz="4" w:space="0" w:color="auto"/>
            </w:tcBorders>
            <w:vAlign w:val="center"/>
            <w:hideMark/>
          </w:tcPr>
          <w:p w14:paraId="6560D2C4" w14:textId="48A21041" w:rsidR="00957999" w:rsidRDefault="00DA7D1D" w:rsidP="00DA7D1D">
            <w:pPr>
              <w:jc w:val="center"/>
              <w:rPr>
                <w:rFonts w:cstheme="minorHAnsi"/>
                <w:sz w:val="20"/>
              </w:rPr>
            </w:pPr>
            <w:r w:rsidRPr="004111BD">
              <w:rPr>
                <w:rFonts w:cs="Arial"/>
                <w:sz w:val="20"/>
                <w:szCs w:val="20"/>
              </w:rPr>
              <w:t>≥</w:t>
            </w:r>
            <w:r w:rsidR="00957999">
              <w:rPr>
                <w:rFonts w:cstheme="minorHAnsi"/>
                <w:sz w:val="20"/>
                <w:szCs w:val="20"/>
              </w:rPr>
              <w:t>95 %</w:t>
            </w:r>
          </w:p>
        </w:tc>
        <w:tc>
          <w:tcPr>
            <w:tcW w:w="711" w:type="pct"/>
            <w:tcBorders>
              <w:top w:val="single" w:sz="4" w:space="0" w:color="auto"/>
              <w:left w:val="single" w:sz="4" w:space="0" w:color="auto"/>
              <w:bottom w:val="single" w:sz="4" w:space="0" w:color="auto"/>
              <w:right w:val="single" w:sz="4" w:space="0" w:color="auto"/>
            </w:tcBorders>
            <w:vAlign w:val="center"/>
            <w:hideMark/>
          </w:tcPr>
          <w:p w14:paraId="4E829912" w14:textId="034CF7C0" w:rsidR="00957999" w:rsidRDefault="00DA7D1D" w:rsidP="00DA7D1D">
            <w:pPr>
              <w:jc w:val="center"/>
              <w:rPr>
                <w:rFonts w:cstheme="minorHAnsi"/>
                <w:sz w:val="20"/>
              </w:rPr>
            </w:pPr>
            <w:r w:rsidRPr="004111BD">
              <w:rPr>
                <w:rFonts w:cs="Arial"/>
                <w:sz w:val="20"/>
                <w:szCs w:val="20"/>
              </w:rPr>
              <w:t>≥</w:t>
            </w:r>
            <w:r w:rsidR="00957999">
              <w:rPr>
                <w:rFonts w:cstheme="minorHAnsi"/>
                <w:sz w:val="20"/>
                <w:szCs w:val="20"/>
              </w:rPr>
              <w:t>95 %</w:t>
            </w:r>
          </w:p>
        </w:tc>
        <w:tc>
          <w:tcPr>
            <w:tcW w:w="659" w:type="pct"/>
            <w:tcBorders>
              <w:top w:val="single" w:sz="4" w:space="0" w:color="auto"/>
              <w:left w:val="single" w:sz="4" w:space="0" w:color="auto"/>
              <w:bottom w:val="single" w:sz="4" w:space="0" w:color="auto"/>
              <w:right w:val="single" w:sz="4" w:space="0" w:color="auto"/>
            </w:tcBorders>
            <w:vAlign w:val="center"/>
            <w:hideMark/>
          </w:tcPr>
          <w:p w14:paraId="033728A6" w14:textId="4BCD77E6" w:rsidR="00957999" w:rsidRDefault="00DA7D1D" w:rsidP="00DA7D1D">
            <w:pPr>
              <w:jc w:val="center"/>
              <w:rPr>
                <w:rFonts w:cstheme="minorHAnsi"/>
                <w:sz w:val="20"/>
              </w:rPr>
            </w:pPr>
            <w:r w:rsidRPr="004111BD">
              <w:rPr>
                <w:rFonts w:cs="Arial"/>
                <w:sz w:val="20"/>
                <w:szCs w:val="20"/>
              </w:rPr>
              <w:t>≥</w:t>
            </w:r>
            <w:r w:rsidR="00957999">
              <w:rPr>
                <w:rFonts w:cstheme="minorHAnsi"/>
                <w:sz w:val="20"/>
                <w:szCs w:val="20"/>
              </w:rPr>
              <w:t>95 %</w:t>
            </w:r>
          </w:p>
        </w:tc>
      </w:tr>
    </w:tbl>
    <w:p w14:paraId="24CF7E6F" w14:textId="77777777" w:rsidR="00957999" w:rsidRDefault="00957999" w:rsidP="00027309">
      <w:pPr>
        <w:pStyle w:val="Heading4"/>
        <w:shd w:val="clear" w:color="auto" w:fill="D9D9D9" w:themeFill="background1" w:themeFillShade="D9"/>
        <w:rPr>
          <w:rFonts w:asciiTheme="minorHAnsi" w:eastAsiaTheme="minorEastAsia" w:hAnsiTheme="minorHAnsi"/>
          <w:szCs w:val="22"/>
          <w:lang w:eastAsia="en-US"/>
        </w:rPr>
      </w:pPr>
      <w:r>
        <w:t>Rationale</w:t>
      </w:r>
    </w:p>
    <w:p w14:paraId="4732253E" w14:textId="088740A4" w:rsidR="00957999" w:rsidRDefault="00957999" w:rsidP="009008FD">
      <w:pPr>
        <w:pStyle w:val="Normalmorespace"/>
        <w:rPr>
          <w:rFonts w:cstheme="minorBidi"/>
        </w:rPr>
      </w:pPr>
      <w:r>
        <w:t xml:space="preserve">Enhanced Income Management has been a transitional offering that includes greater choice for people to support management of their money.  Participants using their enhanced IM account is a measure of successful implementation of </w:t>
      </w:r>
      <w:r w:rsidR="002821EC">
        <w:t>e</w:t>
      </w:r>
      <w:r>
        <w:t xml:space="preserve">nhanced IM and the extent of uptake. It demonstrates successful transition of participants from the CDC program to the </w:t>
      </w:r>
      <w:r w:rsidR="002821EC">
        <w:t>e</w:t>
      </w:r>
      <w:r>
        <w:t>nhanced IM program, whilst also ensuring that all participants can continue to use their social security payments to</w:t>
      </w:r>
      <w:r>
        <w:rPr>
          <w:rFonts w:cstheme="minorHAnsi"/>
        </w:rPr>
        <w:t xml:space="preserve"> meet essential household needs and expenses, like food, rent, bills and education</w:t>
      </w:r>
      <w:r>
        <w:t xml:space="preserve">. </w:t>
      </w:r>
    </w:p>
    <w:p w14:paraId="69CB88D9" w14:textId="4DE266C1" w:rsidR="00957999" w:rsidRDefault="00957999" w:rsidP="009008FD">
      <w:pPr>
        <w:pStyle w:val="Normalmorespace"/>
      </w:pPr>
      <w:r>
        <w:t xml:space="preserve">Targeting 95 per cent (95 per cent of </w:t>
      </w:r>
      <w:r w:rsidR="002821EC">
        <w:t>e</w:t>
      </w:r>
      <w:r>
        <w:t xml:space="preserve">nhanced IM participants have access to their account) demonstrates that participants have successfully transitioned to the new card. </w:t>
      </w:r>
    </w:p>
    <w:p w14:paraId="404DD80E" w14:textId="77777777" w:rsidR="00957999" w:rsidRDefault="00957999" w:rsidP="00027309">
      <w:pPr>
        <w:pStyle w:val="Heading4"/>
        <w:shd w:val="clear" w:color="auto" w:fill="D9D9D9" w:themeFill="background1" w:themeFillShade="D9"/>
      </w:pPr>
      <w:r>
        <w:t>Methodology</w:t>
      </w:r>
    </w:p>
    <w:p w14:paraId="05666828" w14:textId="792472CA" w:rsidR="00957999" w:rsidRDefault="00957999" w:rsidP="009008FD">
      <w:pPr>
        <w:pStyle w:val="Normalmorespace"/>
      </w:pPr>
      <w:r>
        <w:t>Services Australia is responsible for th</w:t>
      </w:r>
      <w:r w:rsidR="00073300">
        <w:t>e delivery of enhanced IM. The d</w:t>
      </w:r>
      <w:r>
        <w:t>epartment will work in collaboration with Services Australia to provide information on account usage, which demonstrates participants have successfully transitioned to the enhanced IM account.</w:t>
      </w:r>
    </w:p>
    <w:p w14:paraId="6680588D" w14:textId="0995E394" w:rsidR="00740D34" w:rsidRDefault="00957999" w:rsidP="009008FD">
      <w:pPr>
        <w:spacing w:after="120"/>
        <w:rPr>
          <w:rFonts w:cstheme="minorHAnsi"/>
          <w:sz w:val="20"/>
          <w:szCs w:val="20"/>
        </w:rPr>
      </w:pPr>
      <w:r w:rsidRPr="00740D34">
        <w:rPr>
          <w:rFonts w:cstheme="minorHAnsi"/>
          <w:sz w:val="20"/>
          <w:szCs w:val="20"/>
        </w:rPr>
        <w:t xml:space="preserve">The </w:t>
      </w:r>
      <w:r w:rsidRPr="00740D34">
        <w:rPr>
          <w:rFonts w:cstheme="minorHAnsi"/>
          <w:b/>
          <w:sz w:val="20"/>
          <w:szCs w:val="20"/>
        </w:rPr>
        <w:t>data source</w:t>
      </w:r>
      <w:r w:rsidRPr="00740D34">
        <w:rPr>
          <w:rFonts w:cstheme="minorHAnsi"/>
          <w:sz w:val="20"/>
          <w:szCs w:val="20"/>
        </w:rPr>
        <w:t xml:space="preserve"> used for this calculation is sourced from</w:t>
      </w:r>
      <w:r w:rsidR="000E428B">
        <w:rPr>
          <w:rFonts w:cstheme="minorHAnsi"/>
          <w:sz w:val="20"/>
          <w:szCs w:val="20"/>
        </w:rPr>
        <w:t>:</w:t>
      </w:r>
      <w:r w:rsidRPr="00740D34">
        <w:rPr>
          <w:rFonts w:cstheme="minorHAnsi"/>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Source"/>
        <w:tblDescription w:val="TS: Services Australia administrative data. TS: The data source used for this calculation is Third Party Financial Institution Administrative Data"/>
      </w:tblPr>
      <w:tblGrid>
        <w:gridCol w:w="988"/>
        <w:gridCol w:w="8028"/>
      </w:tblGrid>
      <w:tr w:rsidR="00180C2E" w:rsidRPr="00334F13" w14:paraId="1C517CFC" w14:textId="77777777" w:rsidTr="0017156F">
        <w:trPr>
          <w:trHeight w:val="737"/>
          <w:tblHeader/>
        </w:trPr>
        <w:tc>
          <w:tcPr>
            <w:tcW w:w="988" w:type="dxa"/>
            <w:vAlign w:val="center"/>
          </w:tcPr>
          <w:p w14:paraId="0722B87C" w14:textId="77777777" w:rsidR="00180C2E" w:rsidRDefault="00180C2E" w:rsidP="00B81E0C">
            <w:r>
              <w:rPr>
                <w:noProof/>
                <w:color w:val="000000" w:themeColor="text1"/>
              </w:rPr>
              <w:drawing>
                <wp:inline distT="0" distB="0" distL="0" distR="0" wp14:anchorId="7D34A137" wp14:editId="6719BABB">
                  <wp:extent cx="457200" cy="342900"/>
                  <wp:effectExtent l="0" t="0" r="0" b="0"/>
                  <wp:docPr id="242" name="Picture 242"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vAlign w:val="center"/>
          </w:tcPr>
          <w:p w14:paraId="5A0C1369" w14:textId="77777777" w:rsidR="00180C2E" w:rsidRPr="00334F13" w:rsidRDefault="00180C2E" w:rsidP="00B81E0C">
            <w:pPr>
              <w:rPr>
                <w:sz w:val="20"/>
                <w:szCs w:val="20"/>
              </w:rPr>
            </w:pPr>
            <w:r>
              <w:rPr>
                <w:sz w:val="20"/>
                <w:szCs w:val="20"/>
              </w:rPr>
              <w:t>Services Australia administrative data</w:t>
            </w:r>
          </w:p>
        </w:tc>
      </w:tr>
      <w:tr w:rsidR="00180C2E" w:rsidRPr="00334F13" w14:paraId="56BC1749" w14:textId="77777777" w:rsidTr="008139F7">
        <w:trPr>
          <w:trHeight w:val="653"/>
        </w:trPr>
        <w:tc>
          <w:tcPr>
            <w:tcW w:w="988" w:type="dxa"/>
          </w:tcPr>
          <w:p w14:paraId="16EB4F69" w14:textId="77777777" w:rsidR="00180C2E" w:rsidRDefault="00180C2E" w:rsidP="00B81E0C">
            <w:r>
              <w:rPr>
                <w:noProof/>
              </w:rPr>
              <mc:AlternateContent>
                <mc:Choice Requires="wps">
                  <w:drawing>
                    <wp:inline distT="0" distB="0" distL="0" distR="0" wp14:anchorId="2CD0D6E8" wp14:editId="111AFFA8">
                      <wp:extent cx="446400" cy="327600"/>
                      <wp:effectExtent l="0" t="0" r="11430" b="15875"/>
                      <wp:docPr id="244" name="Rounded Rectangle 244"/>
                      <wp:cNvGraphicFramePr/>
                      <a:graphic xmlns:a="http://schemas.openxmlformats.org/drawingml/2006/main">
                        <a:graphicData uri="http://schemas.microsoft.com/office/word/2010/wordprocessingShape">
                          <wps:wsp>
                            <wps:cNvSpPr/>
                            <wps:spPr>
                              <a:xfrm>
                                <a:off x="0" y="0"/>
                                <a:ext cx="446400" cy="327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039156" w14:textId="77777777" w:rsidR="00027309" w:rsidRPr="00F24CAC" w:rsidRDefault="00027309" w:rsidP="00180C2E">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CD0D6E8" id="Rounded Rectangle 244" o:spid="_x0000_s1041" style="width:35.15pt;height:2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" fillcolor="#005a70 [3204]" strokecolor="#002c37 [1604]" strokeweight=".73403mm">
                      <v:textbox>
                        <w:txbxContent>
                          <w:p w14:paraId="0F039156" w14:textId="77777777" w:rsidR="00027309" w:rsidRPr="00F24CAC" w:rsidRDefault="00027309" w:rsidP="00180C2E">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v:textbox>
                      <w10:anchorlock/>
                    </v:roundrect>
                  </w:pict>
                </mc:Fallback>
              </mc:AlternateContent>
            </w:r>
          </w:p>
        </w:tc>
        <w:tc>
          <w:tcPr>
            <w:tcW w:w="8028" w:type="dxa"/>
          </w:tcPr>
          <w:p w14:paraId="5C522757" w14:textId="61112557" w:rsidR="00180C2E" w:rsidRPr="00334F13" w:rsidRDefault="00180C2E" w:rsidP="00B81E0C">
            <w:pPr>
              <w:rPr>
                <w:sz w:val="20"/>
                <w:szCs w:val="20"/>
              </w:rPr>
            </w:pPr>
            <w:r>
              <w:rPr>
                <w:sz w:val="20"/>
                <w:szCs w:val="20"/>
              </w:rPr>
              <w:t>Third Party Financial Institution Administrative Data</w:t>
            </w:r>
          </w:p>
        </w:tc>
      </w:tr>
    </w:tbl>
    <w:p w14:paraId="47F70FD2" w14:textId="77777777" w:rsidR="007713B1" w:rsidRPr="00421FF5" w:rsidRDefault="007713B1" w:rsidP="00027309">
      <w:pPr>
        <w:pStyle w:val="Heading4"/>
        <w:shd w:val="clear" w:color="auto" w:fill="D9D9D9" w:themeFill="background1" w:themeFillShade="D9"/>
      </w:pPr>
      <w:r w:rsidRPr="00421FF5">
        <w:t xml:space="preserve">Supporting Information </w:t>
      </w:r>
    </w:p>
    <w:p w14:paraId="5F01400F" w14:textId="6C3720C6" w:rsidR="00734890" w:rsidRDefault="00E612F5" w:rsidP="00734890">
      <w:pPr>
        <w:spacing w:before="80" w:after="80" w:line="240" w:lineRule="auto"/>
        <w:rPr>
          <w:rFonts w:cs="Arial"/>
          <w:sz w:val="20"/>
          <w:szCs w:val="20"/>
        </w:rPr>
      </w:pPr>
      <w:r>
        <w:rPr>
          <w:rFonts w:cs="Arial"/>
          <w:sz w:val="20"/>
          <w:szCs w:val="20"/>
        </w:rPr>
        <w:t>Financial Wellb</w:t>
      </w:r>
      <w:r w:rsidR="00734890">
        <w:rPr>
          <w:rFonts w:cs="Arial"/>
          <w:sz w:val="20"/>
          <w:szCs w:val="20"/>
        </w:rPr>
        <w:t>eing and Capability – 2.1.5</w:t>
      </w:r>
    </w:p>
    <w:p w14:paraId="6C26D409" w14:textId="4ED86756" w:rsidR="007713B1" w:rsidRPr="00421FF5" w:rsidRDefault="007713B1" w:rsidP="007572E0">
      <w:pPr>
        <w:numPr>
          <w:ilvl w:val="0"/>
          <w:numId w:val="39"/>
        </w:numPr>
        <w:spacing w:before="80" w:after="80" w:line="240" w:lineRule="auto"/>
        <w:ind w:left="714" w:hanging="357"/>
        <w:rPr>
          <w:rFonts w:cs="Arial"/>
          <w:sz w:val="20"/>
          <w:szCs w:val="20"/>
        </w:rPr>
      </w:pPr>
      <w:r w:rsidRPr="00421FF5">
        <w:rPr>
          <w:rFonts w:cs="Arial"/>
          <w:sz w:val="20"/>
          <w:szCs w:val="20"/>
        </w:rPr>
        <w:t>Administered outlays</w:t>
      </w:r>
    </w:p>
    <w:p w14:paraId="28A15AED" w14:textId="77777777" w:rsidR="007713B1" w:rsidRPr="00421FF5" w:rsidRDefault="007713B1" w:rsidP="007572E0">
      <w:pPr>
        <w:numPr>
          <w:ilvl w:val="0"/>
          <w:numId w:val="39"/>
        </w:numPr>
        <w:spacing w:before="80" w:after="80" w:line="240" w:lineRule="auto"/>
        <w:ind w:left="714" w:hanging="357"/>
        <w:rPr>
          <w:rFonts w:cs="Arial"/>
          <w:sz w:val="20"/>
          <w:szCs w:val="20"/>
        </w:rPr>
      </w:pPr>
      <w:r w:rsidRPr="00421FF5">
        <w:rPr>
          <w:rFonts w:cs="Arial"/>
          <w:sz w:val="20"/>
          <w:szCs w:val="20"/>
        </w:rPr>
        <w:t>Number of individuals assisted</w:t>
      </w:r>
    </w:p>
    <w:p w14:paraId="512A011A" w14:textId="4CF51F24" w:rsidR="007713B1" w:rsidRDefault="007713B1" w:rsidP="007572E0">
      <w:pPr>
        <w:numPr>
          <w:ilvl w:val="0"/>
          <w:numId w:val="39"/>
        </w:numPr>
        <w:spacing w:before="80" w:after="80" w:line="240" w:lineRule="auto"/>
        <w:ind w:left="714" w:hanging="357"/>
        <w:rPr>
          <w:rFonts w:cs="Arial"/>
          <w:sz w:val="20"/>
          <w:szCs w:val="20"/>
        </w:rPr>
      </w:pPr>
      <w:r w:rsidRPr="00421FF5">
        <w:rPr>
          <w:rFonts w:cs="Arial"/>
          <w:sz w:val="20"/>
          <w:szCs w:val="20"/>
        </w:rPr>
        <w:t>Number of organisations contracted or receiving grant funding to deliver services.</w:t>
      </w:r>
    </w:p>
    <w:p w14:paraId="72B880A4" w14:textId="0E48C640" w:rsidR="003359FA" w:rsidRDefault="003359FA">
      <w:pPr>
        <w:spacing w:before="0" w:after="200" w:line="276" w:lineRule="auto"/>
        <w:rPr>
          <w:rFonts w:cs="Arial"/>
          <w:sz w:val="20"/>
          <w:szCs w:val="20"/>
        </w:rPr>
      </w:pPr>
      <w:r>
        <w:rPr>
          <w:rFonts w:cs="Arial"/>
          <w:sz w:val="20"/>
          <w:szCs w:val="20"/>
        </w:rPr>
        <w:br w:type="page"/>
      </w:r>
    </w:p>
    <w:p w14:paraId="18DE16B9" w14:textId="77777777" w:rsidR="003359FA" w:rsidRPr="00421FF5" w:rsidRDefault="003359FA" w:rsidP="00027309">
      <w:pPr>
        <w:pStyle w:val="Heading3"/>
        <w:shd w:val="clear" w:color="auto" w:fill="154C56"/>
      </w:pPr>
      <w:r w:rsidRPr="00421FF5">
        <w:t>PROGRAM 2.1 — FAMILIES AND COMMUNITIES</w:t>
      </w:r>
    </w:p>
    <w:p w14:paraId="572ECD51" w14:textId="77777777" w:rsidR="007713B1" w:rsidRPr="0072124D" w:rsidRDefault="007713B1" w:rsidP="00027309">
      <w:pPr>
        <w:shd w:val="clear" w:color="auto" w:fill="154C56"/>
        <w:spacing w:line="252" w:lineRule="auto"/>
        <w:rPr>
          <w:rFonts w:cs="Arial"/>
          <w:color w:val="FFFFFF" w:themeColor="background1"/>
          <w:sz w:val="20"/>
          <w:szCs w:val="20"/>
        </w:rPr>
      </w:pPr>
      <w:r w:rsidRPr="003359FA">
        <w:rPr>
          <w:rFonts w:cs="Arial"/>
          <w:color w:val="FFFFFF" w:themeColor="background1"/>
          <w:sz w:val="20"/>
          <w:szCs w:val="20"/>
        </w:rPr>
        <w:t>To strengthen relationships,</w:t>
      </w:r>
      <w:r w:rsidRPr="0072124D">
        <w:rPr>
          <w:rFonts w:cs="Arial"/>
          <w:color w:val="FFFFFF" w:themeColor="background1"/>
          <w:sz w:val="20"/>
          <w:szCs w:val="20"/>
        </w:rPr>
        <w:t xml:space="preserve"> support families, improve wellbeing of children and young people, reduce the cost of family breakdown, and strengthen family and community functioning.</w:t>
      </w:r>
    </w:p>
    <w:p w14:paraId="39878E64" w14:textId="77777777" w:rsidR="007713B1" w:rsidRPr="0072124D" w:rsidRDefault="007713B1" w:rsidP="00027309">
      <w:pPr>
        <w:pStyle w:val="Heading4"/>
        <w:shd w:val="clear" w:color="auto" w:fill="D9D9D9" w:themeFill="background1" w:themeFillShade="D9"/>
      </w:pPr>
      <w:r w:rsidRPr="0072124D">
        <w:t>Key Activity — 2.1.</w:t>
      </w:r>
      <w:r>
        <w:t>7</w:t>
      </w:r>
      <w:r w:rsidRPr="0072124D">
        <w:t xml:space="preserve"> National Redress Scheme for Institutional Child Sexual Abuse</w:t>
      </w:r>
    </w:p>
    <w:p w14:paraId="206E76BC" w14:textId="77777777" w:rsidR="007713B1" w:rsidRPr="0072124D" w:rsidRDefault="007713B1" w:rsidP="009008FD">
      <w:pPr>
        <w:pStyle w:val="Normalmorespace"/>
      </w:pPr>
      <w:r w:rsidRPr="0072124D">
        <w:t>The National Redress Scheme for Institutional Child Sexual Abuse (the Scheme) is a key activity of the Families and Communities program. The Scheme aims to provide support to people who have experienced institutional child sexual abuse. The Scheme:</w:t>
      </w:r>
    </w:p>
    <w:p w14:paraId="48CDCD0F" w14:textId="77777777" w:rsidR="007713B1" w:rsidRPr="0072124D" w:rsidRDefault="007713B1" w:rsidP="009008FD">
      <w:pPr>
        <w:numPr>
          <w:ilvl w:val="0"/>
          <w:numId w:val="39"/>
        </w:numPr>
        <w:spacing w:before="80" w:after="80" w:line="240" w:lineRule="auto"/>
        <w:ind w:left="714" w:hanging="357"/>
        <w:rPr>
          <w:rFonts w:cs="Arial"/>
          <w:sz w:val="20"/>
          <w:szCs w:val="20"/>
        </w:rPr>
      </w:pPr>
      <w:r w:rsidRPr="0072124D">
        <w:rPr>
          <w:rFonts w:cs="Arial"/>
          <w:sz w:val="20"/>
          <w:szCs w:val="20"/>
        </w:rPr>
        <w:t>acknowledges that many children were sexually abused in Australian institutions</w:t>
      </w:r>
    </w:p>
    <w:p w14:paraId="1A408C39" w14:textId="77777777" w:rsidR="007713B1" w:rsidRPr="0072124D" w:rsidRDefault="007713B1" w:rsidP="009008FD">
      <w:pPr>
        <w:numPr>
          <w:ilvl w:val="0"/>
          <w:numId w:val="39"/>
        </w:numPr>
        <w:spacing w:before="80" w:after="80" w:line="240" w:lineRule="auto"/>
        <w:ind w:left="714" w:hanging="357"/>
        <w:rPr>
          <w:rFonts w:cs="Arial"/>
          <w:sz w:val="20"/>
          <w:szCs w:val="20"/>
        </w:rPr>
      </w:pPr>
      <w:r w:rsidRPr="0072124D">
        <w:rPr>
          <w:rFonts w:cs="Arial"/>
          <w:sz w:val="20"/>
          <w:szCs w:val="20"/>
        </w:rPr>
        <w:t>recognises the harm caused by this abuse</w:t>
      </w:r>
    </w:p>
    <w:p w14:paraId="39501D08" w14:textId="77777777" w:rsidR="007713B1" w:rsidRPr="0072124D" w:rsidRDefault="007713B1" w:rsidP="009008FD">
      <w:pPr>
        <w:numPr>
          <w:ilvl w:val="0"/>
          <w:numId w:val="39"/>
        </w:numPr>
        <w:spacing w:before="80" w:after="80" w:line="240" w:lineRule="auto"/>
        <w:ind w:left="714" w:hanging="357"/>
        <w:rPr>
          <w:rFonts w:cs="Arial"/>
          <w:sz w:val="20"/>
          <w:szCs w:val="20"/>
        </w:rPr>
      </w:pPr>
      <w:r w:rsidRPr="0072124D">
        <w:rPr>
          <w:rFonts w:cs="Arial"/>
          <w:sz w:val="20"/>
          <w:szCs w:val="20"/>
        </w:rPr>
        <w:t>holds institutions accountable for this abuse</w:t>
      </w:r>
    </w:p>
    <w:p w14:paraId="517689D5" w14:textId="77777777" w:rsidR="007713B1" w:rsidRPr="0072124D" w:rsidRDefault="007713B1" w:rsidP="009008FD">
      <w:pPr>
        <w:numPr>
          <w:ilvl w:val="0"/>
          <w:numId w:val="39"/>
        </w:numPr>
        <w:spacing w:before="80" w:after="80" w:line="240" w:lineRule="auto"/>
        <w:ind w:left="714" w:hanging="357"/>
        <w:rPr>
          <w:rFonts w:cs="Arial"/>
          <w:sz w:val="20"/>
          <w:szCs w:val="20"/>
        </w:rPr>
      </w:pPr>
      <w:r w:rsidRPr="0072124D">
        <w:rPr>
          <w:rFonts w:cs="Arial"/>
          <w:sz w:val="20"/>
          <w:szCs w:val="20"/>
        </w:rPr>
        <w:t>helps people who have experienced institutional child sexual abuse gain access to counselling and psychological services, a direct personal response, and a monetary payment.</w:t>
      </w:r>
    </w:p>
    <w:p w14:paraId="4B92869F" w14:textId="77777777" w:rsidR="007713B1" w:rsidRPr="0072124D" w:rsidRDefault="007713B1" w:rsidP="009008FD">
      <w:pPr>
        <w:pStyle w:val="Normalmorespace"/>
      </w:pPr>
      <w:r w:rsidRPr="0072124D">
        <w:t>The Scheme has been developed with the needs of survivors at the core. The Scheme provides support to people through free access to Redress Support Services and independent legal support. Eligible people will be able to access the 3 components of redress: counselling; a redress payment; and a direct personal response from an institution (e.g. an apology).</w:t>
      </w:r>
    </w:p>
    <w:p w14:paraId="4F435E39" w14:textId="77777777" w:rsidR="007713B1" w:rsidRPr="0072124D" w:rsidRDefault="007713B1" w:rsidP="009008FD">
      <w:pPr>
        <w:rPr>
          <w:rFonts w:cs="Arial"/>
          <w:sz w:val="20"/>
          <w:szCs w:val="20"/>
        </w:rPr>
      </w:pPr>
      <w:r w:rsidRPr="0072124D">
        <w:rPr>
          <w:rFonts w:cs="Arial"/>
          <w:b/>
          <w:sz w:val="20"/>
          <w:szCs w:val="20"/>
        </w:rPr>
        <w:t>The department</w:t>
      </w:r>
      <w:r w:rsidRPr="0072124D">
        <w:rPr>
          <w:rFonts w:cs="Arial"/>
          <w:sz w:val="20"/>
          <w:szCs w:val="20"/>
        </w:rPr>
        <w:t xml:space="preserve"> is responsible for:</w:t>
      </w:r>
    </w:p>
    <w:p w14:paraId="66829017" w14:textId="77777777" w:rsidR="007713B1" w:rsidRPr="0072124D" w:rsidRDefault="007713B1" w:rsidP="009008FD">
      <w:pPr>
        <w:numPr>
          <w:ilvl w:val="0"/>
          <w:numId w:val="39"/>
        </w:numPr>
        <w:spacing w:before="80" w:after="80" w:line="240" w:lineRule="auto"/>
        <w:ind w:left="714" w:hanging="357"/>
        <w:rPr>
          <w:rFonts w:cs="Arial"/>
          <w:sz w:val="20"/>
          <w:szCs w:val="20"/>
        </w:rPr>
      </w:pPr>
      <w:r w:rsidRPr="0072124D">
        <w:rPr>
          <w:rFonts w:cs="Arial"/>
          <w:sz w:val="20"/>
          <w:szCs w:val="20"/>
        </w:rPr>
        <w:t>Policy, guidelines, eligibility criteria, a</w:t>
      </w:r>
      <w:r>
        <w:rPr>
          <w:rFonts w:cs="Arial"/>
          <w:sz w:val="20"/>
          <w:szCs w:val="20"/>
        </w:rPr>
        <w:t>nd legislation for the activity</w:t>
      </w:r>
    </w:p>
    <w:p w14:paraId="39DEA4F6" w14:textId="77777777" w:rsidR="007713B1" w:rsidRPr="0072124D" w:rsidRDefault="007713B1" w:rsidP="009008FD">
      <w:pPr>
        <w:numPr>
          <w:ilvl w:val="0"/>
          <w:numId w:val="39"/>
        </w:numPr>
        <w:spacing w:before="80" w:after="80" w:line="240" w:lineRule="auto"/>
        <w:ind w:left="714" w:hanging="357"/>
        <w:rPr>
          <w:rFonts w:cs="Arial"/>
          <w:sz w:val="20"/>
          <w:szCs w:val="20"/>
        </w:rPr>
      </w:pPr>
      <w:r w:rsidRPr="0072124D">
        <w:rPr>
          <w:rFonts w:cs="Arial"/>
          <w:sz w:val="20"/>
          <w:szCs w:val="20"/>
        </w:rPr>
        <w:t>Processing and managing</w:t>
      </w:r>
      <w:r>
        <w:rPr>
          <w:rFonts w:cs="Arial"/>
          <w:sz w:val="20"/>
          <w:szCs w:val="20"/>
        </w:rPr>
        <w:t xml:space="preserve"> applications</w:t>
      </w:r>
    </w:p>
    <w:p w14:paraId="2D6B4CB5" w14:textId="77777777" w:rsidR="007713B1" w:rsidRPr="0072124D" w:rsidRDefault="007713B1" w:rsidP="009008FD">
      <w:pPr>
        <w:numPr>
          <w:ilvl w:val="1"/>
          <w:numId w:val="41"/>
        </w:numPr>
        <w:spacing w:before="60" w:after="60" w:line="240" w:lineRule="auto"/>
        <w:ind w:left="1434" w:hanging="357"/>
        <w:rPr>
          <w:rFonts w:cs="Arial"/>
          <w:sz w:val="20"/>
          <w:szCs w:val="20"/>
        </w:rPr>
      </w:pPr>
      <w:r w:rsidRPr="0072124D">
        <w:rPr>
          <w:rFonts w:cs="Arial"/>
          <w:sz w:val="20"/>
          <w:szCs w:val="20"/>
        </w:rPr>
        <w:t>Considering applications; deciding if an applicant can access redress, and which redress the institution(s) needs to make to the applicant.</w:t>
      </w:r>
    </w:p>
    <w:p w14:paraId="086A7F58" w14:textId="77777777" w:rsidR="007713B1" w:rsidRPr="0072124D" w:rsidRDefault="007713B1" w:rsidP="009008FD">
      <w:pPr>
        <w:numPr>
          <w:ilvl w:val="1"/>
          <w:numId w:val="41"/>
        </w:numPr>
        <w:spacing w:before="60" w:after="60" w:line="240" w:lineRule="auto"/>
        <w:ind w:left="1434" w:hanging="357"/>
        <w:rPr>
          <w:rFonts w:cs="Arial"/>
          <w:sz w:val="20"/>
          <w:szCs w:val="20"/>
        </w:rPr>
      </w:pPr>
      <w:r w:rsidRPr="0072124D">
        <w:rPr>
          <w:rFonts w:cs="Arial"/>
          <w:sz w:val="20"/>
          <w:szCs w:val="20"/>
        </w:rPr>
        <w:t>Asking the relevant institution(s) for more information.</w:t>
      </w:r>
    </w:p>
    <w:p w14:paraId="78A4004C" w14:textId="77777777" w:rsidR="007713B1" w:rsidRPr="0072124D" w:rsidRDefault="007713B1" w:rsidP="009008FD">
      <w:pPr>
        <w:numPr>
          <w:ilvl w:val="1"/>
          <w:numId w:val="41"/>
        </w:numPr>
        <w:spacing w:before="60" w:after="60" w:line="240" w:lineRule="auto"/>
        <w:ind w:left="1434" w:hanging="357"/>
        <w:rPr>
          <w:rFonts w:cs="Arial"/>
          <w:sz w:val="20"/>
          <w:szCs w:val="20"/>
        </w:rPr>
      </w:pPr>
      <w:r w:rsidRPr="0072124D">
        <w:rPr>
          <w:rFonts w:cs="Arial"/>
          <w:sz w:val="20"/>
          <w:szCs w:val="20"/>
        </w:rPr>
        <w:t>Communicating with the applicant, including requesting more information and about the outcome of the application (an offer of redress).</w:t>
      </w:r>
    </w:p>
    <w:p w14:paraId="46AC5FB1" w14:textId="77777777" w:rsidR="007713B1" w:rsidRPr="0072124D" w:rsidRDefault="007713B1" w:rsidP="009008FD">
      <w:pPr>
        <w:numPr>
          <w:ilvl w:val="0"/>
          <w:numId w:val="39"/>
        </w:numPr>
        <w:spacing w:before="80" w:after="80" w:line="240" w:lineRule="auto"/>
        <w:ind w:left="714" w:hanging="357"/>
        <w:rPr>
          <w:rFonts w:cs="Arial"/>
          <w:sz w:val="20"/>
          <w:szCs w:val="20"/>
        </w:rPr>
      </w:pPr>
      <w:r w:rsidRPr="0072124D">
        <w:rPr>
          <w:rFonts w:cs="Arial"/>
          <w:sz w:val="20"/>
          <w:szCs w:val="20"/>
        </w:rPr>
        <w:t>Providing free access to Redress Support Services and redress-specifi</w:t>
      </w:r>
      <w:r>
        <w:rPr>
          <w:rFonts w:cs="Arial"/>
          <w:sz w:val="20"/>
          <w:szCs w:val="20"/>
        </w:rPr>
        <w:t>c financial counselling support</w:t>
      </w:r>
    </w:p>
    <w:p w14:paraId="5DDFDB59" w14:textId="77777777" w:rsidR="007713B1" w:rsidRPr="0072124D" w:rsidRDefault="007713B1" w:rsidP="009008FD">
      <w:pPr>
        <w:numPr>
          <w:ilvl w:val="0"/>
          <w:numId w:val="39"/>
        </w:numPr>
        <w:spacing w:before="80" w:after="80" w:line="240" w:lineRule="auto"/>
        <w:ind w:left="714" w:hanging="357"/>
        <w:rPr>
          <w:rFonts w:cs="Arial"/>
          <w:sz w:val="20"/>
          <w:szCs w:val="20"/>
        </w:rPr>
      </w:pPr>
      <w:r w:rsidRPr="0072124D">
        <w:rPr>
          <w:rFonts w:cs="Arial"/>
          <w:sz w:val="20"/>
          <w:szCs w:val="20"/>
        </w:rPr>
        <w:t xml:space="preserve">Working with </w:t>
      </w:r>
      <w:r>
        <w:rPr>
          <w:rFonts w:cs="Arial"/>
          <w:sz w:val="20"/>
          <w:szCs w:val="20"/>
        </w:rPr>
        <w:t>institutions to join the Scheme</w:t>
      </w:r>
    </w:p>
    <w:p w14:paraId="6FEEBB32" w14:textId="77777777" w:rsidR="007713B1" w:rsidRPr="0072124D" w:rsidRDefault="007713B1" w:rsidP="009008FD">
      <w:pPr>
        <w:numPr>
          <w:ilvl w:val="0"/>
          <w:numId w:val="39"/>
        </w:numPr>
        <w:spacing w:before="80" w:after="80" w:line="240" w:lineRule="auto"/>
        <w:ind w:left="714" w:hanging="357"/>
        <w:rPr>
          <w:rFonts w:cs="Arial"/>
          <w:sz w:val="20"/>
          <w:szCs w:val="20"/>
        </w:rPr>
      </w:pPr>
      <w:r w:rsidRPr="0072124D">
        <w:rPr>
          <w:rFonts w:cs="Arial"/>
          <w:sz w:val="20"/>
          <w:szCs w:val="20"/>
        </w:rPr>
        <w:t>Publicly identifying institutions that decline to join the Scheme.</w:t>
      </w:r>
    </w:p>
    <w:p w14:paraId="34907383" w14:textId="77777777" w:rsidR="007713B1" w:rsidRPr="0072124D" w:rsidRDefault="007713B1" w:rsidP="009008FD">
      <w:pPr>
        <w:rPr>
          <w:rFonts w:cs="Arial"/>
          <w:sz w:val="20"/>
          <w:szCs w:val="20"/>
        </w:rPr>
      </w:pPr>
      <w:r w:rsidRPr="0072124D">
        <w:rPr>
          <w:rFonts w:cs="Arial"/>
          <w:b/>
          <w:sz w:val="20"/>
          <w:szCs w:val="20"/>
        </w:rPr>
        <w:t>The institutions</w:t>
      </w:r>
      <w:r w:rsidRPr="0072124D">
        <w:rPr>
          <w:rFonts w:cs="Arial"/>
          <w:sz w:val="20"/>
          <w:szCs w:val="20"/>
        </w:rPr>
        <w:t xml:space="preserve"> are responsible for:</w:t>
      </w:r>
    </w:p>
    <w:p w14:paraId="24AC364B" w14:textId="77777777" w:rsidR="007713B1" w:rsidRPr="0072124D" w:rsidRDefault="007713B1" w:rsidP="009008FD">
      <w:pPr>
        <w:numPr>
          <w:ilvl w:val="0"/>
          <w:numId w:val="39"/>
        </w:numPr>
        <w:spacing w:before="80" w:after="80" w:line="240" w:lineRule="auto"/>
        <w:ind w:left="714" w:hanging="357"/>
        <w:rPr>
          <w:rFonts w:cs="Arial"/>
          <w:sz w:val="20"/>
          <w:szCs w:val="20"/>
        </w:rPr>
      </w:pPr>
      <w:r w:rsidRPr="0072124D">
        <w:rPr>
          <w:rFonts w:cs="Arial"/>
          <w:sz w:val="20"/>
          <w:szCs w:val="20"/>
        </w:rPr>
        <w:t>Joining the S</w:t>
      </w:r>
      <w:r>
        <w:rPr>
          <w:rFonts w:cs="Arial"/>
          <w:sz w:val="20"/>
          <w:szCs w:val="20"/>
        </w:rPr>
        <w:t>cheme</w:t>
      </w:r>
    </w:p>
    <w:p w14:paraId="7DAB9C95" w14:textId="77777777" w:rsidR="007713B1" w:rsidRPr="0072124D" w:rsidRDefault="007713B1" w:rsidP="009008FD">
      <w:pPr>
        <w:numPr>
          <w:ilvl w:val="0"/>
          <w:numId w:val="39"/>
        </w:numPr>
        <w:spacing w:before="80" w:after="80" w:line="240" w:lineRule="auto"/>
        <w:ind w:left="714" w:hanging="357"/>
        <w:rPr>
          <w:rFonts w:cs="Arial"/>
          <w:sz w:val="20"/>
          <w:szCs w:val="20"/>
        </w:rPr>
      </w:pPr>
      <w:r w:rsidRPr="0072124D">
        <w:rPr>
          <w:rFonts w:cs="Arial"/>
          <w:sz w:val="20"/>
          <w:szCs w:val="20"/>
        </w:rPr>
        <w:t>Providing information to the depar</w:t>
      </w:r>
      <w:r>
        <w:rPr>
          <w:rFonts w:cs="Arial"/>
          <w:sz w:val="20"/>
          <w:szCs w:val="20"/>
        </w:rPr>
        <w:t>tment about relevant applicants</w:t>
      </w:r>
    </w:p>
    <w:p w14:paraId="3BA2E8F4" w14:textId="77777777" w:rsidR="007713B1" w:rsidRPr="0072124D" w:rsidRDefault="007713B1" w:rsidP="009008FD">
      <w:pPr>
        <w:numPr>
          <w:ilvl w:val="0"/>
          <w:numId w:val="39"/>
        </w:numPr>
        <w:spacing w:before="80" w:after="80" w:line="240" w:lineRule="auto"/>
        <w:ind w:left="714" w:hanging="357"/>
        <w:rPr>
          <w:rFonts w:cs="Arial"/>
          <w:sz w:val="20"/>
          <w:szCs w:val="20"/>
        </w:rPr>
      </w:pPr>
      <w:r w:rsidRPr="0072124D">
        <w:rPr>
          <w:rFonts w:cs="Arial"/>
          <w:sz w:val="20"/>
          <w:szCs w:val="20"/>
        </w:rPr>
        <w:t>When required, providing redress to people who experienced child sexual abuse while in the care of their institution (counselling, a redress payment and a direct personal response from an institution).</w:t>
      </w:r>
    </w:p>
    <w:p w14:paraId="73CFB6F9" w14:textId="77777777" w:rsidR="007713B1" w:rsidRPr="0072124D" w:rsidRDefault="007713B1" w:rsidP="009008FD">
      <w:pPr>
        <w:ind w:left="720" w:hanging="720"/>
        <w:rPr>
          <w:rFonts w:cs="Arial"/>
          <w:sz w:val="20"/>
          <w:szCs w:val="20"/>
        </w:rPr>
      </w:pPr>
      <w:r w:rsidRPr="0072124D">
        <w:rPr>
          <w:rFonts w:cs="Arial"/>
          <w:sz w:val="20"/>
          <w:szCs w:val="20"/>
        </w:rPr>
        <w:t xml:space="preserve">The role of </w:t>
      </w:r>
      <w:r w:rsidRPr="0072124D">
        <w:rPr>
          <w:rFonts w:cs="Arial"/>
          <w:b/>
          <w:sz w:val="20"/>
          <w:szCs w:val="20"/>
        </w:rPr>
        <w:t xml:space="preserve">the applicant </w:t>
      </w:r>
      <w:r w:rsidRPr="0072124D">
        <w:rPr>
          <w:rFonts w:cs="Arial"/>
          <w:sz w:val="20"/>
          <w:szCs w:val="20"/>
        </w:rPr>
        <w:t>is to:</w:t>
      </w:r>
    </w:p>
    <w:p w14:paraId="02AB629A" w14:textId="77777777" w:rsidR="007713B1" w:rsidRPr="0072124D" w:rsidRDefault="007713B1" w:rsidP="009008FD">
      <w:pPr>
        <w:numPr>
          <w:ilvl w:val="0"/>
          <w:numId w:val="39"/>
        </w:numPr>
        <w:spacing w:before="80" w:after="80" w:line="240" w:lineRule="auto"/>
        <w:ind w:left="714" w:hanging="357"/>
        <w:rPr>
          <w:rFonts w:cs="Arial"/>
          <w:sz w:val="20"/>
          <w:szCs w:val="20"/>
        </w:rPr>
      </w:pPr>
      <w:r w:rsidRPr="0072124D">
        <w:rPr>
          <w:rFonts w:cs="Arial"/>
          <w:sz w:val="20"/>
          <w:szCs w:val="20"/>
        </w:rPr>
        <w:t>Complete</w:t>
      </w:r>
      <w:r>
        <w:rPr>
          <w:rFonts w:cs="Arial"/>
          <w:sz w:val="20"/>
          <w:szCs w:val="20"/>
        </w:rPr>
        <w:t xml:space="preserve"> and submit an application form</w:t>
      </w:r>
    </w:p>
    <w:p w14:paraId="03F2500B" w14:textId="77777777" w:rsidR="007713B1" w:rsidRPr="0072124D" w:rsidRDefault="007713B1" w:rsidP="009008FD">
      <w:pPr>
        <w:numPr>
          <w:ilvl w:val="0"/>
          <w:numId w:val="39"/>
        </w:numPr>
        <w:spacing w:before="80" w:after="80" w:line="240" w:lineRule="auto"/>
        <w:ind w:left="714" w:hanging="357"/>
        <w:rPr>
          <w:rFonts w:cs="Arial"/>
          <w:sz w:val="20"/>
          <w:szCs w:val="20"/>
        </w:rPr>
      </w:pPr>
      <w:r w:rsidRPr="0072124D">
        <w:rPr>
          <w:rFonts w:cs="Arial"/>
          <w:sz w:val="20"/>
          <w:szCs w:val="20"/>
        </w:rPr>
        <w:t>Provi</w:t>
      </w:r>
      <w:r>
        <w:rPr>
          <w:rFonts w:cs="Arial"/>
          <w:sz w:val="20"/>
          <w:szCs w:val="20"/>
        </w:rPr>
        <w:t>de true and correct information</w:t>
      </w:r>
    </w:p>
    <w:p w14:paraId="01F55BEB" w14:textId="77777777" w:rsidR="007713B1" w:rsidRPr="0072124D" w:rsidRDefault="007713B1" w:rsidP="009008FD">
      <w:pPr>
        <w:numPr>
          <w:ilvl w:val="0"/>
          <w:numId w:val="39"/>
        </w:numPr>
        <w:spacing w:before="80" w:after="80" w:line="240" w:lineRule="auto"/>
        <w:ind w:left="714" w:hanging="357"/>
        <w:rPr>
          <w:rFonts w:cs="Arial"/>
          <w:sz w:val="20"/>
          <w:szCs w:val="20"/>
        </w:rPr>
      </w:pPr>
      <w:r w:rsidRPr="0072124D">
        <w:rPr>
          <w:rFonts w:cs="Arial"/>
          <w:sz w:val="20"/>
          <w:szCs w:val="20"/>
        </w:rPr>
        <w:t>Provide extra information when requested from the d</w:t>
      </w:r>
      <w:r>
        <w:rPr>
          <w:rFonts w:cs="Arial"/>
          <w:sz w:val="20"/>
          <w:szCs w:val="20"/>
        </w:rPr>
        <w:t>epartment</w:t>
      </w:r>
    </w:p>
    <w:p w14:paraId="3CD3E708" w14:textId="6A43781F" w:rsidR="007713B1" w:rsidRPr="0072124D" w:rsidRDefault="007713B1" w:rsidP="009008FD">
      <w:pPr>
        <w:numPr>
          <w:ilvl w:val="0"/>
          <w:numId w:val="39"/>
        </w:numPr>
        <w:spacing w:before="80" w:after="80" w:line="240" w:lineRule="auto"/>
        <w:ind w:left="714" w:hanging="357"/>
        <w:rPr>
          <w:rFonts w:cs="Arial"/>
          <w:sz w:val="20"/>
          <w:szCs w:val="20"/>
        </w:rPr>
      </w:pPr>
      <w:r w:rsidRPr="0072124D">
        <w:rPr>
          <w:rFonts w:cs="Arial"/>
          <w:sz w:val="20"/>
          <w:szCs w:val="20"/>
        </w:rPr>
        <w:t>Accept, decline or ask for a review of an offer of redress.</w:t>
      </w:r>
      <w:r>
        <w:rPr>
          <w:rFonts w:cs="Arial"/>
          <w:sz w:val="20"/>
          <w:szCs w:val="20"/>
        </w:rPr>
        <w:br/>
      </w:r>
      <w:r>
        <w:rPr>
          <w:rFonts w:cs="Arial"/>
          <w:sz w:val="20"/>
          <w:szCs w:val="20"/>
        </w:rPr>
        <w:br/>
      </w:r>
    </w:p>
    <w:tbl>
      <w:tblPr>
        <w:tblStyle w:val="TableGrid39"/>
        <w:tblW w:w="0" w:type="auto"/>
        <w:jc w:val="center"/>
        <w:tblLook w:val="04A0" w:firstRow="1" w:lastRow="0" w:firstColumn="1" w:lastColumn="0" w:noHBand="0" w:noVBand="1"/>
        <w:tblCaption w:val="2.1.7-1 performance measure and target"/>
        <w:tblDescription w:val="Table outlines the quality and timeliness of redress scheme decisions across  2023-24, 2024-25, 2025-26, 2026-27"/>
      </w:tblPr>
      <w:tblGrid>
        <w:gridCol w:w="4673"/>
        <w:gridCol w:w="1085"/>
        <w:gridCol w:w="1086"/>
        <w:gridCol w:w="1086"/>
        <w:gridCol w:w="1086"/>
      </w:tblGrid>
      <w:tr w:rsidR="007713B1" w:rsidRPr="0072124D" w14:paraId="10CD647A" w14:textId="77777777" w:rsidTr="00CD76E2">
        <w:trPr>
          <w:cantSplit/>
          <w:trHeight w:val="356"/>
          <w:tblHeader/>
          <w:jc w:val="center"/>
        </w:trPr>
        <w:tc>
          <w:tcPr>
            <w:tcW w:w="0" w:type="auto"/>
            <w:gridSpan w:val="5"/>
            <w:shd w:val="clear" w:color="auto" w:fill="D9D9D6"/>
          </w:tcPr>
          <w:p w14:paraId="2852EFFC" w14:textId="77777777" w:rsidR="007713B1" w:rsidRPr="00723A4C" w:rsidRDefault="007713B1" w:rsidP="007713B1">
            <w:pPr>
              <w:keepNext/>
              <w:spacing w:after="120"/>
              <w:rPr>
                <w:rFonts w:cs="Arial"/>
                <w:b/>
                <w:sz w:val="20"/>
                <w:szCs w:val="20"/>
              </w:rPr>
            </w:pPr>
            <w:r w:rsidRPr="00723A4C">
              <w:rPr>
                <w:rFonts w:cs="Arial"/>
                <w:b/>
                <w:sz w:val="20"/>
                <w:szCs w:val="20"/>
              </w:rPr>
              <w:t>Performance Measure</w:t>
            </w:r>
          </w:p>
        </w:tc>
      </w:tr>
      <w:tr w:rsidR="007713B1" w:rsidRPr="0072124D" w14:paraId="7E3C1CFC" w14:textId="77777777" w:rsidTr="007713B1">
        <w:trPr>
          <w:cantSplit/>
          <w:trHeight w:val="356"/>
          <w:jc w:val="center"/>
        </w:trPr>
        <w:tc>
          <w:tcPr>
            <w:tcW w:w="0" w:type="auto"/>
            <w:gridSpan w:val="5"/>
            <w:shd w:val="clear" w:color="auto" w:fill="auto"/>
          </w:tcPr>
          <w:p w14:paraId="32944C33" w14:textId="77777777" w:rsidR="007713B1" w:rsidRPr="00723A4C" w:rsidRDefault="007713B1" w:rsidP="007713B1">
            <w:pPr>
              <w:keepNext/>
              <w:spacing w:after="120"/>
              <w:rPr>
                <w:rFonts w:cs="Arial"/>
                <w:b/>
                <w:sz w:val="20"/>
                <w:szCs w:val="20"/>
              </w:rPr>
            </w:pPr>
            <w:r w:rsidRPr="00723A4C">
              <w:rPr>
                <w:rFonts w:cs="Arial"/>
                <w:sz w:val="20"/>
                <w:szCs w:val="20"/>
              </w:rPr>
              <w:t>2.1.7-1 Ensure quality and timely decisions are made on applications to the Scheme.</w:t>
            </w:r>
          </w:p>
        </w:tc>
      </w:tr>
      <w:tr w:rsidR="007713B1" w:rsidRPr="0072124D" w14:paraId="4A6B185A" w14:textId="77777777" w:rsidTr="00467B8F">
        <w:trPr>
          <w:cantSplit/>
          <w:trHeight w:val="356"/>
          <w:jc w:val="center"/>
        </w:trPr>
        <w:tc>
          <w:tcPr>
            <w:tcW w:w="4673" w:type="dxa"/>
            <w:shd w:val="clear" w:color="auto" w:fill="D9D9D6"/>
          </w:tcPr>
          <w:p w14:paraId="6330F54B" w14:textId="77777777" w:rsidR="007713B1" w:rsidRPr="00723A4C" w:rsidRDefault="007713B1" w:rsidP="007713B1">
            <w:pPr>
              <w:spacing w:after="120"/>
              <w:rPr>
                <w:rFonts w:cs="Arial"/>
                <w:sz w:val="20"/>
                <w:szCs w:val="20"/>
              </w:rPr>
            </w:pPr>
            <w:r w:rsidRPr="00723A4C">
              <w:rPr>
                <w:rFonts w:cs="Arial"/>
                <w:b/>
                <w:sz w:val="20"/>
                <w:szCs w:val="20"/>
              </w:rPr>
              <w:t>Target</w:t>
            </w:r>
          </w:p>
        </w:tc>
        <w:tc>
          <w:tcPr>
            <w:tcW w:w="1085" w:type="dxa"/>
            <w:shd w:val="clear" w:color="auto" w:fill="D9D9D6"/>
            <w:vAlign w:val="center"/>
          </w:tcPr>
          <w:p w14:paraId="683F20ED" w14:textId="77777777" w:rsidR="007713B1" w:rsidRPr="00723A4C" w:rsidRDefault="007713B1" w:rsidP="007713B1">
            <w:pPr>
              <w:spacing w:after="120"/>
              <w:rPr>
                <w:rFonts w:cs="Arial"/>
                <w:sz w:val="20"/>
                <w:szCs w:val="20"/>
              </w:rPr>
            </w:pPr>
            <w:r w:rsidRPr="00723A4C">
              <w:rPr>
                <w:rFonts w:cs="Arial"/>
                <w:b/>
                <w:sz w:val="20"/>
                <w:szCs w:val="20"/>
              </w:rPr>
              <w:t>2023–24</w:t>
            </w:r>
          </w:p>
        </w:tc>
        <w:tc>
          <w:tcPr>
            <w:tcW w:w="1086" w:type="dxa"/>
            <w:shd w:val="clear" w:color="auto" w:fill="D9D9D6"/>
            <w:vAlign w:val="center"/>
          </w:tcPr>
          <w:p w14:paraId="58DF0667" w14:textId="77777777" w:rsidR="007713B1" w:rsidRPr="00723A4C" w:rsidRDefault="007713B1" w:rsidP="007713B1">
            <w:pPr>
              <w:spacing w:after="120"/>
              <w:rPr>
                <w:rFonts w:cs="Arial"/>
                <w:b/>
                <w:sz w:val="20"/>
                <w:szCs w:val="20"/>
              </w:rPr>
            </w:pPr>
            <w:r w:rsidRPr="00723A4C">
              <w:rPr>
                <w:rFonts w:cs="Arial"/>
                <w:b/>
                <w:sz w:val="20"/>
                <w:szCs w:val="20"/>
              </w:rPr>
              <w:t>2024–25</w:t>
            </w:r>
          </w:p>
        </w:tc>
        <w:tc>
          <w:tcPr>
            <w:tcW w:w="1086" w:type="dxa"/>
            <w:shd w:val="clear" w:color="auto" w:fill="D9D9D6"/>
            <w:vAlign w:val="center"/>
          </w:tcPr>
          <w:p w14:paraId="7F05833E" w14:textId="77777777" w:rsidR="007713B1" w:rsidRPr="00723A4C" w:rsidRDefault="007713B1" w:rsidP="007713B1">
            <w:pPr>
              <w:spacing w:after="120"/>
              <w:rPr>
                <w:rFonts w:cs="Arial"/>
                <w:b/>
                <w:sz w:val="20"/>
                <w:szCs w:val="20"/>
              </w:rPr>
            </w:pPr>
            <w:r w:rsidRPr="00723A4C">
              <w:rPr>
                <w:rFonts w:cs="Arial"/>
                <w:b/>
                <w:sz w:val="20"/>
                <w:szCs w:val="20"/>
              </w:rPr>
              <w:t>2025–26</w:t>
            </w:r>
          </w:p>
        </w:tc>
        <w:tc>
          <w:tcPr>
            <w:tcW w:w="1086" w:type="dxa"/>
            <w:shd w:val="clear" w:color="auto" w:fill="D9D9D6"/>
            <w:vAlign w:val="center"/>
          </w:tcPr>
          <w:p w14:paraId="1188DBF6" w14:textId="77777777" w:rsidR="007713B1" w:rsidRPr="00723A4C" w:rsidRDefault="007713B1" w:rsidP="007713B1">
            <w:pPr>
              <w:spacing w:after="120"/>
              <w:rPr>
                <w:rFonts w:cs="Arial"/>
                <w:b/>
                <w:sz w:val="20"/>
                <w:szCs w:val="20"/>
              </w:rPr>
            </w:pPr>
            <w:r w:rsidRPr="00723A4C">
              <w:rPr>
                <w:rFonts w:cs="Arial"/>
                <w:b/>
                <w:sz w:val="20"/>
                <w:szCs w:val="20"/>
              </w:rPr>
              <w:t>2026–27</w:t>
            </w:r>
          </w:p>
        </w:tc>
      </w:tr>
      <w:tr w:rsidR="007713B1" w:rsidRPr="0072124D" w14:paraId="114594E6" w14:textId="77777777" w:rsidTr="00467B8F">
        <w:trPr>
          <w:cantSplit/>
          <w:trHeight w:val="356"/>
          <w:jc w:val="center"/>
        </w:trPr>
        <w:tc>
          <w:tcPr>
            <w:tcW w:w="4673" w:type="dxa"/>
            <w:shd w:val="clear" w:color="auto" w:fill="FFFFFF" w:themeFill="background1"/>
          </w:tcPr>
          <w:p w14:paraId="09920014" w14:textId="77777777" w:rsidR="007713B1" w:rsidRPr="00723A4C" w:rsidRDefault="007713B1" w:rsidP="007713B1">
            <w:pPr>
              <w:pStyle w:val="PBSbullet"/>
              <w:numPr>
                <w:ilvl w:val="0"/>
                <w:numId w:val="0"/>
              </w:numPr>
              <w:pBdr>
                <w:top w:val="nil"/>
                <w:left w:val="nil"/>
                <w:bottom w:val="nil"/>
                <w:right w:val="nil"/>
                <w:between w:val="nil"/>
                <w:bar w:val="nil"/>
              </w:pBdr>
              <w:spacing w:before="120" w:after="120"/>
              <w:contextualSpacing w:val="0"/>
              <w:rPr>
                <w:rFonts w:eastAsia="Calibri"/>
                <w:iCs w:val="0"/>
                <w:sz w:val="20"/>
                <w:szCs w:val="20"/>
                <w:bdr w:val="nil"/>
              </w:rPr>
            </w:pPr>
            <w:r w:rsidRPr="00723A4C">
              <w:rPr>
                <w:sz w:val="20"/>
                <w:szCs w:val="20"/>
              </w:rPr>
              <w:t xml:space="preserve">2.1.7-1A - The Scheme will notify </w:t>
            </w:r>
            <w:r w:rsidRPr="00723A4C">
              <w:rPr>
                <w:sz w:val="20"/>
                <w:szCs w:val="20"/>
                <w:lang w:eastAsia="en-GB"/>
              </w:rPr>
              <w:t xml:space="preserve">at least </w:t>
            </w:r>
            <w:r w:rsidRPr="00723A4C">
              <w:rPr>
                <w:sz w:val="20"/>
                <w:szCs w:val="20"/>
              </w:rPr>
              <w:t>75 per cent of survivors about an outcome within 6 months of the date that all required information is received.</w:t>
            </w:r>
          </w:p>
        </w:tc>
        <w:tc>
          <w:tcPr>
            <w:tcW w:w="1085" w:type="dxa"/>
          </w:tcPr>
          <w:p w14:paraId="4119A867" w14:textId="77777777" w:rsidR="007713B1" w:rsidRPr="00723A4C" w:rsidRDefault="007713B1" w:rsidP="007713B1">
            <w:pPr>
              <w:spacing w:after="120"/>
              <w:rPr>
                <w:rFonts w:cs="Arial"/>
                <w:sz w:val="20"/>
                <w:szCs w:val="20"/>
              </w:rPr>
            </w:pPr>
            <w:r w:rsidRPr="00723A4C">
              <w:rPr>
                <w:rFonts w:cs="Arial"/>
                <w:sz w:val="20"/>
                <w:szCs w:val="20"/>
                <w:lang w:eastAsia="en-GB"/>
              </w:rPr>
              <w:t>≥75 %</w:t>
            </w:r>
          </w:p>
        </w:tc>
        <w:tc>
          <w:tcPr>
            <w:tcW w:w="1086" w:type="dxa"/>
          </w:tcPr>
          <w:p w14:paraId="105E468C" w14:textId="77777777" w:rsidR="007713B1" w:rsidRPr="00723A4C" w:rsidRDefault="007713B1" w:rsidP="007713B1">
            <w:pPr>
              <w:spacing w:after="120"/>
              <w:rPr>
                <w:rFonts w:cs="Arial"/>
                <w:sz w:val="20"/>
                <w:szCs w:val="20"/>
              </w:rPr>
            </w:pPr>
            <w:r w:rsidRPr="00723A4C">
              <w:rPr>
                <w:rFonts w:cs="Arial"/>
                <w:sz w:val="20"/>
                <w:szCs w:val="20"/>
                <w:lang w:eastAsia="en-GB"/>
              </w:rPr>
              <w:t>≥75 %</w:t>
            </w:r>
          </w:p>
        </w:tc>
        <w:tc>
          <w:tcPr>
            <w:tcW w:w="1086" w:type="dxa"/>
          </w:tcPr>
          <w:p w14:paraId="0BC51525" w14:textId="77777777" w:rsidR="007713B1" w:rsidRPr="00723A4C" w:rsidRDefault="007713B1" w:rsidP="007713B1">
            <w:pPr>
              <w:spacing w:after="120"/>
              <w:rPr>
                <w:rFonts w:cs="Arial"/>
                <w:sz w:val="20"/>
                <w:szCs w:val="20"/>
              </w:rPr>
            </w:pPr>
            <w:r w:rsidRPr="00723A4C">
              <w:rPr>
                <w:rFonts w:cs="Arial"/>
                <w:sz w:val="20"/>
                <w:szCs w:val="20"/>
                <w:lang w:eastAsia="en-GB"/>
              </w:rPr>
              <w:t>≥75 %</w:t>
            </w:r>
          </w:p>
        </w:tc>
        <w:tc>
          <w:tcPr>
            <w:tcW w:w="1086" w:type="dxa"/>
            <w:shd w:val="clear" w:color="auto" w:fill="FFFFFF" w:themeFill="background1"/>
          </w:tcPr>
          <w:p w14:paraId="22C8ED55" w14:textId="77777777" w:rsidR="007713B1" w:rsidRPr="00723A4C" w:rsidRDefault="007713B1" w:rsidP="007713B1">
            <w:pPr>
              <w:spacing w:after="120"/>
              <w:rPr>
                <w:rFonts w:cs="Arial"/>
                <w:sz w:val="20"/>
                <w:szCs w:val="20"/>
              </w:rPr>
            </w:pPr>
            <w:r w:rsidRPr="00723A4C">
              <w:rPr>
                <w:rFonts w:cs="Arial"/>
                <w:sz w:val="20"/>
                <w:szCs w:val="20"/>
                <w:lang w:eastAsia="en-GB"/>
              </w:rPr>
              <w:t>≥75 %</w:t>
            </w:r>
          </w:p>
        </w:tc>
      </w:tr>
      <w:tr w:rsidR="007713B1" w:rsidRPr="0072124D" w14:paraId="45FCD9CA" w14:textId="77777777" w:rsidTr="00467B8F">
        <w:trPr>
          <w:cantSplit/>
          <w:trHeight w:val="356"/>
          <w:jc w:val="center"/>
        </w:trPr>
        <w:tc>
          <w:tcPr>
            <w:tcW w:w="4673" w:type="dxa"/>
            <w:shd w:val="clear" w:color="auto" w:fill="FFFFFF" w:themeFill="background1"/>
          </w:tcPr>
          <w:p w14:paraId="356DE5D1" w14:textId="77777777" w:rsidR="007713B1" w:rsidRPr="00723A4C" w:rsidRDefault="007713B1" w:rsidP="007713B1">
            <w:pPr>
              <w:pStyle w:val="PBSbullet"/>
              <w:numPr>
                <w:ilvl w:val="0"/>
                <w:numId w:val="0"/>
              </w:numPr>
              <w:pBdr>
                <w:top w:val="nil"/>
                <w:left w:val="nil"/>
                <w:bottom w:val="nil"/>
                <w:right w:val="nil"/>
                <w:between w:val="nil"/>
                <w:bar w:val="nil"/>
              </w:pBdr>
              <w:spacing w:before="120" w:after="120"/>
              <w:contextualSpacing w:val="0"/>
              <w:rPr>
                <w:sz w:val="20"/>
                <w:szCs w:val="20"/>
              </w:rPr>
            </w:pPr>
            <w:r w:rsidRPr="00723A4C">
              <w:rPr>
                <w:sz w:val="20"/>
                <w:szCs w:val="20"/>
              </w:rPr>
              <w:t xml:space="preserve">2.1.7-1B - The Scheme will maintain quality decision-making, with </w:t>
            </w:r>
            <w:r w:rsidRPr="00723A4C">
              <w:rPr>
                <w:sz w:val="20"/>
                <w:szCs w:val="20"/>
                <w:lang w:eastAsia="en-GB"/>
              </w:rPr>
              <w:t xml:space="preserve">at least </w:t>
            </w:r>
            <w:r w:rsidRPr="00723A4C">
              <w:rPr>
                <w:sz w:val="20"/>
                <w:szCs w:val="20"/>
              </w:rPr>
              <w:t>95 per cent of initial determinations reflecting the final outcome.</w:t>
            </w:r>
          </w:p>
        </w:tc>
        <w:tc>
          <w:tcPr>
            <w:tcW w:w="1085" w:type="dxa"/>
          </w:tcPr>
          <w:p w14:paraId="5416477C" w14:textId="77777777" w:rsidR="007713B1" w:rsidRPr="00723A4C" w:rsidRDefault="007713B1" w:rsidP="007713B1">
            <w:pPr>
              <w:spacing w:after="120"/>
              <w:rPr>
                <w:rFonts w:cs="Arial"/>
                <w:sz w:val="20"/>
                <w:szCs w:val="20"/>
                <w:lang w:eastAsia="en-GB"/>
              </w:rPr>
            </w:pPr>
            <w:r w:rsidRPr="00723A4C">
              <w:rPr>
                <w:rFonts w:cs="Arial"/>
                <w:sz w:val="20"/>
                <w:szCs w:val="20"/>
                <w:lang w:eastAsia="en-GB"/>
              </w:rPr>
              <w:t>≥95 %</w:t>
            </w:r>
          </w:p>
        </w:tc>
        <w:tc>
          <w:tcPr>
            <w:tcW w:w="1086" w:type="dxa"/>
          </w:tcPr>
          <w:p w14:paraId="75C1419A" w14:textId="77777777" w:rsidR="007713B1" w:rsidRPr="00723A4C" w:rsidRDefault="007713B1" w:rsidP="007713B1">
            <w:pPr>
              <w:spacing w:after="120"/>
              <w:rPr>
                <w:rFonts w:cs="Arial"/>
                <w:sz w:val="20"/>
                <w:szCs w:val="20"/>
                <w:lang w:eastAsia="en-GB"/>
              </w:rPr>
            </w:pPr>
            <w:r w:rsidRPr="00723A4C">
              <w:rPr>
                <w:rFonts w:cs="Arial"/>
                <w:sz w:val="20"/>
                <w:szCs w:val="20"/>
                <w:lang w:eastAsia="en-GB"/>
              </w:rPr>
              <w:t>≥95 %</w:t>
            </w:r>
          </w:p>
        </w:tc>
        <w:tc>
          <w:tcPr>
            <w:tcW w:w="1086" w:type="dxa"/>
          </w:tcPr>
          <w:p w14:paraId="11FE9DD2" w14:textId="77777777" w:rsidR="007713B1" w:rsidRPr="00723A4C" w:rsidRDefault="007713B1" w:rsidP="007713B1">
            <w:pPr>
              <w:spacing w:after="120"/>
              <w:rPr>
                <w:rFonts w:cs="Arial"/>
                <w:sz w:val="20"/>
                <w:szCs w:val="20"/>
                <w:lang w:eastAsia="en-GB"/>
              </w:rPr>
            </w:pPr>
            <w:r w:rsidRPr="00723A4C">
              <w:rPr>
                <w:rFonts w:cs="Arial"/>
                <w:sz w:val="20"/>
                <w:szCs w:val="20"/>
                <w:lang w:eastAsia="en-GB"/>
              </w:rPr>
              <w:t>≥95 %</w:t>
            </w:r>
          </w:p>
        </w:tc>
        <w:tc>
          <w:tcPr>
            <w:tcW w:w="1086" w:type="dxa"/>
            <w:shd w:val="clear" w:color="auto" w:fill="FFFFFF" w:themeFill="background1"/>
          </w:tcPr>
          <w:p w14:paraId="6FF931EA" w14:textId="77777777" w:rsidR="007713B1" w:rsidRPr="00723A4C" w:rsidRDefault="007713B1" w:rsidP="007713B1">
            <w:pPr>
              <w:spacing w:after="120"/>
              <w:rPr>
                <w:rFonts w:cs="Arial"/>
                <w:sz w:val="20"/>
                <w:szCs w:val="20"/>
              </w:rPr>
            </w:pPr>
            <w:r w:rsidRPr="00723A4C">
              <w:rPr>
                <w:rFonts w:cs="Arial"/>
                <w:sz w:val="20"/>
                <w:szCs w:val="20"/>
                <w:lang w:eastAsia="en-GB"/>
              </w:rPr>
              <w:t>≥95 %</w:t>
            </w:r>
          </w:p>
        </w:tc>
      </w:tr>
    </w:tbl>
    <w:p w14:paraId="677C7BB9" w14:textId="77777777" w:rsidR="007713B1" w:rsidRPr="0072124D" w:rsidRDefault="007713B1" w:rsidP="00027309">
      <w:pPr>
        <w:pStyle w:val="Heading4"/>
        <w:shd w:val="clear" w:color="auto" w:fill="D9D9D9" w:themeFill="background1" w:themeFillShade="D9"/>
      </w:pPr>
      <w:r w:rsidRPr="0072124D">
        <w:t>Rationale</w:t>
      </w:r>
    </w:p>
    <w:p w14:paraId="2DA346B1" w14:textId="77777777" w:rsidR="007713B1" w:rsidRPr="0072124D" w:rsidRDefault="007713B1" w:rsidP="009008FD">
      <w:pPr>
        <w:pStyle w:val="Normalmorespace"/>
      </w:pPr>
      <w:r w:rsidRPr="0072124D">
        <w:t xml:space="preserve">Measuring </w:t>
      </w:r>
      <w:r w:rsidRPr="0072124D">
        <w:rPr>
          <w:i/>
        </w:rPr>
        <w:t>the timely and quality finalisation of National Redress Scheme applications and offers made to survivors</w:t>
      </w:r>
      <w:r w:rsidRPr="0072124D">
        <w:t xml:space="preserve"> aims to demonstrate the department has </w:t>
      </w:r>
      <w:r w:rsidRPr="0072124D">
        <w:rPr>
          <w:b/>
        </w:rPr>
        <w:t>efficiently</w:t>
      </w:r>
      <w:r w:rsidRPr="0072124D">
        <w:t xml:space="preserve"> processed and managed applications. This is a measure of </w:t>
      </w:r>
      <w:r w:rsidRPr="0072124D">
        <w:rPr>
          <w:b/>
          <w:bCs/>
        </w:rPr>
        <w:t xml:space="preserve">proxy efficiency </w:t>
      </w:r>
      <w:r w:rsidRPr="0072124D">
        <w:t xml:space="preserve">that demonstrates achievement of a key </w:t>
      </w:r>
      <w:r w:rsidRPr="0072124D">
        <w:rPr>
          <w:b/>
        </w:rPr>
        <w:t>output</w:t>
      </w:r>
      <w:r w:rsidRPr="0072124D">
        <w:t xml:space="preserve"> of the National Redress Scheme key activity: </w:t>
      </w:r>
      <w:r w:rsidRPr="0072124D">
        <w:rPr>
          <w:i/>
        </w:rPr>
        <w:t>The department has called or sent the applicant a letter about the outcome of their application</w:t>
      </w:r>
      <w:r w:rsidRPr="0072124D">
        <w:t xml:space="preserve">. Further, the proportion of initial determinations that reflect the final outcome indicates the quality of decision making – that the details in the application have been fully considered in the determination made, and, where a further review of a decision is requested, the review does not lead to the original decision being overturned in more than a small number of instances. </w:t>
      </w:r>
    </w:p>
    <w:p w14:paraId="6BDBD003" w14:textId="14AEC15C" w:rsidR="007713B1" w:rsidRPr="0072124D" w:rsidRDefault="007713B1" w:rsidP="009008FD">
      <w:pPr>
        <w:pStyle w:val="Normalmorespace"/>
      </w:pPr>
      <w:r w:rsidRPr="0072124D">
        <w:t xml:space="preserve">Targeting </w:t>
      </w:r>
      <w:r>
        <w:rPr>
          <w:i/>
          <w:iCs/>
        </w:rPr>
        <w:t xml:space="preserve">at least </w:t>
      </w:r>
      <w:r w:rsidRPr="0072124D">
        <w:rPr>
          <w:i/>
          <w:iCs/>
        </w:rPr>
        <w:t xml:space="preserve">75 per cent of </w:t>
      </w:r>
      <w:r w:rsidRPr="0072124D">
        <w:rPr>
          <w:i/>
          <w:iCs/>
          <w:lang w:eastAsia="en-GB"/>
        </w:rPr>
        <w:t xml:space="preserve">applications that name institutions that participate in the Scheme have a decision communicated to the applicant within </w:t>
      </w:r>
      <w:r w:rsidR="00C50EE6">
        <w:rPr>
          <w:i/>
          <w:iCs/>
          <w:lang w:eastAsia="en-GB"/>
        </w:rPr>
        <w:t>6</w:t>
      </w:r>
      <w:r w:rsidRPr="0072124D">
        <w:rPr>
          <w:i/>
          <w:iCs/>
          <w:lang w:eastAsia="en-GB"/>
        </w:rPr>
        <w:t xml:space="preserve"> months of all required information being received by the Scheme </w:t>
      </w:r>
      <w:r w:rsidRPr="0072124D">
        <w:rPr>
          <w:lang w:eastAsia="en-GB"/>
        </w:rPr>
        <w:t xml:space="preserve">demonstrates </w:t>
      </w:r>
      <w:r w:rsidRPr="0072124D">
        <w:rPr>
          <w:b/>
          <w:bCs/>
          <w:lang w:eastAsia="en-GB"/>
        </w:rPr>
        <w:t>proxy efficiency</w:t>
      </w:r>
      <w:r w:rsidRPr="0072124D">
        <w:rPr>
          <w:lang w:eastAsia="en-GB"/>
        </w:rPr>
        <w:t xml:space="preserve"> of the key activity by showing</w:t>
      </w:r>
      <w:r w:rsidRPr="0072124D">
        <w:t xml:space="preserve"> applications are processed within a timely and reasonable timeframe, and is reflective of the complexity of the assessment process, available resources to process applications, and institutions that have joined the Scheme.</w:t>
      </w:r>
    </w:p>
    <w:p w14:paraId="6AC7E984" w14:textId="77777777" w:rsidR="007713B1" w:rsidRPr="0072124D" w:rsidRDefault="007713B1" w:rsidP="00027309">
      <w:pPr>
        <w:pStyle w:val="Heading4"/>
        <w:shd w:val="clear" w:color="auto" w:fill="D9D9D9" w:themeFill="background1" w:themeFillShade="D9"/>
      </w:pPr>
      <w:r w:rsidRPr="0072124D">
        <w:t>Methodology</w:t>
      </w:r>
    </w:p>
    <w:p w14:paraId="1256527C" w14:textId="6425668A" w:rsidR="007713B1" w:rsidRPr="0072124D" w:rsidRDefault="007713B1" w:rsidP="009008FD">
      <w:pPr>
        <w:pStyle w:val="Normalmorespace"/>
      </w:pPr>
      <w:r w:rsidRPr="0072124D">
        <w:t>2.1.</w:t>
      </w:r>
      <w:r>
        <w:t>7</w:t>
      </w:r>
      <w:r w:rsidRPr="0072124D">
        <w:t xml:space="preserve">-1A - The percentage of applications that progress with at least one named institution participating in the Scheme and are advised of their redress outcome within </w:t>
      </w:r>
      <w:r w:rsidR="00DF3752">
        <w:t>6</w:t>
      </w:r>
      <w:r w:rsidRPr="0072124D">
        <w:t xml:space="preserve"> months of all required information being received, as a proportion of all applicants who are advised of their redress outcome.</w:t>
      </w:r>
    </w:p>
    <w:p w14:paraId="5A38CDD9" w14:textId="220EB871" w:rsidR="00E34E32" w:rsidRDefault="007713B1" w:rsidP="009008FD">
      <w:pPr>
        <w:pStyle w:val="Normalmorespace"/>
        <w:rPr>
          <w:rFonts w:cs="Arial"/>
        </w:rPr>
      </w:pPr>
      <w:r w:rsidRPr="0072124D">
        <w:t>2.1.</w:t>
      </w:r>
      <w:r>
        <w:t>7</w:t>
      </w:r>
      <w:r w:rsidRPr="0072124D">
        <w:t>-1B - The percentage of completed applications where a review of the initial outcome was not requested or where a review was requested and the initial outcome was upheld, as a proportion of all applications completed after the initial outcome was advised.</w:t>
      </w:r>
    </w:p>
    <w:tbl>
      <w:tblPr>
        <w:tblStyle w:val="TableGrid39"/>
        <w:tblW w:w="4975" w:type="pct"/>
        <w:jc w:val="center"/>
        <w:tblLook w:val="04A0" w:firstRow="1" w:lastRow="0" w:firstColumn="1" w:lastColumn="0" w:noHBand="0" w:noVBand="1"/>
        <w:tblCaption w:val="2.1.7-1 performance measure and target"/>
        <w:tblDescription w:val="Table outlines the targeted Scheme engagement across 2023-24, 2024-25 and 2025-26, 2026-27"/>
      </w:tblPr>
      <w:tblGrid>
        <w:gridCol w:w="4403"/>
        <w:gridCol w:w="1175"/>
        <w:gridCol w:w="1175"/>
        <w:gridCol w:w="1322"/>
        <w:gridCol w:w="1222"/>
      </w:tblGrid>
      <w:tr w:rsidR="007713B1" w:rsidRPr="0072124D" w14:paraId="67437F16" w14:textId="77777777" w:rsidTr="00CD76E2">
        <w:trPr>
          <w:cantSplit/>
          <w:trHeight w:val="356"/>
          <w:tblHeader/>
          <w:jc w:val="center"/>
        </w:trPr>
        <w:tc>
          <w:tcPr>
            <w:tcW w:w="5000" w:type="pct"/>
            <w:gridSpan w:val="5"/>
            <w:shd w:val="clear" w:color="auto" w:fill="D9D9D6"/>
          </w:tcPr>
          <w:p w14:paraId="69366813" w14:textId="77777777" w:rsidR="007713B1" w:rsidRPr="00723A4C" w:rsidRDefault="007713B1" w:rsidP="007713B1">
            <w:pPr>
              <w:spacing w:after="120"/>
              <w:rPr>
                <w:rFonts w:cs="Arial"/>
                <w:b/>
                <w:sz w:val="20"/>
                <w:szCs w:val="20"/>
              </w:rPr>
            </w:pPr>
            <w:r w:rsidRPr="00723A4C">
              <w:rPr>
                <w:rFonts w:cs="Arial"/>
                <w:b/>
                <w:sz w:val="20"/>
                <w:szCs w:val="20"/>
              </w:rPr>
              <w:t>Performance Measure</w:t>
            </w:r>
          </w:p>
        </w:tc>
      </w:tr>
      <w:tr w:rsidR="007713B1" w:rsidRPr="0072124D" w14:paraId="01242FB7" w14:textId="77777777" w:rsidTr="007713B1">
        <w:trPr>
          <w:cantSplit/>
          <w:trHeight w:val="356"/>
          <w:jc w:val="center"/>
        </w:trPr>
        <w:tc>
          <w:tcPr>
            <w:tcW w:w="5000" w:type="pct"/>
            <w:gridSpan w:val="5"/>
            <w:shd w:val="clear" w:color="auto" w:fill="auto"/>
          </w:tcPr>
          <w:p w14:paraId="236F5532" w14:textId="77777777" w:rsidR="007713B1" w:rsidRPr="00723A4C" w:rsidRDefault="007713B1" w:rsidP="007713B1">
            <w:pPr>
              <w:spacing w:after="120"/>
              <w:rPr>
                <w:rFonts w:cs="Arial"/>
                <w:b/>
                <w:sz w:val="20"/>
                <w:szCs w:val="20"/>
              </w:rPr>
            </w:pPr>
            <w:r w:rsidRPr="00723A4C">
              <w:rPr>
                <w:rFonts w:cs="Arial"/>
                <w:sz w:val="20"/>
                <w:szCs w:val="20"/>
              </w:rPr>
              <w:t>2.1.7-2 Maximise institution participation with the Scheme.</w:t>
            </w:r>
          </w:p>
        </w:tc>
      </w:tr>
      <w:tr w:rsidR="007713B1" w:rsidRPr="0072124D" w14:paraId="7AC14536" w14:textId="77777777" w:rsidTr="007713B1">
        <w:trPr>
          <w:cantSplit/>
          <w:trHeight w:val="356"/>
          <w:jc w:val="center"/>
        </w:trPr>
        <w:tc>
          <w:tcPr>
            <w:tcW w:w="2368" w:type="pct"/>
            <w:shd w:val="clear" w:color="auto" w:fill="D9D9D6"/>
          </w:tcPr>
          <w:p w14:paraId="64473D12" w14:textId="77777777" w:rsidR="007713B1" w:rsidRPr="00723A4C" w:rsidRDefault="007713B1" w:rsidP="007713B1">
            <w:pPr>
              <w:spacing w:after="120"/>
              <w:rPr>
                <w:rFonts w:cs="Arial"/>
                <w:sz w:val="20"/>
                <w:szCs w:val="20"/>
              </w:rPr>
            </w:pPr>
            <w:r w:rsidRPr="00723A4C">
              <w:rPr>
                <w:rFonts w:cs="Arial"/>
                <w:b/>
                <w:sz w:val="20"/>
                <w:szCs w:val="20"/>
              </w:rPr>
              <w:t>Target</w:t>
            </w:r>
          </w:p>
        </w:tc>
        <w:tc>
          <w:tcPr>
            <w:tcW w:w="632" w:type="pct"/>
            <w:shd w:val="clear" w:color="auto" w:fill="D9D9D6"/>
            <w:vAlign w:val="center"/>
          </w:tcPr>
          <w:p w14:paraId="1BFEC138" w14:textId="77777777" w:rsidR="007713B1" w:rsidRPr="00723A4C" w:rsidRDefault="007713B1" w:rsidP="007713B1">
            <w:pPr>
              <w:spacing w:after="120"/>
              <w:rPr>
                <w:rFonts w:cs="Arial"/>
                <w:sz w:val="20"/>
                <w:szCs w:val="20"/>
              </w:rPr>
            </w:pPr>
            <w:r w:rsidRPr="00723A4C">
              <w:rPr>
                <w:rFonts w:cs="Arial"/>
                <w:b/>
                <w:sz w:val="20"/>
                <w:szCs w:val="20"/>
              </w:rPr>
              <w:t>2023–24</w:t>
            </w:r>
          </w:p>
        </w:tc>
        <w:tc>
          <w:tcPr>
            <w:tcW w:w="632" w:type="pct"/>
            <w:shd w:val="clear" w:color="auto" w:fill="D9D9D6"/>
            <w:vAlign w:val="center"/>
          </w:tcPr>
          <w:p w14:paraId="174752F2" w14:textId="77777777" w:rsidR="007713B1" w:rsidRPr="00723A4C" w:rsidRDefault="007713B1" w:rsidP="007713B1">
            <w:pPr>
              <w:spacing w:after="120"/>
              <w:rPr>
                <w:rFonts w:cs="Arial"/>
                <w:b/>
                <w:sz w:val="20"/>
                <w:szCs w:val="20"/>
              </w:rPr>
            </w:pPr>
            <w:r w:rsidRPr="00723A4C">
              <w:rPr>
                <w:rFonts w:cs="Arial"/>
                <w:b/>
                <w:sz w:val="20"/>
                <w:szCs w:val="20"/>
              </w:rPr>
              <w:t>2024–25</w:t>
            </w:r>
          </w:p>
        </w:tc>
        <w:tc>
          <w:tcPr>
            <w:tcW w:w="711" w:type="pct"/>
            <w:shd w:val="clear" w:color="auto" w:fill="D9D9D6"/>
            <w:vAlign w:val="center"/>
          </w:tcPr>
          <w:p w14:paraId="2645B9F9" w14:textId="77777777" w:rsidR="007713B1" w:rsidRPr="00723A4C" w:rsidRDefault="007713B1" w:rsidP="007713B1">
            <w:pPr>
              <w:spacing w:after="120"/>
              <w:rPr>
                <w:rFonts w:cs="Arial"/>
                <w:b/>
                <w:sz w:val="20"/>
                <w:szCs w:val="20"/>
              </w:rPr>
            </w:pPr>
            <w:r w:rsidRPr="00723A4C">
              <w:rPr>
                <w:rFonts w:cs="Arial"/>
                <w:b/>
                <w:sz w:val="20"/>
                <w:szCs w:val="20"/>
              </w:rPr>
              <w:t>2025–26</w:t>
            </w:r>
          </w:p>
        </w:tc>
        <w:tc>
          <w:tcPr>
            <w:tcW w:w="657" w:type="pct"/>
            <w:shd w:val="clear" w:color="auto" w:fill="D9D9D6"/>
            <w:vAlign w:val="center"/>
          </w:tcPr>
          <w:p w14:paraId="5BFC57CD" w14:textId="77777777" w:rsidR="007713B1" w:rsidRPr="00723A4C" w:rsidRDefault="007713B1" w:rsidP="007713B1">
            <w:pPr>
              <w:spacing w:after="120"/>
              <w:rPr>
                <w:rFonts w:cs="Arial"/>
                <w:b/>
                <w:sz w:val="20"/>
                <w:szCs w:val="20"/>
              </w:rPr>
            </w:pPr>
            <w:r w:rsidRPr="00723A4C">
              <w:rPr>
                <w:rFonts w:cs="Arial"/>
                <w:b/>
                <w:sz w:val="20"/>
                <w:szCs w:val="20"/>
              </w:rPr>
              <w:t>2026–27</w:t>
            </w:r>
          </w:p>
        </w:tc>
      </w:tr>
      <w:tr w:rsidR="007713B1" w:rsidRPr="0072124D" w14:paraId="4D8DBDB3" w14:textId="77777777" w:rsidTr="007713B1">
        <w:trPr>
          <w:cantSplit/>
          <w:trHeight w:val="356"/>
          <w:jc w:val="center"/>
        </w:trPr>
        <w:tc>
          <w:tcPr>
            <w:tcW w:w="2368" w:type="pct"/>
            <w:shd w:val="clear" w:color="auto" w:fill="FFFFFF" w:themeFill="background1"/>
          </w:tcPr>
          <w:p w14:paraId="63891E7A" w14:textId="77777777" w:rsidR="007713B1" w:rsidRPr="00723A4C" w:rsidRDefault="007713B1" w:rsidP="007713B1">
            <w:pPr>
              <w:pStyle w:val="PBSbullet"/>
              <w:keepLines w:val="0"/>
              <w:numPr>
                <w:ilvl w:val="0"/>
                <w:numId w:val="0"/>
              </w:numPr>
              <w:pBdr>
                <w:top w:val="nil"/>
                <w:left w:val="nil"/>
                <w:bottom w:val="nil"/>
                <w:right w:val="nil"/>
                <w:between w:val="nil"/>
                <w:bar w:val="nil"/>
              </w:pBdr>
              <w:spacing w:before="120" w:after="120"/>
              <w:contextualSpacing w:val="0"/>
              <w:rPr>
                <w:rFonts w:eastAsia="Calibri"/>
                <w:iCs w:val="0"/>
                <w:sz w:val="20"/>
                <w:szCs w:val="20"/>
                <w:bdr w:val="nil"/>
              </w:rPr>
            </w:pPr>
            <w:r w:rsidRPr="00723A4C">
              <w:rPr>
                <w:sz w:val="20"/>
                <w:szCs w:val="20"/>
              </w:rPr>
              <w:t>2.1.7-2A - The Scheme will engage and maintain participation, with institutions on</w:t>
            </w:r>
            <w:r w:rsidRPr="00723A4C">
              <w:rPr>
                <w:sz w:val="20"/>
                <w:szCs w:val="20"/>
              </w:rPr>
              <w:noBreakHyphen/>
              <w:t>board to cover at least 95 per cent of applications in progress.</w:t>
            </w:r>
          </w:p>
        </w:tc>
        <w:tc>
          <w:tcPr>
            <w:tcW w:w="632" w:type="pct"/>
          </w:tcPr>
          <w:p w14:paraId="1E6323E3" w14:textId="77777777" w:rsidR="007713B1" w:rsidRPr="00723A4C" w:rsidRDefault="007713B1" w:rsidP="007713B1">
            <w:pPr>
              <w:spacing w:after="120"/>
              <w:rPr>
                <w:rFonts w:cs="Arial"/>
                <w:sz w:val="20"/>
                <w:szCs w:val="20"/>
              </w:rPr>
            </w:pPr>
            <w:r w:rsidRPr="00723A4C">
              <w:rPr>
                <w:rFonts w:cs="Arial"/>
                <w:sz w:val="20"/>
                <w:szCs w:val="20"/>
                <w:lang w:eastAsia="en-GB"/>
              </w:rPr>
              <w:t>≥ 95 %</w:t>
            </w:r>
          </w:p>
        </w:tc>
        <w:tc>
          <w:tcPr>
            <w:tcW w:w="632" w:type="pct"/>
          </w:tcPr>
          <w:p w14:paraId="5C646EB7" w14:textId="77777777" w:rsidR="007713B1" w:rsidRPr="00723A4C" w:rsidRDefault="007713B1" w:rsidP="007713B1">
            <w:pPr>
              <w:spacing w:after="120"/>
              <w:rPr>
                <w:rFonts w:cs="Arial"/>
                <w:sz w:val="20"/>
                <w:szCs w:val="20"/>
              </w:rPr>
            </w:pPr>
            <w:r w:rsidRPr="00723A4C">
              <w:rPr>
                <w:rFonts w:cs="Arial"/>
                <w:sz w:val="20"/>
                <w:szCs w:val="20"/>
                <w:lang w:eastAsia="en-GB"/>
              </w:rPr>
              <w:t>≥ 95 %</w:t>
            </w:r>
          </w:p>
        </w:tc>
        <w:tc>
          <w:tcPr>
            <w:tcW w:w="711" w:type="pct"/>
          </w:tcPr>
          <w:p w14:paraId="13F8459D" w14:textId="77777777" w:rsidR="007713B1" w:rsidRPr="00723A4C" w:rsidRDefault="007713B1" w:rsidP="007713B1">
            <w:pPr>
              <w:spacing w:after="120"/>
              <w:rPr>
                <w:rFonts w:cs="Arial"/>
                <w:sz w:val="20"/>
                <w:szCs w:val="20"/>
              </w:rPr>
            </w:pPr>
            <w:r w:rsidRPr="00723A4C">
              <w:rPr>
                <w:rFonts w:cs="Arial"/>
                <w:sz w:val="20"/>
                <w:szCs w:val="20"/>
                <w:lang w:eastAsia="en-GB"/>
              </w:rPr>
              <w:t>≥ 95 %</w:t>
            </w:r>
          </w:p>
        </w:tc>
        <w:tc>
          <w:tcPr>
            <w:tcW w:w="657" w:type="pct"/>
            <w:shd w:val="clear" w:color="auto" w:fill="FFFFFF" w:themeFill="background1"/>
          </w:tcPr>
          <w:p w14:paraId="3693576D" w14:textId="77777777" w:rsidR="007713B1" w:rsidRPr="00723A4C" w:rsidRDefault="007713B1" w:rsidP="007713B1">
            <w:pPr>
              <w:spacing w:after="120"/>
              <w:rPr>
                <w:rFonts w:cs="Arial"/>
                <w:sz w:val="20"/>
                <w:szCs w:val="20"/>
              </w:rPr>
            </w:pPr>
            <w:r w:rsidRPr="00723A4C">
              <w:rPr>
                <w:rFonts w:cs="Arial"/>
                <w:sz w:val="20"/>
                <w:szCs w:val="20"/>
                <w:lang w:eastAsia="en-GB"/>
              </w:rPr>
              <w:t>≥ 95 %</w:t>
            </w:r>
          </w:p>
        </w:tc>
      </w:tr>
    </w:tbl>
    <w:p w14:paraId="28117E28" w14:textId="77777777" w:rsidR="007A03BF" w:rsidRDefault="007A03BF" w:rsidP="00013CF0">
      <w:pPr>
        <w:pStyle w:val="Heading4"/>
        <w:shd w:val="clear" w:color="auto" w:fill="auto"/>
      </w:pPr>
    </w:p>
    <w:p w14:paraId="676ADD66" w14:textId="547F05E1" w:rsidR="007713B1" w:rsidRPr="0072124D" w:rsidRDefault="007713B1" w:rsidP="00027309">
      <w:pPr>
        <w:pStyle w:val="Heading4"/>
        <w:shd w:val="clear" w:color="auto" w:fill="D9D9D9" w:themeFill="background1" w:themeFillShade="D9"/>
      </w:pPr>
      <w:r w:rsidRPr="0072124D">
        <w:t>Rationale</w:t>
      </w:r>
    </w:p>
    <w:p w14:paraId="09BC6D52" w14:textId="77777777" w:rsidR="007713B1" w:rsidRPr="0072124D" w:rsidRDefault="007713B1" w:rsidP="009008FD">
      <w:pPr>
        <w:pStyle w:val="Normalmorespace"/>
      </w:pPr>
      <w:r w:rsidRPr="0072124D">
        <w:t xml:space="preserve">Measuring </w:t>
      </w:r>
      <w:r w:rsidRPr="0072124D">
        <w:rPr>
          <w:i/>
        </w:rPr>
        <w:t xml:space="preserve">maximise </w:t>
      </w:r>
      <w:r w:rsidRPr="0072124D">
        <w:rPr>
          <w:i/>
          <w:iCs/>
        </w:rPr>
        <w:t>institution participation with Scheme</w:t>
      </w:r>
      <w:r w:rsidRPr="0072124D">
        <w:t xml:space="preserve"> aims to demonstrate the department effectively worked with institutions to join the Scheme. This measure demonstrates achievement of a key </w:t>
      </w:r>
      <w:r w:rsidRPr="0072124D">
        <w:rPr>
          <w:b/>
        </w:rPr>
        <w:t xml:space="preserve">output </w:t>
      </w:r>
      <w:r w:rsidRPr="0072124D">
        <w:t xml:space="preserve">of the National Redress Scheme key activity: </w:t>
      </w:r>
      <w:r w:rsidRPr="0072124D">
        <w:rPr>
          <w:i/>
        </w:rPr>
        <w:t>Institutions have joined the Scheme and provide redress</w:t>
      </w:r>
      <w:r w:rsidRPr="0072124D">
        <w:t>.</w:t>
      </w:r>
    </w:p>
    <w:p w14:paraId="1CBA9F69" w14:textId="77777777" w:rsidR="007713B1" w:rsidRPr="0072124D" w:rsidRDefault="007713B1" w:rsidP="009008FD">
      <w:pPr>
        <w:pStyle w:val="Normalmorespace"/>
      </w:pPr>
      <w:r w:rsidRPr="0072124D">
        <w:t xml:space="preserve">Targeting </w:t>
      </w:r>
      <w:r w:rsidRPr="0072124D">
        <w:rPr>
          <w:i/>
          <w:iCs/>
        </w:rPr>
        <w:t>engagement and maintenance of participation of institutions, with institutions on-board to cover 95 per cent of applications in progress</w:t>
      </w:r>
      <w:r w:rsidRPr="0072124D">
        <w:t xml:space="preserve"> demonstrates achievement of a key </w:t>
      </w:r>
      <w:r w:rsidRPr="0072124D">
        <w:rPr>
          <w:b/>
          <w:bCs/>
        </w:rPr>
        <w:t>output</w:t>
      </w:r>
      <w:r w:rsidRPr="0072124D">
        <w:t xml:space="preserve"> of the key activity, by showing a significant per cent of people who have experienced institutional child sexual abuse are supported by the institutions who have joined the scheme and are providing redress.</w:t>
      </w:r>
    </w:p>
    <w:p w14:paraId="3E823099" w14:textId="77777777" w:rsidR="007713B1" w:rsidRPr="0072124D" w:rsidRDefault="007713B1" w:rsidP="00027309">
      <w:pPr>
        <w:pStyle w:val="Heading4"/>
        <w:shd w:val="clear" w:color="auto" w:fill="D9D9D9" w:themeFill="background1" w:themeFillShade="D9"/>
      </w:pPr>
      <w:r w:rsidRPr="0072124D">
        <w:t>Methodology</w:t>
      </w:r>
    </w:p>
    <w:p w14:paraId="238F32ED" w14:textId="77777777" w:rsidR="007713B1" w:rsidRPr="0072124D" w:rsidRDefault="007713B1" w:rsidP="009008FD">
      <w:pPr>
        <w:pStyle w:val="Normalmorespace"/>
      </w:pPr>
      <w:r w:rsidRPr="0072124D">
        <w:t>Percentage of applications on hand where all of the named institution(s) are participating in the Scheme, or an applicant has chosen to progress with only some of the named institution(s) are participating in the Scheme.</w:t>
      </w:r>
    </w:p>
    <w:tbl>
      <w:tblPr>
        <w:tblStyle w:val="TableGrid39"/>
        <w:tblW w:w="4975" w:type="pct"/>
        <w:jc w:val="center"/>
        <w:tblLook w:val="04A0" w:firstRow="1" w:lastRow="0" w:firstColumn="1" w:lastColumn="0" w:noHBand="0" w:noVBand="1"/>
        <w:tblCaption w:val="2.1.7-3 performance measure and target"/>
        <w:tblDescription w:val="Table outlines the targeted Redress payment percentages across 2023-24, 2024-25, 2025-26 AND 2026-27"/>
      </w:tblPr>
      <w:tblGrid>
        <w:gridCol w:w="4403"/>
        <w:gridCol w:w="1175"/>
        <w:gridCol w:w="1175"/>
        <w:gridCol w:w="1322"/>
        <w:gridCol w:w="1222"/>
      </w:tblGrid>
      <w:tr w:rsidR="007713B1" w:rsidRPr="0072124D" w14:paraId="1A44FB3C" w14:textId="77777777" w:rsidTr="00CD76E2">
        <w:trPr>
          <w:cantSplit/>
          <w:trHeight w:val="356"/>
          <w:tblHeader/>
          <w:jc w:val="center"/>
        </w:trPr>
        <w:tc>
          <w:tcPr>
            <w:tcW w:w="5000" w:type="pct"/>
            <w:gridSpan w:val="5"/>
            <w:shd w:val="clear" w:color="auto" w:fill="D9D9D6"/>
          </w:tcPr>
          <w:p w14:paraId="47A183AA" w14:textId="77777777" w:rsidR="007713B1" w:rsidRPr="00723A4C" w:rsidRDefault="007713B1" w:rsidP="007713B1">
            <w:pPr>
              <w:spacing w:after="120"/>
              <w:rPr>
                <w:rFonts w:cs="Arial"/>
                <w:b/>
                <w:sz w:val="20"/>
                <w:szCs w:val="20"/>
              </w:rPr>
            </w:pPr>
            <w:r w:rsidRPr="00723A4C">
              <w:rPr>
                <w:rFonts w:cs="Arial"/>
                <w:b/>
                <w:sz w:val="20"/>
                <w:szCs w:val="20"/>
              </w:rPr>
              <w:t>Performance Measure</w:t>
            </w:r>
          </w:p>
        </w:tc>
      </w:tr>
      <w:tr w:rsidR="007713B1" w:rsidRPr="0072124D" w14:paraId="7D5A87BA" w14:textId="77777777" w:rsidTr="007713B1">
        <w:trPr>
          <w:cantSplit/>
          <w:trHeight w:val="356"/>
          <w:jc w:val="center"/>
        </w:trPr>
        <w:tc>
          <w:tcPr>
            <w:tcW w:w="5000" w:type="pct"/>
            <w:gridSpan w:val="5"/>
            <w:shd w:val="clear" w:color="auto" w:fill="auto"/>
          </w:tcPr>
          <w:p w14:paraId="6366E48B" w14:textId="77777777" w:rsidR="007713B1" w:rsidRPr="00723A4C" w:rsidRDefault="007713B1" w:rsidP="007713B1">
            <w:pPr>
              <w:spacing w:after="120"/>
              <w:rPr>
                <w:rFonts w:cs="Arial"/>
                <w:b/>
                <w:sz w:val="20"/>
                <w:szCs w:val="20"/>
              </w:rPr>
            </w:pPr>
            <w:r w:rsidRPr="00723A4C">
              <w:rPr>
                <w:rFonts w:cs="Arial"/>
                <w:sz w:val="20"/>
                <w:szCs w:val="20"/>
              </w:rPr>
              <w:t>2.1.7-3 Provide survivors a redress payment.</w:t>
            </w:r>
          </w:p>
        </w:tc>
      </w:tr>
      <w:tr w:rsidR="007713B1" w:rsidRPr="0072124D" w14:paraId="5D555C80" w14:textId="77777777" w:rsidTr="007713B1">
        <w:trPr>
          <w:cantSplit/>
          <w:trHeight w:val="356"/>
          <w:jc w:val="center"/>
        </w:trPr>
        <w:tc>
          <w:tcPr>
            <w:tcW w:w="2368" w:type="pct"/>
            <w:shd w:val="clear" w:color="auto" w:fill="D9D9D6"/>
          </w:tcPr>
          <w:p w14:paraId="1515E59B" w14:textId="77777777" w:rsidR="007713B1" w:rsidRPr="00723A4C" w:rsidRDefault="007713B1" w:rsidP="007713B1">
            <w:pPr>
              <w:spacing w:after="120"/>
              <w:rPr>
                <w:rFonts w:cs="Arial"/>
                <w:sz w:val="20"/>
                <w:szCs w:val="20"/>
              </w:rPr>
            </w:pPr>
            <w:r w:rsidRPr="00723A4C">
              <w:rPr>
                <w:rFonts w:cs="Arial"/>
                <w:b/>
                <w:sz w:val="20"/>
                <w:szCs w:val="20"/>
              </w:rPr>
              <w:t>Target</w:t>
            </w:r>
          </w:p>
        </w:tc>
        <w:tc>
          <w:tcPr>
            <w:tcW w:w="632" w:type="pct"/>
            <w:shd w:val="clear" w:color="auto" w:fill="D9D9D6"/>
            <w:vAlign w:val="center"/>
          </w:tcPr>
          <w:p w14:paraId="041628AE" w14:textId="77777777" w:rsidR="007713B1" w:rsidRPr="00723A4C" w:rsidRDefault="007713B1" w:rsidP="007713B1">
            <w:pPr>
              <w:spacing w:after="120"/>
              <w:rPr>
                <w:rFonts w:cs="Arial"/>
                <w:sz w:val="20"/>
                <w:szCs w:val="20"/>
              </w:rPr>
            </w:pPr>
            <w:r w:rsidRPr="00723A4C">
              <w:rPr>
                <w:rFonts w:cs="Arial"/>
                <w:b/>
                <w:sz w:val="20"/>
                <w:szCs w:val="20"/>
              </w:rPr>
              <w:t>2023–24</w:t>
            </w:r>
          </w:p>
        </w:tc>
        <w:tc>
          <w:tcPr>
            <w:tcW w:w="632" w:type="pct"/>
            <w:shd w:val="clear" w:color="auto" w:fill="D9D9D6"/>
            <w:vAlign w:val="center"/>
          </w:tcPr>
          <w:p w14:paraId="6123459E" w14:textId="77777777" w:rsidR="007713B1" w:rsidRPr="00723A4C" w:rsidRDefault="007713B1" w:rsidP="007713B1">
            <w:pPr>
              <w:spacing w:after="120"/>
              <w:rPr>
                <w:rFonts w:cs="Arial"/>
                <w:b/>
                <w:sz w:val="20"/>
                <w:szCs w:val="20"/>
              </w:rPr>
            </w:pPr>
            <w:r w:rsidRPr="00723A4C">
              <w:rPr>
                <w:rFonts w:cs="Arial"/>
                <w:b/>
                <w:sz w:val="20"/>
                <w:szCs w:val="20"/>
              </w:rPr>
              <w:t>2024–25</w:t>
            </w:r>
          </w:p>
        </w:tc>
        <w:tc>
          <w:tcPr>
            <w:tcW w:w="711" w:type="pct"/>
            <w:shd w:val="clear" w:color="auto" w:fill="D9D9D6"/>
            <w:vAlign w:val="center"/>
          </w:tcPr>
          <w:p w14:paraId="2132B743" w14:textId="77777777" w:rsidR="007713B1" w:rsidRPr="00723A4C" w:rsidRDefault="007713B1" w:rsidP="007713B1">
            <w:pPr>
              <w:spacing w:after="120"/>
              <w:rPr>
                <w:rFonts w:cs="Arial"/>
                <w:b/>
                <w:sz w:val="20"/>
                <w:szCs w:val="20"/>
              </w:rPr>
            </w:pPr>
            <w:r w:rsidRPr="00723A4C">
              <w:rPr>
                <w:rFonts w:cs="Arial"/>
                <w:b/>
                <w:sz w:val="20"/>
                <w:szCs w:val="20"/>
              </w:rPr>
              <w:t>2025–26</w:t>
            </w:r>
          </w:p>
        </w:tc>
        <w:tc>
          <w:tcPr>
            <w:tcW w:w="657" w:type="pct"/>
            <w:shd w:val="clear" w:color="auto" w:fill="D9D9D6"/>
            <w:vAlign w:val="center"/>
          </w:tcPr>
          <w:p w14:paraId="31AD384B" w14:textId="77777777" w:rsidR="007713B1" w:rsidRPr="00723A4C" w:rsidRDefault="007713B1" w:rsidP="007713B1">
            <w:pPr>
              <w:spacing w:after="120"/>
              <w:rPr>
                <w:rFonts w:cs="Arial"/>
                <w:b/>
                <w:sz w:val="20"/>
                <w:szCs w:val="20"/>
              </w:rPr>
            </w:pPr>
            <w:r w:rsidRPr="00723A4C">
              <w:rPr>
                <w:rFonts w:cs="Arial"/>
                <w:b/>
                <w:sz w:val="20"/>
                <w:szCs w:val="20"/>
              </w:rPr>
              <w:t>2026–27</w:t>
            </w:r>
          </w:p>
        </w:tc>
      </w:tr>
      <w:tr w:rsidR="007713B1" w:rsidRPr="0072124D" w14:paraId="35C09B17" w14:textId="77777777" w:rsidTr="007713B1">
        <w:trPr>
          <w:cantSplit/>
          <w:trHeight w:val="356"/>
          <w:jc w:val="center"/>
        </w:trPr>
        <w:tc>
          <w:tcPr>
            <w:tcW w:w="2368" w:type="pct"/>
            <w:shd w:val="clear" w:color="auto" w:fill="FFFFFF" w:themeFill="background1"/>
          </w:tcPr>
          <w:p w14:paraId="2ECA90BD" w14:textId="77777777" w:rsidR="007713B1" w:rsidRPr="00723A4C" w:rsidRDefault="007713B1" w:rsidP="007713B1">
            <w:pPr>
              <w:pStyle w:val="PBSbullet"/>
              <w:keepLines w:val="0"/>
              <w:numPr>
                <w:ilvl w:val="0"/>
                <w:numId w:val="0"/>
              </w:numPr>
              <w:pBdr>
                <w:top w:val="nil"/>
                <w:left w:val="nil"/>
                <w:bottom w:val="nil"/>
                <w:right w:val="nil"/>
                <w:between w:val="nil"/>
                <w:bar w:val="nil"/>
              </w:pBdr>
              <w:spacing w:before="120" w:after="120"/>
              <w:contextualSpacing w:val="0"/>
              <w:rPr>
                <w:rFonts w:eastAsia="Calibri"/>
                <w:iCs w:val="0"/>
                <w:sz w:val="20"/>
                <w:szCs w:val="20"/>
                <w:bdr w:val="nil"/>
              </w:rPr>
            </w:pPr>
            <w:r w:rsidRPr="00723A4C">
              <w:rPr>
                <w:sz w:val="20"/>
                <w:szCs w:val="20"/>
              </w:rPr>
              <w:t xml:space="preserve">2.1.7-3A - </w:t>
            </w:r>
            <w:r w:rsidRPr="00723A4C">
              <w:rPr>
                <w:sz w:val="20"/>
                <w:szCs w:val="20"/>
                <w:lang w:val="en-US" w:eastAsia="en-GB"/>
              </w:rPr>
              <w:t xml:space="preserve">The Scheme will issue </w:t>
            </w:r>
            <w:r w:rsidRPr="00723A4C">
              <w:rPr>
                <w:sz w:val="20"/>
                <w:szCs w:val="20"/>
                <w:lang w:eastAsia="en-GB"/>
              </w:rPr>
              <w:t xml:space="preserve">at least </w:t>
            </w:r>
            <w:r w:rsidRPr="00723A4C">
              <w:rPr>
                <w:sz w:val="20"/>
                <w:szCs w:val="20"/>
                <w:lang w:eastAsia="en-GB"/>
              </w:rPr>
              <w:br/>
              <w:t>80 per cent of eligible survivors an advance payment within 7 days of receiving acceptance documentation.</w:t>
            </w:r>
          </w:p>
        </w:tc>
        <w:tc>
          <w:tcPr>
            <w:tcW w:w="632" w:type="pct"/>
          </w:tcPr>
          <w:p w14:paraId="2C1F6E44" w14:textId="77777777" w:rsidR="007713B1" w:rsidRPr="00723A4C" w:rsidRDefault="007713B1" w:rsidP="007713B1">
            <w:pPr>
              <w:spacing w:after="120"/>
              <w:rPr>
                <w:rFonts w:cs="Arial"/>
                <w:sz w:val="20"/>
                <w:szCs w:val="20"/>
              </w:rPr>
            </w:pPr>
            <w:r w:rsidRPr="00723A4C">
              <w:rPr>
                <w:rFonts w:cs="Arial"/>
                <w:sz w:val="20"/>
                <w:szCs w:val="20"/>
                <w:lang w:eastAsia="en-GB"/>
              </w:rPr>
              <w:t>≥ 80 %</w:t>
            </w:r>
          </w:p>
        </w:tc>
        <w:tc>
          <w:tcPr>
            <w:tcW w:w="632" w:type="pct"/>
          </w:tcPr>
          <w:p w14:paraId="4CD5E4BE" w14:textId="77777777" w:rsidR="007713B1" w:rsidRPr="00723A4C" w:rsidRDefault="007713B1" w:rsidP="007713B1">
            <w:pPr>
              <w:spacing w:after="120"/>
              <w:rPr>
                <w:rFonts w:cs="Arial"/>
                <w:sz w:val="20"/>
                <w:szCs w:val="20"/>
              </w:rPr>
            </w:pPr>
            <w:r w:rsidRPr="00723A4C">
              <w:rPr>
                <w:rFonts w:cs="Arial"/>
                <w:sz w:val="20"/>
                <w:szCs w:val="20"/>
                <w:lang w:eastAsia="en-GB"/>
              </w:rPr>
              <w:t>≥ 80 %</w:t>
            </w:r>
          </w:p>
        </w:tc>
        <w:tc>
          <w:tcPr>
            <w:tcW w:w="711" w:type="pct"/>
          </w:tcPr>
          <w:p w14:paraId="44B53626" w14:textId="77777777" w:rsidR="007713B1" w:rsidRPr="00723A4C" w:rsidRDefault="007713B1" w:rsidP="007713B1">
            <w:pPr>
              <w:spacing w:after="120"/>
              <w:rPr>
                <w:rFonts w:cs="Arial"/>
                <w:sz w:val="20"/>
                <w:szCs w:val="20"/>
              </w:rPr>
            </w:pPr>
            <w:r w:rsidRPr="00723A4C">
              <w:rPr>
                <w:rFonts w:cs="Arial"/>
                <w:sz w:val="20"/>
                <w:szCs w:val="20"/>
                <w:lang w:eastAsia="en-GB"/>
              </w:rPr>
              <w:t>≥ 80 %</w:t>
            </w:r>
          </w:p>
        </w:tc>
        <w:tc>
          <w:tcPr>
            <w:tcW w:w="657" w:type="pct"/>
            <w:shd w:val="clear" w:color="auto" w:fill="FFFFFF" w:themeFill="background1"/>
          </w:tcPr>
          <w:p w14:paraId="76EB2392" w14:textId="77777777" w:rsidR="007713B1" w:rsidRPr="00723A4C" w:rsidRDefault="007713B1" w:rsidP="007713B1">
            <w:pPr>
              <w:spacing w:after="120"/>
              <w:rPr>
                <w:rFonts w:cs="Arial"/>
                <w:sz w:val="20"/>
                <w:szCs w:val="20"/>
              </w:rPr>
            </w:pPr>
            <w:r w:rsidRPr="00723A4C">
              <w:rPr>
                <w:rFonts w:cs="Arial"/>
                <w:sz w:val="20"/>
                <w:szCs w:val="20"/>
                <w:lang w:eastAsia="en-GB"/>
              </w:rPr>
              <w:t>≥ 80 %</w:t>
            </w:r>
          </w:p>
        </w:tc>
      </w:tr>
      <w:tr w:rsidR="007713B1" w:rsidRPr="0072124D" w14:paraId="75050F26" w14:textId="77777777" w:rsidTr="007713B1">
        <w:trPr>
          <w:cantSplit/>
          <w:trHeight w:val="356"/>
          <w:jc w:val="center"/>
        </w:trPr>
        <w:tc>
          <w:tcPr>
            <w:tcW w:w="2368" w:type="pct"/>
            <w:shd w:val="clear" w:color="auto" w:fill="FFFFFF" w:themeFill="background1"/>
          </w:tcPr>
          <w:p w14:paraId="390A8F5B" w14:textId="77777777" w:rsidR="007713B1" w:rsidRPr="00723A4C" w:rsidRDefault="007713B1" w:rsidP="007713B1">
            <w:pPr>
              <w:pStyle w:val="PBSbullet"/>
              <w:keepLines w:val="0"/>
              <w:numPr>
                <w:ilvl w:val="0"/>
                <w:numId w:val="0"/>
              </w:numPr>
              <w:pBdr>
                <w:top w:val="nil"/>
                <w:left w:val="nil"/>
                <w:bottom w:val="nil"/>
                <w:right w:val="nil"/>
                <w:between w:val="nil"/>
                <w:bar w:val="nil"/>
              </w:pBdr>
              <w:spacing w:before="120" w:after="120"/>
              <w:contextualSpacing w:val="0"/>
              <w:rPr>
                <w:sz w:val="20"/>
                <w:szCs w:val="20"/>
              </w:rPr>
            </w:pPr>
            <w:r w:rsidRPr="00723A4C">
              <w:rPr>
                <w:sz w:val="20"/>
                <w:szCs w:val="20"/>
              </w:rPr>
              <w:t xml:space="preserve">2.1.7-3B - The Scheme will issue at least </w:t>
            </w:r>
            <w:r w:rsidRPr="00723A4C">
              <w:rPr>
                <w:sz w:val="20"/>
                <w:szCs w:val="20"/>
              </w:rPr>
              <w:br/>
              <w:t>80 per cent of survivors a redress payment within 14 days of receiving acceptance documentation.</w:t>
            </w:r>
          </w:p>
        </w:tc>
        <w:tc>
          <w:tcPr>
            <w:tcW w:w="632" w:type="pct"/>
          </w:tcPr>
          <w:p w14:paraId="652A7344" w14:textId="77777777" w:rsidR="007713B1" w:rsidRPr="00723A4C" w:rsidRDefault="007713B1" w:rsidP="007713B1">
            <w:pPr>
              <w:spacing w:after="120"/>
              <w:rPr>
                <w:rFonts w:cs="Arial"/>
                <w:sz w:val="20"/>
                <w:szCs w:val="20"/>
                <w:lang w:eastAsia="en-GB"/>
              </w:rPr>
            </w:pPr>
            <w:r w:rsidRPr="00723A4C">
              <w:rPr>
                <w:rFonts w:cs="Arial"/>
                <w:sz w:val="20"/>
                <w:szCs w:val="20"/>
                <w:lang w:eastAsia="en-GB"/>
              </w:rPr>
              <w:t>≥ 80 %</w:t>
            </w:r>
          </w:p>
        </w:tc>
        <w:tc>
          <w:tcPr>
            <w:tcW w:w="632" w:type="pct"/>
          </w:tcPr>
          <w:p w14:paraId="2894F669" w14:textId="77777777" w:rsidR="007713B1" w:rsidRPr="00723A4C" w:rsidRDefault="007713B1" w:rsidP="007713B1">
            <w:pPr>
              <w:spacing w:after="120"/>
              <w:rPr>
                <w:rFonts w:cs="Arial"/>
                <w:sz w:val="20"/>
                <w:szCs w:val="20"/>
                <w:lang w:eastAsia="en-GB"/>
              </w:rPr>
            </w:pPr>
            <w:r w:rsidRPr="00723A4C">
              <w:rPr>
                <w:rFonts w:cs="Arial"/>
                <w:sz w:val="20"/>
                <w:szCs w:val="20"/>
                <w:lang w:eastAsia="en-GB"/>
              </w:rPr>
              <w:t>≥ 80 %</w:t>
            </w:r>
          </w:p>
        </w:tc>
        <w:tc>
          <w:tcPr>
            <w:tcW w:w="711" w:type="pct"/>
          </w:tcPr>
          <w:p w14:paraId="75BDD389" w14:textId="77777777" w:rsidR="007713B1" w:rsidRPr="00723A4C" w:rsidRDefault="007713B1" w:rsidP="007713B1">
            <w:pPr>
              <w:spacing w:after="120"/>
              <w:rPr>
                <w:rFonts w:cs="Arial"/>
                <w:sz w:val="20"/>
                <w:szCs w:val="20"/>
                <w:lang w:eastAsia="en-GB"/>
              </w:rPr>
            </w:pPr>
            <w:r w:rsidRPr="00723A4C">
              <w:rPr>
                <w:rFonts w:cs="Arial"/>
                <w:sz w:val="20"/>
                <w:szCs w:val="20"/>
                <w:lang w:eastAsia="en-GB"/>
              </w:rPr>
              <w:t>≥ 80 %</w:t>
            </w:r>
          </w:p>
        </w:tc>
        <w:tc>
          <w:tcPr>
            <w:tcW w:w="657" w:type="pct"/>
            <w:shd w:val="clear" w:color="auto" w:fill="FFFFFF" w:themeFill="background1"/>
          </w:tcPr>
          <w:p w14:paraId="0E693438" w14:textId="77777777" w:rsidR="007713B1" w:rsidRPr="00723A4C" w:rsidRDefault="007713B1" w:rsidP="007713B1">
            <w:pPr>
              <w:spacing w:after="120"/>
              <w:rPr>
                <w:rFonts w:cs="Arial"/>
                <w:sz w:val="20"/>
                <w:szCs w:val="20"/>
              </w:rPr>
            </w:pPr>
            <w:r w:rsidRPr="00723A4C">
              <w:rPr>
                <w:rFonts w:cs="Arial"/>
                <w:sz w:val="20"/>
                <w:szCs w:val="20"/>
                <w:lang w:eastAsia="en-GB"/>
              </w:rPr>
              <w:t>≥ 80 %</w:t>
            </w:r>
          </w:p>
        </w:tc>
      </w:tr>
    </w:tbl>
    <w:p w14:paraId="7DC0AE1D" w14:textId="77777777" w:rsidR="00013CF0" w:rsidRDefault="00013CF0" w:rsidP="00013CF0">
      <w:pPr>
        <w:pStyle w:val="Heading4"/>
        <w:shd w:val="clear" w:color="auto" w:fill="auto"/>
      </w:pPr>
    </w:p>
    <w:p w14:paraId="034D068D" w14:textId="75E21807" w:rsidR="007713B1" w:rsidRPr="0072124D" w:rsidRDefault="007713B1" w:rsidP="00027309">
      <w:pPr>
        <w:pStyle w:val="Heading4"/>
        <w:shd w:val="clear" w:color="auto" w:fill="D9D9D9" w:themeFill="background1" w:themeFillShade="D9"/>
      </w:pPr>
      <w:r w:rsidRPr="0072124D">
        <w:t>Rationale</w:t>
      </w:r>
    </w:p>
    <w:p w14:paraId="3D010B04" w14:textId="77777777" w:rsidR="007713B1" w:rsidRPr="0072124D" w:rsidRDefault="007713B1" w:rsidP="009008FD">
      <w:pPr>
        <w:pStyle w:val="Normalmorespace"/>
      </w:pPr>
      <w:r w:rsidRPr="0072124D">
        <w:t xml:space="preserve">Measuring Issue survivors a redress payment within 7 days (advance payments) or 14 days (redress payments) of receiving acceptance documentation aims to demonstrate the department effectively administering the Scheme. This measure demonstrates achievement of a key </w:t>
      </w:r>
      <w:r w:rsidRPr="0072124D">
        <w:rPr>
          <w:b/>
        </w:rPr>
        <w:t>output</w:t>
      </w:r>
      <w:r w:rsidRPr="0072124D">
        <w:t xml:space="preserve"> of the National Redress Scheme key activity: People who have experienced institutional child sexual abuse gain access to counselling and psychological services, a direct personal response and a monetary payment.</w:t>
      </w:r>
    </w:p>
    <w:p w14:paraId="6C107058" w14:textId="77777777" w:rsidR="007713B1" w:rsidRPr="0072124D" w:rsidRDefault="007713B1" w:rsidP="009008FD">
      <w:pPr>
        <w:pStyle w:val="Normalmorespace"/>
      </w:pPr>
      <w:r w:rsidRPr="0072124D">
        <w:t xml:space="preserve">Of the 3 redress outputs (payment, counselling and apology), the payment is the only output delivered by the department. The other 2 are delivered by (mostly) state and territory governments and institutions. </w:t>
      </w:r>
    </w:p>
    <w:p w14:paraId="4DB2D348" w14:textId="77777777" w:rsidR="007713B1" w:rsidRPr="0072124D" w:rsidRDefault="007713B1" w:rsidP="009008FD">
      <w:pPr>
        <w:pStyle w:val="Normalmorespace"/>
      </w:pPr>
      <w:r w:rsidRPr="0072124D">
        <w:t xml:space="preserve">Targeting providing survivors an advance payment or a redress payment demonstrates achievement of a key </w:t>
      </w:r>
      <w:r w:rsidRPr="0072124D">
        <w:rPr>
          <w:b/>
        </w:rPr>
        <w:t>output</w:t>
      </w:r>
      <w:r w:rsidRPr="0072124D">
        <w:t xml:space="preserve"> of the Scheme. </w:t>
      </w:r>
    </w:p>
    <w:p w14:paraId="60605FF9" w14:textId="77777777" w:rsidR="007713B1" w:rsidRPr="0072124D" w:rsidRDefault="007713B1" w:rsidP="009008FD">
      <w:pPr>
        <w:pStyle w:val="Normalmorespace"/>
      </w:pPr>
      <w:r w:rsidRPr="0072124D">
        <w:t>Advance payments are made to survivors with exceptional circumstances, and are a recent policy initiative. The shorter timeframe for advance payments reflects the importance placed by the Scheme on making these payments available to survivors.</w:t>
      </w:r>
    </w:p>
    <w:p w14:paraId="425BE94D" w14:textId="77777777" w:rsidR="00013CF0" w:rsidRDefault="00013CF0">
      <w:pPr>
        <w:spacing w:before="0" w:after="200" w:line="276" w:lineRule="auto"/>
        <w:rPr>
          <w:b/>
          <w:sz w:val="20"/>
          <w:szCs w:val="20"/>
        </w:rPr>
      </w:pPr>
      <w:r>
        <w:br w:type="page"/>
      </w:r>
    </w:p>
    <w:p w14:paraId="6C4EC618" w14:textId="713611F5" w:rsidR="007713B1" w:rsidRPr="007A03BF" w:rsidRDefault="007713B1" w:rsidP="00027309">
      <w:pPr>
        <w:pStyle w:val="Heading4"/>
        <w:shd w:val="clear" w:color="auto" w:fill="D9D9D9" w:themeFill="background1" w:themeFillShade="D9"/>
      </w:pPr>
      <w:r w:rsidRPr="007A03BF">
        <w:t>Methodology</w:t>
      </w:r>
    </w:p>
    <w:p w14:paraId="2512837A" w14:textId="77777777" w:rsidR="007713B1" w:rsidRPr="0072124D" w:rsidRDefault="007713B1" w:rsidP="009008FD">
      <w:pPr>
        <w:pStyle w:val="Normalmorespace"/>
      </w:pPr>
      <w:r w:rsidRPr="0072124D">
        <w:t>2.1.</w:t>
      </w:r>
      <w:r>
        <w:t>7</w:t>
      </w:r>
      <w:r w:rsidRPr="0072124D">
        <w:t>-3A - Percentage of survivors who accept an offer of an advance payment and receive the payment within 7 days, as a proportion of all eligible survivors who have received the advance payment.</w:t>
      </w:r>
    </w:p>
    <w:p w14:paraId="524AA36E" w14:textId="77777777" w:rsidR="007713B1" w:rsidRPr="0072124D" w:rsidRDefault="007713B1" w:rsidP="009008FD">
      <w:pPr>
        <w:pStyle w:val="Normalmorespace"/>
      </w:pPr>
      <w:r w:rsidRPr="0072124D">
        <w:t>2.1.</w:t>
      </w:r>
      <w:r>
        <w:t>7</w:t>
      </w:r>
      <w:r w:rsidRPr="0072124D">
        <w:t>-3B - Percentage of survivors who receive the monetary component of Redress within 14 days of the Scheme receiving acceptance of the offer, as a proportion of all applicants with completed Redress payments.</w:t>
      </w:r>
    </w:p>
    <w:p w14:paraId="146C9113" w14:textId="0A0B62C9" w:rsidR="007713B1" w:rsidRDefault="007713B1" w:rsidP="00E67D1D">
      <w:pPr>
        <w:pStyle w:val="Normalmorespace"/>
      </w:pPr>
      <w:r w:rsidRPr="0072124D">
        <w:t xml:space="preserve">The </w:t>
      </w:r>
      <w:r w:rsidRPr="0072124D">
        <w:rPr>
          <w:b/>
        </w:rPr>
        <w:t>data sources</w:t>
      </w:r>
      <w:r w:rsidRPr="0072124D">
        <w:t xml:space="preserve"> used for measure and target calculations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Source"/>
        <w:tblDescription w:val="PS: The data source used is Services Australia Enterprise Data Warehouse. PS: The data source used is Department of Social Services Administrative Data. PS: The data source used is Institutions Customer Relationships Management Siebel System"/>
      </w:tblPr>
      <w:tblGrid>
        <w:gridCol w:w="988"/>
        <w:gridCol w:w="8028"/>
      </w:tblGrid>
      <w:tr w:rsidR="00180C2E" w:rsidRPr="00334F13" w14:paraId="19F06BF6" w14:textId="77777777" w:rsidTr="0017156F">
        <w:trPr>
          <w:trHeight w:val="737"/>
          <w:tblHeader/>
        </w:trPr>
        <w:tc>
          <w:tcPr>
            <w:tcW w:w="988" w:type="dxa"/>
            <w:vAlign w:val="center"/>
          </w:tcPr>
          <w:p w14:paraId="422DADF5" w14:textId="77777777" w:rsidR="00180C2E" w:rsidRDefault="00180C2E" w:rsidP="00B81E0C">
            <w:r>
              <w:rPr>
                <w:noProof/>
                <w:color w:val="000000" w:themeColor="text1"/>
              </w:rPr>
              <mc:AlternateContent>
                <mc:Choice Requires="wps">
                  <w:drawing>
                    <wp:inline distT="0" distB="0" distL="0" distR="0" wp14:anchorId="04BB46FB" wp14:editId="5FB07323">
                      <wp:extent cx="446049" cy="329042"/>
                      <wp:effectExtent l="0" t="0" r="11430" b="13970"/>
                      <wp:docPr id="246" name="Rounded Rectangle 246"/>
                      <wp:cNvGraphicFramePr/>
                      <a:graphic xmlns:a="http://schemas.openxmlformats.org/drawingml/2006/main">
                        <a:graphicData uri="http://schemas.microsoft.com/office/word/2010/wordprocessingShape">
                          <wps:wsp>
                            <wps:cNvSpPr/>
                            <wps:spPr>
                              <a:xfrm>
                                <a:off x="0" y="0"/>
                                <a:ext cx="446049" cy="3290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644EBF" w14:textId="77777777" w:rsidR="00027309" w:rsidRPr="00F24CAC" w:rsidRDefault="00027309" w:rsidP="00180C2E">
                                  <w:pPr>
                                    <w:shd w:val="clear" w:color="auto" w:fill="005A70" w:themeFill="accent4"/>
                                    <w:spacing w:before="0" w:after="0" w:line="240" w:lineRule="auto"/>
                                    <w:jc w:val="center"/>
                                    <w:rPr>
                                      <w:color w:val="FFFFFF" w:themeColor="background1"/>
                                      <w:sz w:val="36"/>
                                    </w:rPr>
                                  </w:pPr>
                                  <w:r w:rsidRPr="00F24CAC">
                                    <w:rPr>
                                      <w:color w:val="FFFFFF" w:themeColor="background1"/>
                                      <w:sz w:val="14"/>
                                    </w:rPr>
                                    <w:t>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4BB46FB" id="Rounded Rectangle 246" o:spid="_x0000_s1042" style="width:35.1pt;height:25.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" fillcolor="#005a70 [3204]" strokecolor="#002c37 [1604]" strokeweight=".73403mm">
                      <v:textbox>
                        <w:txbxContent>
                          <w:p w14:paraId="2B644EBF" w14:textId="77777777" w:rsidR="00027309" w:rsidRPr="00F24CAC" w:rsidRDefault="00027309" w:rsidP="00180C2E">
                            <w:pPr>
                              <w:shd w:val="clear" w:color="auto" w:fill="005A70" w:themeFill="accent4"/>
                              <w:spacing w:before="0" w:after="0" w:line="240" w:lineRule="auto"/>
                              <w:jc w:val="center"/>
                              <w:rPr>
                                <w:color w:val="FFFFFF" w:themeColor="background1"/>
                                <w:sz w:val="36"/>
                              </w:rPr>
                            </w:pPr>
                            <w:r w:rsidRPr="00F24CAC">
                              <w:rPr>
                                <w:color w:val="FFFFFF" w:themeColor="background1"/>
                                <w:sz w:val="14"/>
                              </w:rPr>
                              <w:t>PS</w:t>
                            </w:r>
                          </w:p>
                        </w:txbxContent>
                      </v:textbox>
                      <w10:anchorlock/>
                    </v:roundrect>
                  </w:pict>
                </mc:Fallback>
              </mc:AlternateContent>
            </w:r>
          </w:p>
        </w:tc>
        <w:tc>
          <w:tcPr>
            <w:tcW w:w="8028" w:type="dxa"/>
            <w:vAlign w:val="center"/>
          </w:tcPr>
          <w:p w14:paraId="6D776F29" w14:textId="190CE190" w:rsidR="00180C2E" w:rsidRPr="00334F13" w:rsidRDefault="00180C2E" w:rsidP="00180C2E">
            <w:pPr>
              <w:rPr>
                <w:sz w:val="20"/>
                <w:szCs w:val="20"/>
              </w:rPr>
            </w:pPr>
            <w:r>
              <w:rPr>
                <w:sz w:val="20"/>
                <w:szCs w:val="20"/>
              </w:rPr>
              <w:t>Services Australia Enterprise Data Warehouse</w:t>
            </w:r>
          </w:p>
        </w:tc>
      </w:tr>
      <w:tr w:rsidR="00180C2E" w:rsidRPr="00334F13" w14:paraId="46C8ADC1" w14:textId="77777777" w:rsidTr="007E32E3">
        <w:trPr>
          <w:trHeight w:val="737"/>
        </w:trPr>
        <w:tc>
          <w:tcPr>
            <w:tcW w:w="988" w:type="dxa"/>
            <w:vAlign w:val="center"/>
          </w:tcPr>
          <w:p w14:paraId="4FD36630" w14:textId="77777777" w:rsidR="00180C2E" w:rsidRDefault="00180C2E" w:rsidP="007E32E3">
            <w:r>
              <w:rPr>
                <w:noProof/>
                <w:color w:val="000000" w:themeColor="text1"/>
              </w:rPr>
              <mc:AlternateContent>
                <mc:Choice Requires="wps">
                  <w:drawing>
                    <wp:inline distT="0" distB="0" distL="0" distR="0" wp14:anchorId="470320DD" wp14:editId="4A254590">
                      <wp:extent cx="446049" cy="329042"/>
                      <wp:effectExtent l="0" t="0" r="11430" b="13970"/>
                      <wp:docPr id="247" name="Rounded Rectangle 247"/>
                      <wp:cNvGraphicFramePr/>
                      <a:graphic xmlns:a="http://schemas.openxmlformats.org/drawingml/2006/main">
                        <a:graphicData uri="http://schemas.microsoft.com/office/word/2010/wordprocessingShape">
                          <wps:wsp>
                            <wps:cNvSpPr/>
                            <wps:spPr>
                              <a:xfrm>
                                <a:off x="0" y="0"/>
                                <a:ext cx="446049" cy="3290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76BA3B" w14:textId="77777777" w:rsidR="00027309" w:rsidRPr="00F24CAC" w:rsidRDefault="00027309" w:rsidP="00180C2E">
                                  <w:pPr>
                                    <w:shd w:val="clear" w:color="auto" w:fill="005A70" w:themeFill="accent4"/>
                                    <w:spacing w:before="0" w:after="0" w:line="240" w:lineRule="auto"/>
                                    <w:jc w:val="center"/>
                                    <w:rPr>
                                      <w:color w:val="FFFFFF" w:themeColor="background1"/>
                                      <w:sz w:val="36"/>
                                    </w:rPr>
                                  </w:pPr>
                                  <w:r w:rsidRPr="00F24CAC">
                                    <w:rPr>
                                      <w:color w:val="FFFFFF" w:themeColor="background1"/>
                                      <w:sz w:val="14"/>
                                    </w:rPr>
                                    <w:t>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70320DD" id="Rounded Rectangle 247" o:spid="_x0000_s1043" style="width:35.1pt;height:25.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" fillcolor="#005a70 [3204]" strokecolor="#002c37 [1604]" strokeweight=".73403mm">
                      <v:textbox>
                        <w:txbxContent>
                          <w:p w14:paraId="7276BA3B" w14:textId="77777777" w:rsidR="00027309" w:rsidRPr="00F24CAC" w:rsidRDefault="00027309" w:rsidP="00180C2E">
                            <w:pPr>
                              <w:shd w:val="clear" w:color="auto" w:fill="005A70" w:themeFill="accent4"/>
                              <w:spacing w:before="0" w:after="0" w:line="240" w:lineRule="auto"/>
                              <w:jc w:val="center"/>
                              <w:rPr>
                                <w:color w:val="FFFFFF" w:themeColor="background1"/>
                                <w:sz w:val="36"/>
                              </w:rPr>
                            </w:pPr>
                            <w:r w:rsidRPr="00F24CAC">
                              <w:rPr>
                                <w:color w:val="FFFFFF" w:themeColor="background1"/>
                                <w:sz w:val="14"/>
                              </w:rPr>
                              <w:t>PS</w:t>
                            </w:r>
                          </w:p>
                        </w:txbxContent>
                      </v:textbox>
                      <w10:anchorlock/>
                    </v:roundrect>
                  </w:pict>
                </mc:Fallback>
              </mc:AlternateContent>
            </w:r>
          </w:p>
        </w:tc>
        <w:tc>
          <w:tcPr>
            <w:tcW w:w="8028" w:type="dxa"/>
            <w:vAlign w:val="center"/>
          </w:tcPr>
          <w:p w14:paraId="7C0429E8" w14:textId="21D1614C" w:rsidR="00180C2E" w:rsidRPr="00334F13" w:rsidRDefault="00180C2E" w:rsidP="007E32E3">
            <w:pPr>
              <w:rPr>
                <w:sz w:val="20"/>
                <w:szCs w:val="20"/>
              </w:rPr>
            </w:pPr>
            <w:r>
              <w:rPr>
                <w:sz w:val="20"/>
                <w:szCs w:val="20"/>
              </w:rPr>
              <w:t>Department of Social Services Administrative Data</w:t>
            </w:r>
          </w:p>
        </w:tc>
      </w:tr>
      <w:tr w:rsidR="00180C2E" w:rsidRPr="00334F13" w14:paraId="3CCCB5FE" w14:textId="77777777" w:rsidTr="00AF5D30">
        <w:trPr>
          <w:trHeight w:val="737"/>
        </w:trPr>
        <w:tc>
          <w:tcPr>
            <w:tcW w:w="988" w:type="dxa"/>
          </w:tcPr>
          <w:p w14:paraId="0D9253AA" w14:textId="77777777" w:rsidR="00180C2E" w:rsidRDefault="00180C2E" w:rsidP="00B81E0C">
            <w:r>
              <w:rPr>
                <w:noProof/>
                <w:color w:val="000000" w:themeColor="text1"/>
              </w:rPr>
              <mc:AlternateContent>
                <mc:Choice Requires="wps">
                  <w:drawing>
                    <wp:inline distT="0" distB="0" distL="0" distR="0" wp14:anchorId="6E7FF106" wp14:editId="3D4E6DC3">
                      <wp:extent cx="446049" cy="329042"/>
                      <wp:effectExtent l="0" t="0" r="11430" b="13970"/>
                      <wp:docPr id="249" name="Rounded Rectangle 249"/>
                      <wp:cNvGraphicFramePr/>
                      <a:graphic xmlns:a="http://schemas.openxmlformats.org/drawingml/2006/main">
                        <a:graphicData uri="http://schemas.microsoft.com/office/word/2010/wordprocessingShape">
                          <wps:wsp>
                            <wps:cNvSpPr/>
                            <wps:spPr>
                              <a:xfrm>
                                <a:off x="0" y="0"/>
                                <a:ext cx="446049" cy="3290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2BEF92" w14:textId="77777777" w:rsidR="00027309" w:rsidRPr="00F24CAC" w:rsidRDefault="00027309" w:rsidP="00180C2E">
                                  <w:pPr>
                                    <w:shd w:val="clear" w:color="auto" w:fill="005A70" w:themeFill="accent4"/>
                                    <w:spacing w:before="0" w:after="0" w:line="240" w:lineRule="auto"/>
                                    <w:jc w:val="center"/>
                                    <w:rPr>
                                      <w:color w:val="FFFFFF" w:themeColor="background1"/>
                                      <w:sz w:val="36"/>
                                    </w:rPr>
                                  </w:pPr>
                                  <w:r w:rsidRPr="00F24CAC">
                                    <w:rPr>
                                      <w:color w:val="FFFFFF" w:themeColor="background1"/>
                                      <w:sz w:val="14"/>
                                    </w:rPr>
                                    <w:t>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E7FF106" id="Rounded Rectangle 249" o:spid="_x0000_s1044" style="width:35.1pt;height:25.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" fillcolor="#005a70 [3204]" strokecolor="#002c37 [1604]" strokeweight=".73403mm">
                      <v:textbox>
                        <w:txbxContent>
                          <w:p w14:paraId="012BEF92" w14:textId="77777777" w:rsidR="00027309" w:rsidRPr="00F24CAC" w:rsidRDefault="00027309" w:rsidP="00180C2E">
                            <w:pPr>
                              <w:shd w:val="clear" w:color="auto" w:fill="005A70" w:themeFill="accent4"/>
                              <w:spacing w:before="0" w:after="0" w:line="240" w:lineRule="auto"/>
                              <w:jc w:val="center"/>
                              <w:rPr>
                                <w:color w:val="FFFFFF" w:themeColor="background1"/>
                                <w:sz w:val="36"/>
                              </w:rPr>
                            </w:pPr>
                            <w:r w:rsidRPr="00F24CAC">
                              <w:rPr>
                                <w:color w:val="FFFFFF" w:themeColor="background1"/>
                                <w:sz w:val="14"/>
                              </w:rPr>
                              <w:t>PS</w:t>
                            </w:r>
                          </w:p>
                        </w:txbxContent>
                      </v:textbox>
                      <w10:anchorlock/>
                    </v:roundrect>
                  </w:pict>
                </mc:Fallback>
              </mc:AlternateContent>
            </w:r>
          </w:p>
        </w:tc>
        <w:tc>
          <w:tcPr>
            <w:tcW w:w="8028" w:type="dxa"/>
          </w:tcPr>
          <w:p w14:paraId="41A046E6" w14:textId="07C299AA" w:rsidR="00180C2E" w:rsidRPr="00334F13" w:rsidRDefault="00180C2E" w:rsidP="00180C2E">
            <w:pPr>
              <w:rPr>
                <w:sz w:val="20"/>
                <w:szCs w:val="20"/>
              </w:rPr>
            </w:pPr>
            <w:r>
              <w:rPr>
                <w:sz w:val="20"/>
                <w:szCs w:val="20"/>
              </w:rPr>
              <w:t>Institutions Customer Relationships Management Siebel System</w:t>
            </w:r>
          </w:p>
        </w:tc>
      </w:tr>
    </w:tbl>
    <w:p w14:paraId="2B89B118" w14:textId="77777777" w:rsidR="007713B1" w:rsidRPr="007A03BF" w:rsidRDefault="007713B1" w:rsidP="00027309">
      <w:pPr>
        <w:pStyle w:val="Heading4"/>
        <w:shd w:val="clear" w:color="auto" w:fill="D9D9D9" w:themeFill="background1" w:themeFillShade="D9"/>
      </w:pPr>
      <w:r w:rsidRPr="007A03BF">
        <w:t xml:space="preserve">Supporting Information </w:t>
      </w:r>
    </w:p>
    <w:p w14:paraId="5C5BC075" w14:textId="77777777" w:rsidR="007713B1" w:rsidRPr="0072124D" w:rsidRDefault="007713B1" w:rsidP="007572E0">
      <w:pPr>
        <w:numPr>
          <w:ilvl w:val="0"/>
          <w:numId w:val="39"/>
        </w:numPr>
        <w:spacing w:before="80" w:after="80" w:line="240" w:lineRule="auto"/>
        <w:ind w:left="714" w:hanging="357"/>
        <w:contextualSpacing/>
        <w:rPr>
          <w:rFonts w:cs="Arial"/>
          <w:sz w:val="20"/>
          <w:szCs w:val="20"/>
        </w:rPr>
      </w:pPr>
      <w:r w:rsidRPr="0072124D">
        <w:rPr>
          <w:rFonts w:cs="Arial"/>
          <w:sz w:val="20"/>
          <w:szCs w:val="20"/>
        </w:rPr>
        <w:t>Administered outlays</w:t>
      </w:r>
    </w:p>
    <w:p w14:paraId="46F32112" w14:textId="77777777" w:rsidR="007713B1" w:rsidRPr="0072124D" w:rsidRDefault="007713B1" w:rsidP="007572E0">
      <w:pPr>
        <w:numPr>
          <w:ilvl w:val="0"/>
          <w:numId w:val="39"/>
        </w:numPr>
        <w:spacing w:before="80" w:after="80" w:line="240" w:lineRule="auto"/>
        <w:ind w:left="714" w:hanging="357"/>
        <w:contextualSpacing/>
        <w:rPr>
          <w:rFonts w:cs="Arial"/>
          <w:sz w:val="20"/>
          <w:szCs w:val="20"/>
        </w:rPr>
      </w:pPr>
      <w:r w:rsidRPr="0072124D">
        <w:rPr>
          <w:rFonts w:cs="Arial"/>
          <w:sz w:val="20"/>
          <w:szCs w:val="20"/>
        </w:rPr>
        <w:t>Number of National Redress Scheme recipients</w:t>
      </w:r>
    </w:p>
    <w:p w14:paraId="78487DD6" w14:textId="77777777" w:rsidR="007713B1" w:rsidRPr="0072124D" w:rsidRDefault="007713B1" w:rsidP="007572E0">
      <w:pPr>
        <w:numPr>
          <w:ilvl w:val="0"/>
          <w:numId w:val="39"/>
        </w:numPr>
        <w:spacing w:before="80" w:after="80" w:line="240" w:lineRule="auto"/>
        <w:ind w:left="714" w:hanging="357"/>
        <w:contextualSpacing/>
        <w:rPr>
          <w:rFonts w:cs="Arial"/>
          <w:sz w:val="20"/>
          <w:szCs w:val="20"/>
        </w:rPr>
      </w:pPr>
      <w:r w:rsidRPr="0072124D">
        <w:rPr>
          <w:rFonts w:cs="Arial"/>
          <w:sz w:val="20"/>
          <w:szCs w:val="20"/>
        </w:rPr>
        <w:t>Number of National Redress Scheme applications received</w:t>
      </w:r>
    </w:p>
    <w:p w14:paraId="623853DF" w14:textId="21812163" w:rsidR="007713B1" w:rsidRPr="00E04D63" w:rsidRDefault="007713B1" w:rsidP="007572E0">
      <w:pPr>
        <w:numPr>
          <w:ilvl w:val="0"/>
          <w:numId w:val="39"/>
        </w:numPr>
        <w:spacing w:before="80" w:after="160" w:line="240" w:lineRule="auto"/>
        <w:ind w:left="714" w:hanging="357"/>
        <w:contextualSpacing/>
      </w:pPr>
      <w:r w:rsidRPr="00E67D1D">
        <w:rPr>
          <w:rFonts w:cs="Arial"/>
          <w:sz w:val="20"/>
          <w:szCs w:val="20"/>
        </w:rPr>
        <w:t>Number of institutions that have joined the National Redress Scheme.</w:t>
      </w:r>
    </w:p>
    <w:p w14:paraId="6B2205EB" w14:textId="77777777" w:rsidR="003359FA" w:rsidRDefault="003359FA">
      <w:pPr>
        <w:spacing w:before="0" w:after="200" w:line="276" w:lineRule="auto"/>
        <w:rPr>
          <w:rFonts w:ascii="Georgia" w:hAnsi="Georgia" w:cstheme="majorBidi"/>
          <w:bCs/>
          <w:color w:val="24596E"/>
          <w:sz w:val="48"/>
          <w:szCs w:val="48"/>
        </w:rPr>
      </w:pPr>
      <w:bookmarkStart w:id="92" w:name="_Toc77593307"/>
      <w:bookmarkStart w:id="93" w:name="_Toc111026129"/>
      <w:bookmarkStart w:id="94" w:name="_Toc46235527"/>
      <w:bookmarkStart w:id="95" w:name="_Toc47604310"/>
      <w:bookmarkStart w:id="96" w:name="_Toc77081690"/>
      <w:bookmarkEnd w:id="84"/>
      <w:bookmarkEnd w:id="85"/>
      <w:r>
        <w:rPr>
          <w:sz w:val="48"/>
          <w:szCs w:val="48"/>
        </w:rPr>
        <w:br w:type="page"/>
      </w:r>
    </w:p>
    <w:p w14:paraId="25F67345" w14:textId="1EEC5267" w:rsidR="007713B1" w:rsidRPr="00A47213" w:rsidRDefault="007713B1" w:rsidP="00A47213">
      <w:pPr>
        <w:pStyle w:val="Heading1"/>
        <w:rPr>
          <w:rFonts w:eastAsia="Times New Roman"/>
          <w:sz w:val="48"/>
          <w:szCs w:val="48"/>
        </w:rPr>
      </w:pPr>
      <w:bookmarkStart w:id="97" w:name="_Toc144385576"/>
      <w:r w:rsidRPr="00A47213">
        <w:rPr>
          <w:rFonts w:eastAsia="Times New Roman"/>
          <w:sz w:val="48"/>
          <w:szCs w:val="48"/>
        </w:rPr>
        <w:t>Outcome 3: Disability and Carers</w:t>
      </w:r>
      <w:bookmarkEnd w:id="92"/>
      <w:bookmarkEnd w:id="93"/>
      <w:bookmarkEnd w:id="97"/>
    </w:p>
    <w:p w14:paraId="7AB0EF10" w14:textId="77777777" w:rsidR="007713B1" w:rsidRPr="003D49C4" w:rsidRDefault="007713B1" w:rsidP="007713B1">
      <w:pPr>
        <w:pStyle w:val="Heading2"/>
        <w:rPr>
          <w:rFonts w:eastAsia="Times New Roman"/>
        </w:rPr>
      </w:pPr>
      <w:bookmarkStart w:id="98" w:name="_Toc77593309"/>
      <w:bookmarkStart w:id="99" w:name="_Toc111026130"/>
      <w:bookmarkStart w:id="100" w:name="_Toc144385577"/>
      <w:r w:rsidRPr="003D49C4">
        <w:rPr>
          <w:rFonts w:eastAsia="Times New Roman"/>
        </w:rPr>
        <w:t>Programs and activities</w:t>
      </w:r>
      <w:bookmarkEnd w:id="98"/>
      <w:bookmarkEnd w:id="99"/>
      <w:bookmarkEnd w:id="100"/>
      <w:r w:rsidRPr="003D49C4">
        <w:rPr>
          <w:rFonts w:eastAsia="Times New Roman"/>
        </w:rPr>
        <w:t xml:space="preserve"> </w:t>
      </w:r>
    </w:p>
    <w:p w14:paraId="70D02036" w14:textId="77777777" w:rsidR="007713B1" w:rsidRPr="00D229C5" w:rsidRDefault="007713B1" w:rsidP="00AA3C01">
      <w:pPr>
        <w:pStyle w:val="Normalmorespace"/>
      </w:pPr>
      <w:r w:rsidRPr="00D229C5">
        <w:t>Outcome 3 comprises of 2 programs and a number of activities that contribute to the achievement of the disability and carers outcome. The table below depicts how this purpose is translated into measurable activities.</w:t>
      </w:r>
    </w:p>
    <w:p w14:paraId="7B70AAEE" w14:textId="77777777" w:rsidR="007713B1" w:rsidRPr="00D229C5" w:rsidRDefault="007713B1" w:rsidP="00AA3C01">
      <w:pPr>
        <w:pStyle w:val="Normalmorespace"/>
      </w:pPr>
      <w:r w:rsidRPr="00D229C5">
        <w:t>An in-depth description of each of the activities, performance measures, targets, rationale, methodology and outputs are in the Performance Tables Section on the pages to follow.</w:t>
      </w:r>
    </w:p>
    <w:p w14:paraId="2C5A5B48" w14:textId="77777777" w:rsidR="007713B1" w:rsidRPr="003A4CDE" w:rsidRDefault="007713B1" w:rsidP="00046C03">
      <w:pPr>
        <w:pStyle w:val="Heading3"/>
        <w:shd w:val="clear" w:color="auto" w:fill="1A6775"/>
      </w:pPr>
      <w:r w:rsidRPr="003A4CDE">
        <w:t>Outcome 3 – DISABILITY AND CARERS</w:t>
      </w:r>
    </w:p>
    <w:p w14:paraId="216CA583" w14:textId="77777777" w:rsidR="007713B1" w:rsidRPr="003A4CDE" w:rsidRDefault="007713B1" w:rsidP="00046C03">
      <w:pPr>
        <w:shd w:val="clear" w:color="auto" w:fill="1A6775"/>
        <w:spacing w:after="120"/>
        <w:rPr>
          <w:rFonts w:cs="Calibri"/>
          <w:color w:val="FFFFFF"/>
          <w:sz w:val="22"/>
          <w:szCs w:val="20"/>
          <w:bdr w:val="nil"/>
        </w:rPr>
      </w:pPr>
      <w:r w:rsidRPr="003A4CDE">
        <w:rPr>
          <w:rFonts w:cs="Calibri"/>
          <w:color w:val="FFFFFF"/>
          <w:sz w:val="22"/>
          <w:szCs w:val="20"/>
          <w:bdr w:val="nil"/>
        </w:rPr>
        <w:t>Supporting the independence of, and economic participation by, people with disability and carers by providing targeted supports.</w:t>
      </w:r>
    </w:p>
    <w:tbl>
      <w:tblPr>
        <w:tblStyle w:val="Numericaltable1"/>
        <w:tblW w:w="5098" w:type="pct"/>
        <w:jc w:val="center"/>
        <w:tblBorders>
          <w:top w:val="none" w:sz="0" w:space="0" w:color="auto"/>
          <w:left w:val="single" w:sz="36" w:space="0" w:color="FFFFFF"/>
          <w:bottom w:val="single" w:sz="36" w:space="0" w:color="FFFFFF"/>
          <w:right w:val="single" w:sz="36" w:space="0" w:color="FFFFFF"/>
          <w:insideH w:val="none" w:sz="0" w:space="0" w:color="auto"/>
          <w:insideV w:val="single" w:sz="36" w:space="0" w:color="FFFFFF"/>
        </w:tblBorders>
        <w:tblLook w:val="04A0" w:firstRow="1" w:lastRow="0" w:firstColumn="1" w:lastColumn="0" w:noHBand="0" w:noVBand="1"/>
        <w:tblCaption w:val="Programs and activities"/>
        <w:tblDescription w:val="Outcome 1 Social Security"/>
      </w:tblPr>
      <w:tblGrid>
        <w:gridCol w:w="4632"/>
        <w:gridCol w:w="4814"/>
      </w:tblGrid>
      <w:tr w:rsidR="007713B1" w:rsidRPr="00D229C5" w14:paraId="22DBE3EC" w14:textId="77777777" w:rsidTr="00046C03">
        <w:trPr>
          <w:tblHeader/>
          <w:jc w:val="center"/>
        </w:trPr>
        <w:tc>
          <w:tcPr>
            <w:tcW w:w="2452" w:type="pct"/>
            <w:tcBorders>
              <w:top w:val="single" w:sz="36" w:space="0" w:color="FFFFFF"/>
              <w:left w:val="single" w:sz="36" w:space="0" w:color="FFFFFF"/>
              <w:bottom w:val="single" w:sz="36" w:space="0" w:color="FFFFFF"/>
              <w:right w:val="single" w:sz="36" w:space="0" w:color="FFFFFF"/>
            </w:tcBorders>
            <w:shd w:val="clear" w:color="auto" w:fill="1A6775"/>
          </w:tcPr>
          <w:p w14:paraId="60164996" w14:textId="77777777" w:rsidR="007713B1" w:rsidRPr="00D229C5" w:rsidRDefault="007713B1" w:rsidP="007713B1">
            <w:pPr>
              <w:spacing w:after="120" w:line="259" w:lineRule="auto"/>
              <w:jc w:val="center"/>
              <w:rPr>
                <w:rFonts w:cs="Calibri"/>
                <w:b/>
                <w:color w:val="FFFFFF"/>
                <w:sz w:val="20"/>
                <w:szCs w:val="20"/>
              </w:rPr>
            </w:pPr>
            <w:r w:rsidRPr="00D229C5">
              <w:rPr>
                <w:rFonts w:cs="Calibri"/>
                <w:b/>
                <w:bCs/>
                <w:color w:val="FFFFFF"/>
                <w:sz w:val="20"/>
                <w:szCs w:val="20"/>
              </w:rPr>
              <w:t>Program 3.1</w:t>
            </w:r>
          </w:p>
          <w:p w14:paraId="5211E5C5" w14:textId="77777777" w:rsidR="007713B1" w:rsidRPr="00D229C5" w:rsidRDefault="007713B1" w:rsidP="007713B1">
            <w:pPr>
              <w:spacing w:after="120" w:line="259" w:lineRule="auto"/>
              <w:ind w:left="134"/>
              <w:jc w:val="center"/>
              <w:rPr>
                <w:rFonts w:cs="Calibri"/>
                <w:color w:val="FFFFFF"/>
                <w:sz w:val="20"/>
                <w:szCs w:val="20"/>
              </w:rPr>
            </w:pPr>
            <w:r w:rsidRPr="00D229C5">
              <w:rPr>
                <w:rFonts w:cs="Calibri"/>
                <w:b/>
                <w:color w:val="FFFFFF"/>
                <w:sz w:val="20"/>
                <w:szCs w:val="20"/>
              </w:rPr>
              <w:t>Disability and Carers</w:t>
            </w:r>
            <w:r w:rsidRPr="00D229C5">
              <w:rPr>
                <w:rFonts w:cs="Calibri"/>
                <w:color w:val="FFFFFF"/>
                <w:sz w:val="20"/>
                <w:szCs w:val="20"/>
              </w:rPr>
              <w:t xml:space="preserve"> </w:t>
            </w:r>
          </w:p>
        </w:tc>
        <w:tc>
          <w:tcPr>
            <w:tcW w:w="2548" w:type="pct"/>
            <w:tcBorders>
              <w:top w:val="single" w:sz="36" w:space="0" w:color="FFFFFF"/>
              <w:left w:val="single" w:sz="36" w:space="0" w:color="FFFFFF"/>
              <w:bottom w:val="single" w:sz="36" w:space="0" w:color="FFFFFF"/>
              <w:right w:val="single" w:sz="36" w:space="0" w:color="FFFFFF"/>
            </w:tcBorders>
            <w:shd w:val="clear" w:color="auto" w:fill="1A6775"/>
          </w:tcPr>
          <w:p w14:paraId="13A88E16" w14:textId="77777777" w:rsidR="007713B1" w:rsidRPr="00D229C5" w:rsidRDefault="007713B1" w:rsidP="007713B1">
            <w:pPr>
              <w:spacing w:after="120" w:line="259" w:lineRule="auto"/>
              <w:jc w:val="center"/>
              <w:rPr>
                <w:rFonts w:cs="Calibri"/>
                <w:b/>
                <w:color w:val="FFFFFF"/>
                <w:sz w:val="20"/>
                <w:szCs w:val="20"/>
              </w:rPr>
            </w:pPr>
            <w:r w:rsidRPr="00D229C5">
              <w:rPr>
                <w:rFonts w:cs="Calibri"/>
                <w:b/>
                <w:bCs/>
                <w:color w:val="FFFFFF"/>
                <w:sz w:val="20"/>
                <w:szCs w:val="20"/>
              </w:rPr>
              <w:t>Program 3.2</w:t>
            </w:r>
          </w:p>
          <w:p w14:paraId="445F9B76" w14:textId="77777777" w:rsidR="007713B1" w:rsidRPr="00D229C5" w:rsidRDefault="007713B1" w:rsidP="007713B1">
            <w:pPr>
              <w:spacing w:after="120" w:line="259" w:lineRule="auto"/>
              <w:jc w:val="center"/>
              <w:rPr>
                <w:rFonts w:cs="Calibri"/>
                <w:bCs/>
                <w:color w:val="FFFFFF"/>
                <w:sz w:val="20"/>
                <w:szCs w:val="20"/>
              </w:rPr>
            </w:pPr>
            <w:r w:rsidRPr="00D229C5">
              <w:rPr>
                <w:rFonts w:cs="Calibri"/>
                <w:b/>
                <w:color w:val="FFFFFF"/>
                <w:sz w:val="20"/>
                <w:szCs w:val="20"/>
              </w:rPr>
              <w:t>National Disability Insurance Scheme</w:t>
            </w:r>
          </w:p>
        </w:tc>
      </w:tr>
      <w:tr w:rsidR="007713B1" w:rsidRPr="00D229C5" w14:paraId="4461764D" w14:textId="77777777" w:rsidTr="00046C03">
        <w:trPr>
          <w:jc w:val="center"/>
        </w:trPr>
        <w:tc>
          <w:tcPr>
            <w:tcW w:w="2452" w:type="pct"/>
            <w:tcBorders>
              <w:top w:val="single" w:sz="36" w:space="0" w:color="FFFFFF"/>
              <w:left w:val="single" w:sz="36" w:space="0" w:color="FFFFFF"/>
              <w:bottom w:val="single" w:sz="36" w:space="0" w:color="FFFFFF"/>
              <w:right w:val="single" w:sz="36" w:space="0" w:color="FFFFFF"/>
            </w:tcBorders>
            <w:shd w:val="clear" w:color="auto" w:fill="D9D9D9" w:themeFill="background1" w:themeFillShade="D9"/>
          </w:tcPr>
          <w:p w14:paraId="68C39758" w14:textId="77777777" w:rsidR="007713B1" w:rsidRPr="00D229C5" w:rsidRDefault="007713B1" w:rsidP="007713B1">
            <w:pPr>
              <w:spacing w:after="120" w:line="259" w:lineRule="auto"/>
              <w:ind w:left="85"/>
              <w:jc w:val="center"/>
              <w:rPr>
                <w:rFonts w:cs="Calibri"/>
                <w:b/>
                <w:sz w:val="20"/>
                <w:szCs w:val="20"/>
              </w:rPr>
            </w:pPr>
            <w:r w:rsidRPr="00D229C5">
              <w:rPr>
                <w:rFonts w:cs="Calibri"/>
                <w:b/>
                <w:bCs/>
                <w:sz w:val="20"/>
                <w:szCs w:val="20"/>
              </w:rPr>
              <w:t>Key activities</w:t>
            </w:r>
          </w:p>
          <w:p w14:paraId="3291F72B" w14:textId="77777777" w:rsidR="007713B1" w:rsidRPr="00D229C5" w:rsidRDefault="007713B1" w:rsidP="007713B1">
            <w:pPr>
              <w:spacing w:after="120" w:line="259" w:lineRule="auto"/>
              <w:ind w:left="170"/>
              <w:rPr>
                <w:rFonts w:cs="Calibri"/>
                <w:sz w:val="20"/>
                <w:szCs w:val="20"/>
              </w:rPr>
            </w:pPr>
            <w:r w:rsidRPr="00D229C5">
              <w:rPr>
                <w:rFonts w:cs="Calibri"/>
                <w:sz w:val="20"/>
                <w:szCs w:val="20"/>
              </w:rPr>
              <w:t>3.1.1 – Disability employment services</w:t>
            </w:r>
          </w:p>
          <w:p w14:paraId="24C3EB30" w14:textId="77777777" w:rsidR="007713B1" w:rsidRPr="00D229C5" w:rsidRDefault="007713B1" w:rsidP="007713B1">
            <w:pPr>
              <w:spacing w:after="120" w:line="259" w:lineRule="auto"/>
              <w:ind w:left="170"/>
              <w:rPr>
                <w:rFonts w:cs="Calibri"/>
                <w:sz w:val="20"/>
                <w:szCs w:val="20"/>
              </w:rPr>
            </w:pPr>
            <w:r w:rsidRPr="00D229C5">
              <w:rPr>
                <w:rFonts w:cs="Calibri"/>
                <w:sz w:val="20"/>
                <w:szCs w:val="20"/>
              </w:rPr>
              <w:t>3.1.2 – Disability and Carer Support</w:t>
            </w:r>
          </w:p>
          <w:p w14:paraId="0B225D9E" w14:textId="77777777" w:rsidR="007713B1" w:rsidRPr="00D229C5" w:rsidRDefault="007713B1" w:rsidP="007713B1">
            <w:pPr>
              <w:spacing w:after="120" w:line="259" w:lineRule="auto"/>
              <w:ind w:left="170"/>
              <w:rPr>
                <w:rFonts w:cs="Calibri"/>
                <w:sz w:val="20"/>
                <w:szCs w:val="20"/>
              </w:rPr>
            </w:pPr>
          </w:p>
        </w:tc>
        <w:tc>
          <w:tcPr>
            <w:tcW w:w="2548" w:type="pct"/>
            <w:tcBorders>
              <w:top w:val="single" w:sz="36" w:space="0" w:color="FFFFFF"/>
              <w:left w:val="single" w:sz="36" w:space="0" w:color="FFFFFF"/>
              <w:bottom w:val="single" w:sz="36" w:space="0" w:color="FFFFFF"/>
              <w:right w:val="single" w:sz="36" w:space="0" w:color="FFFFFF"/>
            </w:tcBorders>
            <w:shd w:val="clear" w:color="auto" w:fill="D9D9D9" w:themeFill="background1" w:themeFillShade="D9"/>
          </w:tcPr>
          <w:p w14:paraId="406E2D52" w14:textId="3CE90E6B" w:rsidR="007713B1" w:rsidRPr="00D229C5" w:rsidRDefault="007713B1" w:rsidP="007713B1">
            <w:pPr>
              <w:spacing w:after="120" w:line="259" w:lineRule="auto"/>
              <w:ind w:left="85"/>
              <w:jc w:val="center"/>
              <w:rPr>
                <w:rFonts w:cs="Calibri"/>
                <w:b/>
                <w:sz w:val="20"/>
                <w:szCs w:val="20"/>
              </w:rPr>
            </w:pPr>
            <w:r w:rsidRPr="00D229C5">
              <w:rPr>
                <w:rFonts w:cs="Calibri"/>
                <w:b/>
                <w:bCs/>
                <w:sz w:val="20"/>
                <w:szCs w:val="20"/>
              </w:rPr>
              <w:t>Key activities</w:t>
            </w:r>
            <w:r w:rsidR="0051305F" w:rsidRPr="00AF04D5">
              <w:rPr>
                <w:rFonts w:cs="Calibri"/>
                <w:b/>
                <w:bCs/>
                <w:sz w:val="18"/>
                <w:szCs w:val="20"/>
              </w:rPr>
              <w:t>*</w:t>
            </w:r>
          </w:p>
          <w:p w14:paraId="0D5AEEC5" w14:textId="275F3115" w:rsidR="00280376" w:rsidRPr="00D229C5" w:rsidRDefault="00280376" w:rsidP="007713B1">
            <w:pPr>
              <w:spacing w:after="120" w:line="259" w:lineRule="auto"/>
              <w:ind w:left="85"/>
              <w:rPr>
                <w:rFonts w:cs="Calibri"/>
                <w:sz w:val="20"/>
                <w:szCs w:val="20"/>
              </w:rPr>
            </w:pPr>
            <w:r w:rsidRPr="00D229C5">
              <w:rPr>
                <w:rFonts w:cs="Calibri"/>
                <w:sz w:val="20"/>
                <w:szCs w:val="20"/>
              </w:rPr>
              <w:t>3.2.1 – NDIS Transition</w:t>
            </w:r>
          </w:p>
          <w:p w14:paraId="5DCD8219" w14:textId="4F97CB31" w:rsidR="007713B1" w:rsidRPr="00D229C5" w:rsidRDefault="007713B1" w:rsidP="007713B1">
            <w:pPr>
              <w:spacing w:after="120" w:line="259" w:lineRule="auto"/>
              <w:ind w:left="85"/>
              <w:rPr>
                <w:rFonts w:cs="Calibri"/>
                <w:sz w:val="20"/>
                <w:szCs w:val="20"/>
              </w:rPr>
            </w:pPr>
            <w:r w:rsidRPr="00D229C5">
              <w:rPr>
                <w:rFonts w:cs="Calibri"/>
                <w:sz w:val="20"/>
                <w:szCs w:val="20"/>
              </w:rPr>
              <w:t xml:space="preserve">3.2.3 – NDIS Participant Plans </w:t>
            </w:r>
          </w:p>
          <w:p w14:paraId="3004D4B8" w14:textId="40F73ADE" w:rsidR="007713B1" w:rsidRPr="00D229C5" w:rsidRDefault="0051305F" w:rsidP="00AF04D5">
            <w:pPr>
              <w:spacing w:after="120" w:line="259" w:lineRule="auto"/>
              <w:ind w:left="85"/>
              <w:rPr>
                <w:rFonts w:cs="Calibri"/>
                <w:bCs/>
                <w:sz w:val="20"/>
                <w:szCs w:val="20"/>
              </w:rPr>
            </w:pPr>
            <w:r>
              <w:rPr>
                <w:rFonts w:eastAsiaTheme="majorEastAsia" w:cs="Arial"/>
                <w:bCs/>
                <w:sz w:val="14"/>
                <w:szCs w:val="14"/>
              </w:rPr>
              <w:t xml:space="preserve">* </w:t>
            </w:r>
            <w:r w:rsidRPr="0051305F">
              <w:rPr>
                <w:rFonts w:eastAsiaTheme="majorEastAsia" w:cs="Arial"/>
                <w:bCs/>
                <w:sz w:val="14"/>
                <w:szCs w:val="14"/>
              </w:rPr>
              <w:t xml:space="preserve">The </w:t>
            </w:r>
            <w:r>
              <w:rPr>
                <w:rFonts w:eastAsiaTheme="majorEastAsia" w:cs="Arial"/>
                <w:bCs/>
                <w:sz w:val="14"/>
                <w:szCs w:val="14"/>
              </w:rPr>
              <w:t>key activity numbering</w:t>
            </w:r>
            <w:r w:rsidRPr="0051305F">
              <w:rPr>
                <w:rFonts w:eastAsiaTheme="majorEastAsia" w:cs="Arial"/>
                <w:bCs/>
                <w:sz w:val="14"/>
                <w:szCs w:val="14"/>
              </w:rPr>
              <w:t xml:space="preserve"> </w:t>
            </w:r>
            <w:r>
              <w:rPr>
                <w:rFonts w:eastAsiaTheme="majorEastAsia" w:cs="Arial"/>
                <w:bCs/>
                <w:sz w:val="14"/>
                <w:szCs w:val="14"/>
              </w:rPr>
              <w:t xml:space="preserve">in </w:t>
            </w:r>
            <w:r w:rsidRPr="0051305F">
              <w:rPr>
                <w:rFonts w:eastAsiaTheme="majorEastAsia" w:cs="Arial"/>
                <w:bCs/>
                <w:sz w:val="14"/>
                <w:szCs w:val="14"/>
              </w:rPr>
              <w:t>Outcome</w:t>
            </w:r>
            <w:r>
              <w:rPr>
                <w:rFonts w:eastAsiaTheme="majorEastAsia" w:cs="Arial"/>
                <w:bCs/>
                <w:sz w:val="14"/>
                <w:szCs w:val="14"/>
              </w:rPr>
              <w:t xml:space="preserve"> 3</w:t>
            </w:r>
            <w:r w:rsidRPr="0051305F">
              <w:rPr>
                <w:rFonts w:eastAsiaTheme="majorEastAsia" w:cs="Arial"/>
                <w:bCs/>
                <w:sz w:val="14"/>
                <w:szCs w:val="14"/>
              </w:rPr>
              <w:t xml:space="preserve"> </w:t>
            </w:r>
            <w:r>
              <w:rPr>
                <w:rFonts w:eastAsiaTheme="majorEastAsia" w:cs="Arial"/>
                <w:bCs/>
                <w:sz w:val="14"/>
                <w:szCs w:val="14"/>
              </w:rPr>
              <w:t>is</w:t>
            </w:r>
            <w:r w:rsidRPr="0051305F">
              <w:rPr>
                <w:rFonts w:eastAsiaTheme="majorEastAsia" w:cs="Arial"/>
                <w:bCs/>
                <w:sz w:val="14"/>
                <w:szCs w:val="14"/>
              </w:rPr>
              <w:t xml:space="preserve"> not consecutive as </w:t>
            </w:r>
            <w:r>
              <w:rPr>
                <w:rFonts w:eastAsiaTheme="majorEastAsia" w:cs="Arial"/>
                <w:bCs/>
                <w:sz w:val="14"/>
                <w:szCs w:val="14"/>
              </w:rPr>
              <w:t>it</w:t>
            </w:r>
            <w:r w:rsidRPr="0051305F">
              <w:rPr>
                <w:rFonts w:eastAsiaTheme="majorEastAsia" w:cs="Arial"/>
                <w:bCs/>
                <w:sz w:val="14"/>
                <w:szCs w:val="14"/>
              </w:rPr>
              <w:t xml:space="preserve"> </w:t>
            </w:r>
            <w:r w:rsidR="00AF04D5">
              <w:rPr>
                <w:rFonts w:eastAsiaTheme="majorEastAsia" w:cs="Arial"/>
                <w:bCs/>
                <w:sz w:val="14"/>
                <w:szCs w:val="14"/>
              </w:rPr>
              <w:t>reflects the</w:t>
            </w:r>
            <w:r w:rsidRPr="0051305F">
              <w:rPr>
                <w:rFonts w:eastAsiaTheme="majorEastAsia" w:cs="Arial"/>
                <w:bCs/>
                <w:sz w:val="14"/>
                <w:szCs w:val="14"/>
              </w:rPr>
              <w:t xml:space="preserve"> 2023-24 Portfolio Budget Statement appropriation numbering.</w:t>
            </w:r>
          </w:p>
        </w:tc>
      </w:tr>
    </w:tbl>
    <w:p w14:paraId="6A04518B" w14:textId="77777777" w:rsidR="007713B1" w:rsidRDefault="007713B1" w:rsidP="007713B1">
      <w:pPr>
        <w:spacing w:after="160"/>
      </w:pPr>
    </w:p>
    <w:p w14:paraId="42B93F13" w14:textId="77777777" w:rsidR="007713B1" w:rsidRDefault="007713B1" w:rsidP="007713B1">
      <w:pPr>
        <w:spacing w:after="160"/>
      </w:pPr>
    </w:p>
    <w:p w14:paraId="57B5A639" w14:textId="77777777" w:rsidR="007713B1" w:rsidRDefault="007713B1" w:rsidP="007713B1">
      <w:pPr>
        <w:spacing w:after="160"/>
      </w:pPr>
    </w:p>
    <w:p w14:paraId="6EB6CF3E" w14:textId="77777777" w:rsidR="007713B1" w:rsidRDefault="007713B1" w:rsidP="007713B1">
      <w:pPr>
        <w:spacing w:after="160"/>
      </w:pPr>
    </w:p>
    <w:p w14:paraId="763964FF" w14:textId="77777777" w:rsidR="007713B1" w:rsidRDefault="007713B1" w:rsidP="007713B1">
      <w:pPr>
        <w:spacing w:after="160"/>
      </w:pPr>
      <w:r>
        <w:br w:type="page"/>
      </w:r>
    </w:p>
    <w:p w14:paraId="12E484FF" w14:textId="77777777" w:rsidR="007713B1" w:rsidRPr="00461D53" w:rsidRDefault="007713B1" w:rsidP="00046C03">
      <w:pPr>
        <w:pStyle w:val="Heading3"/>
        <w:shd w:val="clear" w:color="auto" w:fill="1A6775"/>
      </w:pPr>
      <w:r>
        <w:t xml:space="preserve">PROGRAM 3.1 </w:t>
      </w:r>
      <w:r w:rsidRPr="00461D53">
        <w:t>DISABILITY AND CARERS</w:t>
      </w:r>
    </w:p>
    <w:p w14:paraId="63CEF5F0" w14:textId="77777777" w:rsidR="007713B1" w:rsidRPr="00461D53" w:rsidRDefault="007713B1" w:rsidP="00046C03">
      <w:pPr>
        <w:shd w:val="clear" w:color="auto" w:fill="1A6775"/>
        <w:rPr>
          <w:rFonts w:cs="Arial"/>
          <w:color w:val="FFFFFF" w:themeColor="background1"/>
          <w:sz w:val="20"/>
          <w:szCs w:val="20"/>
        </w:rPr>
      </w:pPr>
      <w:r w:rsidRPr="00461D53">
        <w:rPr>
          <w:rFonts w:cs="Arial"/>
          <w:color w:val="FFFFFF" w:themeColor="background1"/>
          <w:sz w:val="20"/>
          <w:szCs w:val="20"/>
          <w:shd w:val="clear" w:color="auto" w:fill="005A70"/>
        </w:rPr>
        <w:t xml:space="preserve">To support people with disabilities and carers to actively participate in community and economic life. </w:t>
      </w:r>
    </w:p>
    <w:p w14:paraId="15BDE716" w14:textId="77777777" w:rsidR="007713B1" w:rsidRPr="007A03BF" w:rsidRDefault="007713B1" w:rsidP="00046C03">
      <w:pPr>
        <w:pStyle w:val="Heading4"/>
        <w:shd w:val="clear" w:color="auto" w:fill="D9D9D9" w:themeFill="background1" w:themeFillShade="D9"/>
      </w:pPr>
      <w:r w:rsidRPr="007A03BF">
        <w:t>Key Activity — 3.1.1 Disability Employment Services</w:t>
      </w:r>
    </w:p>
    <w:p w14:paraId="3156E3E0" w14:textId="77777777" w:rsidR="007713B1" w:rsidRPr="00461D53" w:rsidRDefault="007713B1" w:rsidP="00AA3C01">
      <w:pPr>
        <w:pStyle w:val="Normalmorespace"/>
      </w:pPr>
      <w:r w:rsidRPr="00461D53">
        <w:t>Disability Employment Services (DES) is a key activity of the Disability and Carers Program. DES help</w:t>
      </w:r>
      <w:r>
        <w:t>s</w:t>
      </w:r>
      <w:r w:rsidRPr="00461D53">
        <w:t xml:space="preserve"> individuals with injury, disability, or a health condition to secure and maintain sustainable open employment. Through DES, </w:t>
      </w:r>
      <w:r>
        <w:t>eligible participants</w:t>
      </w:r>
      <w:r w:rsidRPr="00461D53">
        <w:t xml:space="preserve"> may be able to receive assistance to prepare for, find and keep employment.</w:t>
      </w:r>
    </w:p>
    <w:p w14:paraId="6D70DAA5" w14:textId="3DE9E45A" w:rsidR="007713B1" w:rsidRPr="00461D53" w:rsidRDefault="007713B1" w:rsidP="00AA3C01">
      <w:pPr>
        <w:pStyle w:val="Normalmorespace"/>
      </w:pPr>
      <w:bookmarkStart w:id="101" w:name="_Toc89872377"/>
      <w:r w:rsidRPr="00461D53">
        <w:t xml:space="preserve">Grants are provided to </w:t>
      </w:r>
      <w:r>
        <w:rPr>
          <w:b/>
        </w:rPr>
        <w:t>Disability Employment S</w:t>
      </w:r>
      <w:r w:rsidRPr="006350E2">
        <w:rPr>
          <w:b/>
        </w:rPr>
        <w:t>ervices providers</w:t>
      </w:r>
      <w:r w:rsidRPr="00461D53">
        <w:t xml:space="preserve"> to deliver </w:t>
      </w:r>
      <w:r w:rsidR="00287355">
        <w:t>2</w:t>
      </w:r>
      <w:r w:rsidRPr="00461D53">
        <w:t xml:space="preserve"> services:</w:t>
      </w:r>
    </w:p>
    <w:p w14:paraId="1D80D6B7" w14:textId="0D2EC307" w:rsidR="007713B1" w:rsidRPr="00461D53" w:rsidRDefault="007713B1" w:rsidP="00AA3C01">
      <w:pPr>
        <w:pStyle w:val="ListParagraph"/>
        <w:numPr>
          <w:ilvl w:val="0"/>
          <w:numId w:val="36"/>
        </w:numPr>
        <w:spacing w:before="80" w:after="80" w:line="240" w:lineRule="auto"/>
        <w:ind w:left="714" w:hanging="357"/>
        <w:contextualSpacing w:val="0"/>
        <w:rPr>
          <w:rFonts w:cs="Arial"/>
          <w:sz w:val="20"/>
          <w:szCs w:val="20"/>
        </w:rPr>
      </w:pPr>
      <w:r w:rsidRPr="00461D53">
        <w:rPr>
          <w:rFonts w:cs="Arial"/>
          <w:b/>
          <w:sz w:val="20"/>
          <w:szCs w:val="20"/>
        </w:rPr>
        <w:t>Disability Management Service</w:t>
      </w:r>
      <w:r w:rsidRPr="00461D53">
        <w:rPr>
          <w:rFonts w:cs="Arial"/>
          <w:sz w:val="20"/>
          <w:szCs w:val="20"/>
        </w:rPr>
        <w:t xml:space="preserve"> for job seekers with disability, injury or health condition who need assistance to find employment and occasional support in the workplace to keep a job.</w:t>
      </w:r>
    </w:p>
    <w:p w14:paraId="72B9FE2C" w14:textId="77777777" w:rsidR="007713B1" w:rsidRPr="00461D53" w:rsidRDefault="007713B1" w:rsidP="00AA3C01">
      <w:pPr>
        <w:pStyle w:val="ListParagraph"/>
        <w:numPr>
          <w:ilvl w:val="0"/>
          <w:numId w:val="36"/>
        </w:numPr>
        <w:spacing w:before="80" w:after="80" w:line="240" w:lineRule="auto"/>
        <w:ind w:left="714" w:hanging="357"/>
        <w:contextualSpacing w:val="0"/>
        <w:rPr>
          <w:rFonts w:cs="Arial"/>
          <w:sz w:val="20"/>
          <w:szCs w:val="20"/>
        </w:rPr>
      </w:pPr>
      <w:r w:rsidRPr="00461D53">
        <w:rPr>
          <w:rFonts w:cs="Arial"/>
          <w:b/>
          <w:sz w:val="20"/>
          <w:szCs w:val="20"/>
        </w:rPr>
        <w:t xml:space="preserve">Employment Support Service </w:t>
      </w:r>
      <w:r w:rsidRPr="00461D53">
        <w:rPr>
          <w:rFonts w:cs="Arial"/>
          <w:sz w:val="20"/>
          <w:szCs w:val="20"/>
        </w:rPr>
        <w:t>provides assistance to job seekers with permanent disability to find employment and who need regular, ongoing support in the workplace to keep a job.</w:t>
      </w:r>
    </w:p>
    <w:p w14:paraId="6458DA10" w14:textId="77777777" w:rsidR="007713B1" w:rsidRPr="00461D53" w:rsidRDefault="007713B1" w:rsidP="00AA3C01">
      <w:pPr>
        <w:pStyle w:val="Normalmorespace"/>
      </w:pPr>
      <w:r w:rsidRPr="00461D53">
        <w:t>DES providers are a mix of large, medium, and small for-profit and not-for-profit organisations that are experienced in supporting people with disability</w:t>
      </w:r>
      <w:r>
        <w:t>,</w:t>
      </w:r>
      <w:r w:rsidRPr="00461D53">
        <w:t xml:space="preserve"> as well as providing assistance to employers to put in place practices that support the employee in the workplace.</w:t>
      </w:r>
      <w:bookmarkEnd w:id="101"/>
    </w:p>
    <w:p w14:paraId="3FB29039" w14:textId="77777777" w:rsidR="007713B1" w:rsidRPr="00461D53" w:rsidRDefault="007713B1" w:rsidP="00AA3C01">
      <w:pPr>
        <w:pStyle w:val="Normalmorespace"/>
      </w:pPr>
      <w:bookmarkStart w:id="102" w:name="_Toc89872378"/>
      <w:r w:rsidRPr="00461D53">
        <w:t>When a person with disability has been placed in a job, a DES provider will give them employment support for at least 52 weeks. Support may also be available to help both the employee and employer beyond this time, where it is needed.</w:t>
      </w:r>
      <w:bookmarkEnd w:id="102"/>
    </w:p>
    <w:p w14:paraId="4053B093" w14:textId="77777777" w:rsidR="007713B1" w:rsidRPr="00461D53" w:rsidRDefault="007713B1" w:rsidP="00AA3C01">
      <w:pPr>
        <w:pStyle w:val="Normalmorespace"/>
      </w:pPr>
      <w:r w:rsidRPr="00461D53">
        <w:t>For employers, DES can provide a range of free services, including help to employ and retain workers with disability and access to a range of financial incentives and support</w:t>
      </w:r>
      <w:r>
        <w:t xml:space="preserve">, </w:t>
      </w:r>
      <w:r w:rsidRPr="0011152F">
        <w:t>including accessing funding for workplace adjustments or information through JobAccess. JobAccess is an Australian Government funded program delivered by industry professionals to provide free and expert support to help remove barriers to employing people with a disability.</w:t>
      </w:r>
    </w:p>
    <w:p w14:paraId="65A9D762" w14:textId="25751F72" w:rsidR="007713B1" w:rsidRPr="00411BEE" w:rsidRDefault="007713B1" w:rsidP="00AA3C01">
      <w:pPr>
        <w:pStyle w:val="Normalmorespace"/>
      </w:pPr>
      <w:r w:rsidRPr="00411BEE">
        <w:t xml:space="preserve">A phased approach will be taken to delivering and implementing reforms to DES. As an initial step, the DES funding agreements have been be extended for </w:t>
      </w:r>
      <w:r w:rsidR="00287355">
        <w:t>2</w:t>
      </w:r>
      <w:r w:rsidRPr="00411BEE">
        <w:t xml:space="preserve"> years to 30 June 2025.</w:t>
      </w:r>
    </w:p>
    <w:p w14:paraId="3FB8BE97" w14:textId="595F4847" w:rsidR="007713B1" w:rsidRPr="00411BEE" w:rsidRDefault="007713B1" w:rsidP="00AA3C01">
      <w:pPr>
        <w:pStyle w:val="Normalmorespace"/>
      </w:pPr>
      <w:r w:rsidRPr="00411BEE">
        <w:t>Within the extended funding agreement, adjustments will be made to DES to improve quality. A</w:t>
      </w:r>
      <w:r w:rsidR="002C39B9">
        <w:t xml:space="preserve"> new</w:t>
      </w:r>
      <w:r w:rsidRPr="00411BEE">
        <w:t xml:space="preserve"> quality framework </w:t>
      </w:r>
      <w:r w:rsidR="002C39B9">
        <w:t xml:space="preserve">commenced in July 2023, with further measures and data sources to be </w:t>
      </w:r>
      <w:r w:rsidRPr="00411BEE">
        <w:t xml:space="preserve">developed </w:t>
      </w:r>
      <w:r w:rsidR="002C39B9">
        <w:t>with stakeholders over 2023</w:t>
      </w:r>
      <w:r w:rsidRPr="00411BEE">
        <w:t xml:space="preserve">. </w:t>
      </w:r>
    </w:p>
    <w:p w14:paraId="2D748797" w14:textId="77777777" w:rsidR="007713B1" w:rsidRPr="00461D53" w:rsidRDefault="007713B1" w:rsidP="00AA3C01">
      <w:pPr>
        <w:pStyle w:val="Normalmorespace"/>
      </w:pPr>
      <w:r w:rsidRPr="00411BEE">
        <w:t>A trial will be undertaken to improve pathways into the current DES program for those without mutual obligations, such as Disability Support Pension recipients and National Disability Insurance Scheme participants.</w:t>
      </w:r>
      <w:r w:rsidRPr="00461D53">
        <w:t xml:space="preserve"> </w:t>
      </w:r>
    </w:p>
    <w:p w14:paraId="6A827270" w14:textId="7683296F" w:rsidR="007713B1" w:rsidRPr="00461D53" w:rsidRDefault="007713B1" w:rsidP="00AA3C01">
      <w:pPr>
        <w:pStyle w:val="Normalmorespace"/>
      </w:pPr>
      <w:r w:rsidRPr="00461D53">
        <w:t xml:space="preserve">The </w:t>
      </w:r>
      <w:r w:rsidR="00073300">
        <w:rPr>
          <w:b/>
        </w:rPr>
        <w:t>d</w:t>
      </w:r>
      <w:r>
        <w:rPr>
          <w:b/>
        </w:rPr>
        <w:t>epartment</w:t>
      </w:r>
      <w:r w:rsidRPr="00461D53">
        <w:rPr>
          <w:b/>
        </w:rPr>
        <w:t>’s</w:t>
      </w:r>
      <w:r w:rsidRPr="00461D53">
        <w:t xml:space="preserve"> role is to:</w:t>
      </w:r>
    </w:p>
    <w:p w14:paraId="296D1093" w14:textId="77777777" w:rsidR="007713B1" w:rsidRPr="00461D53" w:rsidRDefault="007713B1" w:rsidP="00AA3C01">
      <w:pPr>
        <w:pStyle w:val="ListParagraph"/>
        <w:numPr>
          <w:ilvl w:val="0"/>
          <w:numId w:val="35"/>
        </w:numPr>
        <w:spacing w:before="80" w:after="80" w:line="240" w:lineRule="auto"/>
        <w:ind w:left="714" w:hanging="357"/>
        <w:contextualSpacing w:val="0"/>
        <w:rPr>
          <w:rFonts w:cs="Arial"/>
          <w:sz w:val="20"/>
          <w:szCs w:val="20"/>
        </w:rPr>
      </w:pPr>
      <w:r w:rsidRPr="00461D53">
        <w:rPr>
          <w:rFonts w:cs="Arial"/>
          <w:sz w:val="20"/>
          <w:szCs w:val="20"/>
        </w:rPr>
        <w:t>manage the grants process for DES</w:t>
      </w:r>
    </w:p>
    <w:p w14:paraId="5821A1BB" w14:textId="77777777" w:rsidR="007713B1" w:rsidRPr="00461D53" w:rsidRDefault="007713B1" w:rsidP="00AA3C01">
      <w:pPr>
        <w:pStyle w:val="ListParagraph"/>
        <w:numPr>
          <w:ilvl w:val="0"/>
          <w:numId w:val="35"/>
        </w:numPr>
        <w:spacing w:before="80" w:after="80" w:line="240" w:lineRule="auto"/>
        <w:ind w:left="714" w:hanging="357"/>
        <w:contextualSpacing w:val="0"/>
        <w:rPr>
          <w:rFonts w:cs="Arial"/>
          <w:sz w:val="20"/>
          <w:szCs w:val="20"/>
        </w:rPr>
      </w:pPr>
      <w:r w:rsidRPr="00461D53">
        <w:rPr>
          <w:rFonts w:cs="Arial"/>
          <w:sz w:val="20"/>
          <w:szCs w:val="20"/>
        </w:rPr>
        <w:t xml:space="preserve">conduct </w:t>
      </w:r>
      <w:r>
        <w:rPr>
          <w:rFonts w:cs="Arial"/>
          <w:sz w:val="20"/>
          <w:szCs w:val="20"/>
        </w:rPr>
        <w:t>program management,</w:t>
      </w:r>
      <w:r w:rsidRPr="00461D53">
        <w:rPr>
          <w:rFonts w:cs="Arial"/>
          <w:sz w:val="20"/>
          <w:szCs w:val="20"/>
        </w:rPr>
        <w:t xml:space="preserve"> assurance and compliance </w:t>
      </w:r>
    </w:p>
    <w:p w14:paraId="1D4663F8" w14:textId="77777777" w:rsidR="007713B1" w:rsidRPr="00461D53" w:rsidRDefault="007713B1" w:rsidP="00AA3C01">
      <w:pPr>
        <w:pStyle w:val="ListParagraph"/>
        <w:numPr>
          <w:ilvl w:val="0"/>
          <w:numId w:val="35"/>
        </w:numPr>
        <w:spacing w:before="80" w:after="80" w:line="240" w:lineRule="auto"/>
        <w:ind w:left="714" w:hanging="357"/>
        <w:contextualSpacing w:val="0"/>
        <w:rPr>
          <w:rFonts w:cs="Arial"/>
          <w:sz w:val="20"/>
          <w:szCs w:val="20"/>
        </w:rPr>
      </w:pPr>
      <w:r w:rsidRPr="00461D53">
        <w:rPr>
          <w:rFonts w:cs="Arial"/>
          <w:sz w:val="20"/>
          <w:szCs w:val="20"/>
        </w:rPr>
        <w:t>manage service providers against the DES performance service framework</w:t>
      </w:r>
    </w:p>
    <w:p w14:paraId="3075DD30" w14:textId="77777777" w:rsidR="007713B1" w:rsidRPr="00461D53" w:rsidRDefault="007713B1" w:rsidP="00AA3C01">
      <w:pPr>
        <w:pStyle w:val="ListParagraph"/>
        <w:numPr>
          <w:ilvl w:val="0"/>
          <w:numId w:val="35"/>
        </w:numPr>
        <w:spacing w:before="80" w:after="80" w:line="240" w:lineRule="auto"/>
        <w:ind w:left="714" w:hanging="357"/>
        <w:contextualSpacing w:val="0"/>
        <w:rPr>
          <w:rFonts w:cs="Arial"/>
          <w:sz w:val="20"/>
          <w:szCs w:val="20"/>
        </w:rPr>
      </w:pPr>
      <w:r w:rsidRPr="00461D53">
        <w:rPr>
          <w:rFonts w:cs="Arial"/>
          <w:sz w:val="20"/>
          <w:szCs w:val="20"/>
        </w:rPr>
        <w:t>design and implement the DES Funding Model, including setting the pricing structure base and set milestones for providers</w:t>
      </w:r>
    </w:p>
    <w:p w14:paraId="34B347D7" w14:textId="77777777" w:rsidR="007713B1" w:rsidRPr="00461D53" w:rsidRDefault="007713B1" w:rsidP="00AA3C01">
      <w:pPr>
        <w:pStyle w:val="ListParagraph"/>
        <w:numPr>
          <w:ilvl w:val="0"/>
          <w:numId w:val="35"/>
        </w:numPr>
        <w:spacing w:before="80" w:after="80" w:line="240" w:lineRule="auto"/>
        <w:ind w:left="714" w:hanging="357"/>
        <w:contextualSpacing w:val="0"/>
        <w:rPr>
          <w:rFonts w:cs="Arial"/>
          <w:sz w:val="20"/>
          <w:szCs w:val="20"/>
        </w:rPr>
      </w:pPr>
      <w:r w:rsidRPr="00461D53">
        <w:rPr>
          <w:rFonts w:cs="Arial"/>
          <w:sz w:val="20"/>
          <w:szCs w:val="20"/>
        </w:rPr>
        <w:t xml:space="preserve">manage the Job Access website and telephone service. </w:t>
      </w:r>
    </w:p>
    <w:p w14:paraId="5CD7CEEE" w14:textId="6FFD015B" w:rsidR="00E51D05" w:rsidRDefault="00E51D05">
      <w:pPr>
        <w:spacing w:before="0" w:after="200" w:line="276" w:lineRule="auto"/>
        <w:rPr>
          <w:rFonts w:cs="Arial"/>
          <w:szCs w:val="20"/>
        </w:rPr>
      </w:pPr>
      <w:r>
        <w:rPr>
          <w:rFonts w:cs="Arial"/>
          <w:szCs w:val="20"/>
        </w:rPr>
        <w:br w:type="page"/>
      </w:r>
    </w:p>
    <w:tbl>
      <w:tblPr>
        <w:tblStyle w:val="TableGrid39"/>
        <w:tblW w:w="4983" w:type="pct"/>
        <w:jc w:val="center"/>
        <w:tblLook w:val="04A0" w:firstRow="1" w:lastRow="0" w:firstColumn="1" w:lastColumn="0" w:noHBand="0" w:noVBand="1"/>
        <w:tblCaption w:val="3.1.1 performance measure and target"/>
        <w:tblDescription w:val="Table outlines the targeted disability employment percentages across 2023-24, 2024-2, 2025-26 and 2026-27"/>
      </w:tblPr>
      <w:tblGrid>
        <w:gridCol w:w="3848"/>
        <w:gridCol w:w="1365"/>
        <w:gridCol w:w="1367"/>
        <w:gridCol w:w="1367"/>
        <w:gridCol w:w="1365"/>
      </w:tblGrid>
      <w:tr w:rsidR="007713B1" w:rsidRPr="00461D53" w14:paraId="1E8E5754" w14:textId="77777777" w:rsidTr="00CD76E2">
        <w:trPr>
          <w:cantSplit/>
          <w:trHeight w:val="356"/>
          <w:tblHeader/>
          <w:jc w:val="center"/>
        </w:trPr>
        <w:tc>
          <w:tcPr>
            <w:tcW w:w="5000" w:type="pct"/>
            <w:gridSpan w:val="5"/>
            <w:shd w:val="clear" w:color="auto" w:fill="D9D9D6"/>
          </w:tcPr>
          <w:p w14:paraId="5E2A79C5" w14:textId="77777777" w:rsidR="007713B1" w:rsidRPr="00723A4C" w:rsidRDefault="007713B1" w:rsidP="007713B1">
            <w:pPr>
              <w:spacing w:after="120"/>
              <w:rPr>
                <w:rFonts w:cs="Arial"/>
                <w:b/>
                <w:sz w:val="20"/>
                <w:szCs w:val="20"/>
              </w:rPr>
            </w:pPr>
            <w:r w:rsidRPr="00723A4C">
              <w:rPr>
                <w:rFonts w:cs="Arial"/>
                <w:b/>
                <w:sz w:val="20"/>
                <w:szCs w:val="20"/>
              </w:rPr>
              <w:t>Performance Measure</w:t>
            </w:r>
          </w:p>
        </w:tc>
      </w:tr>
      <w:tr w:rsidR="007713B1" w:rsidRPr="00461D53" w14:paraId="3637BC44" w14:textId="77777777" w:rsidTr="007713B1">
        <w:trPr>
          <w:cantSplit/>
          <w:trHeight w:val="356"/>
          <w:jc w:val="center"/>
        </w:trPr>
        <w:tc>
          <w:tcPr>
            <w:tcW w:w="5000" w:type="pct"/>
            <w:gridSpan w:val="5"/>
            <w:shd w:val="clear" w:color="auto" w:fill="auto"/>
          </w:tcPr>
          <w:p w14:paraId="55B90669" w14:textId="77777777" w:rsidR="007713B1" w:rsidRPr="00723A4C" w:rsidRDefault="007713B1" w:rsidP="00AA3C01">
            <w:pPr>
              <w:spacing w:after="120"/>
              <w:rPr>
                <w:rFonts w:cs="Arial"/>
                <w:sz w:val="20"/>
                <w:szCs w:val="20"/>
              </w:rPr>
            </w:pPr>
            <w:r w:rsidRPr="00723A4C">
              <w:rPr>
                <w:rFonts w:cs="Arial"/>
                <w:sz w:val="20"/>
                <w:szCs w:val="20"/>
              </w:rPr>
              <w:t>3.1.1-1 - Extent to which people with disability are supported to find and maintain employment through Disability Employment Services</w:t>
            </w:r>
          </w:p>
        </w:tc>
      </w:tr>
      <w:tr w:rsidR="007713B1" w:rsidRPr="00461D53" w14:paraId="63149BF2" w14:textId="77777777" w:rsidTr="007713B1">
        <w:trPr>
          <w:cantSplit/>
          <w:trHeight w:val="356"/>
          <w:jc w:val="center"/>
        </w:trPr>
        <w:tc>
          <w:tcPr>
            <w:tcW w:w="2066" w:type="pct"/>
            <w:shd w:val="clear" w:color="auto" w:fill="D9D9D6"/>
          </w:tcPr>
          <w:p w14:paraId="133E598B" w14:textId="77777777" w:rsidR="007713B1" w:rsidRPr="00723A4C" w:rsidRDefault="007713B1" w:rsidP="007713B1">
            <w:pPr>
              <w:spacing w:after="120"/>
              <w:rPr>
                <w:rFonts w:cs="Arial"/>
                <w:sz w:val="20"/>
                <w:szCs w:val="20"/>
              </w:rPr>
            </w:pPr>
            <w:r w:rsidRPr="00723A4C">
              <w:rPr>
                <w:rFonts w:cs="Arial"/>
                <w:b/>
                <w:sz w:val="20"/>
                <w:szCs w:val="20"/>
              </w:rPr>
              <w:t>Target</w:t>
            </w:r>
          </w:p>
        </w:tc>
        <w:tc>
          <w:tcPr>
            <w:tcW w:w="733" w:type="pct"/>
            <w:shd w:val="clear" w:color="auto" w:fill="D9D9D6"/>
            <w:vAlign w:val="center"/>
          </w:tcPr>
          <w:p w14:paraId="59FDDEFE" w14:textId="77777777" w:rsidR="007713B1" w:rsidRPr="00723A4C" w:rsidRDefault="007713B1" w:rsidP="007713B1">
            <w:pPr>
              <w:spacing w:after="120"/>
              <w:rPr>
                <w:rFonts w:cs="Arial"/>
                <w:sz w:val="20"/>
                <w:szCs w:val="20"/>
              </w:rPr>
            </w:pPr>
            <w:r w:rsidRPr="00723A4C">
              <w:rPr>
                <w:rFonts w:cs="Arial"/>
                <w:b/>
                <w:sz w:val="20"/>
                <w:szCs w:val="20"/>
              </w:rPr>
              <w:t>2023–24</w:t>
            </w:r>
          </w:p>
        </w:tc>
        <w:tc>
          <w:tcPr>
            <w:tcW w:w="734" w:type="pct"/>
            <w:shd w:val="clear" w:color="auto" w:fill="D9D9D6"/>
            <w:vAlign w:val="center"/>
          </w:tcPr>
          <w:p w14:paraId="7B60AAA2" w14:textId="77777777" w:rsidR="007713B1" w:rsidRPr="00723A4C" w:rsidRDefault="007713B1" w:rsidP="007713B1">
            <w:pPr>
              <w:spacing w:after="120"/>
              <w:rPr>
                <w:rFonts w:cs="Arial"/>
                <w:b/>
                <w:sz w:val="20"/>
                <w:szCs w:val="20"/>
              </w:rPr>
            </w:pPr>
            <w:r w:rsidRPr="00723A4C">
              <w:rPr>
                <w:rFonts w:cs="Arial"/>
                <w:b/>
                <w:sz w:val="20"/>
                <w:szCs w:val="20"/>
              </w:rPr>
              <w:t>2024–25</w:t>
            </w:r>
          </w:p>
        </w:tc>
        <w:tc>
          <w:tcPr>
            <w:tcW w:w="734" w:type="pct"/>
            <w:shd w:val="clear" w:color="auto" w:fill="D9D9D6"/>
            <w:vAlign w:val="center"/>
          </w:tcPr>
          <w:p w14:paraId="467F0C6D" w14:textId="77777777" w:rsidR="007713B1" w:rsidRPr="00723A4C" w:rsidRDefault="007713B1" w:rsidP="007713B1">
            <w:pPr>
              <w:spacing w:after="120"/>
              <w:rPr>
                <w:rFonts w:cs="Arial"/>
                <w:b/>
                <w:sz w:val="20"/>
                <w:szCs w:val="20"/>
              </w:rPr>
            </w:pPr>
            <w:r w:rsidRPr="00723A4C">
              <w:rPr>
                <w:rFonts w:cs="Arial"/>
                <w:b/>
                <w:sz w:val="20"/>
                <w:szCs w:val="20"/>
              </w:rPr>
              <w:t>2025–26</w:t>
            </w:r>
          </w:p>
        </w:tc>
        <w:tc>
          <w:tcPr>
            <w:tcW w:w="733" w:type="pct"/>
            <w:shd w:val="clear" w:color="auto" w:fill="D9D9D6"/>
            <w:vAlign w:val="center"/>
          </w:tcPr>
          <w:p w14:paraId="130C89F1" w14:textId="77777777" w:rsidR="007713B1" w:rsidRPr="00723A4C" w:rsidRDefault="007713B1" w:rsidP="007713B1">
            <w:pPr>
              <w:spacing w:after="120"/>
              <w:rPr>
                <w:rFonts w:cs="Arial"/>
                <w:b/>
                <w:sz w:val="20"/>
                <w:szCs w:val="20"/>
              </w:rPr>
            </w:pPr>
            <w:r w:rsidRPr="00723A4C">
              <w:rPr>
                <w:rFonts w:cs="Arial"/>
                <w:b/>
                <w:sz w:val="20"/>
                <w:szCs w:val="20"/>
              </w:rPr>
              <w:t>2026–27</w:t>
            </w:r>
          </w:p>
        </w:tc>
      </w:tr>
      <w:tr w:rsidR="007713B1" w:rsidRPr="00461D53" w14:paraId="020C1507" w14:textId="77777777" w:rsidTr="007713B1">
        <w:trPr>
          <w:cantSplit/>
          <w:trHeight w:val="356"/>
          <w:jc w:val="center"/>
        </w:trPr>
        <w:tc>
          <w:tcPr>
            <w:tcW w:w="2066" w:type="pct"/>
            <w:shd w:val="clear" w:color="auto" w:fill="FFFFFF" w:themeFill="background1"/>
          </w:tcPr>
          <w:p w14:paraId="28AF7200" w14:textId="77777777" w:rsidR="007713B1" w:rsidRPr="00723A4C" w:rsidRDefault="007713B1" w:rsidP="007713B1">
            <w:pPr>
              <w:pStyle w:val="PBSbullet"/>
              <w:numPr>
                <w:ilvl w:val="0"/>
                <w:numId w:val="0"/>
              </w:numPr>
              <w:pBdr>
                <w:top w:val="nil"/>
                <w:left w:val="nil"/>
                <w:bottom w:val="nil"/>
                <w:right w:val="nil"/>
                <w:between w:val="nil"/>
                <w:bar w:val="nil"/>
              </w:pBdr>
              <w:spacing w:before="120" w:after="120"/>
              <w:contextualSpacing w:val="0"/>
              <w:rPr>
                <w:rFonts w:eastAsia="Calibri"/>
                <w:sz w:val="20"/>
                <w:szCs w:val="20"/>
                <w:bdr w:val="nil"/>
              </w:rPr>
            </w:pPr>
            <w:r w:rsidRPr="00723A4C">
              <w:rPr>
                <w:noProof/>
                <w:sz w:val="20"/>
                <w:szCs w:val="20"/>
                <w:lang w:eastAsia="en-AU"/>
              </w:rPr>
              <w:sym w:font="Wingdings" w:char="F074"/>
            </w:r>
            <w:r w:rsidRPr="00723A4C">
              <w:rPr>
                <w:sz w:val="20"/>
                <w:szCs w:val="20"/>
              </w:rPr>
              <w:t xml:space="preserve"> </w:t>
            </w:r>
            <w:r w:rsidRPr="00723A4C">
              <w:rPr>
                <w:noProof/>
                <w:sz w:val="20"/>
                <w:szCs w:val="20"/>
                <w:lang w:eastAsia="en-AU"/>
              </w:rPr>
              <w:t xml:space="preserve">3.1.1-1A - </w:t>
            </w:r>
            <w:r w:rsidRPr="00723A4C">
              <w:rPr>
                <w:rFonts w:eastAsia="Calibri"/>
                <w:sz w:val="20"/>
                <w:szCs w:val="20"/>
                <w:bdr w:val="nil"/>
              </w:rPr>
              <w:t>At least 40% of job placements sustained to 13 weeks.</w:t>
            </w:r>
          </w:p>
        </w:tc>
        <w:tc>
          <w:tcPr>
            <w:tcW w:w="733" w:type="pct"/>
          </w:tcPr>
          <w:p w14:paraId="6DB530BB" w14:textId="77777777" w:rsidR="007713B1" w:rsidRPr="00723A4C" w:rsidRDefault="007713B1" w:rsidP="007713B1">
            <w:pPr>
              <w:spacing w:after="120"/>
              <w:rPr>
                <w:rFonts w:cs="Arial"/>
                <w:sz w:val="20"/>
                <w:szCs w:val="20"/>
              </w:rPr>
            </w:pPr>
            <w:r w:rsidRPr="00723A4C">
              <w:rPr>
                <w:rFonts w:cs="Arial"/>
                <w:sz w:val="20"/>
                <w:szCs w:val="20"/>
              </w:rPr>
              <w:t xml:space="preserve">≥ 40 % to 13 weeks </w:t>
            </w:r>
          </w:p>
        </w:tc>
        <w:tc>
          <w:tcPr>
            <w:tcW w:w="734" w:type="pct"/>
          </w:tcPr>
          <w:p w14:paraId="5B1B61C1" w14:textId="77777777" w:rsidR="007713B1" w:rsidRPr="00723A4C" w:rsidRDefault="007713B1" w:rsidP="007713B1">
            <w:pPr>
              <w:spacing w:after="120"/>
              <w:rPr>
                <w:rFonts w:cs="Arial"/>
                <w:sz w:val="20"/>
                <w:szCs w:val="20"/>
              </w:rPr>
            </w:pPr>
            <w:r w:rsidRPr="00723A4C">
              <w:rPr>
                <w:rFonts w:cs="Arial"/>
                <w:sz w:val="20"/>
                <w:szCs w:val="20"/>
              </w:rPr>
              <w:t xml:space="preserve">≥ 40 % to 13 weeks </w:t>
            </w:r>
          </w:p>
        </w:tc>
        <w:tc>
          <w:tcPr>
            <w:tcW w:w="734" w:type="pct"/>
          </w:tcPr>
          <w:p w14:paraId="448211A3" w14:textId="77777777" w:rsidR="007713B1" w:rsidRPr="00723A4C" w:rsidRDefault="007713B1" w:rsidP="007713B1">
            <w:pPr>
              <w:spacing w:after="120"/>
              <w:rPr>
                <w:rFonts w:cs="Arial"/>
                <w:sz w:val="20"/>
                <w:szCs w:val="20"/>
              </w:rPr>
            </w:pPr>
            <w:r w:rsidRPr="00723A4C">
              <w:rPr>
                <w:rFonts w:cs="Arial"/>
                <w:sz w:val="20"/>
                <w:szCs w:val="20"/>
              </w:rPr>
              <w:t xml:space="preserve">≥ 40 % to 13 weeks </w:t>
            </w:r>
          </w:p>
        </w:tc>
        <w:tc>
          <w:tcPr>
            <w:tcW w:w="733" w:type="pct"/>
            <w:shd w:val="clear" w:color="auto" w:fill="FFFFFF" w:themeFill="background1"/>
          </w:tcPr>
          <w:p w14:paraId="4CEB82F7" w14:textId="77777777" w:rsidR="007713B1" w:rsidRPr="00723A4C" w:rsidRDefault="007713B1" w:rsidP="007713B1">
            <w:pPr>
              <w:spacing w:after="120"/>
              <w:rPr>
                <w:rFonts w:cs="Arial"/>
                <w:sz w:val="20"/>
                <w:szCs w:val="20"/>
              </w:rPr>
            </w:pPr>
            <w:r w:rsidRPr="00723A4C">
              <w:rPr>
                <w:rFonts w:cs="Arial"/>
                <w:sz w:val="20"/>
                <w:szCs w:val="20"/>
              </w:rPr>
              <w:t xml:space="preserve">≥ 40 % to 13 weeks </w:t>
            </w:r>
          </w:p>
        </w:tc>
      </w:tr>
      <w:tr w:rsidR="007713B1" w:rsidRPr="00461D53" w14:paraId="64C49E80" w14:textId="77777777" w:rsidTr="007713B1">
        <w:trPr>
          <w:cantSplit/>
          <w:trHeight w:val="356"/>
          <w:jc w:val="center"/>
        </w:trPr>
        <w:tc>
          <w:tcPr>
            <w:tcW w:w="2066" w:type="pct"/>
            <w:shd w:val="clear" w:color="auto" w:fill="FFFFFF" w:themeFill="background1"/>
          </w:tcPr>
          <w:p w14:paraId="248F521C" w14:textId="77777777" w:rsidR="007713B1" w:rsidRPr="00723A4C" w:rsidRDefault="007713B1" w:rsidP="007713B1">
            <w:pPr>
              <w:pStyle w:val="PBSbullet"/>
              <w:numPr>
                <w:ilvl w:val="0"/>
                <w:numId w:val="0"/>
              </w:numPr>
              <w:pBdr>
                <w:top w:val="nil"/>
                <w:left w:val="nil"/>
                <w:bottom w:val="nil"/>
                <w:right w:val="nil"/>
                <w:between w:val="nil"/>
                <w:bar w:val="nil"/>
              </w:pBdr>
              <w:spacing w:before="120" w:after="120"/>
              <w:contextualSpacing w:val="0"/>
              <w:rPr>
                <w:rFonts w:eastAsia="Calibri"/>
                <w:sz w:val="20"/>
                <w:szCs w:val="20"/>
                <w:bdr w:val="nil"/>
              </w:rPr>
            </w:pPr>
            <w:r w:rsidRPr="00723A4C">
              <w:rPr>
                <w:noProof/>
                <w:sz w:val="20"/>
                <w:szCs w:val="20"/>
                <w:lang w:eastAsia="en-AU"/>
              </w:rPr>
              <w:sym w:font="Wingdings" w:char="F074"/>
            </w:r>
            <w:r w:rsidRPr="00723A4C">
              <w:rPr>
                <w:sz w:val="20"/>
                <w:szCs w:val="20"/>
              </w:rPr>
              <w:t xml:space="preserve"> 3.1.1-1B - </w:t>
            </w:r>
            <w:r w:rsidRPr="00723A4C">
              <w:rPr>
                <w:rFonts w:eastAsia="Calibri"/>
                <w:sz w:val="20"/>
                <w:szCs w:val="20"/>
                <w:bdr w:val="nil"/>
              </w:rPr>
              <w:t>At least 30% of job placements sustained to 26 weeks.</w:t>
            </w:r>
          </w:p>
        </w:tc>
        <w:tc>
          <w:tcPr>
            <w:tcW w:w="733" w:type="pct"/>
          </w:tcPr>
          <w:p w14:paraId="294DC83A" w14:textId="77777777" w:rsidR="007713B1" w:rsidRPr="00723A4C" w:rsidRDefault="007713B1" w:rsidP="007713B1">
            <w:pPr>
              <w:spacing w:after="120"/>
              <w:rPr>
                <w:rFonts w:cs="Arial"/>
                <w:sz w:val="20"/>
                <w:szCs w:val="20"/>
              </w:rPr>
            </w:pPr>
            <w:r w:rsidRPr="00723A4C">
              <w:rPr>
                <w:rFonts w:cs="Arial"/>
                <w:sz w:val="20"/>
                <w:szCs w:val="20"/>
              </w:rPr>
              <w:t xml:space="preserve">≥ 30 % to 26 weeks </w:t>
            </w:r>
          </w:p>
        </w:tc>
        <w:tc>
          <w:tcPr>
            <w:tcW w:w="734" w:type="pct"/>
          </w:tcPr>
          <w:p w14:paraId="28073190" w14:textId="77777777" w:rsidR="007713B1" w:rsidRPr="00723A4C" w:rsidRDefault="007713B1" w:rsidP="007713B1">
            <w:pPr>
              <w:spacing w:after="120"/>
              <w:rPr>
                <w:rFonts w:cs="Arial"/>
                <w:sz w:val="20"/>
                <w:szCs w:val="20"/>
              </w:rPr>
            </w:pPr>
            <w:r w:rsidRPr="00723A4C">
              <w:rPr>
                <w:rFonts w:cs="Arial"/>
                <w:sz w:val="20"/>
                <w:szCs w:val="20"/>
              </w:rPr>
              <w:t xml:space="preserve">≥ 30 % to 26 weeks </w:t>
            </w:r>
          </w:p>
        </w:tc>
        <w:tc>
          <w:tcPr>
            <w:tcW w:w="734" w:type="pct"/>
          </w:tcPr>
          <w:p w14:paraId="370528A5" w14:textId="77777777" w:rsidR="007713B1" w:rsidRPr="00723A4C" w:rsidRDefault="007713B1" w:rsidP="007713B1">
            <w:pPr>
              <w:spacing w:after="120"/>
              <w:rPr>
                <w:rFonts w:cs="Arial"/>
                <w:sz w:val="20"/>
                <w:szCs w:val="20"/>
              </w:rPr>
            </w:pPr>
            <w:r w:rsidRPr="00723A4C">
              <w:rPr>
                <w:rFonts w:cs="Arial"/>
                <w:sz w:val="20"/>
                <w:szCs w:val="20"/>
              </w:rPr>
              <w:t xml:space="preserve">≥ 30 % to 26 weeks </w:t>
            </w:r>
          </w:p>
        </w:tc>
        <w:tc>
          <w:tcPr>
            <w:tcW w:w="733" w:type="pct"/>
            <w:shd w:val="clear" w:color="auto" w:fill="FFFFFF" w:themeFill="background1"/>
          </w:tcPr>
          <w:p w14:paraId="5BF518C8" w14:textId="77777777" w:rsidR="007713B1" w:rsidRPr="00723A4C" w:rsidRDefault="007713B1" w:rsidP="007713B1">
            <w:pPr>
              <w:spacing w:after="120"/>
              <w:rPr>
                <w:rFonts w:cs="Arial"/>
                <w:sz w:val="20"/>
                <w:szCs w:val="20"/>
              </w:rPr>
            </w:pPr>
            <w:r w:rsidRPr="00723A4C">
              <w:rPr>
                <w:rFonts w:cs="Arial"/>
                <w:sz w:val="20"/>
                <w:szCs w:val="20"/>
              </w:rPr>
              <w:t xml:space="preserve">≥ 30 % to 26 weeks </w:t>
            </w:r>
          </w:p>
        </w:tc>
      </w:tr>
      <w:tr w:rsidR="007713B1" w:rsidRPr="00461D53" w14:paraId="3A2B27E3" w14:textId="77777777" w:rsidTr="007713B1">
        <w:trPr>
          <w:cantSplit/>
          <w:trHeight w:val="356"/>
          <w:jc w:val="center"/>
        </w:trPr>
        <w:tc>
          <w:tcPr>
            <w:tcW w:w="2066" w:type="pct"/>
            <w:shd w:val="clear" w:color="auto" w:fill="FFFFFF" w:themeFill="background1"/>
          </w:tcPr>
          <w:p w14:paraId="66017947" w14:textId="77777777" w:rsidR="007713B1" w:rsidRPr="00723A4C" w:rsidRDefault="007713B1" w:rsidP="007713B1">
            <w:pPr>
              <w:pStyle w:val="PBSbullet"/>
              <w:numPr>
                <w:ilvl w:val="0"/>
                <w:numId w:val="0"/>
              </w:numPr>
              <w:pBdr>
                <w:top w:val="nil"/>
                <w:left w:val="nil"/>
                <w:bottom w:val="nil"/>
                <w:right w:val="nil"/>
                <w:between w:val="nil"/>
                <w:bar w:val="nil"/>
              </w:pBdr>
              <w:spacing w:before="120" w:after="120"/>
              <w:contextualSpacing w:val="0"/>
              <w:rPr>
                <w:rFonts w:eastAsia="Calibri"/>
                <w:sz w:val="20"/>
                <w:szCs w:val="20"/>
                <w:bdr w:val="nil"/>
              </w:rPr>
            </w:pPr>
            <w:r w:rsidRPr="00723A4C">
              <w:rPr>
                <w:noProof/>
                <w:sz w:val="20"/>
                <w:szCs w:val="20"/>
                <w:lang w:eastAsia="en-AU"/>
              </w:rPr>
              <w:sym w:font="Wingdings" w:char="F074"/>
            </w:r>
            <w:r w:rsidRPr="00723A4C">
              <w:rPr>
                <w:sz w:val="20"/>
                <w:szCs w:val="20"/>
              </w:rPr>
              <w:t xml:space="preserve"> </w:t>
            </w:r>
            <w:r w:rsidRPr="00723A4C">
              <w:rPr>
                <w:noProof/>
                <w:sz w:val="20"/>
                <w:szCs w:val="20"/>
                <w:lang w:eastAsia="en-AU"/>
              </w:rPr>
              <w:t xml:space="preserve">3.1.1-1C - </w:t>
            </w:r>
            <w:r w:rsidRPr="00723A4C">
              <w:rPr>
                <w:rFonts w:eastAsia="Calibri"/>
                <w:sz w:val="20"/>
                <w:szCs w:val="20"/>
                <w:bdr w:val="nil"/>
              </w:rPr>
              <w:t>At least 20% of job placements sustained to 52 weeks.</w:t>
            </w:r>
          </w:p>
        </w:tc>
        <w:tc>
          <w:tcPr>
            <w:tcW w:w="733" w:type="pct"/>
          </w:tcPr>
          <w:p w14:paraId="61967E65" w14:textId="77777777" w:rsidR="007713B1" w:rsidRPr="00723A4C" w:rsidRDefault="007713B1" w:rsidP="007713B1">
            <w:pPr>
              <w:spacing w:after="120"/>
              <w:rPr>
                <w:rFonts w:cs="Arial"/>
                <w:sz w:val="20"/>
                <w:szCs w:val="20"/>
              </w:rPr>
            </w:pPr>
            <w:r w:rsidRPr="00723A4C">
              <w:rPr>
                <w:rFonts w:cs="Arial"/>
                <w:sz w:val="20"/>
                <w:szCs w:val="20"/>
              </w:rPr>
              <w:t xml:space="preserve">≥ 20 % to 52 weeks </w:t>
            </w:r>
          </w:p>
        </w:tc>
        <w:tc>
          <w:tcPr>
            <w:tcW w:w="734" w:type="pct"/>
          </w:tcPr>
          <w:p w14:paraId="657BCE38" w14:textId="77777777" w:rsidR="007713B1" w:rsidRPr="00723A4C" w:rsidRDefault="007713B1" w:rsidP="007713B1">
            <w:pPr>
              <w:spacing w:after="120"/>
              <w:rPr>
                <w:rFonts w:cs="Arial"/>
                <w:sz w:val="20"/>
                <w:szCs w:val="20"/>
              </w:rPr>
            </w:pPr>
            <w:r w:rsidRPr="00723A4C">
              <w:rPr>
                <w:rFonts w:cs="Arial"/>
                <w:sz w:val="20"/>
                <w:szCs w:val="20"/>
              </w:rPr>
              <w:t xml:space="preserve">≥ 20 % to 52 weeks </w:t>
            </w:r>
          </w:p>
        </w:tc>
        <w:tc>
          <w:tcPr>
            <w:tcW w:w="734" w:type="pct"/>
          </w:tcPr>
          <w:p w14:paraId="59A318E7" w14:textId="77777777" w:rsidR="007713B1" w:rsidRPr="00723A4C" w:rsidRDefault="007713B1" w:rsidP="007713B1">
            <w:pPr>
              <w:spacing w:after="120"/>
              <w:rPr>
                <w:rFonts w:cs="Arial"/>
                <w:sz w:val="20"/>
                <w:szCs w:val="20"/>
              </w:rPr>
            </w:pPr>
            <w:r w:rsidRPr="00723A4C">
              <w:rPr>
                <w:rFonts w:cs="Arial"/>
                <w:sz w:val="20"/>
                <w:szCs w:val="20"/>
              </w:rPr>
              <w:t xml:space="preserve">≥ 20 % to 52 weeks </w:t>
            </w:r>
          </w:p>
        </w:tc>
        <w:tc>
          <w:tcPr>
            <w:tcW w:w="733" w:type="pct"/>
            <w:shd w:val="clear" w:color="auto" w:fill="FFFFFF" w:themeFill="background1"/>
            <w:vAlign w:val="center"/>
          </w:tcPr>
          <w:p w14:paraId="60FF3899" w14:textId="77777777" w:rsidR="007713B1" w:rsidRPr="00723A4C" w:rsidRDefault="007713B1" w:rsidP="007713B1">
            <w:pPr>
              <w:spacing w:after="120"/>
              <w:rPr>
                <w:rFonts w:cs="Arial"/>
                <w:sz w:val="20"/>
                <w:szCs w:val="20"/>
              </w:rPr>
            </w:pPr>
            <w:r w:rsidRPr="00723A4C">
              <w:rPr>
                <w:rFonts w:cs="Arial"/>
                <w:sz w:val="20"/>
                <w:szCs w:val="20"/>
              </w:rPr>
              <w:t>≥ 20 % to 52 weeks</w:t>
            </w:r>
          </w:p>
        </w:tc>
      </w:tr>
    </w:tbl>
    <w:p w14:paraId="24A6154B" w14:textId="77777777" w:rsidR="007713B1" w:rsidRDefault="007713B1" w:rsidP="007713B1">
      <w:pPr>
        <w:spacing w:after="0" w:line="240" w:lineRule="auto"/>
        <w:rPr>
          <w:rFonts w:cs="Arial"/>
          <w:sz w:val="20"/>
          <w:szCs w:val="20"/>
        </w:rPr>
      </w:pPr>
    </w:p>
    <w:p w14:paraId="128BB252" w14:textId="77777777" w:rsidR="007713B1" w:rsidRPr="007A03BF" w:rsidRDefault="007713B1" w:rsidP="00046C03">
      <w:pPr>
        <w:pStyle w:val="Heading4"/>
        <w:shd w:val="clear" w:color="auto" w:fill="D9D9D9" w:themeFill="background1" w:themeFillShade="D9"/>
      </w:pPr>
      <w:r w:rsidRPr="007A03BF">
        <w:t>Rationale</w:t>
      </w:r>
    </w:p>
    <w:p w14:paraId="14449FA0" w14:textId="77777777" w:rsidR="007713B1" w:rsidRPr="00461D53" w:rsidRDefault="007713B1" w:rsidP="00AA3C01">
      <w:pPr>
        <w:pStyle w:val="Normalmorespace"/>
      </w:pPr>
      <w:r w:rsidRPr="00461D53">
        <w:t xml:space="preserve">Measuring the </w:t>
      </w:r>
      <w:r w:rsidRPr="00461D53">
        <w:rPr>
          <w:i/>
        </w:rPr>
        <w:t>extent to which people with a disability are supported to find and maintain employment through Disability Employment Services</w:t>
      </w:r>
      <w:r w:rsidRPr="00461D53">
        <w:t xml:space="preserve"> aims to demonstrate that DES has assisted people with disability, injury or health condition, to secure and maintain sustainable open employment. This measure demonstrates the </w:t>
      </w:r>
      <w:r w:rsidRPr="00461D53">
        <w:rPr>
          <w:b/>
        </w:rPr>
        <w:t>effectiveness</w:t>
      </w:r>
      <w:r w:rsidRPr="00461D53">
        <w:t xml:space="preserve"> of DES in achieving the objective of the key activity: </w:t>
      </w:r>
      <w:r w:rsidRPr="00461D53">
        <w:rPr>
          <w:i/>
        </w:rPr>
        <w:t>To help individuals with injury, disability or a health condition to secure and maintain sustainable open employment</w:t>
      </w:r>
      <w:r w:rsidRPr="00461D53">
        <w:t>.</w:t>
      </w:r>
    </w:p>
    <w:p w14:paraId="27AC7A91" w14:textId="77777777" w:rsidR="007713B1" w:rsidRPr="00461D53" w:rsidRDefault="007713B1" w:rsidP="00AA3C01">
      <w:pPr>
        <w:pStyle w:val="Normalmorespace"/>
      </w:pPr>
      <w:r w:rsidRPr="00461D53">
        <w:t xml:space="preserve">Targeting at least 40, 30 and 20 per cent of job placements sustained to 13, 26, and 52 weeks respectively demonstrates the </w:t>
      </w:r>
      <w:r w:rsidRPr="00461D53">
        <w:rPr>
          <w:b/>
        </w:rPr>
        <w:t>effectiveness</w:t>
      </w:r>
      <w:r w:rsidRPr="00461D53">
        <w:t xml:space="preserve"> of the key activity by showing the extent to which the disability service providers have provided support to individuals with injury, disability, or a health condition to secure and maintain sustainable open employment.</w:t>
      </w:r>
    </w:p>
    <w:p w14:paraId="1EE6E46B" w14:textId="77777777" w:rsidR="007713B1" w:rsidRPr="007A03BF" w:rsidRDefault="007713B1" w:rsidP="00046C03">
      <w:pPr>
        <w:pStyle w:val="Heading4"/>
        <w:shd w:val="clear" w:color="auto" w:fill="D9D9D9" w:themeFill="background1" w:themeFillShade="D9"/>
      </w:pPr>
      <w:r w:rsidRPr="007A03BF">
        <w:t>Methodology</w:t>
      </w:r>
    </w:p>
    <w:p w14:paraId="1AD5AB40" w14:textId="77777777" w:rsidR="007713B1" w:rsidRPr="00461D53" w:rsidRDefault="007713B1" w:rsidP="00AA3C01">
      <w:pPr>
        <w:pStyle w:val="Normalmorespace"/>
      </w:pPr>
      <w:r w:rsidRPr="00461D53">
        <w:t>The per cent is the proportion of job placements sustained to 13, 26, and 52 weeks.</w:t>
      </w:r>
    </w:p>
    <w:p w14:paraId="12176994" w14:textId="5445640C" w:rsidR="007713B1" w:rsidRDefault="007713B1" w:rsidP="00AA3C01">
      <w:pPr>
        <w:pStyle w:val="Normalmorespace"/>
      </w:pPr>
      <w:r w:rsidRPr="00461D53">
        <w:t xml:space="preserve">The </w:t>
      </w:r>
      <w:r w:rsidRPr="00461D53">
        <w:rPr>
          <w:b/>
        </w:rPr>
        <w:t>data source</w:t>
      </w:r>
      <w:r w:rsidRPr="00461D53">
        <w:t xml:space="preserve"> u</w:t>
      </w:r>
      <w:r>
        <w:t>sed for this calculation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Source"/>
        <w:tblDescription w:val="SS: Department of Employment and Workplace Relations (DEWR) – Employment Business Intelligence Warehouse"/>
      </w:tblPr>
      <w:tblGrid>
        <w:gridCol w:w="988"/>
        <w:gridCol w:w="8028"/>
      </w:tblGrid>
      <w:tr w:rsidR="00180C2E" w:rsidRPr="00334F13" w14:paraId="0DA161D8" w14:textId="77777777" w:rsidTr="0017156F">
        <w:trPr>
          <w:trHeight w:val="737"/>
          <w:tblHeader/>
        </w:trPr>
        <w:tc>
          <w:tcPr>
            <w:tcW w:w="988" w:type="dxa"/>
            <w:vAlign w:val="center"/>
          </w:tcPr>
          <w:p w14:paraId="3E2C04AF" w14:textId="77777777" w:rsidR="00180C2E" w:rsidRDefault="00180C2E" w:rsidP="00B81E0C">
            <w:r>
              <w:rPr>
                <w:noProof/>
                <w:color w:val="000000" w:themeColor="text1"/>
              </w:rPr>
              <w:drawing>
                <wp:inline distT="0" distB="0" distL="0" distR="0" wp14:anchorId="03334668" wp14:editId="6120BA54">
                  <wp:extent cx="457200" cy="342900"/>
                  <wp:effectExtent l="0" t="0" r="0" b="0"/>
                  <wp:docPr id="251" name="Picture 251"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vAlign w:val="center"/>
          </w:tcPr>
          <w:p w14:paraId="39BC7355" w14:textId="5A7793B3" w:rsidR="00180C2E" w:rsidRPr="00334F13" w:rsidRDefault="00180C2E" w:rsidP="00B81E0C">
            <w:pPr>
              <w:rPr>
                <w:sz w:val="20"/>
                <w:szCs w:val="20"/>
              </w:rPr>
            </w:pPr>
            <w:r>
              <w:rPr>
                <w:sz w:val="20"/>
                <w:szCs w:val="20"/>
              </w:rPr>
              <w:t>Department of Employment and Workplace Relations (DEWR) – Employment Business Intelligence Warehouse</w:t>
            </w:r>
          </w:p>
        </w:tc>
      </w:tr>
    </w:tbl>
    <w:p w14:paraId="7A7E0E21" w14:textId="1E84CDBE" w:rsidR="007713B1" w:rsidRPr="00461D53" w:rsidRDefault="007713B1" w:rsidP="00AA3C01">
      <w:pPr>
        <w:rPr>
          <w:rFonts w:cs="Arial"/>
          <w:sz w:val="20"/>
          <w:szCs w:val="20"/>
        </w:rPr>
      </w:pPr>
      <w:r>
        <w:rPr>
          <w:rFonts w:cs="Arial"/>
          <w:sz w:val="20"/>
          <w:szCs w:val="20"/>
        </w:rPr>
        <w:t>This is because DES is administered through DEWR’s Employment Services System IT platform.</w:t>
      </w:r>
    </w:p>
    <w:p w14:paraId="50F0FBD4" w14:textId="77777777" w:rsidR="007713B1" w:rsidRPr="007A03BF" w:rsidRDefault="007713B1" w:rsidP="00046C03">
      <w:pPr>
        <w:pStyle w:val="Heading4"/>
        <w:shd w:val="clear" w:color="auto" w:fill="D9D9D9" w:themeFill="background1" w:themeFillShade="D9"/>
      </w:pPr>
      <w:r w:rsidRPr="007A03BF">
        <w:t>Supporting Information</w:t>
      </w:r>
    </w:p>
    <w:p w14:paraId="47F9C6F6" w14:textId="77777777" w:rsidR="007713B1" w:rsidRPr="00461D53" w:rsidRDefault="007713B1" w:rsidP="007572E0">
      <w:pPr>
        <w:pStyle w:val="ListParagraph"/>
        <w:numPr>
          <w:ilvl w:val="0"/>
          <w:numId w:val="35"/>
        </w:numPr>
        <w:spacing w:before="80" w:after="80" w:line="240" w:lineRule="auto"/>
        <w:ind w:left="714" w:hanging="357"/>
        <w:contextualSpacing w:val="0"/>
        <w:rPr>
          <w:rFonts w:cs="Arial"/>
          <w:sz w:val="20"/>
          <w:szCs w:val="20"/>
        </w:rPr>
      </w:pPr>
      <w:r w:rsidRPr="00461D53">
        <w:rPr>
          <w:rFonts w:cs="Arial"/>
          <w:sz w:val="20"/>
          <w:szCs w:val="20"/>
        </w:rPr>
        <w:t>Number of Disability Employment Services participants</w:t>
      </w:r>
    </w:p>
    <w:p w14:paraId="5452A821" w14:textId="77777777" w:rsidR="007713B1" w:rsidRPr="00461D53" w:rsidRDefault="007713B1" w:rsidP="007572E0">
      <w:pPr>
        <w:pStyle w:val="ListParagraph"/>
        <w:numPr>
          <w:ilvl w:val="0"/>
          <w:numId w:val="35"/>
        </w:numPr>
        <w:spacing w:before="80" w:after="80" w:line="240" w:lineRule="auto"/>
        <w:ind w:left="714" w:hanging="357"/>
        <w:contextualSpacing w:val="0"/>
        <w:rPr>
          <w:rFonts w:cs="Arial"/>
          <w:sz w:val="20"/>
          <w:szCs w:val="20"/>
        </w:rPr>
      </w:pPr>
      <w:r w:rsidRPr="00461D53">
        <w:rPr>
          <w:rFonts w:cs="Arial"/>
          <w:sz w:val="20"/>
          <w:szCs w:val="20"/>
        </w:rPr>
        <w:t>Number of Disability Employment Services providers</w:t>
      </w:r>
    </w:p>
    <w:p w14:paraId="342B158C" w14:textId="6AC85E09" w:rsidR="007713B1" w:rsidRPr="00DD1FC3" w:rsidRDefault="007713B1" w:rsidP="007572E0">
      <w:pPr>
        <w:pStyle w:val="ListParagraph"/>
        <w:numPr>
          <w:ilvl w:val="0"/>
          <w:numId w:val="35"/>
        </w:numPr>
        <w:spacing w:before="80" w:after="80" w:line="240" w:lineRule="auto"/>
        <w:ind w:left="714" w:hanging="357"/>
        <w:contextualSpacing w:val="0"/>
        <w:rPr>
          <w:sz w:val="20"/>
        </w:rPr>
      </w:pPr>
      <w:r w:rsidRPr="00DD1FC3">
        <w:rPr>
          <w:rFonts w:cs="Arial"/>
          <w:sz w:val="20"/>
          <w:szCs w:val="20"/>
        </w:rPr>
        <w:t>Administered outlays</w:t>
      </w:r>
    </w:p>
    <w:p w14:paraId="73E6685C" w14:textId="77777777" w:rsidR="007713B1" w:rsidRDefault="007713B1" w:rsidP="007713B1">
      <w:pPr>
        <w:rPr>
          <w:sz w:val="20"/>
        </w:rPr>
      </w:pPr>
      <w:r>
        <w:rPr>
          <w:sz w:val="20"/>
        </w:rPr>
        <w:br w:type="page"/>
      </w:r>
    </w:p>
    <w:p w14:paraId="693E7CB8" w14:textId="77777777" w:rsidR="007713B1" w:rsidRPr="00292759" w:rsidRDefault="007713B1" w:rsidP="00046C03">
      <w:pPr>
        <w:pStyle w:val="Heading3"/>
        <w:shd w:val="clear" w:color="auto" w:fill="1A6775"/>
      </w:pPr>
      <w:r w:rsidRPr="00292759">
        <w:t>PROGRAM 3.1</w:t>
      </w:r>
      <w:r>
        <w:t xml:space="preserve"> </w:t>
      </w:r>
      <w:r w:rsidRPr="00292759">
        <w:t>DISABILITY AND CARERS</w:t>
      </w:r>
    </w:p>
    <w:p w14:paraId="1D437CE2" w14:textId="77777777" w:rsidR="007713B1" w:rsidRPr="00292759" w:rsidRDefault="007713B1" w:rsidP="00046C03">
      <w:pPr>
        <w:shd w:val="clear" w:color="auto" w:fill="1A6775"/>
        <w:rPr>
          <w:sz w:val="20"/>
        </w:rPr>
      </w:pPr>
      <w:r w:rsidRPr="00292759">
        <w:rPr>
          <w:color w:val="FFFFFF" w:themeColor="background1"/>
          <w:sz w:val="20"/>
        </w:rPr>
        <w:t xml:space="preserve">To support people with disability and carers to actively participate in community and </w:t>
      </w:r>
      <w:r w:rsidRPr="00467B8F">
        <w:rPr>
          <w:color w:val="FFFFFF" w:themeColor="background1"/>
          <w:sz w:val="20"/>
        </w:rPr>
        <w:t xml:space="preserve">economic life. </w:t>
      </w:r>
    </w:p>
    <w:p w14:paraId="411A9C01" w14:textId="77777777" w:rsidR="007713B1" w:rsidRPr="007A03BF" w:rsidRDefault="007713B1" w:rsidP="00046C03">
      <w:pPr>
        <w:pStyle w:val="Heading4"/>
        <w:shd w:val="clear" w:color="auto" w:fill="D9D9D9" w:themeFill="background1" w:themeFillShade="D9"/>
      </w:pPr>
      <w:r w:rsidRPr="007A03BF">
        <w:t>Key Activity — 3.1.2 Disability and Carer Support</w:t>
      </w:r>
    </w:p>
    <w:p w14:paraId="34DFAB28" w14:textId="77777777" w:rsidR="007713B1" w:rsidRPr="00E04E56" w:rsidRDefault="007713B1" w:rsidP="00AA3C01">
      <w:pPr>
        <w:pStyle w:val="Normalmorespace"/>
      </w:pPr>
      <w:r>
        <w:t>Disability and Carer Support</w:t>
      </w:r>
      <w:r w:rsidRPr="00E04E56">
        <w:t xml:space="preserve"> is a key activity of the Disability and Carers Program. Support for Carers aims to provide assistance, support, and services for </w:t>
      </w:r>
      <w:r w:rsidRPr="00E04E56">
        <w:rPr>
          <w:b/>
        </w:rPr>
        <w:t>carers</w:t>
      </w:r>
      <w:r w:rsidRPr="00E04E56">
        <w:t>.</w:t>
      </w:r>
    </w:p>
    <w:p w14:paraId="03B5DA61" w14:textId="723E3FE9" w:rsidR="007713B1" w:rsidRPr="00E04E56" w:rsidRDefault="007713B1" w:rsidP="00AA3C01">
      <w:pPr>
        <w:pStyle w:val="Normalmorespace"/>
      </w:pPr>
      <w:r w:rsidRPr="00E04E56">
        <w:rPr>
          <w:b/>
        </w:rPr>
        <w:t xml:space="preserve">The </w:t>
      </w:r>
      <w:r w:rsidR="00073300">
        <w:rPr>
          <w:b/>
        </w:rPr>
        <w:t>d</w:t>
      </w:r>
      <w:r>
        <w:rPr>
          <w:b/>
        </w:rPr>
        <w:t>epartment</w:t>
      </w:r>
      <w:r w:rsidRPr="00E04E56">
        <w:t xml:space="preserve"> is responsible for managing activities providing supports and services to carers under the Integrated Carer Support Service (ICSS) model, publicly branded as Carer Gateway.</w:t>
      </w:r>
    </w:p>
    <w:p w14:paraId="72875B3B" w14:textId="058BDF64" w:rsidR="007713B1" w:rsidRPr="00E04E56" w:rsidRDefault="007713B1" w:rsidP="00AA3C01">
      <w:pPr>
        <w:pStyle w:val="Normalmorespace"/>
      </w:pPr>
      <w:r w:rsidRPr="00E04E56">
        <w:t>Carer Gateway provides a range of tailored supports and services to help carers manage their daily challenges, reduce stress, and plan for the future. The supports and services are delivered face</w:t>
      </w:r>
      <w:r w:rsidRPr="00E04E56">
        <w:noBreakHyphen/>
        <w:t>to</w:t>
      </w:r>
      <w:r w:rsidRPr="00E04E56">
        <w:noBreakHyphen/>
        <w:t>face and through digital channels delivered by a national network of local Carer Gateway Service providers. Services include providing carers with access to early</w:t>
      </w:r>
      <w:r w:rsidRPr="00E04E56">
        <w:noBreakHyphen/>
        <w:t>intervention, preventative and skill bu</w:t>
      </w:r>
      <w:r w:rsidR="00467B8F">
        <w:t>ilding supports to improve well</w:t>
      </w:r>
      <w:r w:rsidRPr="00E04E56">
        <w:t>being and long-term outcomes.</w:t>
      </w:r>
    </w:p>
    <w:p w14:paraId="4DC3D5C7" w14:textId="42D7B69F" w:rsidR="007713B1" w:rsidRPr="00E04E56" w:rsidRDefault="007713B1" w:rsidP="00AA3C01">
      <w:pPr>
        <w:pStyle w:val="Normalmorespace"/>
      </w:pPr>
      <w:r w:rsidRPr="00E04E56">
        <w:rPr>
          <w:b/>
        </w:rPr>
        <w:t xml:space="preserve">The </w:t>
      </w:r>
      <w:r w:rsidR="00073300">
        <w:rPr>
          <w:b/>
        </w:rPr>
        <w:t>d</w:t>
      </w:r>
      <w:r>
        <w:rPr>
          <w:b/>
        </w:rPr>
        <w:t>epartment</w:t>
      </w:r>
      <w:r w:rsidRPr="00E04E56">
        <w:t xml:space="preserve"> is responsible for managing the ICSS which includes: </w:t>
      </w:r>
    </w:p>
    <w:p w14:paraId="6CED0A22" w14:textId="77777777" w:rsidR="007713B1" w:rsidRPr="00E04E56" w:rsidRDefault="007713B1" w:rsidP="00AA3C01">
      <w:pPr>
        <w:pStyle w:val="ListParagraph"/>
        <w:numPr>
          <w:ilvl w:val="0"/>
          <w:numId w:val="35"/>
        </w:numPr>
        <w:spacing w:before="80" w:after="80" w:line="240" w:lineRule="auto"/>
        <w:ind w:left="714" w:hanging="357"/>
        <w:contextualSpacing w:val="0"/>
        <w:rPr>
          <w:rFonts w:cs="Arial"/>
          <w:sz w:val="20"/>
          <w:szCs w:val="20"/>
        </w:rPr>
      </w:pPr>
      <w:r w:rsidRPr="00E04E56">
        <w:rPr>
          <w:rFonts w:cs="Arial"/>
          <w:sz w:val="20"/>
          <w:szCs w:val="20"/>
        </w:rPr>
        <w:t>Managing grants for the Carer Gateway Service Providers, Young Carer Bursary and Young Carer Network Service Provider, Tristate Vocational Outcomes Pilot Program</w:t>
      </w:r>
    </w:p>
    <w:p w14:paraId="5CAAA832" w14:textId="77777777" w:rsidR="007713B1" w:rsidRPr="00E04E56" w:rsidRDefault="007713B1" w:rsidP="00AA3C01">
      <w:pPr>
        <w:pStyle w:val="ListParagraph"/>
        <w:numPr>
          <w:ilvl w:val="0"/>
          <w:numId w:val="35"/>
        </w:numPr>
        <w:spacing w:before="80" w:after="80" w:line="240" w:lineRule="auto"/>
        <w:ind w:left="714" w:hanging="357"/>
        <w:contextualSpacing w:val="0"/>
        <w:rPr>
          <w:rFonts w:cs="Arial"/>
          <w:sz w:val="20"/>
          <w:szCs w:val="20"/>
        </w:rPr>
      </w:pPr>
      <w:r w:rsidRPr="00E04E56">
        <w:rPr>
          <w:rFonts w:cs="Arial"/>
          <w:sz w:val="20"/>
          <w:szCs w:val="20"/>
        </w:rPr>
        <w:t>Managing contracts for the Digital Counselling Service Provider, Online Peer Support Service and Social Media Account Provider, Online Carer Coaching and Skills Service Provider</w:t>
      </w:r>
    </w:p>
    <w:p w14:paraId="1A036B18" w14:textId="77777777" w:rsidR="007713B1" w:rsidRDefault="007713B1" w:rsidP="00AA3C01">
      <w:pPr>
        <w:pStyle w:val="ListParagraph"/>
        <w:numPr>
          <w:ilvl w:val="0"/>
          <w:numId w:val="35"/>
        </w:numPr>
        <w:spacing w:before="80" w:after="80" w:line="240" w:lineRule="auto"/>
        <w:ind w:left="714" w:hanging="357"/>
        <w:contextualSpacing w:val="0"/>
        <w:rPr>
          <w:rFonts w:cs="Arial"/>
          <w:sz w:val="20"/>
          <w:szCs w:val="20"/>
        </w:rPr>
      </w:pPr>
      <w:r w:rsidRPr="00E04E56">
        <w:rPr>
          <w:rFonts w:cs="Arial"/>
          <w:sz w:val="20"/>
          <w:szCs w:val="20"/>
        </w:rPr>
        <w:t>Managing Carer Gateway communications and social media content.</w:t>
      </w:r>
    </w:p>
    <w:p w14:paraId="103041A2" w14:textId="74FEDCD2" w:rsidR="007713B1" w:rsidRPr="00B41C45" w:rsidRDefault="00073300" w:rsidP="00AA3C01">
      <w:pPr>
        <w:pStyle w:val="Normalmorespace"/>
        <w:rPr>
          <w:rFonts w:cs="Arial"/>
        </w:rPr>
      </w:pPr>
      <w:r>
        <w:t>The d</w:t>
      </w:r>
      <w:r w:rsidR="007713B1" w:rsidRPr="002D02BF">
        <w:t xml:space="preserve">epartment is also responsible for implementing actions that support the achievement of targets to prevent younger people from entering into and/or residing in residential aged care, except in exceptional circumstances, jointly with the Department of Health and Aged Care (DoHAC) and the National Disability Insurance Agency (NDIA). </w:t>
      </w:r>
    </w:p>
    <w:tbl>
      <w:tblPr>
        <w:tblStyle w:val="TableGrid39"/>
        <w:tblW w:w="4967" w:type="pct"/>
        <w:jc w:val="center"/>
        <w:tblLayout w:type="fixed"/>
        <w:tblLook w:val="04A0" w:firstRow="1" w:lastRow="0" w:firstColumn="1" w:lastColumn="0" w:noHBand="0" w:noVBand="1"/>
        <w:tblCaption w:val="3.1.2-1 performance measure and target"/>
        <w:tblDescription w:val="Table outlines the targeted percentages of registered carers across 2023-24, 2024-25, 2025-26, 2026-27"/>
      </w:tblPr>
      <w:tblGrid>
        <w:gridCol w:w="4697"/>
        <w:gridCol w:w="1175"/>
        <w:gridCol w:w="1175"/>
        <w:gridCol w:w="1175"/>
        <w:gridCol w:w="1060"/>
      </w:tblGrid>
      <w:tr w:rsidR="007713B1" w:rsidRPr="00E04E56" w14:paraId="49C94015" w14:textId="77777777" w:rsidTr="00CD76E2">
        <w:trPr>
          <w:cantSplit/>
          <w:trHeight w:val="356"/>
          <w:tblHeader/>
          <w:jc w:val="center"/>
        </w:trPr>
        <w:tc>
          <w:tcPr>
            <w:tcW w:w="5000" w:type="pct"/>
            <w:gridSpan w:val="5"/>
            <w:shd w:val="clear" w:color="auto" w:fill="D9D9D6"/>
          </w:tcPr>
          <w:p w14:paraId="26529921" w14:textId="77777777" w:rsidR="007713B1" w:rsidRPr="00723A4C" w:rsidRDefault="007713B1" w:rsidP="007713B1">
            <w:pPr>
              <w:spacing w:after="120"/>
              <w:rPr>
                <w:rFonts w:cs="Arial"/>
                <w:b/>
                <w:sz w:val="20"/>
                <w:szCs w:val="20"/>
              </w:rPr>
            </w:pPr>
            <w:r w:rsidRPr="00723A4C">
              <w:rPr>
                <w:rFonts w:cs="Arial"/>
                <w:b/>
                <w:sz w:val="20"/>
                <w:szCs w:val="20"/>
              </w:rPr>
              <w:t>Performance Measure</w:t>
            </w:r>
          </w:p>
        </w:tc>
      </w:tr>
      <w:tr w:rsidR="007713B1" w:rsidRPr="00E04E56" w14:paraId="1567551C" w14:textId="77777777" w:rsidTr="00CD76E2">
        <w:trPr>
          <w:cantSplit/>
          <w:trHeight w:val="356"/>
          <w:jc w:val="center"/>
        </w:trPr>
        <w:tc>
          <w:tcPr>
            <w:tcW w:w="5000" w:type="pct"/>
            <w:gridSpan w:val="5"/>
            <w:shd w:val="clear" w:color="auto" w:fill="auto"/>
          </w:tcPr>
          <w:p w14:paraId="48AC4F34" w14:textId="77777777" w:rsidR="007713B1" w:rsidRPr="00723A4C" w:rsidRDefault="007713B1" w:rsidP="007713B1">
            <w:pPr>
              <w:spacing w:after="120"/>
              <w:rPr>
                <w:rFonts w:cs="Arial"/>
                <w:b/>
                <w:sz w:val="20"/>
                <w:szCs w:val="20"/>
              </w:rPr>
            </w:pPr>
            <w:r w:rsidRPr="00723A4C">
              <w:rPr>
                <w:rFonts w:cs="Arial"/>
                <w:sz w:val="20"/>
                <w:szCs w:val="20"/>
              </w:rPr>
              <w:t>3.1.2-1 Extent to which carers who are registered with Carer Gateway local service providers’ wellbeing is assessed as improved.</w:t>
            </w:r>
          </w:p>
        </w:tc>
      </w:tr>
      <w:tr w:rsidR="007713B1" w:rsidRPr="00E04E56" w14:paraId="6CC9ADFD" w14:textId="77777777" w:rsidTr="00CD76E2">
        <w:trPr>
          <w:cantSplit/>
          <w:trHeight w:val="356"/>
          <w:jc w:val="center"/>
        </w:trPr>
        <w:tc>
          <w:tcPr>
            <w:tcW w:w="2530" w:type="pct"/>
            <w:shd w:val="clear" w:color="auto" w:fill="D9D9D6"/>
          </w:tcPr>
          <w:p w14:paraId="3838D722" w14:textId="77777777" w:rsidR="007713B1" w:rsidRPr="00723A4C" w:rsidRDefault="007713B1" w:rsidP="007713B1">
            <w:pPr>
              <w:spacing w:after="120"/>
              <w:rPr>
                <w:rFonts w:cs="Arial"/>
                <w:sz w:val="20"/>
                <w:szCs w:val="20"/>
              </w:rPr>
            </w:pPr>
            <w:r w:rsidRPr="00723A4C">
              <w:rPr>
                <w:rFonts w:cs="Arial"/>
                <w:b/>
                <w:sz w:val="20"/>
                <w:szCs w:val="20"/>
              </w:rPr>
              <w:t>Target</w:t>
            </w:r>
          </w:p>
        </w:tc>
        <w:tc>
          <w:tcPr>
            <w:tcW w:w="633" w:type="pct"/>
            <w:shd w:val="clear" w:color="auto" w:fill="D9D9D6"/>
          </w:tcPr>
          <w:p w14:paraId="77A20386" w14:textId="77777777" w:rsidR="007713B1" w:rsidRPr="00723A4C" w:rsidRDefault="007713B1" w:rsidP="007713B1">
            <w:pPr>
              <w:spacing w:after="120"/>
              <w:rPr>
                <w:rFonts w:cs="Arial"/>
                <w:sz w:val="20"/>
                <w:szCs w:val="20"/>
              </w:rPr>
            </w:pPr>
            <w:r w:rsidRPr="00723A4C">
              <w:rPr>
                <w:rFonts w:cs="Arial"/>
                <w:b/>
                <w:sz w:val="20"/>
                <w:szCs w:val="20"/>
              </w:rPr>
              <w:t>2023–24</w:t>
            </w:r>
          </w:p>
        </w:tc>
        <w:tc>
          <w:tcPr>
            <w:tcW w:w="633" w:type="pct"/>
            <w:shd w:val="clear" w:color="auto" w:fill="D9D9D6"/>
          </w:tcPr>
          <w:p w14:paraId="1D6E1328" w14:textId="77777777" w:rsidR="007713B1" w:rsidRPr="00723A4C" w:rsidRDefault="007713B1" w:rsidP="007713B1">
            <w:pPr>
              <w:spacing w:after="120"/>
              <w:rPr>
                <w:rFonts w:cs="Arial"/>
                <w:b/>
                <w:sz w:val="20"/>
                <w:szCs w:val="20"/>
              </w:rPr>
            </w:pPr>
            <w:r w:rsidRPr="00723A4C">
              <w:rPr>
                <w:rFonts w:cs="Arial"/>
                <w:b/>
                <w:sz w:val="20"/>
                <w:szCs w:val="20"/>
              </w:rPr>
              <w:t>2024–25</w:t>
            </w:r>
          </w:p>
        </w:tc>
        <w:tc>
          <w:tcPr>
            <w:tcW w:w="633" w:type="pct"/>
            <w:shd w:val="clear" w:color="auto" w:fill="D9D9D6"/>
          </w:tcPr>
          <w:p w14:paraId="22E1B987" w14:textId="77777777" w:rsidR="007713B1" w:rsidRPr="00723A4C" w:rsidRDefault="007713B1" w:rsidP="007713B1">
            <w:pPr>
              <w:spacing w:after="120"/>
              <w:rPr>
                <w:rFonts w:cs="Arial"/>
                <w:b/>
                <w:sz w:val="20"/>
                <w:szCs w:val="20"/>
              </w:rPr>
            </w:pPr>
            <w:r w:rsidRPr="00723A4C">
              <w:rPr>
                <w:rFonts w:cs="Arial"/>
                <w:b/>
                <w:sz w:val="20"/>
                <w:szCs w:val="20"/>
              </w:rPr>
              <w:t>2025–26</w:t>
            </w:r>
          </w:p>
        </w:tc>
        <w:tc>
          <w:tcPr>
            <w:tcW w:w="571" w:type="pct"/>
            <w:shd w:val="clear" w:color="auto" w:fill="D9D9D6"/>
          </w:tcPr>
          <w:p w14:paraId="48973B45" w14:textId="77777777" w:rsidR="007713B1" w:rsidRPr="00723A4C" w:rsidRDefault="007713B1" w:rsidP="007713B1">
            <w:pPr>
              <w:spacing w:after="120"/>
              <w:rPr>
                <w:rFonts w:cs="Arial"/>
                <w:b/>
                <w:sz w:val="20"/>
                <w:szCs w:val="20"/>
              </w:rPr>
            </w:pPr>
            <w:r w:rsidRPr="00723A4C">
              <w:rPr>
                <w:rFonts w:cs="Arial"/>
                <w:b/>
                <w:sz w:val="20"/>
                <w:szCs w:val="20"/>
              </w:rPr>
              <w:t>2026–27</w:t>
            </w:r>
          </w:p>
        </w:tc>
      </w:tr>
      <w:tr w:rsidR="007713B1" w:rsidRPr="00E04E56" w14:paraId="5E03C59B" w14:textId="77777777" w:rsidTr="00CD76E2">
        <w:trPr>
          <w:cantSplit/>
          <w:trHeight w:val="356"/>
          <w:jc w:val="center"/>
        </w:trPr>
        <w:tc>
          <w:tcPr>
            <w:tcW w:w="2530" w:type="pct"/>
            <w:shd w:val="clear" w:color="auto" w:fill="FFFFFF" w:themeFill="background1"/>
          </w:tcPr>
          <w:p w14:paraId="1024C0A5" w14:textId="72D91B05" w:rsidR="007713B1" w:rsidRPr="00723A4C" w:rsidRDefault="007713B1" w:rsidP="00DA7D1D">
            <w:pPr>
              <w:spacing w:after="120"/>
              <w:rPr>
                <w:rFonts w:cs="Arial"/>
                <w:sz w:val="20"/>
                <w:szCs w:val="20"/>
              </w:rPr>
            </w:pPr>
            <w:r w:rsidRPr="00723A4C">
              <w:rPr>
                <w:rFonts w:cs="Arial"/>
                <w:noProof/>
                <w:sz w:val="20"/>
                <w:szCs w:val="20"/>
              </w:rPr>
              <w:sym w:font="Wingdings" w:char="F074"/>
            </w:r>
            <w:r w:rsidRPr="00723A4C">
              <w:rPr>
                <w:rFonts w:cs="Arial"/>
                <w:sz w:val="20"/>
                <w:szCs w:val="20"/>
              </w:rPr>
              <w:t xml:space="preserve"> 3.1.2-1A - </w:t>
            </w:r>
            <w:r w:rsidRPr="00723A4C">
              <w:rPr>
                <w:rFonts w:cs="Arial"/>
                <w:color w:val="000000" w:themeColor="text1"/>
                <w:sz w:val="20"/>
                <w:szCs w:val="20"/>
                <w:lang w:eastAsia="en-GB"/>
              </w:rPr>
              <w:t>Percentage (</w:t>
            </w:r>
            <w:r w:rsidR="00DA7D1D">
              <w:rPr>
                <w:rFonts w:cs="Arial"/>
                <w:color w:val="000000" w:themeColor="text1"/>
                <w:sz w:val="20"/>
                <w:szCs w:val="20"/>
                <w:lang w:eastAsia="en-GB"/>
              </w:rPr>
              <w:t xml:space="preserve">at least </w:t>
            </w:r>
            <w:r w:rsidRPr="00723A4C">
              <w:rPr>
                <w:rFonts w:cs="Arial"/>
                <w:color w:val="000000" w:themeColor="text1"/>
                <w:sz w:val="20"/>
                <w:szCs w:val="20"/>
                <w:lang w:eastAsia="en-GB"/>
              </w:rPr>
              <w:t>30%) of carers registered with Carer Gateway local service providers assessed as having improved carer wellbeing in the current reporting period.</w:t>
            </w:r>
          </w:p>
        </w:tc>
        <w:tc>
          <w:tcPr>
            <w:tcW w:w="633" w:type="pct"/>
          </w:tcPr>
          <w:p w14:paraId="6CFF259F" w14:textId="3AAB4CA5" w:rsidR="007713B1" w:rsidRPr="00723A4C" w:rsidRDefault="00DA7D1D" w:rsidP="00DA7D1D">
            <w:pPr>
              <w:spacing w:after="120"/>
              <w:jc w:val="center"/>
              <w:rPr>
                <w:rFonts w:cs="Arial"/>
                <w:sz w:val="20"/>
                <w:szCs w:val="20"/>
              </w:rPr>
            </w:pPr>
            <w:r w:rsidRPr="004111BD">
              <w:rPr>
                <w:rFonts w:cs="Arial"/>
                <w:sz w:val="20"/>
                <w:szCs w:val="20"/>
              </w:rPr>
              <w:t>≥</w:t>
            </w:r>
            <w:r w:rsidR="007713B1" w:rsidRPr="00723A4C">
              <w:rPr>
                <w:rFonts w:cs="Arial"/>
                <w:sz w:val="20"/>
                <w:szCs w:val="20"/>
              </w:rPr>
              <w:t>30 %</w:t>
            </w:r>
          </w:p>
        </w:tc>
        <w:tc>
          <w:tcPr>
            <w:tcW w:w="633" w:type="pct"/>
          </w:tcPr>
          <w:p w14:paraId="135340FF" w14:textId="776CE5F1" w:rsidR="007713B1" w:rsidRPr="00723A4C" w:rsidRDefault="00DA7D1D" w:rsidP="00DA7D1D">
            <w:pPr>
              <w:spacing w:after="120"/>
              <w:jc w:val="center"/>
              <w:rPr>
                <w:rFonts w:cs="Arial"/>
                <w:sz w:val="20"/>
                <w:szCs w:val="20"/>
              </w:rPr>
            </w:pPr>
            <w:r w:rsidRPr="004111BD">
              <w:rPr>
                <w:rFonts w:cs="Arial"/>
                <w:sz w:val="20"/>
                <w:szCs w:val="20"/>
              </w:rPr>
              <w:t>≥</w:t>
            </w:r>
            <w:r w:rsidR="007713B1" w:rsidRPr="00723A4C">
              <w:rPr>
                <w:rFonts w:cs="Arial"/>
                <w:sz w:val="20"/>
                <w:szCs w:val="20"/>
              </w:rPr>
              <w:t>30 %</w:t>
            </w:r>
          </w:p>
        </w:tc>
        <w:tc>
          <w:tcPr>
            <w:tcW w:w="633" w:type="pct"/>
          </w:tcPr>
          <w:p w14:paraId="7BF13067" w14:textId="7AD9D7C4" w:rsidR="007713B1" w:rsidRPr="00723A4C" w:rsidRDefault="00DA7D1D" w:rsidP="00DA7D1D">
            <w:pPr>
              <w:spacing w:after="120"/>
              <w:jc w:val="center"/>
              <w:rPr>
                <w:rFonts w:cs="Arial"/>
                <w:sz w:val="20"/>
                <w:szCs w:val="20"/>
              </w:rPr>
            </w:pPr>
            <w:r w:rsidRPr="004111BD">
              <w:rPr>
                <w:rFonts w:cs="Arial"/>
                <w:sz w:val="20"/>
                <w:szCs w:val="20"/>
              </w:rPr>
              <w:t>≥</w:t>
            </w:r>
            <w:r w:rsidR="007713B1" w:rsidRPr="00723A4C">
              <w:rPr>
                <w:rFonts w:cs="Arial"/>
                <w:sz w:val="20"/>
                <w:szCs w:val="20"/>
              </w:rPr>
              <w:t>30 %</w:t>
            </w:r>
          </w:p>
        </w:tc>
        <w:tc>
          <w:tcPr>
            <w:tcW w:w="571" w:type="pct"/>
            <w:shd w:val="clear" w:color="auto" w:fill="FFFFFF" w:themeFill="background1"/>
          </w:tcPr>
          <w:p w14:paraId="6EDAE157" w14:textId="4CBB7118" w:rsidR="007713B1" w:rsidRPr="00723A4C" w:rsidRDefault="00DA7D1D" w:rsidP="00DA7D1D">
            <w:pPr>
              <w:spacing w:after="120"/>
              <w:jc w:val="center"/>
              <w:rPr>
                <w:rFonts w:cs="Arial"/>
                <w:sz w:val="20"/>
                <w:szCs w:val="20"/>
              </w:rPr>
            </w:pPr>
            <w:r w:rsidRPr="004111BD">
              <w:rPr>
                <w:rFonts w:cs="Arial"/>
                <w:sz w:val="20"/>
                <w:szCs w:val="20"/>
              </w:rPr>
              <w:t>≥</w:t>
            </w:r>
            <w:r w:rsidR="007713B1" w:rsidRPr="00723A4C">
              <w:rPr>
                <w:rFonts w:cs="Arial"/>
                <w:sz w:val="20"/>
                <w:szCs w:val="20"/>
              </w:rPr>
              <w:t>30 %</w:t>
            </w:r>
          </w:p>
        </w:tc>
      </w:tr>
      <w:tr w:rsidR="007713B1" w:rsidRPr="00E04E56" w14:paraId="2EA54CCA" w14:textId="77777777" w:rsidTr="00CD76E2">
        <w:trPr>
          <w:cantSplit/>
          <w:trHeight w:val="356"/>
          <w:jc w:val="center"/>
        </w:trPr>
        <w:tc>
          <w:tcPr>
            <w:tcW w:w="2530" w:type="pct"/>
            <w:shd w:val="clear" w:color="auto" w:fill="FFFFFF" w:themeFill="background1"/>
          </w:tcPr>
          <w:p w14:paraId="51C0C704" w14:textId="07D7EA6B" w:rsidR="007713B1" w:rsidRPr="00723A4C" w:rsidRDefault="007713B1" w:rsidP="00DA7D1D">
            <w:pPr>
              <w:spacing w:after="120"/>
              <w:rPr>
                <w:rFonts w:cs="Arial"/>
                <w:noProof/>
                <w:sz w:val="20"/>
                <w:szCs w:val="20"/>
              </w:rPr>
            </w:pPr>
            <w:r w:rsidRPr="00723A4C">
              <w:rPr>
                <w:rFonts w:cs="Arial"/>
                <w:noProof/>
                <w:sz w:val="20"/>
                <w:szCs w:val="20"/>
              </w:rPr>
              <w:sym w:font="Wingdings" w:char="F074"/>
            </w:r>
            <w:r w:rsidRPr="00723A4C">
              <w:rPr>
                <w:rFonts w:cs="Arial"/>
                <w:sz w:val="20"/>
                <w:szCs w:val="20"/>
              </w:rPr>
              <w:t xml:space="preserve"> 3.1.2-1B - </w:t>
            </w:r>
            <w:r w:rsidRPr="00723A4C">
              <w:rPr>
                <w:rFonts w:cs="Arial"/>
                <w:color w:val="000000" w:themeColor="text1"/>
                <w:sz w:val="20"/>
                <w:szCs w:val="20"/>
                <w:lang w:eastAsia="en-GB"/>
              </w:rPr>
              <w:t>Percentage (</w:t>
            </w:r>
            <w:r w:rsidR="00DA7D1D">
              <w:rPr>
                <w:rFonts w:cs="Arial"/>
                <w:color w:val="000000" w:themeColor="text1"/>
                <w:sz w:val="20"/>
                <w:szCs w:val="20"/>
                <w:lang w:eastAsia="en-GB"/>
              </w:rPr>
              <w:t xml:space="preserve">at least </w:t>
            </w:r>
            <w:r w:rsidRPr="00723A4C">
              <w:rPr>
                <w:rFonts w:cs="Arial"/>
                <w:color w:val="000000" w:themeColor="text1"/>
                <w:sz w:val="20"/>
                <w:szCs w:val="20"/>
                <w:lang w:eastAsia="en-GB"/>
              </w:rPr>
              <w:t>35%) of carers registered with Carer Gateway local service providers assessed as having improved level of carer wellbeing since the program commenced.</w:t>
            </w:r>
          </w:p>
        </w:tc>
        <w:tc>
          <w:tcPr>
            <w:tcW w:w="633" w:type="pct"/>
          </w:tcPr>
          <w:p w14:paraId="6B9FBA05" w14:textId="6F141DF1" w:rsidR="007713B1" w:rsidRPr="00723A4C" w:rsidRDefault="00DA7D1D" w:rsidP="00DA7D1D">
            <w:pPr>
              <w:spacing w:after="120"/>
              <w:jc w:val="center"/>
              <w:rPr>
                <w:rFonts w:cs="Arial"/>
                <w:sz w:val="20"/>
                <w:szCs w:val="20"/>
              </w:rPr>
            </w:pPr>
            <w:r w:rsidRPr="004111BD">
              <w:rPr>
                <w:rFonts w:cs="Arial"/>
                <w:sz w:val="20"/>
                <w:szCs w:val="20"/>
              </w:rPr>
              <w:t>≥</w:t>
            </w:r>
            <w:r w:rsidR="007713B1" w:rsidRPr="00723A4C">
              <w:rPr>
                <w:rFonts w:cs="Arial"/>
                <w:sz w:val="20"/>
                <w:szCs w:val="20"/>
              </w:rPr>
              <w:t>35 %</w:t>
            </w:r>
          </w:p>
        </w:tc>
        <w:tc>
          <w:tcPr>
            <w:tcW w:w="633" w:type="pct"/>
          </w:tcPr>
          <w:p w14:paraId="69B03C4A" w14:textId="597E1278" w:rsidR="007713B1" w:rsidRPr="00723A4C" w:rsidRDefault="00DA7D1D" w:rsidP="00DA7D1D">
            <w:pPr>
              <w:spacing w:after="120"/>
              <w:jc w:val="center"/>
              <w:rPr>
                <w:rFonts w:cs="Arial"/>
                <w:sz w:val="20"/>
                <w:szCs w:val="20"/>
              </w:rPr>
            </w:pPr>
            <w:r w:rsidRPr="004111BD">
              <w:rPr>
                <w:rFonts w:cs="Arial"/>
                <w:sz w:val="20"/>
                <w:szCs w:val="20"/>
              </w:rPr>
              <w:t>≥</w:t>
            </w:r>
            <w:r w:rsidR="007713B1" w:rsidRPr="00723A4C">
              <w:rPr>
                <w:rFonts w:cs="Arial"/>
                <w:sz w:val="20"/>
                <w:szCs w:val="20"/>
              </w:rPr>
              <w:t>36 %</w:t>
            </w:r>
          </w:p>
        </w:tc>
        <w:tc>
          <w:tcPr>
            <w:tcW w:w="633" w:type="pct"/>
          </w:tcPr>
          <w:p w14:paraId="2905C112" w14:textId="28FB8746" w:rsidR="007713B1" w:rsidRPr="00723A4C" w:rsidRDefault="00DA7D1D" w:rsidP="00DA7D1D">
            <w:pPr>
              <w:spacing w:after="120"/>
              <w:jc w:val="center"/>
              <w:rPr>
                <w:rFonts w:cs="Arial"/>
                <w:sz w:val="20"/>
                <w:szCs w:val="20"/>
              </w:rPr>
            </w:pPr>
            <w:r w:rsidRPr="004111BD">
              <w:rPr>
                <w:rFonts w:cs="Arial"/>
                <w:sz w:val="20"/>
                <w:szCs w:val="20"/>
              </w:rPr>
              <w:t>≥</w:t>
            </w:r>
            <w:r w:rsidR="007713B1" w:rsidRPr="00723A4C">
              <w:rPr>
                <w:rFonts w:cs="Arial"/>
                <w:sz w:val="20"/>
                <w:szCs w:val="20"/>
              </w:rPr>
              <w:t>37 %</w:t>
            </w:r>
          </w:p>
        </w:tc>
        <w:tc>
          <w:tcPr>
            <w:tcW w:w="571" w:type="pct"/>
            <w:shd w:val="clear" w:color="auto" w:fill="FFFFFF" w:themeFill="background1"/>
          </w:tcPr>
          <w:p w14:paraId="5CCC8F60" w14:textId="4DEE7C09" w:rsidR="007713B1" w:rsidRPr="00723A4C" w:rsidRDefault="00DA7D1D" w:rsidP="00DA7D1D">
            <w:pPr>
              <w:spacing w:after="120"/>
              <w:jc w:val="center"/>
              <w:rPr>
                <w:rFonts w:cs="Arial"/>
                <w:sz w:val="20"/>
                <w:szCs w:val="20"/>
              </w:rPr>
            </w:pPr>
            <w:r w:rsidRPr="004111BD">
              <w:rPr>
                <w:rFonts w:cs="Arial"/>
                <w:sz w:val="20"/>
                <w:szCs w:val="20"/>
              </w:rPr>
              <w:t>≥</w:t>
            </w:r>
            <w:r w:rsidR="007713B1" w:rsidRPr="00723A4C">
              <w:rPr>
                <w:rFonts w:cs="Arial"/>
                <w:sz w:val="20"/>
                <w:szCs w:val="20"/>
              </w:rPr>
              <w:t>38 %</w:t>
            </w:r>
          </w:p>
        </w:tc>
      </w:tr>
    </w:tbl>
    <w:p w14:paraId="39029C23" w14:textId="77777777" w:rsidR="007713B1" w:rsidRPr="007A03BF" w:rsidRDefault="007713B1" w:rsidP="00046C03">
      <w:pPr>
        <w:pStyle w:val="Heading4"/>
        <w:shd w:val="clear" w:color="auto" w:fill="D9D9D9" w:themeFill="background1" w:themeFillShade="D9"/>
      </w:pPr>
      <w:r w:rsidRPr="007A03BF">
        <w:t>Rationale</w:t>
      </w:r>
    </w:p>
    <w:p w14:paraId="342CB0D9" w14:textId="77777777" w:rsidR="007713B1" w:rsidRPr="00E04E56" w:rsidRDefault="007713B1" w:rsidP="00AA3C01">
      <w:pPr>
        <w:pStyle w:val="Normalmorespace"/>
        <w:rPr>
          <w:b/>
        </w:rPr>
      </w:pPr>
      <w:r w:rsidRPr="00E04E56">
        <w:t xml:space="preserve">Measuring the </w:t>
      </w:r>
      <w:r w:rsidRPr="00E04E56">
        <w:rPr>
          <w:i/>
        </w:rPr>
        <w:t>extent to which carers, who are registered with Carer Gateway local service providers, wellbeing is assessed as improved</w:t>
      </w:r>
      <w:r w:rsidRPr="00E04E56">
        <w:t xml:space="preserve"> aims to demonstrate the </w:t>
      </w:r>
      <w:r w:rsidRPr="00E04E56">
        <w:rPr>
          <w:b/>
        </w:rPr>
        <w:t>effectiveness</w:t>
      </w:r>
      <w:r w:rsidRPr="00E04E56">
        <w:t xml:space="preserve"> of Support for Carers in relation to one of the long term outcomes of the ICSS: </w:t>
      </w:r>
      <w:r w:rsidRPr="00E04E56">
        <w:rPr>
          <w:i/>
        </w:rPr>
        <w:t>improve carer wellbeing</w:t>
      </w:r>
      <w:r w:rsidRPr="00E04E56">
        <w:t>.</w:t>
      </w:r>
    </w:p>
    <w:p w14:paraId="31894F46" w14:textId="0191028E" w:rsidR="007713B1" w:rsidRPr="00411BEE" w:rsidRDefault="007713B1" w:rsidP="00AA3C01">
      <w:pPr>
        <w:pStyle w:val="Normalmorespace"/>
      </w:pPr>
      <w:r w:rsidRPr="00411BEE">
        <w:t xml:space="preserve">Targeting the number of Carer Gateway registered carers assessed as having improved wellbeing, demonstrates the </w:t>
      </w:r>
      <w:r w:rsidRPr="00411BEE">
        <w:rPr>
          <w:b/>
        </w:rPr>
        <w:t>effectiveness</w:t>
      </w:r>
      <w:r w:rsidRPr="00411BEE">
        <w:t xml:space="preserve"> of the program activity in improving outcomes for carers. This is an ongoing measure with </w:t>
      </w:r>
      <w:r w:rsidR="00287355">
        <w:t>2</w:t>
      </w:r>
      <w:r w:rsidRPr="00411BEE">
        <w:t xml:space="preserve"> targets:</w:t>
      </w:r>
    </w:p>
    <w:p w14:paraId="7BB2ED1E" w14:textId="77777777" w:rsidR="007713B1" w:rsidRPr="00411BEE" w:rsidRDefault="007713B1" w:rsidP="00AA3C01">
      <w:pPr>
        <w:pStyle w:val="ListParagraph"/>
        <w:numPr>
          <w:ilvl w:val="0"/>
          <w:numId w:val="38"/>
        </w:numPr>
        <w:spacing w:before="80" w:after="80" w:line="240" w:lineRule="auto"/>
        <w:contextualSpacing w:val="0"/>
        <w:rPr>
          <w:rFonts w:cs="Arial"/>
          <w:sz w:val="20"/>
          <w:szCs w:val="20"/>
        </w:rPr>
      </w:pPr>
      <w:r w:rsidRPr="00411BEE">
        <w:rPr>
          <w:rFonts w:cs="Arial"/>
          <w:sz w:val="20"/>
          <w:szCs w:val="20"/>
        </w:rPr>
        <w:t xml:space="preserve">static target result measuring the proportion of the number of carers with assessed improved wellbeing reported within the performance reporting period, and </w:t>
      </w:r>
    </w:p>
    <w:p w14:paraId="1A3F9D0C" w14:textId="77777777" w:rsidR="007713B1" w:rsidRPr="00411BEE" w:rsidRDefault="007713B1" w:rsidP="00AA3C01">
      <w:pPr>
        <w:pStyle w:val="ListParagraph"/>
        <w:numPr>
          <w:ilvl w:val="0"/>
          <w:numId w:val="38"/>
        </w:numPr>
        <w:spacing w:before="80" w:after="80" w:line="240" w:lineRule="auto"/>
        <w:ind w:left="1077"/>
        <w:contextualSpacing w:val="0"/>
        <w:rPr>
          <w:rFonts w:cs="Arial"/>
          <w:sz w:val="20"/>
          <w:szCs w:val="20"/>
        </w:rPr>
      </w:pPr>
      <w:r w:rsidRPr="00411BEE">
        <w:rPr>
          <w:rFonts w:cs="Arial"/>
          <w:sz w:val="20"/>
          <w:szCs w:val="20"/>
        </w:rPr>
        <w:t>an increasing target result for the proportion of carers with assessed improved wellbeing in out-years for all registered carers since the program commenced. This target recognises that improved carer wellbeing is a longer-term outcome. Reporting on the proportion of all registered carers with increased wellbeing on an annual basis also reflects an expectation of increasing levels of carer wellbeing as the program matures and carer access increases.</w:t>
      </w:r>
    </w:p>
    <w:p w14:paraId="1578A6A9" w14:textId="77777777" w:rsidR="007713B1" w:rsidRPr="00411BEE" w:rsidRDefault="007713B1" w:rsidP="00AA3C01">
      <w:pPr>
        <w:pStyle w:val="Normalmorespace"/>
      </w:pPr>
      <w:r w:rsidRPr="00411BEE">
        <w:t>The targets will continue to be monitored and re-assessed over future years, as there is increased carer wellbeing outcomes trend evidence available. The target results that are currently set for future years are informed by trends to date.</w:t>
      </w:r>
    </w:p>
    <w:p w14:paraId="509E57F1" w14:textId="77777777" w:rsidR="007713B1" w:rsidRPr="007A03BF" w:rsidRDefault="007713B1" w:rsidP="00046C03">
      <w:pPr>
        <w:pStyle w:val="Heading4"/>
        <w:shd w:val="clear" w:color="auto" w:fill="D9D9D9" w:themeFill="background1" w:themeFillShade="D9"/>
      </w:pPr>
      <w:r w:rsidRPr="007A03BF">
        <w:t>Methodology</w:t>
      </w:r>
    </w:p>
    <w:p w14:paraId="65A09B61" w14:textId="77777777" w:rsidR="007713B1" w:rsidRPr="00411BEE" w:rsidRDefault="007713B1" w:rsidP="00AA3C01">
      <w:pPr>
        <w:pStyle w:val="Normalmorespace"/>
      </w:pPr>
      <w:r w:rsidRPr="00411BEE">
        <w:t>The methodology for each of the targets is:</w:t>
      </w:r>
    </w:p>
    <w:p w14:paraId="5D75C87B" w14:textId="77777777" w:rsidR="007713B1" w:rsidRPr="00411BEE" w:rsidRDefault="007713B1" w:rsidP="00AA3C01">
      <w:pPr>
        <w:pStyle w:val="ListParagraph"/>
        <w:numPr>
          <w:ilvl w:val="0"/>
          <w:numId w:val="37"/>
        </w:numPr>
        <w:spacing w:before="80" w:after="80" w:line="240" w:lineRule="auto"/>
        <w:ind w:left="992" w:hanging="635"/>
        <w:contextualSpacing w:val="0"/>
        <w:rPr>
          <w:rFonts w:cs="Arial"/>
          <w:sz w:val="20"/>
          <w:szCs w:val="20"/>
        </w:rPr>
      </w:pPr>
      <w:r w:rsidRPr="00411BEE">
        <w:rPr>
          <w:rFonts w:cs="Arial"/>
          <w:sz w:val="20"/>
          <w:szCs w:val="20"/>
        </w:rPr>
        <w:t>The static target result of the number of carers with assessed improved wellbeing within the performance reporting period is calculated using data from Carers Star</w:t>
      </w:r>
      <w:r w:rsidRPr="00411BEE">
        <w:rPr>
          <w:rFonts w:cs="Arial"/>
          <w:sz w:val="20"/>
          <w:szCs w:val="20"/>
          <w:vertAlign w:val="superscript"/>
        </w:rPr>
        <w:t>TM</w:t>
      </w:r>
      <w:r w:rsidRPr="00411BEE">
        <w:rPr>
          <w:rFonts w:cs="Arial"/>
          <w:sz w:val="20"/>
          <w:szCs w:val="20"/>
        </w:rPr>
        <w:t xml:space="preserve"> needs assessments, where an assessment is reported in the current reporting period. A previous assessment must have occurred in either the same reporting period or a previous period.</w:t>
      </w:r>
    </w:p>
    <w:p w14:paraId="0A98F446" w14:textId="77777777" w:rsidR="007713B1" w:rsidRPr="00411BEE" w:rsidRDefault="007713B1" w:rsidP="00AA3C01">
      <w:pPr>
        <w:pStyle w:val="ListParagraph"/>
        <w:numPr>
          <w:ilvl w:val="0"/>
          <w:numId w:val="37"/>
        </w:numPr>
        <w:spacing w:before="80" w:after="80" w:line="240" w:lineRule="auto"/>
        <w:ind w:left="992" w:hanging="635"/>
        <w:contextualSpacing w:val="0"/>
        <w:rPr>
          <w:rFonts w:cs="Arial"/>
          <w:sz w:val="20"/>
          <w:szCs w:val="20"/>
        </w:rPr>
      </w:pPr>
      <w:r w:rsidRPr="00411BEE">
        <w:rPr>
          <w:rFonts w:cs="Arial"/>
          <w:sz w:val="20"/>
          <w:szCs w:val="20"/>
        </w:rPr>
        <w:t>The increasing target result of carers with assessed wellbeing for all registered carers since the program commenced is calculated using data from Carers Star</w:t>
      </w:r>
      <w:r w:rsidRPr="00411BEE">
        <w:rPr>
          <w:rFonts w:cs="Arial"/>
          <w:sz w:val="20"/>
          <w:szCs w:val="20"/>
          <w:vertAlign w:val="superscript"/>
        </w:rPr>
        <w:t>TM</w:t>
      </w:r>
      <w:r w:rsidRPr="00411BEE">
        <w:rPr>
          <w:rFonts w:cs="Arial"/>
          <w:sz w:val="20"/>
          <w:szCs w:val="20"/>
        </w:rPr>
        <w:t xml:space="preserve"> needs assessments, across all reporting periods from 1 January 2020 to the end of the current reporting period.</w:t>
      </w:r>
    </w:p>
    <w:p w14:paraId="28DFCFE3" w14:textId="77777777" w:rsidR="007713B1" w:rsidRPr="00411BEE" w:rsidRDefault="007713B1" w:rsidP="00AA3C01">
      <w:pPr>
        <w:pStyle w:val="Normalmorespace"/>
      </w:pPr>
      <w:r w:rsidRPr="00411BEE">
        <w:t>Data results are produced using Data Exchange QLIK Sense client outcomes reporting. QLIK Sense pairs available earliest and latest SCORE data entered in DEX for each client, and produces the percentage of carers who are assessed as having improved wellbeing.</w:t>
      </w:r>
    </w:p>
    <w:p w14:paraId="2D37029F" w14:textId="0F88275B" w:rsidR="007713B1" w:rsidRPr="00411BEE" w:rsidRDefault="007713B1" w:rsidP="00AA3C01">
      <w:pPr>
        <w:pStyle w:val="Normalmorespace"/>
      </w:pPr>
      <w:r w:rsidRPr="00411BEE">
        <w:t xml:space="preserve">The </w:t>
      </w:r>
      <w:r w:rsidRPr="00411BEE">
        <w:rPr>
          <w:b/>
        </w:rPr>
        <w:t>data sources</w:t>
      </w:r>
      <w:r w:rsidRPr="00411BEE">
        <w:t xml:space="preserve"> used for this calculation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3.1.2-2 performance measure and target"/>
        <w:tblDescription w:val="Table outlines the progress towards targets relating to younger people in aged care for the years 2022-23, 2023-24, 2024-25, 2025-26 and 2026-27"/>
      </w:tblPr>
      <w:tblGrid>
        <w:gridCol w:w="988"/>
        <w:gridCol w:w="8028"/>
      </w:tblGrid>
      <w:tr w:rsidR="00180C2E" w:rsidRPr="00334F13" w14:paraId="2D34A15F" w14:textId="77777777" w:rsidTr="0017156F">
        <w:trPr>
          <w:trHeight w:val="737"/>
          <w:tblHeader/>
        </w:trPr>
        <w:tc>
          <w:tcPr>
            <w:tcW w:w="988" w:type="dxa"/>
          </w:tcPr>
          <w:p w14:paraId="4A51B896" w14:textId="77777777" w:rsidR="00180C2E" w:rsidRDefault="00180C2E" w:rsidP="00B81E0C">
            <w:r>
              <w:rPr>
                <w:noProof/>
              </w:rPr>
              <mc:AlternateContent>
                <mc:Choice Requires="wps">
                  <w:drawing>
                    <wp:inline distT="0" distB="0" distL="0" distR="0" wp14:anchorId="571F7AD9" wp14:editId="6DB8BFA7">
                      <wp:extent cx="446400" cy="327600"/>
                      <wp:effectExtent l="0" t="0" r="11430" b="15875"/>
                      <wp:docPr id="253" name="Rounded Rectangle 253"/>
                      <wp:cNvGraphicFramePr/>
                      <a:graphic xmlns:a="http://schemas.openxmlformats.org/drawingml/2006/main">
                        <a:graphicData uri="http://schemas.microsoft.com/office/word/2010/wordprocessingShape">
                          <wps:wsp>
                            <wps:cNvSpPr/>
                            <wps:spPr>
                              <a:xfrm>
                                <a:off x="0" y="0"/>
                                <a:ext cx="446400" cy="327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9077D4" w14:textId="77777777" w:rsidR="00027309" w:rsidRPr="00F24CAC" w:rsidRDefault="00027309" w:rsidP="00180C2E">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71F7AD9" id="Rounded Rectangle 253" o:spid="_x0000_s1045" style="width:35.15pt;height:2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" fillcolor="#005a70 [3204]" strokecolor="#002c37 [1604]" strokeweight=".73403mm">
                      <v:textbox>
                        <w:txbxContent>
                          <w:p w14:paraId="1D9077D4" w14:textId="77777777" w:rsidR="00027309" w:rsidRPr="00F24CAC" w:rsidRDefault="00027309" w:rsidP="00180C2E">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v:textbox>
                      <w10:anchorlock/>
                    </v:roundrect>
                  </w:pict>
                </mc:Fallback>
              </mc:AlternateContent>
            </w:r>
          </w:p>
        </w:tc>
        <w:tc>
          <w:tcPr>
            <w:tcW w:w="8028" w:type="dxa"/>
          </w:tcPr>
          <w:p w14:paraId="3C2331A7" w14:textId="77777777" w:rsidR="00180C2E" w:rsidRPr="00334F13" w:rsidRDefault="00180C2E" w:rsidP="00B81E0C">
            <w:pPr>
              <w:rPr>
                <w:sz w:val="20"/>
                <w:szCs w:val="20"/>
              </w:rPr>
            </w:pPr>
            <w:r w:rsidRPr="00180C2E">
              <w:rPr>
                <w:sz w:val="20"/>
                <w:szCs w:val="20"/>
              </w:rPr>
              <w:t>Carer StarTM needs assessments conducted by Carer Gateway service providers and</w:t>
            </w:r>
            <w:r>
              <w:rPr>
                <w:sz w:val="20"/>
                <w:szCs w:val="20"/>
              </w:rPr>
              <w:t xml:space="preserve"> entered into the Data Exchange.</w:t>
            </w:r>
          </w:p>
        </w:tc>
      </w:tr>
    </w:tbl>
    <w:tbl>
      <w:tblPr>
        <w:tblStyle w:val="TableGrid39"/>
        <w:tblW w:w="4955" w:type="pct"/>
        <w:jc w:val="center"/>
        <w:tblLayout w:type="fixed"/>
        <w:tblLook w:val="04A0" w:firstRow="1" w:lastRow="0" w:firstColumn="1" w:lastColumn="0" w:noHBand="0" w:noVBand="1"/>
        <w:tblCaption w:val="3.1.2-2 performance measure and target"/>
        <w:tblDescription w:val="Table outlines the progress towards targets relating to younger people in aged care for the years 2022-23, 2023-24, 2024-25, 2025-26 and 2026-27"/>
      </w:tblPr>
      <w:tblGrid>
        <w:gridCol w:w="2830"/>
        <w:gridCol w:w="1133"/>
        <w:gridCol w:w="1765"/>
        <w:gridCol w:w="1767"/>
        <w:gridCol w:w="1765"/>
      </w:tblGrid>
      <w:tr w:rsidR="007713B1" w:rsidRPr="00454E8A" w14:paraId="3FDAED0E" w14:textId="77777777" w:rsidTr="00CD76E2">
        <w:trPr>
          <w:cantSplit/>
          <w:trHeight w:val="356"/>
          <w:tblHeader/>
          <w:jc w:val="center"/>
        </w:trPr>
        <w:tc>
          <w:tcPr>
            <w:tcW w:w="5000" w:type="pct"/>
            <w:gridSpan w:val="5"/>
            <w:shd w:val="clear" w:color="auto" w:fill="D9D9D6"/>
          </w:tcPr>
          <w:p w14:paraId="22A21A62" w14:textId="7F5589A3" w:rsidR="007713B1" w:rsidRPr="00723A4C" w:rsidRDefault="007713B1" w:rsidP="007713B1">
            <w:pPr>
              <w:keepNext/>
              <w:spacing w:after="120"/>
              <w:rPr>
                <w:rFonts w:cs="Arial"/>
                <w:b/>
                <w:sz w:val="20"/>
                <w:szCs w:val="20"/>
              </w:rPr>
            </w:pPr>
            <w:r w:rsidRPr="00723A4C">
              <w:rPr>
                <w:rFonts w:cs="Arial"/>
                <w:b/>
                <w:sz w:val="20"/>
                <w:szCs w:val="20"/>
              </w:rPr>
              <w:t>Performance Measure</w:t>
            </w:r>
          </w:p>
        </w:tc>
      </w:tr>
      <w:tr w:rsidR="007713B1" w:rsidRPr="00454E8A" w14:paraId="3DE5FA97" w14:textId="77777777" w:rsidTr="007713B1">
        <w:trPr>
          <w:cantSplit/>
          <w:trHeight w:val="356"/>
          <w:jc w:val="center"/>
        </w:trPr>
        <w:tc>
          <w:tcPr>
            <w:tcW w:w="5000" w:type="pct"/>
            <w:gridSpan w:val="5"/>
            <w:shd w:val="clear" w:color="auto" w:fill="auto"/>
          </w:tcPr>
          <w:p w14:paraId="4CC5088D" w14:textId="595909D0" w:rsidR="007713B1" w:rsidRPr="00723A4C" w:rsidRDefault="007713B1" w:rsidP="007713B1">
            <w:pPr>
              <w:keepNext/>
              <w:spacing w:after="120"/>
              <w:rPr>
                <w:rFonts w:cs="Arial"/>
                <w:b/>
                <w:sz w:val="20"/>
                <w:szCs w:val="20"/>
              </w:rPr>
            </w:pPr>
            <w:r w:rsidRPr="00723A4C">
              <w:rPr>
                <w:rFonts w:cs="Arial"/>
                <w:sz w:val="20"/>
                <w:szCs w:val="20"/>
              </w:rPr>
              <w:t>3.1.2-2 Progress towards targets relating to younger people in residential aged care</w:t>
            </w:r>
            <w:r w:rsidR="00C50EE6">
              <w:rPr>
                <w:rFonts w:cs="Arial"/>
                <w:sz w:val="20"/>
                <w:szCs w:val="20"/>
              </w:rPr>
              <w:t xml:space="preserve"> (YPIRAC)</w:t>
            </w:r>
            <w:r w:rsidRPr="00723A4C">
              <w:rPr>
                <w:rFonts w:cs="Arial"/>
                <w:sz w:val="20"/>
                <w:szCs w:val="20"/>
              </w:rPr>
              <w:t>.</w:t>
            </w:r>
          </w:p>
        </w:tc>
      </w:tr>
      <w:tr w:rsidR="007713B1" w:rsidRPr="00454E8A" w14:paraId="2E86E54F" w14:textId="77777777" w:rsidTr="00B27175">
        <w:trPr>
          <w:cantSplit/>
          <w:trHeight w:val="356"/>
          <w:jc w:val="center"/>
        </w:trPr>
        <w:tc>
          <w:tcPr>
            <w:tcW w:w="1528" w:type="pct"/>
            <w:shd w:val="clear" w:color="auto" w:fill="D9D9D6"/>
            <w:hideMark/>
          </w:tcPr>
          <w:p w14:paraId="3ACB45E0" w14:textId="77777777" w:rsidR="007713B1" w:rsidRPr="00723A4C" w:rsidRDefault="007713B1" w:rsidP="007713B1">
            <w:pPr>
              <w:pStyle w:val="PBSbullet"/>
              <w:keepNext/>
              <w:spacing w:before="120" w:after="120"/>
              <w:ind w:left="0"/>
              <w:contextualSpacing w:val="0"/>
              <w:rPr>
                <w:rFonts w:eastAsia="Calibri"/>
                <w:sz w:val="20"/>
                <w:szCs w:val="20"/>
                <w:bdr w:val="none" w:sz="0" w:space="0" w:color="auto" w:frame="1"/>
              </w:rPr>
            </w:pPr>
            <w:r w:rsidRPr="00723A4C">
              <w:rPr>
                <w:b/>
                <w:sz w:val="20"/>
                <w:szCs w:val="20"/>
              </w:rPr>
              <w:t>Target</w:t>
            </w:r>
          </w:p>
        </w:tc>
        <w:tc>
          <w:tcPr>
            <w:tcW w:w="612" w:type="pct"/>
            <w:shd w:val="clear" w:color="auto" w:fill="D9D9D6"/>
            <w:vAlign w:val="center"/>
          </w:tcPr>
          <w:p w14:paraId="2344861B" w14:textId="77777777" w:rsidR="007713B1" w:rsidRPr="00723A4C" w:rsidRDefault="007713B1" w:rsidP="007713B1">
            <w:pPr>
              <w:spacing w:after="120"/>
              <w:rPr>
                <w:rFonts w:cs="Arial"/>
                <w:b/>
                <w:sz w:val="20"/>
                <w:szCs w:val="20"/>
              </w:rPr>
            </w:pPr>
            <w:r w:rsidRPr="00723A4C">
              <w:rPr>
                <w:rFonts w:cs="Arial"/>
                <w:b/>
                <w:sz w:val="20"/>
                <w:szCs w:val="20"/>
              </w:rPr>
              <w:t>2023–24</w:t>
            </w:r>
          </w:p>
        </w:tc>
        <w:tc>
          <w:tcPr>
            <w:tcW w:w="953" w:type="pct"/>
            <w:shd w:val="clear" w:color="auto" w:fill="D9D9D6"/>
            <w:vAlign w:val="center"/>
          </w:tcPr>
          <w:p w14:paraId="16D98A96" w14:textId="77777777" w:rsidR="007713B1" w:rsidRPr="00723A4C" w:rsidRDefault="007713B1" w:rsidP="007713B1">
            <w:pPr>
              <w:spacing w:after="120"/>
              <w:rPr>
                <w:rFonts w:cs="Arial"/>
                <w:b/>
                <w:sz w:val="20"/>
                <w:szCs w:val="20"/>
              </w:rPr>
            </w:pPr>
            <w:r w:rsidRPr="00723A4C">
              <w:rPr>
                <w:rFonts w:cs="Arial"/>
                <w:b/>
                <w:sz w:val="20"/>
                <w:szCs w:val="20"/>
              </w:rPr>
              <w:t>2024–25</w:t>
            </w:r>
          </w:p>
        </w:tc>
        <w:tc>
          <w:tcPr>
            <w:tcW w:w="954" w:type="pct"/>
            <w:shd w:val="clear" w:color="auto" w:fill="D9D9D6"/>
            <w:vAlign w:val="center"/>
          </w:tcPr>
          <w:p w14:paraId="32A648A0" w14:textId="77777777" w:rsidR="007713B1" w:rsidRPr="00723A4C" w:rsidRDefault="007713B1" w:rsidP="007713B1">
            <w:pPr>
              <w:spacing w:after="120"/>
              <w:rPr>
                <w:rFonts w:cs="Arial"/>
                <w:b/>
                <w:sz w:val="20"/>
                <w:szCs w:val="20"/>
              </w:rPr>
            </w:pPr>
            <w:r w:rsidRPr="00723A4C">
              <w:rPr>
                <w:rFonts w:cs="Arial"/>
                <w:b/>
                <w:sz w:val="20"/>
                <w:szCs w:val="20"/>
              </w:rPr>
              <w:t>2025–26</w:t>
            </w:r>
          </w:p>
        </w:tc>
        <w:tc>
          <w:tcPr>
            <w:tcW w:w="954" w:type="pct"/>
            <w:shd w:val="clear" w:color="auto" w:fill="D9D9D6"/>
            <w:vAlign w:val="center"/>
          </w:tcPr>
          <w:p w14:paraId="303CFB71" w14:textId="77777777" w:rsidR="007713B1" w:rsidRPr="00723A4C" w:rsidRDefault="007713B1" w:rsidP="007713B1">
            <w:pPr>
              <w:spacing w:after="120"/>
              <w:rPr>
                <w:rFonts w:cs="Arial"/>
                <w:b/>
                <w:sz w:val="20"/>
                <w:szCs w:val="20"/>
              </w:rPr>
            </w:pPr>
            <w:r w:rsidRPr="00723A4C">
              <w:rPr>
                <w:rFonts w:cs="Arial"/>
                <w:b/>
                <w:sz w:val="20"/>
                <w:szCs w:val="20"/>
              </w:rPr>
              <w:t>2026–27</w:t>
            </w:r>
          </w:p>
        </w:tc>
      </w:tr>
      <w:tr w:rsidR="007713B1" w:rsidRPr="00454E8A" w14:paraId="28B38079" w14:textId="77777777" w:rsidTr="00B27175">
        <w:tblPrEx>
          <w:jc w:val="left"/>
        </w:tblPrEx>
        <w:trPr>
          <w:trHeight w:val="356"/>
        </w:trPr>
        <w:tc>
          <w:tcPr>
            <w:tcW w:w="1528" w:type="pct"/>
            <w:hideMark/>
          </w:tcPr>
          <w:p w14:paraId="0817D794" w14:textId="77777777" w:rsidR="007713B1" w:rsidRPr="00723A4C" w:rsidRDefault="007713B1" w:rsidP="0085559F">
            <w:pPr>
              <w:pStyle w:val="PBSbullet"/>
              <w:numPr>
                <w:ilvl w:val="0"/>
                <w:numId w:val="0"/>
              </w:numPr>
              <w:spacing w:before="80" w:after="80"/>
              <w:ind w:left="26"/>
              <w:rPr>
                <w:rFonts w:eastAsia="Calibri"/>
                <w:sz w:val="20"/>
                <w:szCs w:val="20"/>
                <w:bdr w:val="none" w:sz="0" w:space="0" w:color="auto" w:frame="1"/>
              </w:rPr>
            </w:pPr>
            <w:r w:rsidRPr="00723A4C">
              <w:rPr>
                <w:sz w:val="20"/>
                <w:szCs w:val="20"/>
              </w:rPr>
              <w:t xml:space="preserve">3.1.2-2A - </w:t>
            </w:r>
            <w:r w:rsidRPr="00723A4C">
              <w:rPr>
                <w:rFonts w:eastAsia="Calibri"/>
                <w:sz w:val="20"/>
                <w:szCs w:val="20"/>
                <w:bdr w:val="none" w:sz="0" w:space="0" w:color="auto" w:frame="1"/>
              </w:rPr>
              <w:t>No people under 65 years living in residential aged care by 2025 apart from in exceptional circumstances.</w:t>
            </w:r>
          </w:p>
        </w:tc>
        <w:tc>
          <w:tcPr>
            <w:tcW w:w="612" w:type="pct"/>
            <w:shd w:val="clear" w:color="auto" w:fill="auto"/>
          </w:tcPr>
          <w:p w14:paraId="15B5EE02" w14:textId="77777777" w:rsidR="007713B1" w:rsidRPr="00723A4C" w:rsidRDefault="007713B1" w:rsidP="0085559F">
            <w:pPr>
              <w:spacing w:before="80" w:after="80" w:line="240" w:lineRule="auto"/>
              <w:rPr>
                <w:rFonts w:eastAsia="Calibri" w:cs="Arial"/>
                <w:iCs/>
                <w:sz w:val="20"/>
                <w:szCs w:val="20"/>
                <w:bdr w:val="none" w:sz="0" w:space="0" w:color="auto" w:frame="1"/>
              </w:rPr>
            </w:pPr>
            <w:r w:rsidRPr="00723A4C">
              <w:rPr>
                <w:rFonts w:eastAsia="Calibri" w:cs="Arial"/>
                <w:iCs/>
                <w:sz w:val="20"/>
                <w:szCs w:val="20"/>
                <w:bdr w:val="none" w:sz="0" w:space="0" w:color="auto" w:frame="1"/>
              </w:rPr>
              <w:t xml:space="preserve">Progress towards target </w:t>
            </w:r>
          </w:p>
        </w:tc>
        <w:tc>
          <w:tcPr>
            <w:tcW w:w="953" w:type="pct"/>
          </w:tcPr>
          <w:p w14:paraId="7F7880C3" w14:textId="77777777" w:rsidR="007713B1" w:rsidRPr="0085559F" w:rsidRDefault="007713B1" w:rsidP="0085559F">
            <w:pPr>
              <w:spacing w:before="80" w:after="80" w:line="240" w:lineRule="auto"/>
              <w:rPr>
                <w:rFonts w:eastAsia="Calibri" w:cs="Arial"/>
                <w:iCs/>
                <w:sz w:val="20"/>
                <w:szCs w:val="20"/>
                <w:bdr w:val="none" w:sz="0" w:space="0" w:color="auto" w:frame="1"/>
              </w:rPr>
            </w:pPr>
            <w:r w:rsidRPr="0085559F">
              <w:rPr>
                <w:rFonts w:eastAsia="Calibri" w:cs="Arial"/>
                <w:iCs/>
                <w:sz w:val="20"/>
                <w:szCs w:val="20"/>
                <w:bdr w:val="none" w:sz="0" w:space="0" w:color="auto" w:frame="1"/>
              </w:rPr>
              <w:t>Only younger people under 65 years living in residential aged care with exceptional circumstances</w:t>
            </w:r>
          </w:p>
          <w:p w14:paraId="4CF0C854" w14:textId="77777777" w:rsidR="007713B1" w:rsidRPr="0085559F" w:rsidRDefault="007713B1" w:rsidP="0085559F">
            <w:pPr>
              <w:spacing w:before="80" w:after="80" w:line="240" w:lineRule="auto"/>
              <w:rPr>
                <w:rFonts w:eastAsia="Calibri" w:cs="Arial"/>
                <w:iCs/>
                <w:sz w:val="20"/>
                <w:szCs w:val="20"/>
                <w:bdr w:val="none" w:sz="0" w:space="0" w:color="auto" w:frame="1"/>
              </w:rPr>
            </w:pPr>
            <w:r w:rsidRPr="0085559F">
              <w:rPr>
                <w:rFonts w:eastAsia="Calibri" w:cs="Arial"/>
                <w:iCs/>
                <w:sz w:val="20"/>
                <w:szCs w:val="20"/>
                <w:bdr w:val="none" w:sz="0" w:space="0" w:color="auto" w:frame="1"/>
              </w:rPr>
              <w:t>Entry only for younger people under 65 years with exceptional circumstances</w:t>
            </w:r>
          </w:p>
        </w:tc>
        <w:tc>
          <w:tcPr>
            <w:tcW w:w="954" w:type="pct"/>
          </w:tcPr>
          <w:p w14:paraId="4C42125C" w14:textId="77777777" w:rsidR="007713B1" w:rsidRPr="0085559F" w:rsidRDefault="007713B1" w:rsidP="0085559F">
            <w:pPr>
              <w:spacing w:before="80" w:after="80" w:line="240" w:lineRule="auto"/>
              <w:rPr>
                <w:rFonts w:eastAsia="Calibri" w:cs="Arial"/>
                <w:iCs/>
                <w:sz w:val="20"/>
                <w:szCs w:val="20"/>
                <w:bdr w:val="none" w:sz="0" w:space="0" w:color="auto" w:frame="1"/>
              </w:rPr>
            </w:pPr>
            <w:r w:rsidRPr="0085559F">
              <w:rPr>
                <w:rFonts w:eastAsia="Calibri" w:cs="Arial"/>
                <w:iCs/>
                <w:sz w:val="20"/>
                <w:szCs w:val="20"/>
                <w:bdr w:val="none" w:sz="0" w:space="0" w:color="auto" w:frame="1"/>
              </w:rPr>
              <w:t>Only younger people under 65 years living in residential aged care with exceptional circumstances</w:t>
            </w:r>
          </w:p>
          <w:p w14:paraId="1DC73714" w14:textId="77777777" w:rsidR="007713B1" w:rsidRPr="0085559F" w:rsidRDefault="007713B1" w:rsidP="0085559F">
            <w:pPr>
              <w:spacing w:before="80" w:after="80" w:line="240" w:lineRule="auto"/>
              <w:rPr>
                <w:rFonts w:eastAsia="Calibri" w:cs="Arial"/>
                <w:iCs/>
                <w:sz w:val="20"/>
                <w:szCs w:val="20"/>
                <w:bdr w:val="none" w:sz="0" w:space="0" w:color="auto" w:frame="1"/>
              </w:rPr>
            </w:pPr>
            <w:r w:rsidRPr="0085559F">
              <w:rPr>
                <w:rFonts w:eastAsia="Calibri" w:cs="Arial"/>
                <w:iCs/>
                <w:sz w:val="20"/>
                <w:szCs w:val="20"/>
                <w:bdr w:val="none" w:sz="0" w:space="0" w:color="auto" w:frame="1"/>
              </w:rPr>
              <w:t>Entry only for younger people under 65 years with exceptional circumstances</w:t>
            </w:r>
          </w:p>
        </w:tc>
        <w:tc>
          <w:tcPr>
            <w:tcW w:w="954" w:type="pct"/>
          </w:tcPr>
          <w:p w14:paraId="7E98C411" w14:textId="77777777" w:rsidR="007713B1" w:rsidRPr="0085559F" w:rsidRDefault="007713B1" w:rsidP="0085559F">
            <w:pPr>
              <w:spacing w:before="80" w:after="80" w:line="240" w:lineRule="auto"/>
              <w:rPr>
                <w:rFonts w:eastAsia="Calibri" w:cs="Arial"/>
                <w:iCs/>
                <w:sz w:val="20"/>
                <w:szCs w:val="20"/>
                <w:bdr w:val="none" w:sz="0" w:space="0" w:color="auto" w:frame="1"/>
              </w:rPr>
            </w:pPr>
            <w:r w:rsidRPr="0085559F">
              <w:rPr>
                <w:rFonts w:eastAsia="Calibri" w:cs="Arial"/>
                <w:iCs/>
                <w:sz w:val="20"/>
                <w:szCs w:val="20"/>
                <w:bdr w:val="none" w:sz="0" w:space="0" w:color="auto" w:frame="1"/>
              </w:rPr>
              <w:t>Only younger people under 65 years living in residential aged care with exceptional circumstances</w:t>
            </w:r>
          </w:p>
          <w:p w14:paraId="45A6BD28" w14:textId="77777777" w:rsidR="007713B1" w:rsidRPr="0085559F" w:rsidRDefault="007713B1" w:rsidP="0085559F">
            <w:pPr>
              <w:spacing w:before="80" w:after="80" w:line="240" w:lineRule="auto"/>
              <w:rPr>
                <w:rFonts w:eastAsia="Calibri" w:cs="Arial"/>
                <w:iCs/>
                <w:sz w:val="20"/>
                <w:szCs w:val="20"/>
                <w:bdr w:val="none" w:sz="0" w:space="0" w:color="auto" w:frame="1"/>
              </w:rPr>
            </w:pPr>
            <w:r w:rsidRPr="0085559F">
              <w:rPr>
                <w:rFonts w:eastAsia="Calibri" w:cs="Arial"/>
                <w:iCs/>
                <w:sz w:val="20"/>
                <w:szCs w:val="20"/>
                <w:bdr w:val="none" w:sz="0" w:space="0" w:color="auto" w:frame="1"/>
              </w:rPr>
              <w:t>Entry only for younger people under 65 years with exceptional circumstances</w:t>
            </w:r>
          </w:p>
        </w:tc>
      </w:tr>
    </w:tbl>
    <w:p w14:paraId="06DC4CC8" w14:textId="77777777" w:rsidR="007713B1" w:rsidRPr="00454E8A" w:rsidRDefault="007713B1" w:rsidP="00046C03">
      <w:pPr>
        <w:pStyle w:val="Heading4"/>
        <w:shd w:val="clear" w:color="auto" w:fill="D9D9D9" w:themeFill="background1" w:themeFillShade="D9"/>
      </w:pPr>
      <w:r w:rsidRPr="00454E8A">
        <w:t>Rationale</w:t>
      </w:r>
    </w:p>
    <w:p w14:paraId="4C7A3806" w14:textId="77777777" w:rsidR="007713B1" w:rsidRPr="008B05DB" w:rsidRDefault="007713B1" w:rsidP="00AA3C01">
      <w:pPr>
        <w:pStyle w:val="Normalmorespace"/>
      </w:pPr>
      <w:r w:rsidRPr="00454E8A">
        <w:t xml:space="preserve">The performance measure aligns to the key activity long-term outcomes: Participants are empowered to live an ordinary life. This includes supporting their independence, and social and economic participation; and participants exercising choice and control in the pursuit of their goals and the </w:t>
      </w:r>
      <w:r w:rsidRPr="008B05DB">
        <w:t>planning and delivery of their supports, including their living arrangements.</w:t>
      </w:r>
    </w:p>
    <w:p w14:paraId="07C40DD5" w14:textId="77777777" w:rsidR="007713B1" w:rsidRPr="008B05DB" w:rsidRDefault="007713B1" w:rsidP="00AA3C01">
      <w:pPr>
        <w:pStyle w:val="Normalmorespace"/>
        <w:rPr>
          <w:rFonts w:eastAsia="Arial"/>
          <w:spacing w:val="3"/>
          <w:lang w:val="en-US"/>
        </w:rPr>
      </w:pPr>
      <w:r w:rsidRPr="008B05DB">
        <w:rPr>
          <w:rFonts w:eastAsia="Arial"/>
          <w:spacing w:val="3"/>
          <w:lang w:val="en-US"/>
        </w:rPr>
        <w:t>The target of having no people under 65 years living in residential aged care by 2025 apart from exceptional circumstances demonstrates the effectiveness of the key activity by showing whether NDIS participants are achieving their home and living goals and outcomes.</w:t>
      </w:r>
    </w:p>
    <w:p w14:paraId="07535B15" w14:textId="77777777" w:rsidR="007713B1" w:rsidRPr="008B05DB" w:rsidRDefault="007713B1" w:rsidP="00AA3C01">
      <w:pPr>
        <w:pStyle w:val="Normalmorespace"/>
        <w:rPr>
          <w:rFonts w:eastAsia="Arial"/>
          <w:spacing w:val="3"/>
          <w:lang w:val="en-US"/>
        </w:rPr>
      </w:pPr>
      <w:r w:rsidRPr="008B05DB">
        <w:rPr>
          <w:rFonts w:eastAsia="Arial"/>
          <w:spacing w:val="3"/>
          <w:lang w:val="en-US"/>
        </w:rPr>
        <w:t>The Royal Commission into Aged Care Quality and Safety canvassed YPIRAC as part of both its interim and final reports. Recommendation 74 of the Final Report of the Aged Care Royal Commission sought to ensure that, apart from in exceptional circumstances, there are:</w:t>
      </w:r>
    </w:p>
    <w:p w14:paraId="23D9D8AC"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no people under the age of 65 entering residential aged care from 1 January 2022</w:t>
      </w:r>
    </w:p>
    <w:p w14:paraId="775A001E"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no people under the age of 45 living in residential aged care from 1 January 2022</w:t>
      </w:r>
    </w:p>
    <w:p w14:paraId="52C38398"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no people under the age of 65 living in residential aged care from 1 January 2025.</w:t>
      </w:r>
    </w:p>
    <w:p w14:paraId="319C526F" w14:textId="7CB9C36C" w:rsidR="007713B1" w:rsidRPr="008B05DB" w:rsidRDefault="007713B1" w:rsidP="00AA3C01">
      <w:pPr>
        <w:pStyle w:val="Normalmorespace"/>
        <w:rPr>
          <w:rFonts w:eastAsia="Arial"/>
          <w:lang w:val="en-US"/>
        </w:rPr>
      </w:pPr>
      <w:r w:rsidRPr="008B05DB">
        <w:rPr>
          <w:rFonts w:eastAsia="Arial"/>
          <w:lang w:val="en-US"/>
        </w:rPr>
        <w:t xml:space="preserve">The targets are based on the Government’s view that residential aged care is not designed for younger people living with disability or age-appropriate in most circumstances, and younger people should be supported to have choice in finding more appropriate accommodation and support. </w:t>
      </w:r>
    </w:p>
    <w:p w14:paraId="6D0AA4CB" w14:textId="35AF1CEE" w:rsidR="00E37DEA" w:rsidRPr="00454E8A" w:rsidRDefault="007713B1" w:rsidP="00AA3C01">
      <w:pPr>
        <w:pStyle w:val="Normalmorespace"/>
        <w:rPr>
          <w:rFonts w:eastAsia="Arial" w:cs="Arial"/>
          <w:spacing w:val="3"/>
          <w:lang w:val="en-US"/>
        </w:rPr>
      </w:pPr>
      <w:r w:rsidRPr="008B05DB">
        <w:rPr>
          <w:rFonts w:eastAsia="Arial"/>
          <w:lang w:val="en-US"/>
        </w:rPr>
        <w:t>The Australian Government noted that the YPIRAC 2022 targets were not met. Commonwealth, states, and territories are concentrating efforts to meet the YPIRAC 2025 target.</w:t>
      </w:r>
      <w:r>
        <w:rPr>
          <w:rFonts w:eastAsia="Arial"/>
          <w:lang w:val="en-US"/>
        </w:rPr>
        <w:t xml:space="preserve"> </w:t>
      </w:r>
    </w:p>
    <w:p w14:paraId="5DE23D2A" w14:textId="77777777" w:rsidR="007713B1" w:rsidRPr="00454E8A" w:rsidRDefault="007713B1" w:rsidP="00046C03">
      <w:pPr>
        <w:pStyle w:val="Heading4"/>
        <w:shd w:val="clear" w:color="auto" w:fill="D9D9D9" w:themeFill="background1" w:themeFillShade="D9"/>
      </w:pPr>
      <w:r w:rsidRPr="00454E8A">
        <w:t>Methodology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Source"/>
        <w:tblDescription w:val="PS: The number of people under 65 years entering, and under 65 years living, in residential care, is based on participant residential details where the Australian Institute of Health and Welfare (AIHW) are able to identify people with disability currently residing in residential aged care facilities number of people under 65."/>
      </w:tblPr>
      <w:tblGrid>
        <w:gridCol w:w="988"/>
        <w:gridCol w:w="8028"/>
      </w:tblGrid>
      <w:tr w:rsidR="00223CE9" w:rsidRPr="00334F13" w14:paraId="3C189572" w14:textId="77777777" w:rsidTr="0017156F">
        <w:trPr>
          <w:trHeight w:val="737"/>
          <w:tblHeader/>
        </w:trPr>
        <w:tc>
          <w:tcPr>
            <w:tcW w:w="988" w:type="dxa"/>
            <w:vAlign w:val="center"/>
          </w:tcPr>
          <w:p w14:paraId="03F09D45" w14:textId="77777777" w:rsidR="00223CE9" w:rsidRDefault="00223CE9" w:rsidP="00B81E0C">
            <w:r>
              <w:rPr>
                <w:noProof/>
                <w:color w:val="000000" w:themeColor="text1"/>
              </w:rPr>
              <mc:AlternateContent>
                <mc:Choice Requires="wps">
                  <w:drawing>
                    <wp:anchor distT="0" distB="0" distL="114300" distR="114300" simplePos="0" relativeHeight="251678771" behindDoc="0" locked="0" layoutInCell="1" allowOverlap="1" wp14:anchorId="162A0B03" wp14:editId="65F52856">
                      <wp:simplePos x="0" y="0"/>
                      <wp:positionH relativeFrom="column">
                        <wp:posOffset>-6350</wp:posOffset>
                      </wp:positionH>
                      <wp:positionV relativeFrom="paragraph">
                        <wp:posOffset>11430</wp:posOffset>
                      </wp:positionV>
                      <wp:extent cx="446049" cy="329042"/>
                      <wp:effectExtent l="0" t="0" r="11430" b="13970"/>
                      <wp:wrapNone/>
                      <wp:docPr id="255" name="Rounded Rectangle 255"/>
                      <wp:cNvGraphicFramePr/>
                      <a:graphic xmlns:a="http://schemas.openxmlformats.org/drawingml/2006/main">
                        <a:graphicData uri="http://schemas.microsoft.com/office/word/2010/wordprocessingShape">
                          <wps:wsp>
                            <wps:cNvSpPr/>
                            <wps:spPr>
                              <a:xfrm>
                                <a:off x="0" y="0"/>
                                <a:ext cx="446049" cy="3290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DB7A53" w14:textId="77777777" w:rsidR="00027309" w:rsidRPr="00F24CAC" w:rsidRDefault="00027309" w:rsidP="00223CE9">
                                  <w:pPr>
                                    <w:shd w:val="clear" w:color="auto" w:fill="005A70" w:themeFill="accent4"/>
                                    <w:spacing w:before="0" w:after="0" w:line="240" w:lineRule="auto"/>
                                    <w:jc w:val="center"/>
                                    <w:rPr>
                                      <w:color w:val="FFFFFF" w:themeColor="background1"/>
                                      <w:sz w:val="36"/>
                                    </w:rPr>
                                  </w:pPr>
                                  <w:r w:rsidRPr="00F24CAC">
                                    <w:rPr>
                                      <w:color w:val="FFFFFF" w:themeColor="background1"/>
                                      <w:sz w:val="14"/>
                                    </w:rPr>
                                    <w:t>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2A0B03" id="Rounded Rectangle 255" o:spid="_x0000_s1046" style="position:absolute;margin-left:-.5pt;margin-top:.9pt;width:35.1pt;height:25.9pt;z-index:2516787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" fillcolor="#005a70 [3204]" strokecolor="#002c37 [1604]" strokeweight=".73403mm">
                      <v:textbox>
                        <w:txbxContent>
                          <w:p w14:paraId="49DB7A53" w14:textId="77777777" w:rsidR="00027309" w:rsidRPr="00F24CAC" w:rsidRDefault="00027309" w:rsidP="00223CE9">
                            <w:pPr>
                              <w:shd w:val="clear" w:color="auto" w:fill="005A70" w:themeFill="accent4"/>
                              <w:spacing w:before="0" w:after="0" w:line="240" w:lineRule="auto"/>
                              <w:jc w:val="center"/>
                              <w:rPr>
                                <w:color w:val="FFFFFF" w:themeColor="background1"/>
                                <w:sz w:val="36"/>
                              </w:rPr>
                            </w:pPr>
                            <w:r w:rsidRPr="00F24CAC">
                              <w:rPr>
                                <w:color w:val="FFFFFF" w:themeColor="background1"/>
                                <w:sz w:val="14"/>
                              </w:rPr>
                              <w:t>PS</w:t>
                            </w:r>
                          </w:p>
                        </w:txbxContent>
                      </v:textbox>
                    </v:roundrect>
                  </w:pict>
                </mc:Fallback>
              </mc:AlternateContent>
            </w:r>
          </w:p>
        </w:tc>
        <w:tc>
          <w:tcPr>
            <w:tcW w:w="8028" w:type="dxa"/>
            <w:vAlign w:val="center"/>
          </w:tcPr>
          <w:p w14:paraId="40CE0EBF" w14:textId="5323481E" w:rsidR="00223CE9" w:rsidRPr="00334F13" w:rsidRDefault="00223CE9" w:rsidP="00B81E0C">
            <w:pPr>
              <w:rPr>
                <w:sz w:val="20"/>
                <w:szCs w:val="20"/>
              </w:rPr>
            </w:pPr>
            <w:r w:rsidRPr="007E593D">
              <w:rPr>
                <w:rStyle w:val="NormalmorespaceChar"/>
                <w:rFonts w:eastAsia="Arial"/>
                <w:szCs w:val="24"/>
              </w:rPr>
              <w:t>Th</w:t>
            </w:r>
            <w:r w:rsidRPr="007E593D">
              <w:rPr>
                <w:sz w:val="20"/>
              </w:rPr>
              <w:t>e number of people under 65 years entering, and under 65 years living, in residential care, is based on participant residential details where the Australian Institute of Health and Welfare (AIHW) are able to identify people with disability currently residing in residential aged care facilities number of people under 65.</w:t>
            </w:r>
          </w:p>
        </w:tc>
      </w:tr>
    </w:tbl>
    <w:p w14:paraId="09F43DD6" w14:textId="49C8DAEE" w:rsidR="007713B1" w:rsidRDefault="007713B1" w:rsidP="00AA3C01">
      <w:pPr>
        <w:pStyle w:val="Normalmorespace"/>
        <w:rPr>
          <w:rFonts w:eastAsia="Arial"/>
          <w:lang w:val="en-US"/>
        </w:rPr>
      </w:pPr>
      <w:r w:rsidRPr="0076749A">
        <w:rPr>
          <w:rFonts w:eastAsia="Arial"/>
          <w:lang w:val="en-US"/>
        </w:rPr>
        <w:t>The department has oversight over activities delivered and coordinated by NDIA and DoHAC to prevent the entry and facilitate the exit of younger people in residential aged care. The YPIRAC Target data will be sourced from AIHW Gen Aged Care Reports and the NDIA’s NDIS Quarterly Report to Disability Ministers.</w:t>
      </w:r>
    </w:p>
    <w:p w14:paraId="1DCF62CD" w14:textId="77777777" w:rsidR="00844151" w:rsidRPr="00E04E56" w:rsidRDefault="00844151" w:rsidP="00046C03">
      <w:pPr>
        <w:pStyle w:val="Heading4"/>
        <w:shd w:val="clear" w:color="auto" w:fill="D9D9D9" w:themeFill="background1" w:themeFillShade="D9"/>
      </w:pPr>
      <w:r w:rsidRPr="00E04E56">
        <w:t>Supporting Information</w:t>
      </w:r>
    </w:p>
    <w:p w14:paraId="2182C62B" w14:textId="0D89349E" w:rsidR="00187ED2" w:rsidRPr="00187ED2" w:rsidRDefault="00187ED2" w:rsidP="00187ED2">
      <w:pPr>
        <w:spacing w:before="80" w:after="80" w:line="240" w:lineRule="auto"/>
        <w:rPr>
          <w:rFonts w:cs="Arial"/>
          <w:sz w:val="20"/>
          <w:szCs w:val="20"/>
        </w:rPr>
      </w:pPr>
      <w:r w:rsidRPr="00187ED2">
        <w:rPr>
          <w:rFonts w:cs="Arial"/>
          <w:sz w:val="20"/>
          <w:szCs w:val="20"/>
        </w:rPr>
        <w:t>Carer Support 3.1.2</w:t>
      </w:r>
    </w:p>
    <w:p w14:paraId="380E22CC" w14:textId="13C256A5" w:rsidR="00844151" w:rsidRPr="00E04E56" w:rsidRDefault="00844151" w:rsidP="007572E0">
      <w:pPr>
        <w:pStyle w:val="ListParagraph"/>
        <w:numPr>
          <w:ilvl w:val="0"/>
          <w:numId w:val="35"/>
        </w:numPr>
        <w:spacing w:before="80" w:after="80" w:line="240" w:lineRule="auto"/>
        <w:ind w:left="714" w:hanging="357"/>
        <w:contextualSpacing w:val="0"/>
        <w:rPr>
          <w:rFonts w:cs="Arial"/>
          <w:sz w:val="20"/>
          <w:szCs w:val="20"/>
        </w:rPr>
      </w:pPr>
      <w:r w:rsidRPr="00E04E56">
        <w:rPr>
          <w:rFonts w:cs="Arial"/>
          <w:sz w:val="20"/>
          <w:szCs w:val="20"/>
        </w:rPr>
        <w:t>Number of carers assisted</w:t>
      </w:r>
    </w:p>
    <w:p w14:paraId="1159BB29" w14:textId="77777777" w:rsidR="00844151" w:rsidRPr="00E04E56" w:rsidRDefault="00844151" w:rsidP="007572E0">
      <w:pPr>
        <w:pStyle w:val="ListParagraph"/>
        <w:numPr>
          <w:ilvl w:val="0"/>
          <w:numId w:val="35"/>
        </w:numPr>
        <w:spacing w:before="80" w:after="80" w:line="240" w:lineRule="auto"/>
        <w:ind w:left="714" w:hanging="357"/>
        <w:contextualSpacing w:val="0"/>
        <w:rPr>
          <w:rFonts w:cs="Arial"/>
          <w:sz w:val="20"/>
          <w:szCs w:val="20"/>
        </w:rPr>
      </w:pPr>
      <w:r w:rsidRPr="00E04E56">
        <w:rPr>
          <w:rFonts w:cs="Arial"/>
          <w:sz w:val="20"/>
          <w:szCs w:val="20"/>
        </w:rPr>
        <w:t>Number of people accessing Carer Gateway</w:t>
      </w:r>
    </w:p>
    <w:p w14:paraId="3A6DDF93" w14:textId="77777777" w:rsidR="00844151" w:rsidRDefault="00844151" w:rsidP="007572E0">
      <w:pPr>
        <w:pStyle w:val="ListParagraph"/>
        <w:numPr>
          <w:ilvl w:val="0"/>
          <w:numId w:val="35"/>
        </w:numPr>
        <w:spacing w:before="80" w:after="80" w:line="240" w:lineRule="auto"/>
        <w:ind w:left="714" w:hanging="357"/>
        <w:contextualSpacing w:val="0"/>
        <w:rPr>
          <w:rFonts w:cs="Arial"/>
          <w:szCs w:val="20"/>
        </w:rPr>
      </w:pPr>
      <w:r w:rsidRPr="00E04E56">
        <w:rPr>
          <w:rFonts w:cs="Arial"/>
          <w:sz w:val="20"/>
          <w:szCs w:val="20"/>
        </w:rPr>
        <w:t>Number of organisations contracted or receiving funding to deliver services</w:t>
      </w:r>
    </w:p>
    <w:p w14:paraId="2426CF6A" w14:textId="77777777" w:rsidR="00844151" w:rsidRDefault="00844151" w:rsidP="007572E0">
      <w:pPr>
        <w:pStyle w:val="ListParagraph"/>
        <w:numPr>
          <w:ilvl w:val="0"/>
          <w:numId w:val="35"/>
        </w:numPr>
        <w:spacing w:before="80" w:after="80" w:line="240" w:lineRule="auto"/>
        <w:ind w:left="714" w:hanging="357"/>
        <w:contextualSpacing w:val="0"/>
        <w:rPr>
          <w:rFonts w:cs="Arial"/>
          <w:sz w:val="20"/>
          <w:szCs w:val="20"/>
        </w:rPr>
      </w:pPr>
      <w:r w:rsidRPr="0011152F">
        <w:rPr>
          <w:rFonts w:cs="Arial"/>
          <w:sz w:val="20"/>
          <w:szCs w:val="20"/>
        </w:rPr>
        <w:t>Administered outlays</w:t>
      </w:r>
    </w:p>
    <w:p w14:paraId="04BE8934" w14:textId="77777777" w:rsidR="007C4E85" w:rsidRDefault="007C4E85" w:rsidP="007713B1">
      <w:pPr>
        <w:spacing w:after="160"/>
      </w:pPr>
    </w:p>
    <w:p w14:paraId="1860FA6D" w14:textId="77777777" w:rsidR="007C4E85" w:rsidRDefault="007C4E85">
      <w:pPr>
        <w:spacing w:before="0" w:after="200" w:line="276" w:lineRule="auto"/>
      </w:pPr>
      <w:r>
        <w:br w:type="page"/>
      </w:r>
    </w:p>
    <w:p w14:paraId="74191398" w14:textId="77777777" w:rsidR="007C4E85" w:rsidRPr="000471C6" w:rsidRDefault="007C4E85" w:rsidP="00046C03">
      <w:pPr>
        <w:pStyle w:val="Heading3"/>
        <w:shd w:val="clear" w:color="auto" w:fill="1A6775"/>
      </w:pPr>
      <w:r w:rsidRPr="000471C6">
        <w:t>PROGRAM 3.2 — NATIONAL DISABILITY INSURANCE SCHEME</w:t>
      </w:r>
    </w:p>
    <w:p w14:paraId="0111A176" w14:textId="77777777" w:rsidR="007C4E85" w:rsidRPr="000471C6" w:rsidRDefault="007C4E85" w:rsidP="00046C03">
      <w:pPr>
        <w:shd w:val="clear" w:color="auto" w:fill="1A6775"/>
        <w:spacing w:before="60" w:after="60" w:line="252" w:lineRule="auto"/>
        <w:rPr>
          <w:rFonts w:cstheme="minorHAnsi"/>
          <w:color w:val="FFFFFF" w:themeColor="background1"/>
          <w:sz w:val="20"/>
          <w:szCs w:val="20"/>
        </w:rPr>
      </w:pPr>
      <w:r w:rsidRPr="000471C6">
        <w:rPr>
          <w:rFonts w:cstheme="minorHAnsi"/>
          <w:color w:val="FFFFFF" w:themeColor="background1"/>
          <w:sz w:val="20"/>
          <w:szCs w:val="20"/>
        </w:rPr>
        <w:t>To improve the wellbeing and social and economic participation of people with disability, and their families and carers, by building a NDIS that delivers individualised support through an insurance approach. This program also includes the Jobs and Market Fund.</w:t>
      </w:r>
    </w:p>
    <w:p w14:paraId="1C6BED6F" w14:textId="77777777" w:rsidR="007C4E85" w:rsidRPr="000471C6" w:rsidRDefault="007C4E85" w:rsidP="00046C03">
      <w:pPr>
        <w:pStyle w:val="Heading4"/>
        <w:shd w:val="clear" w:color="auto" w:fill="D9D9D9" w:themeFill="background1" w:themeFillShade="D9"/>
      </w:pPr>
      <w:r w:rsidRPr="000471C6">
        <w:t xml:space="preserve">Key Activity — 3.2.1 NDIS Transition  </w:t>
      </w:r>
    </w:p>
    <w:p w14:paraId="73806C53" w14:textId="77777777" w:rsidR="007C4E85" w:rsidRPr="000471C6" w:rsidRDefault="007C4E85" w:rsidP="00AA3C01">
      <w:pPr>
        <w:pStyle w:val="Normalmorespace"/>
      </w:pPr>
      <w:r w:rsidRPr="000471C6">
        <w:rPr>
          <w:rFonts w:cstheme="minorHAnsi"/>
        </w:rPr>
        <w:t xml:space="preserve">National Disability Insurance Scheme (NDIS) Transition is a key activity of the NDIS Program which aims </w:t>
      </w:r>
      <w:r w:rsidRPr="000471C6">
        <w:t>to support national implementation of the NDIS in accordance with inter-government agreements. The completion of transition is defined by:</w:t>
      </w:r>
    </w:p>
    <w:p w14:paraId="20C8AFEA" w14:textId="77777777" w:rsidR="007C4E85" w:rsidRPr="000471C6" w:rsidRDefault="007C4E85" w:rsidP="00AA3C01">
      <w:pPr>
        <w:pStyle w:val="ListParagraph"/>
        <w:numPr>
          <w:ilvl w:val="0"/>
          <w:numId w:val="45"/>
        </w:numPr>
        <w:rPr>
          <w:sz w:val="20"/>
          <w:szCs w:val="20"/>
          <w:lang w:eastAsia="en-GB"/>
        </w:rPr>
      </w:pPr>
      <w:r w:rsidRPr="000471C6">
        <w:rPr>
          <w:sz w:val="20"/>
          <w:szCs w:val="20"/>
          <w:lang w:eastAsia="en-GB"/>
        </w:rPr>
        <w:t>The execution of full scheme bilateral agreements between the Commonwealth and all states and territories (target = full scheme agreements signed with all states and territories by 30 June 2024).</w:t>
      </w:r>
    </w:p>
    <w:p w14:paraId="4E117AB3" w14:textId="77777777" w:rsidR="007C4E85" w:rsidRPr="000471C6" w:rsidRDefault="007C4E85" w:rsidP="00AA3C01">
      <w:pPr>
        <w:pStyle w:val="Normalmorespace"/>
      </w:pPr>
      <w:r w:rsidRPr="000471C6">
        <w:rPr>
          <w:lang w:val="en-US"/>
        </w:rPr>
        <w:t>The department’s role is to facilitate transition to the NDIS, including:</w:t>
      </w:r>
    </w:p>
    <w:p w14:paraId="0F9D04F0" w14:textId="77777777" w:rsidR="007C4E85" w:rsidRPr="000471C6" w:rsidRDefault="007C4E85" w:rsidP="00AA3C01">
      <w:pPr>
        <w:pStyle w:val="ListParagraph"/>
        <w:numPr>
          <w:ilvl w:val="0"/>
          <w:numId w:val="46"/>
        </w:numPr>
        <w:rPr>
          <w:sz w:val="20"/>
          <w:szCs w:val="20"/>
        </w:rPr>
      </w:pPr>
      <w:r w:rsidRPr="000471C6">
        <w:rPr>
          <w:sz w:val="20"/>
          <w:szCs w:val="20"/>
        </w:rPr>
        <w:t>execute full scheme bilateral agreements with all states and territories.</w:t>
      </w:r>
    </w:p>
    <w:p w14:paraId="15D331D9" w14:textId="77777777" w:rsidR="007C4E85" w:rsidRPr="000471C6" w:rsidRDefault="007C4E85" w:rsidP="00AA3C01">
      <w:pPr>
        <w:pStyle w:val="ListParagraph"/>
        <w:numPr>
          <w:ilvl w:val="0"/>
          <w:numId w:val="46"/>
        </w:numPr>
        <w:rPr>
          <w:rFonts w:cstheme="minorHAnsi"/>
          <w:sz w:val="20"/>
          <w:szCs w:val="20"/>
          <w:lang w:val="en-US"/>
        </w:rPr>
      </w:pPr>
      <w:r w:rsidRPr="000471C6">
        <w:rPr>
          <w:rFonts w:cstheme="minorHAnsi"/>
          <w:sz w:val="20"/>
          <w:szCs w:val="20"/>
          <w:lang w:val="en-US"/>
        </w:rPr>
        <w:t>administer inter-government agreements about the NDIS, governing state financial contributions to the scheme, including the recognition of in-kind provision of services by states and territories, and commitments to phase these out, and advising on payments from the DisabilityCare Australia Fund.</w:t>
      </w:r>
    </w:p>
    <w:p w14:paraId="4F7B065C" w14:textId="135A125A" w:rsidR="007C4E85" w:rsidRPr="0006278F" w:rsidRDefault="007C4E85" w:rsidP="00AA3C01">
      <w:pPr>
        <w:pStyle w:val="ListParagraph"/>
        <w:numPr>
          <w:ilvl w:val="0"/>
          <w:numId w:val="46"/>
        </w:numPr>
        <w:rPr>
          <w:sz w:val="20"/>
          <w:szCs w:val="20"/>
        </w:rPr>
      </w:pPr>
      <w:r w:rsidRPr="0006278F">
        <w:rPr>
          <w:sz w:val="20"/>
          <w:szCs w:val="20"/>
          <w:lang w:val="en-US"/>
        </w:rPr>
        <w:t>monitor the implementation of the NDIS in each state and territory through trilateral governance arrangements with the NDIA and state and territory governments.</w:t>
      </w:r>
    </w:p>
    <w:tbl>
      <w:tblPr>
        <w:tblStyle w:val="TableGrid39"/>
        <w:tblW w:w="5006" w:type="pct"/>
        <w:jc w:val="center"/>
        <w:tblLayout w:type="fixed"/>
        <w:tblLook w:val="04A0" w:firstRow="1" w:lastRow="0" w:firstColumn="1" w:lastColumn="0" w:noHBand="0" w:noVBand="1"/>
        <w:tblCaption w:val="3.2.1-1 Perfomance measures and targets"/>
        <w:tblDescription w:val="Table outlines the full Scheme national agreement will be signed in 2022-23"/>
      </w:tblPr>
      <w:tblGrid>
        <w:gridCol w:w="3845"/>
        <w:gridCol w:w="1377"/>
        <w:gridCol w:w="1377"/>
        <w:gridCol w:w="1377"/>
        <w:gridCol w:w="1379"/>
      </w:tblGrid>
      <w:tr w:rsidR="007C4E85" w:rsidRPr="000471C6" w14:paraId="1E1E1BF4" w14:textId="77777777" w:rsidTr="00CD76E2">
        <w:trPr>
          <w:cantSplit/>
          <w:trHeight w:val="356"/>
          <w:tblHeader/>
          <w:jc w:val="center"/>
        </w:trPr>
        <w:tc>
          <w:tcPr>
            <w:tcW w:w="5000" w:type="pct"/>
            <w:gridSpan w:val="5"/>
            <w:shd w:val="clear" w:color="auto" w:fill="D9D9D6"/>
          </w:tcPr>
          <w:p w14:paraId="3DAFD8D4" w14:textId="77777777" w:rsidR="007C4E85" w:rsidRPr="000471C6" w:rsidRDefault="007C4E85" w:rsidP="00DA4763">
            <w:pPr>
              <w:spacing w:before="60" w:after="60" w:line="252" w:lineRule="auto"/>
              <w:rPr>
                <w:rFonts w:cstheme="minorHAnsi"/>
                <w:b/>
                <w:sz w:val="20"/>
                <w:szCs w:val="20"/>
              </w:rPr>
            </w:pPr>
            <w:r w:rsidRPr="000471C6">
              <w:rPr>
                <w:rFonts w:cstheme="minorHAnsi"/>
                <w:b/>
                <w:sz w:val="20"/>
                <w:szCs w:val="20"/>
              </w:rPr>
              <w:t>Performance Measure</w:t>
            </w:r>
          </w:p>
        </w:tc>
      </w:tr>
      <w:tr w:rsidR="007C4E85" w:rsidRPr="000471C6" w14:paraId="516D4E63" w14:textId="77777777" w:rsidTr="00DA4763">
        <w:trPr>
          <w:cantSplit/>
          <w:trHeight w:val="356"/>
          <w:jc w:val="center"/>
        </w:trPr>
        <w:tc>
          <w:tcPr>
            <w:tcW w:w="5000" w:type="pct"/>
            <w:gridSpan w:val="5"/>
            <w:shd w:val="clear" w:color="auto" w:fill="auto"/>
          </w:tcPr>
          <w:p w14:paraId="04231871" w14:textId="77777777" w:rsidR="007C4E85" w:rsidRPr="000471C6" w:rsidRDefault="007C4E85" w:rsidP="00AA3C01">
            <w:pPr>
              <w:spacing w:before="60" w:after="60" w:line="252" w:lineRule="auto"/>
              <w:rPr>
                <w:rFonts w:cstheme="minorHAnsi"/>
                <w:b/>
                <w:sz w:val="20"/>
                <w:szCs w:val="20"/>
              </w:rPr>
            </w:pPr>
            <w:r w:rsidRPr="000471C6">
              <w:rPr>
                <w:rFonts w:cstheme="minorHAnsi"/>
                <w:sz w:val="20"/>
                <w:szCs w:val="20"/>
              </w:rPr>
              <w:t>3.2.1-1 DSS works with states and territories and the NDIA to support national implementation of the NDIS in accordance with inter government agreements.</w:t>
            </w:r>
          </w:p>
        </w:tc>
      </w:tr>
      <w:tr w:rsidR="007C4E85" w:rsidRPr="000471C6" w14:paraId="320FF669" w14:textId="77777777" w:rsidTr="00DA4763">
        <w:trPr>
          <w:cantSplit/>
          <w:trHeight w:val="356"/>
          <w:jc w:val="center"/>
        </w:trPr>
        <w:tc>
          <w:tcPr>
            <w:tcW w:w="2055" w:type="pct"/>
            <w:shd w:val="clear" w:color="auto" w:fill="D9D9D6"/>
            <w:hideMark/>
          </w:tcPr>
          <w:p w14:paraId="696513AA" w14:textId="77777777" w:rsidR="007C4E85" w:rsidRPr="000471C6" w:rsidRDefault="007C4E85" w:rsidP="00DA4763">
            <w:pPr>
              <w:spacing w:before="60" w:after="60" w:line="252" w:lineRule="auto"/>
              <w:rPr>
                <w:rFonts w:cstheme="minorHAnsi"/>
                <w:sz w:val="20"/>
                <w:szCs w:val="20"/>
              </w:rPr>
            </w:pPr>
            <w:r w:rsidRPr="000471C6">
              <w:rPr>
                <w:rFonts w:cstheme="minorHAnsi"/>
                <w:b/>
                <w:sz w:val="20"/>
                <w:szCs w:val="20"/>
              </w:rPr>
              <w:t>Target</w:t>
            </w:r>
          </w:p>
        </w:tc>
        <w:tc>
          <w:tcPr>
            <w:tcW w:w="736" w:type="pct"/>
            <w:shd w:val="clear" w:color="auto" w:fill="D9D9D6"/>
            <w:vAlign w:val="center"/>
            <w:hideMark/>
          </w:tcPr>
          <w:p w14:paraId="65B04995" w14:textId="77777777" w:rsidR="007C4E85" w:rsidRPr="000471C6" w:rsidRDefault="007C4E85" w:rsidP="00DA4763">
            <w:pPr>
              <w:spacing w:after="120"/>
              <w:rPr>
                <w:rFonts w:cs="Arial"/>
                <w:b/>
                <w:sz w:val="20"/>
                <w:szCs w:val="20"/>
              </w:rPr>
            </w:pPr>
            <w:r w:rsidRPr="000471C6">
              <w:rPr>
                <w:rFonts w:cs="Arial"/>
                <w:b/>
                <w:sz w:val="20"/>
                <w:szCs w:val="20"/>
              </w:rPr>
              <w:t>2023–24</w:t>
            </w:r>
          </w:p>
        </w:tc>
        <w:tc>
          <w:tcPr>
            <w:tcW w:w="736" w:type="pct"/>
            <w:shd w:val="clear" w:color="auto" w:fill="D9D9D6"/>
            <w:vAlign w:val="center"/>
            <w:hideMark/>
          </w:tcPr>
          <w:p w14:paraId="3703B764" w14:textId="77777777" w:rsidR="007C4E85" w:rsidRPr="000471C6" w:rsidRDefault="007C4E85" w:rsidP="00DA4763">
            <w:pPr>
              <w:spacing w:after="120"/>
              <w:rPr>
                <w:rFonts w:cs="Arial"/>
                <w:b/>
                <w:sz w:val="20"/>
                <w:szCs w:val="20"/>
              </w:rPr>
            </w:pPr>
            <w:r w:rsidRPr="000471C6">
              <w:rPr>
                <w:rFonts w:cs="Arial"/>
                <w:b/>
                <w:sz w:val="20"/>
                <w:szCs w:val="20"/>
              </w:rPr>
              <w:t>2024–25</w:t>
            </w:r>
          </w:p>
        </w:tc>
        <w:tc>
          <w:tcPr>
            <w:tcW w:w="736" w:type="pct"/>
            <w:shd w:val="clear" w:color="auto" w:fill="D9D9D6"/>
            <w:vAlign w:val="center"/>
            <w:hideMark/>
          </w:tcPr>
          <w:p w14:paraId="249F3E23" w14:textId="77777777" w:rsidR="007C4E85" w:rsidRPr="000471C6" w:rsidRDefault="007C4E85" w:rsidP="00DA4763">
            <w:pPr>
              <w:spacing w:after="120"/>
              <w:rPr>
                <w:rFonts w:cs="Arial"/>
                <w:b/>
                <w:sz w:val="20"/>
                <w:szCs w:val="20"/>
              </w:rPr>
            </w:pPr>
            <w:r w:rsidRPr="000471C6">
              <w:rPr>
                <w:rFonts w:cs="Arial"/>
                <w:b/>
                <w:sz w:val="20"/>
                <w:szCs w:val="20"/>
              </w:rPr>
              <w:t>2025–26</w:t>
            </w:r>
          </w:p>
        </w:tc>
        <w:tc>
          <w:tcPr>
            <w:tcW w:w="737" w:type="pct"/>
            <w:shd w:val="clear" w:color="auto" w:fill="D9D9D6"/>
            <w:vAlign w:val="center"/>
            <w:hideMark/>
          </w:tcPr>
          <w:p w14:paraId="0C1F9125" w14:textId="77777777" w:rsidR="007C4E85" w:rsidRPr="000471C6" w:rsidRDefault="007C4E85" w:rsidP="00DA4763">
            <w:pPr>
              <w:spacing w:after="120"/>
              <w:rPr>
                <w:rFonts w:cs="Arial"/>
                <w:b/>
                <w:sz w:val="20"/>
                <w:szCs w:val="20"/>
              </w:rPr>
            </w:pPr>
            <w:r w:rsidRPr="000471C6">
              <w:rPr>
                <w:rFonts w:cs="Arial"/>
                <w:b/>
                <w:sz w:val="20"/>
                <w:szCs w:val="20"/>
              </w:rPr>
              <w:t>2026–27</w:t>
            </w:r>
          </w:p>
        </w:tc>
      </w:tr>
      <w:tr w:rsidR="007C4E85" w:rsidRPr="000471C6" w14:paraId="238017D3" w14:textId="77777777" w:rsidTr="00DA4763">
        <w:trPr>
          <w:cantSplit/>
          <w:trHeight w:val="356"/>
          <w:jc w:val="center"/>
        </w:trPr>
        <w:tc>
          <w:tcPr>
            <w:tcW w:w="2055" w:type="pct"/>
            <w:shd w:val="clear" w:color="auto" w:fill="FFFFFF" w:themeFill="background1"/>
            <w:hideMark/>
          </w:tcPr>
          <w:p w14:paraId="296CD5F0" w14:textId="77777777" w:rsidR="007C4E85" w:rsidRPr="000471C6" w:rsidRDefault="007C4E85" w:rsidP="00DA4763">
            <w:pPr>
              <w:spacing w:before="60" w:after="60" w:line="252" w:lineRule="auto"/>
              <w:rPr>
                <w:rFonts w:cstheme="minorHAnsi"/>
                <w:sz w:val="20"/>
                <w:szCs w:val="20"/>
              </w:rPr>
            </w:pPr>
            <w:r w:rsidRPr="000471C6">
              <w:rPr>
                <w:rFonts w:cstheme="minorHAnsi"/>
                <w:noProof/>
                <w:sz w:val="20"/>
                <w:szCs w:val="20"/>
              </w:rPr>
              <w:sym w:font="Wingdings" w:char="F074"/>
            </w:r>
            <w:r w:rsidRPr="000471C6">
              <w:rPr>
                <w:rFonts w:cstheme="minorHAnsi"/>
                <w:sz w:val="20"/>
                <w:szCs w:val="20"/>
              </w:rPr>
              <w:t xml:space="preserve"> 3.2.1-1A - Full scheme agreements signed with all states and territories by 30 June 2024.</w:t>
            </w:r>
          </w:p>
        </w:tc>
        <w:tc>
          <w:tcPr>
            <w:tcW w:w="736" w:type="pct"/>
            <w:shd w:val="clear" w:color="auto" w:fill="FFFFFF" w:themeFill="background1"/>
            <w:vAlign w:val="center"/>
          </w:tcPr>
          <w:p w14:paraId="4F583014" w14:textId="77777777" w:rsidR="007C4E85" w:rsidRPr="000471C6" w:rsidRDefault="007C4E85" w:rsidP="00DA4763">
            <w:pPr>
              <w:spacing w:before="60" w:after="60" w:line="252" w:lineRule="auto"/>
              <w:rPr>
                <w:rFonts w:cstheme="minorHAnsi"/>
                <w:sz w:val="20"/>
                <w:szCs w:val="20"/>
              </w:rPr>
            </w:pPr>
            <w:r w:rsidRPr="000471C6">
              <w:rPr>
                <w:rFonts w:cstheme="minorHAnsi"/>
                <w:sz w:val="20"/>
                <w:szCs w:val="20"/>
              </w:rPr>
              <w:t>Full scheme agreement signed with all states and territories</w:t>
            </w:r>
          </w:p>
        </w:tc>
        <w:tc>
          <w:tcPr>
            <w:tcW w:w="736" w:type="pct"/>
            <w:shd w:val="clear" w:color="auto" w:fill="FFFFFF" w:themeFill="background1"/>
          </w:tcPr>
          <w:p w14:paraId="05394B95" w14:textId="77777777" w:rsidR="007C4E85" w:rsidRPr="000471C6" w:rsidRDefault="007C4E85" w:rsidP="00DA4763">
            <w:pPr>
              <w:spacing w:before="60" w:after="60" w:line="252" w:lineRule="auto"/>
              <w:rPr>
                <w:rFonts w:cstheme="minorHAnsi"/>
                <w:sz w:val="20"/>
                <w:szCs w:val="20"/>
                <w:vertAlign w:val="subscript"/>
              </w:rPr>
            </w:pPr>
            <w:r w:rsidRPr="000471C6">
              <w:rPr>
                <w:rFonts w:cstheme="minorHAnsi"/>
                <w:sz w:val="20"/>
                <w:szCs w:val="20"/>
              </w:rPr>
              <w:t>N/A</w:t>
            </w:r>
          </w:p>
        </w:tc>
        <w:tc>
          <w:tcPr>
            <w:tcW w:w="736" w:type="pct"/>
            <w:shd w:val="clear" w:color="auto" w:fill="FFFFFF" w:themeFill="background1"/>
          </w:tcPr>
          <w:p w14:paraId="02153E37" w14:textId="77777777" w:rsidR="007C4E85" w:rsidRPr="000471C6" w:rsidRDefault="007C4E85" w:rsidP="00DA4763">
            <w:pPr>
              <w:spacing w:before="60" w:after="60" w:line="252" w:lineRule="auto"/>
              <w:rPr>
                <w:rFonts w:cstheme="minorHAnsi"/>
                <w:sz w:val="20"/>
                <w:szCs w:val="20"/>
              </w:rPr>
            </w:pPr>
            <w:r w:rsidRPr="000471C6">
              <w:rPr>
                <w:rFonts w:cstheme="minorHAnsi"/>
                <w:sz w:val="20"/>
                <w:szCs w:val="20"/>
              </w:rPr>
              <w:t>N/A</w:t>
            </w:r>
          </w:p>
        </w:tc>
        <w:tc>
          <w:tcPr>
            <w:tcW w:w="737" w:type="pct"/>
            <w:shd w:val="clear" w:color="auto" w:fill="FFFFFF" w:themeFill="background1"/>
          </w:tcPr>
          <w:p w14:paraId="04008878" w14:textId="77777777" w:rsidR="007C4E85" w:rsidRPr="000471C6" w:rsidRDefault="007C4E85" w:rsidP="00DA4763">
            <w:pPr>
              <w:spacing w:before="60" w:after="60" w:line="252" w:lineRule="auto"/>
              <w:rPr>
                <w:rFonts w:cstheme="minorHAnsi"/>
                <w:sz w:val="20"/>
                <w:szCs w:val="20"/>
              </w:rPr>
            </w:pPr>
            <w:r w:rsidRPr="000471C6">
              <w:rPr>
                <w:rFonts w:cstheme="minorHAnsi"/>
                <w:sz w:val="20"/>
                <w:szCs w:val="20"/>
              </w:rPr>
              <w:t>N/A</w:t>
            </w:r>
          </w:p>
        </w:tc>
      </w:tr>
    </w:tbl>
    <w:p w14:paraId="632D3933" w14:textId="0E312618" w:rsidR="00AB1979" w:rsidRPr="000471C6" w:rsidRDefault="007C4E85" w:rsidP="00AA3C01">
      <w:pPr>
        <w:pStyle w:val="Normalmorespace"/>
        <w:rPr>
          <w:rFonts w:cstheme="minorHAnsi"/>
          <w:b/>
        </w:rPr>
      </w:pPr>
      <w:r w:rsidRPr="000471C6">
        <w:t>This target will be fully met by 30 June 2024. Monitoring against this target will not be required for future years.</w:t>
      </w:r>
    </w:p>
    <w:p w14:paraId="472D6C29" w14:textId="77777777" w:rsidR="007C4E85" w:rsidRPr="000471C6" w:rsidRDefault="007C4E85" w:rsidP="00046C03">
      <w:pPr>
        <w:pStyle w:val="Heading4"/>
        <w:shd w:val="clear" w:color="auto" w:fill="D9D9D9" w:themeFill="background1" w:themeFillShade="D9"/>
      </w:pPr>
      <w:r w:rsidRPr="000471C6">
        <w:t>Rationale</w:t>
      </w:r>
    </w:p>
    <w:p w14:paraId="02752D57" w14:textId="7DFC94C7" w:rsidR="00236DFD" w:rsidRDefault="007C4E85" w:rsidP="00AA3C01">
      <w:pPr>
        <w:pStyle w:val="Normalmorespace"/>
      </w:pPr>
      <w:r w:rsidRPr="000471C6">
        <w:t xml:space="preserve">The execution of full scheme bilateral agreements with all states and territories demonstrates the completion of transition as all states and territories would be contributing to the NDIS under full scheme bilateral agreements, as opposed to transition bilateral agreements. Western Australia is the only state or territory remaining to negotiate full scheme arrangements. Negotiation of full scheme arrangements for WA is scheduled to be completed by 30 June 2024. This measure demonstrates the </w:t>
      </w:r>
      <w:r w:rsidRPr="000471C6">
        <w:rPr>
          <w:b/>
        </w:rPr>
        <w:t>effectiveness</w:t>
      </w:r>
      <w:r w:rsidRPr="000471C6">
        <w:t xml:space="preserve"> of </w:t>
      </w:r>
      <w:r w:rsidRPr="000471C6">
        <w:rPr>
          <w:b/>
        </w:rPr>
        <w:t>NDIS Transition</w:t>
      </w:r>
      <w:r w:rsidRPr="000471C6">
        <w:t xml:space="preserve"> in achieving the objective of the key activity: for eligible persons to be supported by the NDIS rather than by services provided under arrangements in place prior to the NDIS becoming available across all of Australia.</w:t>
      </w:r>
    </w:p>
    <w:p w14:paraId="5DE48EE3" w14:textId="7F43E92C" w:rsidR="00B27175" w:rsidRDefault="00B27175" w:rsidP="00AA3C01">
      <w:pPr>
        <w:pStyle w:val="Normalmorespace"/>
      </w:pPr>
    </w:p>
    <w:p w14:paraId="6B554188" w14:textId="77777777" w:rsidR="00B27175" w:rsidRPr="000471C6" w:rsidRDefault="00B27175" w:rsidP="00AA3C01">
      <w:pPr>
        <w:pStyle w:val="Normalmorespace"/>
        <w:rPr>
          <w:rFonts w:cstheme="minorHAnsi"/>
        </w:rPr>
      </w:pPr>
    </w:p>
    <w:p w14:paraId="4294DB28" w14:textId="77777777" w:rsidR="007C4E85" w:rsidRPr="000471C6" w:rsidRDefault="007C4E85" w:rsidP="00046C03">
      <w:pPr>
        <w:pStyle w:val="Heading4"/>
        <w:shd w:val="clear" w:color="auto" w:fill="D9D9D9" w:themeFill="background1" w:themeFillShade="D9"/>
      </w:pPr>
      <w:r w:rsidRPr="000471C6">
        <w:t>Methodology</w:t>
      </w:r>
    </w:p>
    <w:p w14:paraId="63A86951" w14:textId="3AD3EB30" w:rsidR="007C4E85" w:rsidRDefault="007C4E85" w:rsidP="00AA3C01">
      <w:pPr>
        <w:pStyle w:val="Normalmorespace"/>
      </w:pPr>
      <w:r w:rsidRPr="000471C6">
        <w:t xml:space="preserve">Reporting against this measure will be based on the execution of a full scheme bilateral agreement with the Western Australian government. Once executed, full scheme agreements will be in in </w:t>
      </w:r>
      <w:r w:rsidRPr="000471C6">
        <w:softHyphen/>
      </w:r>
      <w:r w:rsidRPr="000471C6">
        <w:softHyphen/>
        <w:t>place with all states and territories.</w:t>
      </w:r>
    </w:p>
    <w:p w14:paraId="4EDD35D2" w14:textId="77777777" w:rsidR="007C4E85" w:rsidRPr="000471C6" w:rsidRDefault="007C4E85" w:rsidP="00046C03">
      <w:pPr>
        <w:pStyle w:val="Heading4"/>
        <w:shd w:val="clear" w:color="auto" w:fill="D9D9D9" w:themeFill="background1" w:themeFillShade="D9"/>
      </w:pPr>
      <w:r w:rsidRPr="000471C6">
        <w:t>Program Outputs</w:t>
      </w:r>
    </w:p>
    <w:p w14:paraId="17669AA0" w14:textId="20AD819D" w:rsidR="007C4E85" w:rsidRPr="00280376" w:rsidRDefault="007C4E85" w:rsidP="00AA3C01">
      <w:pPr>
        <w:pStyle w:val="ListParagraph"/>
        <w:numPr>
          <w:ilvl w:val="0"/>
          <w:numId w:val="35"/>
        </w:numPr>
        <w:spacing w:before="80" w:after="80" w:line="240" w:lineRule="auto"/>
        <w:ind w:left="714" w:hanging="357"/>
        <w:contextualSpacing w:val="0"/>
        <w:rPr>
          <w:rFonts w:cs="Arial"/>
          <w:sz w:val="20"/>
          <w:szCs w:val="20"/>
        </w:rPr>
      </w:pPr>
      <w:r w:rsidRPr="00280376">
        <w:rPr>
          <w:rFonts w:cs="Arial"/>
          <w:sz w:val="20"/>
          <w:szCs w:val="20"/>
        </w:rPr>
        <w:t>Administered outlays (NDIS; NDIS Transition; NDIS Participant Plans; Information, Linkages and Capacity Building; Establishment of the NDIS Quality and Safeguards Commission; Boosting the Local Care Workforce; Payments to Corporate Entity – National Disability Insurance Agency costs)</w:t>
      </w:r>
    </w:p>
    <w:p w14:paraId="56469DBA" w14:textId="19FB4859" w:rsidR="007C4E85" w:rsidRPr="00280376" w:rsidRDefault="007C4E85" w:rsidP="00AA3C01">
      <w:pPr>
        <w:pStyle w:val="ListParagraph"/>
        <w:numPr>
          <w:ilvl w:val="0"/>
          <w:numId w:val="35"/>
        </w:numPr>
        <w:spacing w:before="80" w:after="80" w:line="240" w:lineRule="auto"/>
        <w:ind w:left="714" w:hanging="357"/>
        <w:contextualSpacing w:val="0"/>
        <w:rPr>
          <w:rFonts w:cs="Arial"/>
          <w:sz w:val="20"/>
          <w:szCs w:val="20"/>
        </w:rPr>
      </w:pPr>
      <w:r w:rsidRPr="00280376">
        <w:rPr>
          <w:rFonts w:cs="Arial"/>
          <w:sz w:val="20"/>
          <w:szCs w:val="20"/>
        </w:rPr>
        <w:t>Value and number of Jobs and Market Fund projects supporting the market, sector and workforce to transition to the NDIS.</w:t>
      </w:r>
    </w:p>
    <w:p w14:paraId="6ABB385A" w14:textId="3E07C3A7" w:rsidR="007713B1" w:rsidRDefault="007713B1" w:rsidP="007713B1">
      <w:pPr>
        <w:spacing w:after="160"/>
      </w:pPr>
      <w:r>
        <w:br w:type="page"/>
      </w:r>
    </w:p>
    <w:p w14:paraId="2B6DC191" w14:textId="77777777" w:rsidR="007713B1" w:rsidRPr="00292759" w:rsidRDefault="007713B1" w:rsidP="00046C03">
      <w:pPr>
        <w:pStyle w:val="Heading3"/>
        <w:shd w:val="clear" w:color="auto" w:fill="1A6775"/>
      </w:pPr>
      <w:r w:rsidRPr="00292759">
        <w:t>PROGRAM 3.</w:t>
      </w:r>
      <w:r>
        <w:t xml:space="preserve">2 NATIONAL </w:t>
      </w:r>
      <w:r w:rsidRPr="00292759">
        <w:t xml:space="preserve">DISABILITY </w:t>
      </w:r>
      <w:r>
        <w:t>INSURANCE SCHEME</w:t>
      </w:r>
    </w:p>
    <w:p w14:paraId="2CA7AE98" w14:textId="06516FCB" w:rsidR="007713B1" w:rsidRPr="00454E8A" w:rsidRDefault="007713B1" w:rsidP="00046C03">
      <w:pPr>
        <w:shd w:val="clear" w:color="auto" w:fill="1A6775"/>
        <w:spacing w:line="252" w:lineRule="auto"/>
        <w:rPr>
          <w:rFonts w:cs="Arial"/>
          <w:color w:val="FFFFFF" w:themeColor="background1"/>
          <w:sz w:val="20"/>
          <w:szCs w:val="20"/>
        </w:rPr>
      </w:pPr>
      <w:r w:rsidRPr="003359FA">
        <w:rPr>
          <w:rFonts w:cs="Arial"/>
          <w:color w:val="FFFFFF" w:themeColor="background1"/>
          <w:sz w:val="20"/>
          <w:szCs w:val="20"/>
        </w:rPr>
        <w:t>To improve the wellbeing and social and economic participation of people with disability, and their families and carers, by building a NDIS that delivers individualised support through an insurance approach.</w:t>
      </w:r>
      <w:r w:rsidRPr="00454E8A">
        <w:rPr>
          <w:rFonts w:cs="Arial"/>
          <w:color w:val="FFFFFF" w:themeColor="background1"/>
          <w:sz w:val="20"/>
          <w:szCs w:val="20"/>
        </w:rPr>
        <w:t xml:space="preserve"> </w:t>
      </w:r>
      <w:r w:rsidR="003359FA" w:rsidRPr="000471C6">
        <w:rPr>
          <w:rFonts w:cstheme="minorHAnsi"/>
          <w:color w:val="FFFFFF" w:themeColor="background1"/>
          <w:sz w:val="20"/>
          <w:szCs w:val="20"/>
        </w:rPr>
        <w:t>This program also includes the Jobs and Market Fund.</w:t>
      </w:r>
    </w:p>
    <w:p w14:paraId="37E1CBAB" w14:textId="77777777" w:rsidR="007713B1" w:rsidRPr="00454E8A" w:rsidRDefault="007713B1" w:rsidP="00046C03">
      <w:pPr>
        <w:pStyle w:val="Heading4"/>
        <w:shd w:val="clear" w:color="auto" w:fill="D9D9D9" w:themeFill="background1" w:themeFillShade="D9"/>
      </w:pPr>
      <w:r w:rsidRPr="00454E8A">
        <w:t>Key Activity — 3.2.</w:t>
      </w:r>
      <w:r>
        <w:t>3</w:t>
      </w:r>
      <w:r w:rsidRPr="00454E8A">
        <w:t xml:space="preserve"> </w:t>
      </w:r>
      <w:r w:rsidRPr="00E27B57">
        <w:t>NDIS Participant Plans</w:t>
      </w:r>
    </w:p>
    <w:p w14:paraId="6C4F3FC7" w14:textId="77777777" w:rsidR="007713B1" w:rsidRPr="00454E8A" w:rsidRDefault="007713B1" w:rsidP="00AA3C01">
      <w:pPr>
        <w:rPr>
          <w:rFonts w:cs="Arial"/>
          <w:i/>
          <w:sz w:val="20"/>
          <w:szCs w:val="20"/>
          <w:u w:val="single"/>
        </w:rPr>
      </w:pPr>
      <w:r w:rsidRPr="00454E8A">
        <w:rPr>
          <w:rFonts w:cs="Arial"/>
          <w:i/>
          <w:sz w:val="20"/>
          <w:szCs w:val="20"/>
          <w:u w:val="single"/>
        </w:rPr>
        <w:t>Summary of the NDIS</w:t>
      </w:r>
    </w:p>
    <w:p w14:paraId="374E9B45" w14:textId="77777777" w:rsidR="007713B1" w:rsidRPr="00454E8A" w:rsidRDefault="007713B1" w:rsidP="00AA3C01">
      <w:pPr>
        <w:pStyle w:val="Normalmorespace"/>
      </w:pPr>
      <w:r w:rsidRPr="00454E8A">
        <w:t xml:space="preserve">The NDIS is Australia’s first national Scheme for people with disability. It supports the </w:t>
      </w:r>
      <w:r w:rsidRPr="00454E8A">
        <w:rPr>
          <w:b/>
        </w:rPr>
        <w:t>independence</w:t>
      </w:r>
      <w:r w:rsidRPr="00454E8A">
        <w:t xml:space="preserve"> and </w:t>
      </w:r>
      <w:r w:rsidRPr="00454E8A">
        <w:rPr>
          <w:b/>
        </w:rPr>
        <w:t xml:space="preserve">social </w:t>
      </w:r>
      <w:r w:rsidRPr="00454E8A">
        <w:t>and</w:t>
      </w:r>
      <w:r w:rsidRPr="00454E8A">
        <w:rPr>
          <w:b/>
        </w:rPr>
        <w:t xml:space="preserve"> economic participation</w:t>
      </w:r>
      <w:r w:rsidRPr="00454E8A">
        <w:t xml:space="preserve"> of people with disability.</w:t>
      </w:r>
    </w:p>
    <w:p w14:paraId="5DA78825" w14:textId="77777777" w:rsidR="007713B1" w:rsidRPr="00454E8A" w:rsidRDefault="007713B1" w:rsidP="00AA3C01">
      <w:pPr>
        <w:pStyle w:val="Normalmorespace"/>
      </w:pPr>
      <w:r w:rsidRPr="00454E8A">
        <w:t xml:space="preserve">The NDIS provides funding directly to people with a disability, moving away from the previous system of providing block funding to agencies and community organisations. </w:t>
      </w:r>
    </w:p>
    <w:p w14:paraId="7F1EEAB9" w14:textId="77777777" w:rsidR="007713B1" w:rsidRPr="00454E8A" w:rsidRDefault="007713B1" w:rsidP="00AA3C01">
      <w:pPr>
        <w:pStyle w:val="Normalmorespace"/>
      </w:pPr>
      <w:r w:rsidRPr="00454E8A">
        <w:t xml:space="preserve">The NDIS gives participants </w:t>
      </w:r>
      <w:r w:rsidRPr="00454E8A">
        <w:rPr>
          <w:b/>
        </w:rPr>
        <w:t>choice and control</w:t>
      </w:r>
      <w:r w:rsidRPr="00454E8A">
        <w:t xml:space="preserve"> in the pursuit of their goals and the planning and delivery of their supports, ensuring the provision of </w:t>
      </w:r>
      <w:r w:rsidRPr="00454E8A">
        <w:rPr>
          <w:b/>
        </w:rPr>
        <w:t>reasonable and necessary</w:t>
      </w:r>
      <w:r w:rsidRPr="00454E8A">
        <w:t xml:space="preserve"> supports, including early intervention supports where this can reduce the impact of disability for eligible people including children.</w:t>
      </w:r>
    </w:p>
    <w:p w14:paraId="601FC200" w14:textId="77777777" w:rsidR="007713B1" w:rsidRPr="00454E8A" w:rsidRDefault="007713B1" w:rsidP="00AA3C01">
      <w:pPr>
        <w:pStyle w:val="Normalmorespace"/>
      </w:pPr>
      <w:r w:rsidRPr="00454E8A">
        <w:t xml:space="preserve">The NDIS is </w:t>
      </w:r>
      <w:r w:rsidRPr="00454E8A">
        <w:rPr>
          <w:b/>
        </w:rPr>
        <w:t>co-governed by Commonwealth and state and territory disability ministers</w:t>
      </w:r>
      <w:r w:rsidRPr="00454E8A">
        <w:t xml:space="preserve"> via the Disability Reform Ministerial Council (DRMC) and administered by the National Disability Insurance Agency (NDIA).</w:t>
      </w:r>
    </w:p>
    <w:p w14:paraId="3D627183" w14:textId="3E7FAC0E" w:rsidR="007713B1" w:rsidRPr="00454E8A" w:rsidRDefault="00073300" w:rsidP="00AA3C01">
      <w:pPr>
        <w:rPr>
          <w:rFonts w:cs="Arial"/>
          <w:i/>
          <w:sz w:val="20"/>
          <w:szCs w:val="20"/>
          <w:u w:val="single"/>
        </w:rPr>
      </w:pPr>
      <w:r>
        <w:rPr>
          <w:rFonts w:cs="Arial"/>
          <w:i/>
          <w:sz w:val="20"/>
          <w:szCs w:val="20"/>
          <w:u w:val="single"/>
        </w:rPr>
        <w:t>The d</w:t>
      </w:r>
      <w:r w:rsidR="007713B1">
        <w:rPr>
          <w:rFonts w:cs="Arial"/>
          <w:i/>
          <w:sz w:val="20"/>
          <w:szCs w:val="20"/>
          <w:u w:val="single"/>
        </w:rPr>
        <w:t>epartment</w:t>
      </w:r>
      <w:r w:rsidR="007713B1" w:rsidRPr="00454E8A">
        <w:rPr>
          <w:rFonts w:cs="Arial"/>
          <w:i/>
          <w:sz w:val="20"/>
          <w:szCs w:val="20"/>
          <w:u w:val="single"/>
        </w:rPr>
        <w:t>’s role: Enabling the ongoing functioning of the NDIS</w:t>
      </w:r>
    </w:p>
    <w:p w14:paraId="04A97D91" w14:textId="6BC6460A" w:rsidR="007713B1" w:rsidRPr="00454E8A" w:rsidRDefault="00073300" w:rsidP="00AA3C01">
      <w:pPr>
        <w:pStyle w:val="Normalmorespace"/>
      </w:pPr>
      <w:r>
        <w:t>The d</w:t>
      </w:r>
      <w:r w:rsidR="007713B1">
        <w:t>epartment</w:t>
      </w:r>
      <w:r w:rsidR="007713B1" w:rsidRPr="00454E8A">
        <w:t xml:space="preserve"> </w:t>
      </w:r>
      <w:r w:rsidR="007713B1">
        <w:t xml:space="preserve">has policy </w:t>
      </w:r>
      <w:r w:rsidR="007713B1" w:rsidRPr="00454E8A">
        <w:t>responsib</w:t>
      </w:r>
      <w:r w:rsidR="007713B1">
        <w:t xml:space="preserve">ility </w:t>
      </w:r>
      <w:r w:rsidR="007713B1" w:rsidRPr="00454E8A">
        <w:t xml:space="preserve">for the </w:t>
      </w:r>
      <w:r w:rsidR="007713B1" w:rsidRPr="002B12A0">
        <w:rPr>
          <w:i/>
        </w:rPr>
        <w:t>National Disability Insurance Scheme Act 2013</w:t>
      </w:r>
      <w:r w:rsidR="007713B1" w:rsidRPr="00454E8A">
        <w:t xml:space="preserve"> (Cth) and subordinate legislation (rules made under the Act), which underpin the governance and operations of the NDIA’s role in the NDIS.</w:t>
      </w:r>
    </w:p>
    <w:p w14:paraId="7542E862" w14:textId="4398A4EE" w:rsidR="007713B1" w:rsidRPr="00454E8A" w:rsidRDefault="007713B1" w:rsidP="00AA3C01">
      <w:pPr>
        <w:pStyle w:val="Normalmorespace"/>
      </w:pPr>
      <w:r>
        <w:t xml:space="preserve">The </w:t>
      </w:r>
      <w:r w:rsidR="00073300">
        <w:t>d</w:t>
      </w:r>
      <w:r>
        <w:t>epartment</w:t>
      </w:r>
      <w:r w:rsidRPr="00454E8A">
        <w:t>’</w:t>
      </w:r>
      <w:r>
        <w:t>s</w:t>
      </w:r>
      <w:r w:rsidRPr="00454E8A">
        <w:t xml:space="preserve"> role is primarily </w:t>
      </w:r>
      <w:r w:rsidRPr="00454E8A">
        <w:rPr>
          <w:i/>
        </w:rPr>
        <w:t>enabling</w:t>
      </w:r>
      <w:r w:rsidRPr="00454E8A">
        <w:t xml:space="preserve">. </w:t>
      </w:r>
      <w:r>
        <w:t>Th</w:t>
      </w:r>
      <w:r w:rsidR="00073300">
        <w:t>e d</w:t>
      </w:r>
      <w:r>
        <w:t>epartment</w:t>
      </w:r>
      <w:r w:rsidRPr="00454E8A">
        <w:t xml:space="preserve"> has </w:t>
      </w:r>
      <w:r w:rsidRPr="00454E8A">
        <w:rPr>
          <w:b/>
        </w:rPr>
        <w:t>ongoing responsibility</w:t>
      </w:r>
      <w:r w:rsidRPr="00454E8A">
        <w:t xml:space="preserve"> for activities that enable the </w:t>
      </w:r>
      <w:r w:rsidRPr="00454E8A">
        <w:rPr>
          <w:b/>
        </w:rPr>
        <w:t>continued functioning</w:t>
      </w:r>
      <w:r w:rsidRPr="00454E8A">
        <w:t xml:space="preserve"> of the NDIS, including: </w:t>
      </w:r>
    </w:p>
    <w:p w14:paraId="22D9E719" w14:textId="2E8DD6AC" w:rsidR="007713B1"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 xml:space="preserve">providing advice to government on the design, operation and performance of the NDIS, including </w:t>
      </w:r>
      <w:r>
        <w:rPr>
          <w:rFonts w:cs="Arial"/>
          <w:sz w:val="20"/>
          <w:szCs w:val="20"/>
          <w:lang w:val="en-US"/>
        </w:rPr>
        <w:t>where these may affect</w:t>
      </w:r>
      <w:r w:rsidRPr="00C02D45">
        <w:rPr>
          <w:rFonts w:cs="Arial"/>
          <w:sz w:val="20"/>
          <w:szCs w:val="20"/>
          <w:lang w:val="en-US"/>
        </w:rPr>
        <w:t xml:space="preserve"> the NDIS Financial Sustainability Framework</w:t>
      </w:r>
    </w:p>
    <w:p w14:paraId="0F3B2A4F" w14:textId="77777777" w:rsidR="009E4B36" w:rsidRPr="00C02D45" w:rsidRDefault="009E4B36" w:rsidP="009E4B36">
      <w:pPr>
        <w:pStyle w:val="ListParagraph"/>
        <w:numPr>
          <w:ilvl w:val="0"/>
          <w:numId w:val="33"/>
        </w:numPr>
        <w:spacing w:before="80" w:after="80" w:line="240" w:lineRule="auto"/>
        <w:ind w:left="641" w:hanging="357"/>
        <w:contextualSpacing w:val="0"/>
        <w:rPr>
          <w:rFonts w:cs="Arial"/>
          <w:sz w:val="20"/>
          <w:szCs w:val="20"/>
          <w:lang w:val="en-US"/>
        </w:rPr>
      </w:pPr>
      <w:r>
        <w:rPr>
          <w:rFonts w:cs="Arial"/>
          <w:sz w:val="20"/>
          <w:szCs w:val="20"/>
          <w:lang w:val="en-US"/>
        </w:rPr>
        <w:t>provide advice to government on ways to build a more responsive, supportive and sustainable market and workforce for provision of supports to NDIS participants</w:t>
      </w:r>
    </w:p>
    <w:p w14:paraId="1C83685A"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 xml:space="preserve">liaising with states and territories regarding the interface between the NDIS and other services systems (such as housing, health, education, transport, justice and child protection) </w:t>
      </w:r>
    </w:p>
    <w:p w14:paraId="7846F5FF"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administering Commonwealth payments to the NDIA</w:t>
      </w:r>
    </w:p>
    <w:p w14:paraId="55582568"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Pr>
          <w:rFonts w:cs="Arial"/>
          <w:sz w:val="20"/>
          <w:szCs w:val="20"/>
          <w:lang w:val="en-US"/>
        </w:rPr>
        <w:t>liaising with states and territories on</w:t>
      </w:r>
      <w:r w:rsidRPr="00C02D45">
        <w:rPr>
          <w:rFonts w:cs="Arial"/>
          <w:sz w:val="20"/>
          <w:szCs w:val="20"/>
          <w:lang w:val="en-US"/>
        </w:rPr>
        <w:t xml:space="preserve"> the transition of in-kind services to the NDIS </w:t>
      </w:r>
    </w:p>
    <w:p w14:paraId="319FE4AB"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supporting meetings of Commonwealth, state and territory disability ministers as the Ministerial Council under the NDIS Act.</w:t>
      </w:r>
    </w:p>
    <w:p w14:paraId="5E143E73" w14:textId="0DEC9116" w:rsidR="007713B1" w:rsidRPr="00454E8A" w:rsidRDefault="00073300" w:rsidP="00AA3C01">
      <w:pPr>
        <w:pStyle w:val="Normalmorespace"/>
      </w:pPr>
      <w:r>
        <w:t>The d</w:t>
      </w:r>
      <w:r w:rsidR="007713B1">
        <w:t>epartment</w:t>
      </w:r>
      <w:r w:rsidR="007713B1" w:rsidRPr="00454E8A">
        <w:t xml:space="preserve"> works closely with a </w:t>
      </w:r>
      <w:r w:rsidR="007713B1" w:rsidRPr="00454E8A">
        <w:rPr>
          <w:b/>
        </w:rPr>
        <w:t>range of agencies and entities</w:t>
      </w:r>
      <w:r w:rsidR="007713B1" w:rsidRPr="00454E8A">
        <w:t xml:space="preserve"> each playing their part in the NDIS, including: </w:t>
      </w:r>
    </w:p>
    <w:p w14:paraId="49ACA2CF" w14:textId="77777777" w:rsidR="007713B1" w:rsidRPr="00C02D45" w:rsidRDefault="007713B1" w:rsidP="00AA3C01">
      <w:pPr>
        <w:pStyle w:val="ListParagraph"/>
        <w:numPr>
          <w:ilvl w:val="0"/>
          <w:numId w:val="34"/>
        </w:numPr>
        <w:spacing w:before="80" w:after="80" w:line="240" w:lineRule="auto"/>
        <w:ind w:left="714" w:hanging="357"/>
        <w:contextualSpacing w:val="0"/>
        <w:rPr>
          <w:rFonts w:cs="Arial"/>
          <w:sz w:val="20"/>
          <w:szCs w:val="20"/>
        </w:rPr>
      </w:pPr>
      <w:r w:rsidRPr="00C02D45">
        <w:rPr>
          <w:rFonts w:cs="Arial"/>
          <w:sz w:val="20"/>
          <w:szCs w:val="20"/>
        </w:rPr>
        <w:t>The NDIA</w:t>
      </w:r>
    </w:p>
    <w:p w14:paraId="7EEEC1A7" w14:textId="77777777" w:rsidR="007713B1" w:rsidRPr="00C02D45" w:rsidRDefault="007713B1" w:rsidP="00AA3C01">
      <w:pPr>
        <w:pStyle w:val="ListParagraph"/>
        <w:numPr>
          <w:ilvl w:val="0"/>
          <w:numId w:val="34"/>
        </w:numPr>
        <w:spacing w:before="80" w:after="80" w:line="240" w:lineRule="auto"/>
        <w:ind w:left="714" w:hanging="357"/>
        <w:contextualSpacing w:val="0"/>
        <w:rPr>
          <w:rFonts w:cs="Arial"/>
          <w:sz w:val="20"/>
          <w:szCs w:val="20"/>
        </w:rPr>
      </w:pPr>
      <w:r w:rsidRPr="00C02D45">
        <w:rPr>
          <w:rFonts w:cs="Arial"/>
          <w:sz w:val="20"/>
          <w:szCs w:val="20"/>
        </w:rPr>
        <w:t>States and territories</w:t>
      </w:r>
    </w:p>
    <w:p w14:paraId="2888176F" w14:textId="77777777" w:rsidR="007713B1" w:rsidRPr="00C02D45" w:rsidRDefault="007713B1" w:rsidP="00AA3C01">
      <w:pPr>
        <w:pStyle w:val="ListParagraph"/>
        <w:numPr>
          <w:ilvl w:val="0"/>
          <w:numId w:val="34"/>
        </w:numPr>
        <w:spacing w:before="80" w:after="80" w:line="240" w:lineRule="auto"/>
        <w:ind w:left="714" w:hanging="357"/>
        <w:contextualSpacing w:val="0"/>
        <w:rPr>
          <w:rFonts w:cs="Arial"/>
          <w:sz w:val="20"/>
          <w:szCs w:val="20"/>
        </w:rPr>
      </w:pPr>
      <w:r w:rsidRPr="00C02D45">
        <w:rPr>
          <w:rFonts w:cs="Arial"/>
          <w:sz w:val="20"/>
          <w:szCs w:val="20"/>
        </w:rPr>
        <w:t>The NDIS Quality and Safeguards Commission</w:t>
      </w:r>
      <w:r>
        <w:rPr>
          <w:rFonts w:cs="Arial"/>
          <w:sz w:val="20"/>
          <w:szCs w:val="20"/>
        </w:rPr>
        <w:t>.</w:t>
      </w:r>
    </w:p>
    <w:p w14:paraId="07F7C93B" w14:textId="77777777" w:rsidR="007713B1" w:rsidRPr="00454E8A" w:rsidRDefault="007713B1" w:rsidP="00AA3C01">
      <w:pPr>
        <w:pStyle w:val="Normalmorespace"/>
      </w:pPr>
      <w:r w:rsidRPr="00454E8A">
        <w:t xml:space="preserve">The role of these in the NDIS is summarised briefly below. </w:t>
      </w:r>
    </w:p>
    <w:p w14:paraId="04DE8769" w14:textId="77777777" w:rsidR="006E191F" w:rsidRDefault="006E191F">
      <w:pPr>
        <w:spacing w:before="0" w:after="200" w:line="276" w:lineRule="auto"/>
        <w:rPr>
          <w:rFonts w:cs="Arial"/>
          <w:i/>
          <w:sz w:val="20"/>
          <w:szCs w:val="20"/>
          <w:u w:val="single"/>
        </w:rPr>
      </w:pPr>
      <w:r>
        <w:rPr>
          <w:rFonts w:cs="Arial"/>
          <w:i/>
          <w:sz w:val="20"/>
          <w:szCs w:val="20"/>
          <w:u w:val="single"/>
        </w:rPr>
        <w:br w:type="page"/>
      </w:r>
    </w:p>
    <w:p w14:paraId="47EF8FFC" w14:textId="47222B28" w:rsidR="007713B1" w:rsidRPr="00454E8A" w:rsidRDefault="007713B1" w:rsidP="00AA3C01">
      <w:pPr>
        <w:rPr>
          <w:rFonts w:cs="Arial"/>
          <w:i/>
          <w:sz w:val="20"/>
          <w:szCs w:val="20"/>
          <w:u w:val="single"/>
        </w:rPr>
      </w:pPr>
      <w:r w:rsidRPr="00454E8A">
        <w:rPr>
          <w:rFonts w:cs="Arial"/>
          <w:i/>
          <w:sz w:val="20"/>
          <w:szCs w:val="20"/>
          <w:u w:val="single"/>
        </w:rPr>
        <w:t>The role of other agencies and entities in the NDIS</w:t>
      </w:r>
    </w:p>
    <w:p w14:paraId="4C738F30" w14:textId="77777777" w:rsidR="007713B1" w:rsidRPr="00454E8A" w:rsidRDefault="007713B1" w:rsidP="00AA3C01">
      <w:pPr>
        <w:rPr>
          <w:rFonts w:cs="Arial"/>
          <w:sz w:val="20"/>
          <w:szCs w:val="20"/>
        </w:rPr>
      </w:pPr>
      <w:r w:rsidRPr="00454E8A">
        <w:rPr>
          <w:rFonts w:cs="Arial"/>
          <w:b/>
          <w:sz w:val="20"/>
          <w:szCs w:val="20"/>
        </w:rPr>
        <w:t>The National Disability Insurance Agency (NDIA)</w:t>
      </w:r>
      <w:r w:rsidRPr="00454E8A">
        <w:rPr>
          <w:rFonts w:cs="Arial"/>
          <w:sz w:val="20"/>
          <w:szCs w:val="20"/>
        </w:rPr>
        <w:t xml:space="preserve"> is responsible for:</w:t>
      </w:r>
    </w:p>
    <w:p w14:paraId="0848F9B6"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delivery of the NDIS program</w:t>
      </w:r>
    </w:p>
    <w:p w14:paraId="72A0635A"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managing the financial sustainability of the NDIS, and advising and reporting on this to the Ministerial Council</w:t>
      </w:r>
    </w:p>
    <w:p w14:paraId="0E10624B"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developing and enhancing the disability sector including by facilitating innovation, research, and contemporary best practice in the sector</w:t>
      </w:r>
    </w:p>
    <w:p w14:paraId="25978E9F"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collecting, analysing, and exchanging data about disabilities and the supports (including early intervention supports) for people with disability through the NDIS</w:t>
      </w:r>
    </w:p>
    <w:p w14:paraId="42472627"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undertaking research relating to disability, the supports for people with disability, and the social contributors to disability</w:t>
      </w:r>
      <w:r>
        <w:rPr>
          <w:rFonts w:cs="Arial"/>
          <w:sz w:val="20"/>
          <w:szCs w:val="20"/>
          <w:lang w:val="en-US"/>
        </w:rPr>
        <w:t>.</w:t>
      </w:r>
    </w:p>
    <w:p w14:paraId="3E8F8F71" w14:textId="77777777" w:rsidR="007713B1" w:rsidRPr="00454E8A" w:rsidRDefault="007713B1" w:rsidP="00AA3C01">
      <w:pPr>
        <w:ind w:left="720" w:hanging="720"/>
        <w:rPr>
          <w:rFonts w:cs="Arial"/>
          <w:sz w:val="20"/>
          <w:szCs w:val="20"/>
        </w:rPr>
      </w:pPr>
      <w:r w:rsidRPr="00454E8A">
        <w:rPr>
          <w:rFonts w:cs="Arial"/>
          <w:b/>
          <w:sz w:val="20"/>
          <w:szCs w:val="20"/>
        </w:rPr>
        <w:t>The states and territories’</w:t>
      </w:r>
      <w:r w:rsidRPr="00454E8A">
        <w:rPr>
          <w:rFonts w:cs="Arial"/>
          <w:sz w:val="20"/>
          <w:szCs w:val="20"/>
        </w:rPr>
        <w:t xml:space="preserve"> role in governing and implementing the NDIS, include:</w:t>
      </w:r>
    </w:p>
    <w:p w14:paraId="247EC3C2"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rPr>
      </w:pPr>
      <w:r w:rsidRPr="00C02D45">
        <w:rPr>
          <w:rFonts w:cs="Arial"/>
          <w:sz w:val="20"/>
          <w:szCs w:val="20"/>
          <w:lang w:val="en-US"/>
        </w:rPr>
        <w:t>agreeing NDIS rules, which underpin the governance and operations of the NDIS</w:t>
      </w:r>
      <w:r w:rsidRPr="00C02D45">
        <w:rPr>
          <w:rFonts w:cs="Arial"/>
          <w:sz w:val="20"/>
          <w:szCs w:val="20"/>
        </w:rPr>
        <w:t xml:space="preserve"> </w:t>
      </w:r>
    </w:p>
    <w:p w14:paraId="2E28BDEC"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 xml:space="preserve">transitioning </w:t>
      </w:r>
      <w:r>
        <w:rPr>
          <w:rFonts w:cs="Arial"/>
          <w:sz w:val="20"/>
          <w:szCs w:val="20"/>
          <w:lang w:val="en-US"/>
        </w:rPr>
        <w:t xml:space="preserve">eligible </w:t>
      </w:r>
      <w:r w:rsidRPr="00C02D45">
        <w:rPr>
          <w:rFonts w:cs="Arial"/>
          <w:sz w:val="20"/>
          <w:szCs w:val="20"/>
          <w:lang w:val="en-US"/>
        </w:rPr>
        <w:t>people with disability in state programs to the NDIS</w:t>
      </w:r>
    </w:p>
    <w:p w14:paraId="6C0AD568"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 xml:space="preserve">delivering in-kind supports to NDIS participants, phasing most of these out in agreed timeframes  </w:t>
      </w:r>
    </w:p>
    <w:p w14:paraId="76A9EC57"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providing financial contributions to the NDIS</w:t>
      </w:r>
    </w:p>
    <w:p w14:paraId="6FDCC5A8"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monitoring and contributing to the outcomes and financial sustainability of the NDIS</w:t>
      </w:r>
    </w:p>
    <w:p w14:paraId="0397A835"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 xml:space="preserve">providing </w:t>
      </w:r>
      <w:r>
        <w:rPr>
          <w:rFonts w:cs="Arial"/>
          <w:sz w:val="20"/>
          <w:szCs w:val="20"/>
          <w:lang w:val="en-US"/>
        </w:rPr>
        <w:t>continuing</w:t>
      </w:r>
      <w:r w:rsidRPr="00C02D45">
        <w:rPr>
          <w:rFonts w:cs="Arial"/>
          <w:sz w:val="20"/>
          <w:szCs w:val="20"/>
          <w:lang w:val="en-US"/>
        </w:rPr>
        <w:t xml:space="preserve"> support </w:t>
      </w:r>
      <w:r>
        <w:rPr>
          <w:rFonts w:cs="Arial"/>
          <w:sz w:val="20"/>
          <w:szCs w:val="20"/>
          <w:lang w:val="en-US"/>
        </w:rPr>
        <w:t xml:space="preserve">for people not eligible for NDIS </w:t>
      </w:r>
      <w:r w:rsidRPr="00C02D45">
        <w:rPr>
          <w:rFonts w:cs="Arial"/>
          <w:sz w:val="20"/>
          <w:szCs w:val="20"/>
          <w:lang w:val="en-US"/>
        </w:rPr>
        <w:t>via continuity of support arrangements</w:t>
      </w:r>
    </w:p>
    <w:p w14:paraId="6C1CBB90" w14:textId="77777777" w:rsidR="007713B1"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providing accommodation support, community support, community access, and respite for people with disabilities</w:t>
      </w:r>
    </w:p>
    <w:p w14:paraId="25547A00" w14:textId="77777777" w:rsidR="007713B1" w:rsidRPr="00472496"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Pr>
          <w:rFonts w:cs="Arial"/>
          <w:sz w:val="20"/>
          <w:szCs w:val="20"/>
          <w:lang w:val="en-US"/>
        </w:rPr>
        <w:t>Ensuring state funded and/or regulated services make reasonable adjustments to support people with disability whether NDIS participants or not.</w:t>
      </w:r>
    </w:p>
    <w:p w14:paraId="34D9210D" w14:textId="77777777" w:rsidR="007713B1" w:rsidRPr="007E2371" w:rsidRDefault="007713B1" w:rsidP="00AA3C01">
      <w:pPr>
        <w:rPr>
          <w:rFonts w:cs="Arial"/>
          <w:sz w:val="20"/>
          <w:szCs w:val="20"/>
          <w:lang w:val="en-US"/>
        </w:rPr>
      </w:pPr>
      <w:r w:rsidRPr="007E2371">
        <w:rPr>
          <w:rFonts w:cs="Arial"/>
          <w:sz w:val="20"/>
          <w:szCs w:val="20"/>
          <w:lang w:val="en-US"/>
        </w:rPr>
        <w:t xml:space="preserve">The </w:t>
      </w:r>
      <w:r w:rsidRPr="007E2371">
        <w:rPr>
          <w:rFonts w:cs="Arial"/>
          <w:b/>
          <w:sz w:val="20"/>
          <w:szCs w:val="20"/>
          <w:lang w:val="en-US"/>
        </w:rPr>
        <w:t>NDIS Quality and Safeguards Commission’s</w:t>
      </w:r>
      <w:r w:rsidRPr="007E2371">
        <w:rPr>
          <w:rFonts w:cs="Arial"/>
          <w:sz w:val="20"/>
          <w:szCs w:val="20"/>
          <w:lang w:val="en-US"/>
        </w:rPr>
        <w:t xml:space="preserve"> </w:t>
      </w:r>
      <w:r w:rsidRPr="006A6715">
        <w:rPr>
          <w:rFonts w:cs="Arial"/>
          <w:b/>
          <w:sz w:val="20"/>
          <w:szCs w:val="20"/>
          <w:lang w:val="en-US"/>
        </w:rPr>
        <w:t>role</w:t>
      </w:r>
      <w:r w:rsidRPr="007E2371">
        <w:rPr>
          <w:rFonts w:cs="Arial"/>
          <w:sz w:val="20"/>
          <w:szCs w:val="20"/>
          <w:lang w:val="en-US"/>
        </w:rPr>
        <w:t xml:space="preserve"> includes: </w:t>
      </w:r>
    </w:p>
    <w:p w14:paraId="08D5BB67" w14:textId="77777777" w:rsidR="007713B1" w:rsidRPr="00C02D45" w:rsidRDefault="007713B1" w:rsidP="00AA3C01">
      <w:pPr>
        <w:pStyle w:val="ListParagraph"/>
        <w:numPr>
          <w:ilvl w:val="0"/>
          <w:numId w:val="33"/>
        </w:numPr>
        <w:spacing w:before="80" w:after="80" w:line="240" w:lineRule="auto"/>
        <w:ind w:left="714" w:hanging="357"/>
        <w:contextualSpacing w:val="0"/>
        <w:rPr>
          <w:rFonts w:cs="Arial"/>
          <w:sz w:val="20"/>
          <w:szCs w:val="20"/>
          <w:lang w:val="en-US"/>
        </w:rPr>
      </w:pPr>
      <w:r w:rsidRPr="00C02D45">
        <w:rPr>
          <w:rFonts w:cs="Arial"/>
          <w:sz w:val="20"/>
          <w:szCs w:val="20"/>
          <w:lang w:val="en-US"/>
        </w:rPr>
        <w:t xml:space="preserve">responding to concerns, complaints and reportable incidents, including abuse and neglect of NDIS participants </w:t>
      </w:r>
    </w:p>
    <w:p w14:paraId="0A83236E" w14:textId="77777777" w:rsidR="007713B1" w:rsidRPr="00C02D45" w:rsidRDefault="007713B1" w:rsidP="00AA3C01">
      <w:pPr>
        <w:pStyle w:val="ListParagraph"/>
        <w:numPr>
          <w:ilvl w:val="0"/>
          <w:numId w:val="33"/>
        </w:numPr>
        <w:spacing w:before="80" w:after="80" w:line="240" w:lineRule="auto"/>
        <w:ind w:left="714" w:hanging="357"/>
        <w:contextualSpacing w:val="0"/>
        <w:rPr>
          <w:rFonts w:cs="Arial"/>
          <w:sz w:val="20"/>
          <w:szCs w:val="20"/>
          <w:lang w:val="en-US"/>
        </w:rPr>
      </w:pPr>
      <w:r w:rsidRPr="00C02D45">
        <w:rPr>
          <w:rFonts w:cs="Arial"/>
          <w:sz w:val="20"/>
          <w:szCs w:val="20"/>
          <w:lang w:val="en-US"/>
        </w:rPr>
        <w:t>promoting the NDIS principles of choice and control, and works to empower participants to exercise their rights to access quality services as informed, protected consumers</w:t>
      </w:r>
    </w:p>
    <w:p w14:paraId="63F2F199" w14:textId="77777777" w:rsidR="007713B1" w:rsidRPr="00C02D45" w:rsidRDefault="007713B1" w:rsidP="00AA3C01">
      <w:pPr>
        <w:pStyle w:val="ListParagraph"/>
        <w:numPr>
          <w:ilvl w:val="0"/>
          <w:numId w:val="33"/>
        </w:numPr>
        <w:spacing w:before="80" w:after="80" w:line="240" w:lineRule="auto"/>
        <w:ind w:left="714" w:hanging="357"/>
        <w:contextualSpacing w:val="0"/>
        <w:rPr>
          <w:rFonts w:cs="Arial"/>
          <w:sz w:val="20"/>
          <w:szCs w:val="20"/>
          <w:lang w:val="en-US"/>
        </w:rPr>
      </w:pPr>
      <w:r w:rsidRPr="00C02D45">
        <w:rPr>
          <w:rFonts w:cs="Arial"/>
          <w:sz w:val="20"/>
          <w:szCs w:val="20"/>
          <w:lang w:val="en-US"/>
        </w:rPr>
        <w:t xml:space="preserve">registration and regulation of NDIS providers, and oversight of the new NDIS Code of Conduct and NDIS Practice Standards </w:t>
      </w:r>
    </w:p>
    <w:p w14:paraId="7A2B7516" w14:textId="77777777" w:rsidR="007713B1" w:rsidRPr="00C02D45" w:rsidRDefault="007713B1" w:rsidP="00AA3C01">
      <w:pPr>
        <w:pStyle w:val="ListParagraph"/>
        <w:numPr>
          <w:ilvl w:val="0"/>
          <w:numId w:val="33"/>
        </w:numPr>
        <w:spacing w:before="80" w:after="80" w:line="240" w:lineRule="auto"/>
        <w:ind w:left="714" w:hanging="357"/>
        <w:contextualSpacing w:val="0"/>
        <w:rPr>
          <w:rFonts w:cs="Arial"/>
          <w:sz w:val="20"/>
          <w:szCs w:val="20"/>
          <w:lang w:val="en-US"/>
        </w:rPr>
      </w:pPr>
      <w:r w:rsidRPr="00C02D45">
        <w:rPr>
          <w:rFonts w:cs="Arial"/>
          <w:sz w:val="20"/>
          <w:szCs w:val="20"/>
          <w:lang w:val="en-US"/>
        </w:rPr>
        <w:t xml:space="preserve">monitoring the use of restrictive practices within the NDIS with the aim of reducing and eliminating such practices </w:t>
      </w:r>
    </w:p>
    <w:p w14:paraId="7037CC84" w14:textId="77777777" w:rsidR="007713B1" w:rsidRPr="00C02D45" w:rsidRDefault="007713B1" w:rsidP="00AA3C01">
      <w:pPr>
        <w:pStyle w:val="ListParagraph"/>
        <w:numPr>
          <w:ilvl w:val="0"/>
          <w:numId w:val="33"/>
        </w:numPr>
        <w:spacing w:before="80" w:after="80" w:line="240" w:lineRule="auto"/>
        <w:ind w:left="714" w:hanging="357"/>
        <w:contextualSpacing w:val="0"/>
        <w:rPr>
          <w:rFonts w:cs="Arial"/>
          <w:sz w:val="20"/>
          <w:szCs w:val="20"/>
          <w:lang w:val="en-US"/>
        </w:rPr>
      </w:pPr>
      <w:r w:rsidRPr="00C02D45">
        <w:rPr>
          <w:rFonts w:cs="Arial"/>
          <w:sz w:val="20"/>
          <w:szCs w:val="20"/>
          <w:lang w:val="en-US"/>
        </w:rPr>
        <w:t>working in collaboration with states and territories to design and implement nationally consistent NDIS worker screening</w:t>
      </w:r>
    </w:p>
    <w:p w14:paraId="27ADEA27" w14:textId="5B85CB6B" w:rsidR="007713B1" w:rsidRDefault="007713B1" w:rsidP="00AA3C01">
      <w:pPr>
        <w:pStyle w:val="ListParagraph"/>
        <w:numPr>
          <w:ilvl w:val="0"/>
          <w:numId w:val="33"/>
        </w:numPr>
        <w:spacing w:before="80" w:after="80" w:line="240" w:lineRule="auto"/>
        <w:ind w:left="714" w:hanging="357"/>
        <w:contextualSpacing w:val="0"/>
        <w:rPr>
          <w:rFonts w:cs="Arial"/>
          <w:sz w:val="20"/>
          <w:szCs w:val="20"/>
          <w:lang w:val="en-US"/>
        </w:rPr>
      </w:pPr>
      <w:r w:rsidRPr="00C02D45">
        <w:rPr>
          <w:rFonts w:cs="Arial"/>
          <w:sz w:val="20"/>
          <w:szCs w:val="20"/>
          <w:lang w:val="en-US"/>
        </w:rPr>
        <w:t>education, capacity building and development for people with disability, NDIS providers and workers.</w:t>
      </w:r>
    </w:p>
    <w:p w14:paraId="36D9B68B" w14:textId="4AD1E353" w:rsidR="006E191F" w:rsidRDefault="006E191F">
      <w:pPr>
        <w:spacing w:before="0" w:after="200" w:line="276" w:lineRule="auto"/>
        <w:rPr>
          <w:rFonts w:cs="Arial"/>
          <w:sz w:val="20"/>
          <w:szCs w:val="20"/>
          <w:lang w:val="en-US"/>
        </w:rPr>
      </w:pPr>
      <w:r>
        <w:rPr>
          <w:rFonts w:cs="Arial"/>
          <w:sz w:val="20"/>
          <w:szCs w:val="20"/>
          <w:lang w:val="en-US"/>
        </w:rPr>
        <w:br w:type="page"/>
      </w:r>
    </w:p>
    <w:tbl>
      <w:tblPr>
        <w:tblStyle w:val="TableGrid39"/>
        <w:tblW w:w="4955" w:type="pct"/>
        <w:tblLayout w:type="fixed"/>
        <w:tblLook w:val="04A0" w:firstRow="1" w:lastRow="0" w:firstColumn="1" w:lastColumn="0" w:noHBand="0" w:noVBand="1"/>
        <w:tblCaption w:val="Perfomance measure table 3.2.3-1"/>
        <w:tblDescription w:val="Table outlines the level of sustainable growth for the Disability Insurance Scheme for the years  2023-24, 2024-25, 2025-26 and 2026-27"/>
      </w:tblPr>
      <w:tblGrid>
        <w:gridCol w:w="3228"/>
        <w:gridCol w:w="1174"/>
        <w:gridCol w:w="1617"/>
        <w:gridCol w:w="1615"/>
        <w:gridCol w:w="1626"/>
      </w:tblGrid>
      <w:tr w:rsidR="007713B1" w:rsidRPr="00454E8A" w14:paraId="59E96A7E" w14:textId="77777777" w:rsidTr="00CD76E2">
        <w:trPr>
          <w:cantSplit/>
          <w:trHeight w:val="356"/>
          <w:tblHeader/>
        </w:trPr>
        <w:tc>
          <w:tcPr>
            <w:tcW w:w="5000" w:type="pct"/>
            <w:gridSpan w:val="5"/>
            <w:shd w:val="clear" w:color="auto" w:fill="D9D9D6"/>
          </w:tcPr>
          <w:p w14:paraId="56AA2F67" w14:textId="77777777" w:rsidR="007713B1" w:rsidRPr="00723A4C" w:rsidRDefault="007713B1" w:rsidP="007713B1">
            <w:pPr>
              <w:spacing w:after="120"/>
              <w:rPr>
                <w:rFonts w:cs="Arial"/>
                <w:b/>
                <w:sz w:val="20"/>
                <w:szCs w:val="20"/>
              </w:rPr>
            </w:pPr>
            <w:r w:rsidRPr="00723A4C">
              <w:rPr>
                <w:rFonts w:cs="Arial"/>
                <w:b/>
                <w:sz w:val="20"/>
                <w:szCs w:val="20"/>
              </w:rPr>
              <w:t>Performance Measure</w:t>
            </w:r>
          </w:p>
        </w:tc>
      </w:tr>
      <w:tr w:rsidR="007713B1" w:rsidRPr="00454E8A" w14:paraId="2EAB4DEC" w14:textId="77777777" w:rsidTr="007713B1">
        <w:trPr>
          <w:cantSplit/>
          <w:trHeight w:val="356"/>
        </w:trPr>
        <w:tc>
          <w:tcPr>
            <w:tcW w:w="5000" w:type="pct"/>
            <w:gridSpan w:val="5"/>
            <w:shd w:val="clear" w:color="auto" w:fill="auto"/>
          </w:tcPr>
          <w:p w14:paraId="6AA74913" w14:textId="77777777" w:rsidR="007713B1" w:rsidRPr="00723A4C" w:rsidRDefault="007713B1" w:rsidP="007713B1">
            <w:pPr>
              <w:spacing w:after="120"/>
              <w:rPr>
                <w:rFonts w:cs="Arial"/>
                <w:sz w:val="20"/>
                <w:szCs w:val="20"/>
              </w:rPr>
            </w:pPr>
            <w:r w:rsidRPr="00723A4C">
              <w:rPr>
                <w:rFonts w:cs="Arial"/>
                <w:sz w:val="20"/>
                <w:szCs w:val="20"/>
              </w:rPr>
              <w:t>3.2.3-1 National Disability Insurance Scheme cost growth is sustainable</w:t>
            </w:r>
          </w:p>
        </w:tc>
      </w:tr>
      <w:tr w:rsidR="007713B1" w:rsidRPr="00454E8A" w14:paraId="08D657CD" w14:textId="77777777" w:rsidTr="007713B1">
        <w:trPr>
          <w:cantSplit/>
          <w:trHeight w:val="356"/>
        </w:trPr>
        <w:tc>
          <w:tcPr>
            <w:tcW w:w="1743" w:type="pct"/>
            <w:shd w:val="clear" w:color="auto" w:fill="D9D9D6"/>
            <w:hideMark/>
          </w:tcPr>
          <w:p w14:paraId="7CD91F69" w14:textId="77777777" w:rsidR="007713B1" w:rsidRPr="00723A4C" w:rsidRDefault="007713B1" w:rsidP="007713B1">
            <w:pPr>
              <w:spacing w:after="120"/>
              <w:rPr>
                <w:rFonts w:cs="Arial"/>
                <w:sz w:val="20"/>
                <w:szCs w:val="20"/>
              </w:rPr>
            </w:pPr>
            <w:r w:rsidRPr="00723A4C">
              <w:rPr>
                <w:rFonts w:cs="Arial"/>
                <w:b/>
                <w:sz w:val="20"/>
                <w:szCs w:val="20"/>
              </w:rPr>
              <w:t>Target</w:t>
            </w:r>
          </w:p>
        </w:tc>
        <w:tc>
          <w:tcPr>
            <w:tcW w:w="634" w:type="pct"/>
            <w:shd w:val="clear" w:color="auto" w:fill="D9D9D6"/>
            <w:vAlign w:val="center"/>
            <w:hideMark/>
          </w:tcPr>
          <w:p w14:paraId="309706B1" w14:textId="77777777" w:rsidR="007713B1" w:rsidRPr="00723A4C" w:rsidRDefault="007713B1" w:rsidP="007713B1">
            <w:pPr>
              <w:spacing w:after="120"/>
              <w:rPr>
                <w:rFonts w:cs="Arial"/>
                <w:b/>
                <w:sz w:val="20"/>
                <w:szCs w:val="20"/>
              </w:rPr>
            </w:pPr>
            <w:r w:rsidRPr="00723A4C">
              <w:rPr>
                <w:rFonts w:cs="Arial"/>
                <w:b/>
                <w:sz w:val="20"/>
                <w:szCs w:val="20"/>
              </w:rPr>
              <w:t>2023–24</w:t>
            </w:r>
          </w:p>
        </w:tc>
        <w:tc>
          <w:tcPr>
            <w:tcW w:w="873" w:type="pct"/>
            <w:shd w:val="clear" w:color="auto" w:fill="D9D9D6"/>
            <w:vAlign w:val="center"/>
            <w:hideMark/>
          </w:tcPr>
          <w:p w14:paraId="2CE87E68" w14:textId="77777777" w:rsidR="007713B1" w:rsidRPr="00723A4C" w:rsidRDefault="007713B1" w:rsidP="007713B1">
            <w:pPr>
              <w:spacing w:after="120"/>
              <w:rPr>
                <w:rFonts w:cs="Arial"/>
                <w:b/>
                <w:sz w:val="20"/>
                <w:szCs w:val="20"/>
              </w:rPr>
            </w:pPr>
            <w:r w:rsidRPr="00723A4C">
              <w:rPr>
                <w:rFonts w:cs="Arial"/>
                <w:b/>
                <w:sz w:val="20"/>
                <w:szCs w:val="20"/>
              </w:rPr>
              <w:t>2024–25</w:t>
            </w:r>
          </w:p>
        </w:tc>
        <w:tc>
          <w:tcPr>
            <w:tcW w:w="872" w:type="pct"/>
            <w:shd w:val="clear" w:color="auto" w:fill="D9D9D6"/>
            <w:vAlign w:val="center"/>
            <w:hideMark/>
          </w:tcPr>
          <w:p w14:paraId="6E4627E8" w14:textId="77777777" w:rsidR="007713B1" w:rsidRPr="00723A4C" w:rsidRDefault="007713B1" w:rsidP="007713B1">
            <w:pPr>
              <w:spacing w:after="120"/>
              <w:rPr>
                <w:rFonts w:cs="Arial"/>
                <w:b/>
                <w:sz w:val="20"/>
                <w:szCs w:val="20"/>
              </w:rPr>
            </w:pPr>
            <w:r w:rsidRPr="00723A4C">
              <w:rPr>
                <w:rFonts w:cs="Arial"/>
                <w:b/>
                <w:sz w:val="20"/>
                <w:szCs w:val="20"/>
              </w:rPr>
              <w:t>2025–26</w:t>
            </w:r>
          </w:p>
        </w:tc>
        <w:tc>
          <w:tcPr>
            <w:tcW w:w="878" w:type="pct"/>
            <w:shd w:val="clear" w:color="auto" w:fill="D9D9D6"/>
            <w:vAlign w:val="center"/>
            <w:hideMark/>
          </w:tcPr>
          <w:p w14:paraId="1475DE1A" w14:textId="77777777" w:rsidR="007713B1" w:rsidRPr="00723A4C" w:rsidRDefault="007713B1" w:rsidP="007713B1">
            <w:pPr>
              <w:spacing w:after="120"/>
              <w:rPr>
                <w:rFonts w:cs="Arial"/>
                <w:b/>
                <w:sz w:val="20"/>
                <w:szCs w:val="20"/>
              </w:rPr>
            </w:pPr>
            <w:r w:rsidRPr="00723A4C">
              <w:rPr>
                <w:rFonts w:cs="Arial"/>
                <w:b/>
                <w:sz w:val="20"/>
                <w:szCs w:val="20"/>
              </w:rPr>
              <w:t>2026–27</w:t>
            </w:r>
          </w:p>
        </w:tc>
      </w:tr>
      <w:tr w:rsidR="007713B1" w:rsidRPr="00454E8A" w14:paraId="7B642092" w14:textId="77777777" w:rsidTr="007713B1">
        <w:trPr>
          <w:cantSplit/>
          <w:trHeight w:val="356"/>
        </w:trPr>
        <w:tc>
          <w:tcPr>
            <w:tcW w:w="1743" w:type="pct"/>
            <w:shd w:val="clear" w:color="auto" w:fill="auto"/>
          </w:tcPr>
          <w:p w14:paraId="21F30A79" w14:textId="77777777" w:rsidR="007713B1" w:rsidRPr="00723A4C" w:rsidRDefault="007713B1" w:rsidP="007713B1">
            <w:pPr>
              <w:spacing w:after="120"/>
              <w:rPr>
                <w:rFonts w:eastAsiaTheme="minorHAnsi" w:cs="Arial"/>
                <w:iCs/>
                <w:sz w:val="20"/>
                <w:szCs w:val="20"/>
                <w:highlight w:val="green"/>
                <w:bdr w:val="none" w:sz="0" w:space="0" w:color="auto" w:frame="1"/>
              </w:rPr>
            </w:pPr>
            <w:r w:rsidRPr="00723A4C">
              <w:rPr>
                <w:rFonts w:cs="Arial"/>
                <w:noProof/>
                <w:sz w:val="20"/>
                <w:szCs w:val="20"/>
              </w:rPr>
              <w:sym w:font="Wingdings" w:char="F074"/>
            </w:r>
            <w:r w:rsidRPr="00723A4C">
              <w:rPr>
                <w:rFonts w:cs="Arial"/>
                <w:noProof/>
                <w:sz w:val="20"/>
                <w:szCs w:val="20"/>
              </w:rPr>
              <w:t xml:space="preserve"> </w:t>
            </w:r>
            <w:r w:rsidRPr="00723A4C">
              <w:rPr>
                <w:rFonts w:cs="Arial"/>
                <w:sz w:val="20"/>
                <w:szCs w:val="20"/>
              </w:rPr>
              <w:t xml:space="preserve">3.2.3-1A </w:t>
            </w:r>
            <w:r w:rsidRPr="00723A4C">
              <w:rPr>
                <w:rFonts w:eastAsia="Calibri" w:cs="Arial"/>
                <w:sz w:val="20"/>
                <w:szCs w:val="20"/>
                <w:bdr w:val="none" w:sz="0" w:space="0" w:color="auto" w:frame="1"/>
              </w:rPr>
              <w:t>Annual growth in the total costs of the Scheme of no more than 8 per cent by 1 July 2026, with further moderation of growth as the Scheme matures.</w:t>
            </w:r>
            <w:r w:rsidRPr="00723A4C" w:rsidDel="002B1B25">
              <w:rPr>
                <w:rFonts w:eastAsiaTheme="minorHAnsi" w:cs="Arial"/>
                <w:b/>
                <w:iCs/>
                <w:sz w:val="20"/>
                <w:szCs w:val="20"/>
                <w:highlight w:val="green"/>
                <w:bdr w:val="none" w:sz="0" w:space="0" w:color="auto" w:frame="1"/>
              </w:rPr>
              <w:t xml:space="preserve"> </w:t>
            </w:r>
          </w:p>
        </w:tc>
        <w:tc>
          <w:tcPr>
            <w:tcW w:w="634" w:type="pct"/>
            <w:shd w:val="clear" w:color="auto" w:fill="auto"/>
          </w:tcPr>
          <w:p w14:paraId="03E583E0" w14:textId="77777777" w:rsidR="007713B1" w:rsidRPr="00723A4C" w:rsidRDefault="007713B1" w:rsidP="007713B1">
            <w:pPr>
              <w:spacing w:after="120"/>
              <w:rPr>
                <w:rFonts w:cs="Arial"/>
                <w:sz w:val="20"/>
                <w:szCs w:val="20"/>
              </w:rPr>
            </w:pPr>
            <w:r w:rsidRPr="00723A4C">
              <w:rPr>
                <w:rFonts w:cs="Arial"/>
                <w:sz w:val="20"/>
                <w:szCs w:val="20"/>
              </w:rPr>
              <w:t>N/A</w:t>
            </w:r>
          </w:p>
        </w:tc>
        <w:tc>
          <w:tcPr>
            <w:tcW w:w="873" w:type="pct"/>
            <w:shd w:val="clear" w:color="auto" w:fill="auto"/>
          </w:tcPr>
          <w:p w14:paraId="1700D988" w14:textId="77777777" w:rsidR="007713B1" w:rsidRPr="00723A4C" w:rsidRDefault="007713B1" w:rsidP="007713B1">
            <w:pPr>
              <w:spacing w:after="120"/>
              <w:rPr>
                <w:rFonts w:cs="Arial"/>
                <w:sz w:val="20"/>
                <w:szCs w:val="20"/>
              </w:rPr>
            </w:pPr>
            <w:r w:rsidRPr="00723A4C">
              <w:rPr>
                <w:rFonts w:cs="Arial"/>
                <w:sz w:val="20"/>
                <w:szCs w:val="20"/>
              </w:rPr>
              <w:t>N/A</w:t>
            </w:r>
          </w:p>
        </w:tc>
        <w:tc>
          <w:tcPr>
            <w:tcW w:w="872" w:type="pct"/>
            <w:shd w:val="clear" w:color="auto" w:fill="auto"/>
          </w:tcPr>
          <w:p w14:paraId="16A5EFE1" w14:textId="77777777" w:rsidR="007713B1" w:rsidRPr="00723A4C" w:rsidRDefault="007713B1" w:rsidP="007713B1">
            <w:pPr>
              <w:spacing w:after="120"/>
              <w:rPr>
                <w:rFonts w:cs="Arial"/>
                <w:sz w:val="20"/>
                <w:szCs w:val="20"/>
              </w:rPr>
            </w:pPr>
            <w:r w:rsidRPr="00723A4C">
              <w:rPr>
                <w:rFonts w:cs="Arial"/>
                <w:sz w:val="20"/>
                <w:szCs w:val="20"/>
              </w:rPr>
              <w:t>N/A</w:t>
            </w:r>
          </w:p>
        </w:tc>
        <w:tc>
          <w:tcPr>
            <w:tcW w:w="878" w:type="pct"/>
            <w:shd w:val="clear" w:color="auto" w:fill="auto"/>
          </w:tcPr>
          <w:p w14:paraId="76F04A6D" w14:textId="77777777" w:rsidR="007713B1" w:rsidRPr="00723A4C" w:rsidRDefault="007713B1" w:rsidP="007713B1">
            <w:pPr>
              <w:spacing w:after="120"/>
              <w:rPr>
                <w:rFonts w:cs="Arial"/>
                <w:sz w:val="20"/>
                <w:szCs w:val="20"/>
              </w:rPr>
            </w:pPr>
            <w:r w:rsidRPr="00723A4C">
              <w:rPr>
                <w:rFonts w:cs="Arial"/>
                <w:sz w:val="20"/>
                <w:szCs w:val="20"/>
              </w:rPr>
              <w:t>8 %</w:t>
            </w:r>
          </w:p>
        </w:tc>
      </w:tr>
    </w:tbl>
    <w:p w14:paraId="1491A583" w14:textId="31B9C389" w:rsidR="007713B1" w:rsidRPr="00454E8A" w:rsidRDefault="007713B1" w:rsidP="00046C03">
      <w:pPr>
        <w:pStyle w:val="Heading4"/>
        <w:shd w:val="clear" w:color="auto" w:fill="D9D9D9" w:themeFill="background1" w:themeFillShade="D9"/>
      </w:pPr>
      <w:r w:rsidRPr="00454E8A">
        <w:t>Rationale</w:t>
      </w:r>
    </w:p>
    <w:p w14:paraId="328745C4" w14:textId="77777777" w:rsidR="007713B1" w:rsidRPr="00454E8A" w:rsidRDefault="007713B1" w:rsidP="00AA3C01">
      <w:pPr>
        <w:pStyle w:val="Normalmorespace"/>
        <w:rPr>
          <w:iCs/>
        </w:rPr>
      </w:pPr>
      <w:r w:rsidRPr="008B05DB">
        <w:t xml:space="preserve">This is a long term </w:t>
      </w:r>
      <w:r w:rsidRPr="008B05DB">
        <w:rPr>
          <w:b/>
        </w:rPr>
        <w:t>effectiveness</w:t>
      </w:r>
      <w:r w:rsidRPr="008B05DB">
        <w:t xml:space="preserve"> measure. The Commonwealth and states and territories, through National Cabinet, have committed to a </w:t>
      </w:r>
      <w:r w:rsidRPr="008B05DB">
        <w:rPr>
          <w:i/>
          <w:iCs/>
        </w:rPr>
        <w:t>NDIS Financial Sustainability Framework</w:t>
      </w:r>
      <w:r w:rsidRPr="008B05DB">
        <w:rPr>
          <w:iCs/>
        </w:rPr>
        <w:t xml:space="preserve">. The Framework provides an annual growth target in the total costs of the Scheme of no more than 8 per cent by </w:t>
      </w:r>
      <w:r>
        <w:rPr>
          <w:iCs/>
        </w:rPr>
        <w:t>1 July 2026</w:t>
      </w:r>
      <w:r w:rsidRPr="008B05DB">
        <w:rPr>
          <w:iCs/>
        </w:rPr>
        <w:t>, with further moderation of growth as the scheme matures.</w:t>
      </w:r>
    </w:p>
    <w:p w14:paraId="0A8C4C5E" w14:textId="5C7D02FB" w:rsidR="007713B1" w:rsidRPr="00454E8A" w:rsidRDefault="007713B1" w:rsidP="00AA3C01">
      <w:pPr>
        <w:pStyle w:val="Normalmorespace"/>
      </w:pPr>
      <w:r w:rsidRPr="00454E8A">
        <w:t xml:space="preserve">Ensuring scheme cost growth does not exceed </w:t>
      </w:r>
      <w:r w:rsidR="00447FC1">
        <w:t>8</w:t>
      </w:r>
      <w:r w:rsidRPr="00454E8A">
        <w:t xml:space="preserve"> per</w:t>
      </w:r>
      <w:r>
        <w:t xml:space="preserve"> </w:t>
      </w:r>
      <w:r w:rsidRPr="00454E8A">
        <w:t>cent per annum will provide a sustainable growth trajectory and enable the NDIS to continue to provide life-changing outcomes for future generations of Australians with disability.</w:t>
      </w:r>
    </w:p>
    <w:p w14:paraId="435A75A9" w14:textId="64D6163D" w:rsidR="007713B1" w:rsidRPr="00454E8A" w:rsidRDefault="007713B1" w:rsidP="00AA3C01">
      <w:pPr>
        <w:pStyle w:val="Normalmorespace"/>
      </w:pPr>
      <w:r w:rsidRPr="00454E8A">
        <w:t>A number of initiatives designed to improve the sustainability of the NDIS were i</w:t>
      </w:r>
      <w:r w:rsidR="00A47213">
        <w:t>ncluded in the 2023</w:t>
      </w:r>
      <w:r w:rsidR="00A47213">
        <w:noBreakHyphen/>
        <w:t xml:space="preserve">24 Budget. </w:t>
      </w:r>
      <w:r w:rsidRPr="00454E8A">
        <w:t xml:space="preserve">Of these, </w:t>
      </w:r>
      <w:r w:rsidR="00073300">
        <w:t>the d</w:t>
      </w:r>
      <w:r>
        <w:t>epartment</w:t>
      </w:r>
      <w:r w:rsidRPr="00454E8A">
        <w:t xml:space="preserve"> is responsible for implementing: </w:t>
      </w:r>
    </w:p>
    <w:p w14:paraId="0060A120"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 xml:space="preserve">Partnering with communities to pilot alternative commissioning to improve access to supports in remote and First Nations communities  </w:t>
      </w:r>
    </w:p>
    <w:p w14:paraId="1611FC1B"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 xml:space="preserve">Working with participants and providers to trial blended payments to increase incentives for providers to innovate </w:t>
      </w:r>
      <w:r>
        <w:rPr>
          <w:rFonts w:cs="Arial"/>
          <w:sz w:val="20"/>
          <w:szCs w:val="20"/>
          <w:lang w:val="en-US"/>
        </w:rPr>
        <w:t xml:space="preserve">in </w:t>
      </w:r>
      <w:r w:rsidRPr="00C02D45">
        <w:rPr>
          <w:rFonts w:cs="Arial"/>
          <w:sz w:val="20"/>
          <w:szCs w:val="20"/>
          <w:lang w:val="en-US"/>
        </w:rPr>
        <w:t xml:space="preserve">service delivery and achieve outcomes for participants </w:t>
      </w:r>
    </w:p>
    <w:p w14:paraId="4B01431E"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rPr>
      </w:pPr>
      <w:r w:rsidRPr="00C02D45">
        <w:rPr>
          <w:rFonts w:cs="Arial"/>
          <w:sz w:val="20"/>
          <w:szCs w:val="20"/>
          <w:lang w:val="en-US"/>
        </w:rPr>
        <w:t xml:space="preserve">Establishing an expert advisory panel to list items to make it easier for participants to access proven evidence-based assistive technology and other supports. </w:t>
      </w:r>
    </w:p>
    <w:p w14:paraId="0A78BDA9" w14:textId="77777777" w:rsidR="007713B1" w:rsidRPr="00454E8A" w:rsidRDefault="007713B1" w:rsidP="00AA3C01">
      <w:pPr>
        <w:pStyle w:val="Normalmorespace"/>
      </w:pPr>
      <w:r w:rsidRPr="00454E8A">
        <w:t>Other sustainability initiatives included in the 2023</w:t>
      </w:r>
      <w:r w:rsidRPr="00454E8A">
        <w:noBreakHyphen/>
        <w:t xml:space="preserve">24 Budget are being managed by the NDIA, including: </w:t>
      </w:r>
    </w:p>
    <w:p w14:paraId="5510A754" w14:textId="42E83E49"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Implementing preferred provider arrangements to leverage</w:t>
      </w:r>
      <w:r>
        <w:rPr>
          <w:rFonts w:cs="Arial"/>
          <w:sz w:val="20"/>
          <w:szCs w:val="20"/>
          <w:lang w:val="en-US"/>
        </w:rPr>
        <w:t xml:space="preserve"> the</w:t>
      </w:r>
      <w:r w:rsidRPr="00C02D45">
        <w:rPr>
          <w:rFonts w:cs="Arial"/>
          <w:sz w:val="20"/>
          <w:szCs w:val="20"/>
          <w:lang w:val="en-US"/>
        </w:rPr>
        <w:t xml:space="preserve"> buying power of NDIS</w:t>
      </w:r>
      <w:r>
        <w:rPr>
          <w:rFonts w:cs="Arial"/>
          <w:sz w:val="20"/>
          <w:szCs w:val="20"/>
          <w:lang w:val="en-US"/>
        </w:rPr>
        <w:t xml:space="preserve"> participants</w:t>
      </w:r>
      <w:r w:rsidRPr="00C02D45">
        <w:rPr>
          <w:rFonts w:cs="Arial"/>
          <w:sz w:val="20"/>
          <w:szCs w:val="20"/>
          <w:lang w:val="en-US"/>
        </w:rPr>
        <w:t xml:space="preserve"> </w:t>
      </w:r>
    </w:p>
    <w:p w14:paraId="7AF01E6C"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Investing in better decision-making processes and planner capability for participants with specialised needs</w:t>
      </w:r>
    </w:p>
    <w:p w14:paraId="68CC1E6D"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Moving to less frequent plan reviews where it makes sense and committing to participants that not spending budgets won’t affect future plans</w:t>
      </w:r>
    </w:p>
    <w:p w14:paraId="79B82BE9"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 xml:space="preserve">Improving </w:t>
      </w:r>
      <w:r>
        <w:rPr>
          <w:rFonts w:cs="Arial"/>
          <w:sz w:val="20"/>
          <w:szCs w:val="20"/>
          <w:lang w:val="en-US"/>
        </w:rPr>
        <w:t xml:space="preserve">a </w:t>
      </w:r>
      <w:r w:rsidRPr="00C02D45">
        <w:rPr>
          <w:rFonts w:cs="Arial"/>
          <w:sz w:val="20"/>
          <w:szCs w:val="20"/>
          <w:lang w:val="en-US"/>
        </w:rPr>
        <w:t>lifetime planning approach to ensure plans are more transparent and flexible for life events. This includes flexibility where participants do not need as much support at a stage of life but know that they can receive support as their circumstances change</w:t>
      </w:r>
    </w:p>
    <w:p w14:paraId="29799490"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Better supporting participants to manage their plan within budget, including assistance from NDIA during the year and holding plan managers, support coordinators and providers to account</w:t>
      </w:r>
    </w:p>
    <w:p w14:paraId="38452929" w14:textId="77777777"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Strengthening guidelines for planners on support volumes and intensity, and providing clear minimum standards of evidence for assistance with daily living</w:t>
      </w:r>
    </w:p>
    <w:p w14:paraId="5048E35C" w14:textId="2AC4B9A2"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 xml:space="preserve">Cracking down on fraud and non-compliance by funding, in addition to the Fraud Fusion Taskforce, 200 staff for </w:t>
      </w:r>
      <w:r w:rsidR="00287355">
        <w:rPr>
          <w:rFonts w:cs="Arial"/>
          <w:sz w:val="20"/>
          <w:szCs w:val="20"/>
          <w:lang w:val="en-US"/>
        </w:rPr>
        <w:t>2</w:t>
      </w:r>
      <w:r w:rsidRPr="00C02D45">
        <w:rPr>
          <w:rFonts w:cs="Arial"/>
          <w:sz w:val="20"/>
          <w:szCs w:val="20"/>
          <w:lang w:val="en-US"/>
        </w:rPr>
        <w:t xml:space="preserve"> years and developing a business case for a new system to detect, prevent and reduce non-compliant payments.</w:t>
      </w:r>
    </w:p>
    <w:p w14:paraId="1747159E" w14:textId="77777777" w:rsidR="007713B1" w:rsidRPr="00190B87" w:rsidRDefault="007713B1" w:rsidP="00AA3C01">
      <w:pPr>
        <w:pStyle w:val="Normalmorespace"/>
      </w:pPr>
      <w:r w:rsidRPr="00190B87">
        <w:t>The 2023-24 Budget also included the following measure, being led by the Department of Health and Aged Care (DoHAC):</w:t>
      </w:r>
    </w:p>
    <w:p w14:paraId="1D151608" w14:textId="70EC6424" w:rsidR="007713B1" w:rsidRPr="00C02D45" w:rsidRDefault="007713B1" w:rsidP="00AA3C01">
      <w:pPr>
        <w:pStyle w:val="ListParagraph"/>
        <w:numPr>
          <w:ilvl w:val="0"/>
          <w:numId w:val="33"/>
        </w:numPr>
        <w:spacing w:before="80" w:after="80" w:line="240" w:lineRule="auto"/>
        <w:ind w:left="641" w:hanging="357"/>
        <w:contextualSpacing w:val="0"/>
        <w:rPr>
          <w:rFonts w:cs="Arial"/>
          <w:sz w:val="20"/>
          <w:szCs w:val="20"/>
          <w:lang w:val="en-US"/>
        </w:rPr>
      </w:pPr>
      <w:r w:rsidRPr="00C02D45">
        <w:rPr>
          <w:rFonts w:cs="Arial"/>
          <w:sz w:val="20"/>
          <w:szCs w:val="20"/>
          <w:lang w:val="en-US"/>
        </w:rPr>
        <w:t xml:space="preserve">DoHAC, DSS, NDIA and the Department of Veterans’ Affairs are jointly trialing integrated services and joint commissioning in up to 10 locations to improve the provision of, and access to, primary care and support services in thin markets. This upfront investment in the development of integrated care systems and joint commissioning will improve the financial viability and sustainability of these services and provide </w:t>
      </w:r>
      <w:r w:rsidR="006D5DF5" w:rsidRPr="00C02D45">
        <w:rPr>
          <w:rFonts w:cs="Arial"/>
          <w:sz w:val="20"/>
          <w:szCs w:val="20"/>
          <w:lang w:val="en-US"/>
        </w:rPr>
        <w:t>long-term</w:t>
      </w:r>
      <w:r w:rsidRPr="00C02D45">
        <w:rPr>
          <w:rFonts w:cs="Arial"/>
          <w:sz w:val="20"/>
          <w:szCs w:val="20"/>
          <w:lang w:val="en-US"/>
        </w:rPr>
        <w:t xml:space="preserve"> benefits for these communities, and lower future costs for Government.</w:t>
      </w:r>
    </w:p>
    <w:p w14:paraId="4CFAFD42" w14:textId="04E827CC" w:rsidR="007713B1" w:rsidRDefault="007713B1" w:rsidP="00AA3C01">
      <w:pPr>
        <w:pStyle w:val="Normalmorespace"/>
      </w:pPr>
      <w:r w:rsidRPr="00190B87">
        <w:t xml:space="preserve">National Cabinet has oversight of the </w:t>
      </w:r>
      <w:r w:rsidRPr="00190B87">
        <w:rPr>
          <w:i/>
          <w:iCs/>
        </w:rPr>
        <w:t>NDIS Financial Sustainability Framework.</w:t>
      </w:r>
      <w:r w:rsidR="00073300">
        <w:t xml:space="preserve"> The d</w:t>
      </w:r>
      <w:r w:rsidRPr="00190B87">
        <w:t xml:space="preserve">epartment will be responsible for policy advice to Government on the Framework and consideration of the findings from the NDIS Review and the Disability Royal Commission (expected in </w:t>
      </w:r>
      <w:r>
        <w:t xml:space="preserve">October and September </w:t>
      </w:r>
      <w:r w:rsidRPr="00190B87">
        <w:t>2023</w:t>
      </w:r>
      <w:r>
        <w:t xml:space="preserve"> respectively</w:t>
      </w:r>
      <w:r w:rsidRPr="00190B87">
        <w:t>), and the work of the Care and Support Economy Taskforce. The</w:t>
      </w:r>
      <w:r w:rsidRPr="00454E8A">
        <w:t xml:space="preserve"> </w:t>
      </w:r>
      <w:r w:rsidR="00073300">
        <w:t>d</w:t>
      </w:r>
      <w:r>
        <w:t>epartment</w:t>
      </w:r>
      <w:r w:rsidRPr="00454E8A">
        <w:t xml:space="preserve"> will also support the NDIA to implement any agreed sustainability initiatives. </w:t>
      </w:r>
    </w:p>
    <w:p w14:paraId="594B7A66" w14:textId="77777777" w:rsidR="0006278F" w:rsidRPr="00454E8A" w:rsidRDefault="0006278F" w:rsidP="0006278F">
      <w:pPr>
        <w:pStyle w:val="Normalmorespace"/>
        <w:jc w:val="both"/>
        <w:rPr>
          <w:rFonts w:eastAsia="Arial"/>
          <w:spacing w:val="3"/>
          <w:lang w:val="en-US"/>
        </w:rPr>
      </w:pPr>
    </w:p>
    <w:p w14:paraId="53D2AA56" w14:textId="77777777" w:rsidR="007713B1" w:rsidRPr="00454E8A" w:rsidRDefault="007713B1" w:rsidP="00046C03">
      <w:pPr>
        <w:pStyle w:val="Heading4"/>
        <w:shd w:val="clear" w:color="auto" w:fill="D9D9D9" w:themeFill="background1" w:themeFillShade="D9"/>
      </w:pPr>
      <w:r w:rsidRPr="00454E8A">
        <w:t>Methodology</w:t>
      </w:r>
    </w:p>
    <w:p w14:paraId="304CB859" w14:textId="211B59ED" w:rsidR="00740D34" w:rsidRDefault="00073300" w:rsidP="00AA3C01">
      <w:pPr>
        <w:pStyle w:val="Normalmorespace"/>
      </w:pPr>
      <w:r>
        <w:t>The d</w:t>
      </w:r>
      <w:r w:rsidR="007713B1">
        <w:t>epartment</w:t>
      </w:r>
      <w:r w:rsidR="007713B1" w:rsidRPr="00454E8A">
        <w:t xml:space="preserve"> will provide a </w:t>
      </w:r>
      <w:r w:rsidR="007713B1" w:rsidRPr="009C4E96">
        <w:rPr>
          <w:b/>
        </w:rPr>
        <w:t>qualitative</w:t>
      </w:r>
      <w:r w:rsidR="007713B1" w:rsidRPr="00454E8A">
        <w:t xml:space="preserve"> update against the sustainability initiatives it is responsible for. At this stage, the </w:t>
      </w:r>
      <w:r>
        <w:t>d</w:t>
      </w:r>
      <w:r w:rsidR="007713B1" w:rsidRPr="00454E8A">
        <w:t>epartment will not report against the 8 per cent annual growth target as it does not apply until 2026-27.</w:t>
      </w:r>
    </w:p>
    <w:p w14:paraId="3155A946" w14:textId="32ADAB26" w:rsidR="00A47213" w:rsidRDefault="00A47213">
      <w:pPr>
        <w:spacing w:before="0" w:after="200" w:line="276" w:lineRule="auto"/>
        <w:rPr>
          <w:color w:val="000000" w:themeColor="text1"/>
          <w:spacing w:val="0"/>
          <w:sz w:val="20"/>
          <w:szCs w:val="20"/>
        </w:rPr>
      </w:pPr>
      <w:r>
        <w:br w:type="page"/>
      </w:r>
    </w:p>
    <w:p w14:paraId="70E37F36" w14:textId="77777777" w:rsidR="007713B1" w:rsidRPr="00A47213" w:rsidRDefault="007713B1" w:rsidP="00A47213">
      <w:pPr>
        <w:pStyle w:val="Heading1"/>
        <w:rPr>
          <w:sz w:val="48"/>
          <w:szCs w:val="48"/>
        </w:rPr>
      </w:pPr>
      <w:bookmarkStart w:id="103" w:name="_Toc111026132"/>
      <w:bookmarkStart w:id="104" w:name="_Toc144385578"/>
      <w:bookmarkEnd w:id="86"/>
      <w:bookmarkEnd w:id="94"/>
      <w:bookmarkEnd w:id="95"/>
      <w:bookmarkEnd w:id="96"/>
      <w:r w:rsidRPr="00A47213">
        <w:rPr>
          <w:sz w:val="48"/>
          <w:szCs w:val="48"/>
        </w:rPr>
        <w:t>Outcome 4: Housing</w:t>
      </w:r>
      <w:bookmarkEnd w:id="103"/>
      <w:bookmarkEnd w:id="104"/>
    </w:p>
    <w:p w14:paraId="629420BE" w14:textId="77777777" w:rsidR="007713B1" w:rsidRPr="00C02D45" w:rsidRDefault="007713B1" w:rsidP="00A47213">
      <w:pPr>
        <w:pStyle w:val="Heading2"/>
      </w:pPr>
      <w:bookmarkStart w:id="105" w:name="_Toc77593313"/>
      <w:bookmarkStart w:id="106" w:name="_Toc111026133"/>
      <w:bookmarkStart w:id="107" w:name="_Toc144385579"/>
      <w:r w:rsidRPr="00A47213">
        <w:t>Programs</w:t>
      </w:r>
      <w:r w:rsidRPr="00C02D45">
        <w:t xml:space="preserve"> and activities</w:t>
      </w:r>
      <w:bookmarkEnd w:id="105"/>
      <w:bookmarkEnd w:id="106"/>
      <w:bookmarkEnd w:id="107"/>
      <w:r w:rsidRPr="00C02D45">
        <w:t xml:space="preserve"> </w:t>
      </w:r>
    </w:p>
    <w:p w14:paraId="67B9090A" w14:textId="77777777" w:rsidR="007713B1" w:rsidRPr="00D229C5" w:rsidRDefault="007713B1" w:rsidP="00AA3C01">
      <w:pPr>
        <w:pStyle w:val="Normalmorespace"/>
      </w:pPr>
      <w:r w:rsidRPr="00D229C5">
        <w:t xml:space="preserve">Outcome 4 comprises 2 programs and a number of activities that contribute to the achievement of the housing outcome. The table below depicts how this purpose is translated into measurable activities. </w:t>
      </w:r>
    </w:p>
    <w:p w14:paraId="409CB3AD" w14:textId="77777777" w:rsidR="007713B1" w:rsidRPr="00D229C5" w:rsidRDefault="007713B1" w:rsidP="00AA3C01">
      <w:pPr>
        <w:pStyle w:val="Normalmorespace"/>
        <w:rPr>
          <w:rFonts w:cstheme="minorHAnsi"/>
        </w:rPr>
      </w:pPr>
      <w:r w:rsidRPr="00D229C5">
        <w:t>An in-depth description of each of the activities, performance measures, targets, rationale, methodology and outputs are in the Performance Tables Section on the pages to follow.</w:t>
      </w:r>
    </w:p>
    <w:p w14:paraId="56A5D507" w14:textId="77777777" w:rsidR="007713B1" w:rsidRPr="003A4CDE" w:rsidRDefault="007713B1" w:rsidP="00046C03">
      <w:pPr>
        <w:pStyle w:val="Heading3"/>
        <w:shd w:val="clear" w:color="auto" w:fill="15787D"/>
      </w:pPr>
      <w:r w:rsidRPr="003A4CDE">
        <w:t>OUTCOME 4 – HOUSING</w:t>
      </w:r>
    </w:p>
    <w:p w14:paraId="32EA5DF0" w14:textId="77777777" w:rsidR="007713B1" w:rsidRPr="003A4CDE" w:rsidRDefault="007713B1" w:rsidP="00046C03">
      <w:pPr>
        <w:shd w:val="clear" w:color="auto" w:fill="15787D"/>
        <w:spacing w:after="120"/>
        <w:rPr>
          <w:rFonts w:cstheme="minorHAnsi"/>
          <w:color w:val="FFFFFF" w:themeColor="background1"/>
          <w:sz w:val="22"/>
          <w:szCs w:val="20"/>
          <w:bdr w:val="nil"/>
        </w:rPr>
      </w:pPr>
      <w:r w:rsidRPr="003A4CDE">
        <w:rPr>
          <w:rFonts w:cstheme="minorHAnsi"/>
          <w:color w:val="FFFFFF" w:themeColor="background1"/>
          <w:sz w:val="22"/>
          <w:szCs w:val="20"/>
          <w:bdr w:val="nil"/>
        </w:rPr>
        <w:t>Supporting access to safe and secure housing for individuals, including social housing, and providing targeted supports for preventing and addressing homelessness.</w:t>
      </w:r>
    </w:p>
    <w:tbl>
      <w:tblPr>
        <w:tblStyle w:val="TableGrid"/>
        <w:tblW w:w="9530" w:type="dxa"/>
        <w:jc w:val="center"/>
        <w:tblBorders>
          <w:top w:val="none" w:sz="0" w:space="0" w:color="auto"/>
          <w:left w:val="single" w:sz="36" w:space="0" w:color="FFFFFF" w:themeColor="background1"/>
          <w:bottom w:val="single" w:sz="36" w:space="0" w:color="FFFFFF" w:themeColor="background1"/>
          <w:right w:val="single" w:sz="36" w:space="0" w:color="FFFFFF" w:themeColor="background1"/>
          <w:insideH w:val="none" w:sz="0" w:space="0" w:color="auto"/>
          <w:insideV w:val="single" w:sz="36" w:space="0" w:color="FFFFFF" w:themeColor="background1"/>
        </w:tblBorders>
        <w:tblLayout w:type="fixed"/>
        <w:tblLook w:val="04A0" w:firstRow="1" w:lastRow="0" w:firstColumn="1" w:lastColumn="0" w:noHBand="0" w:noVBand="1"/>
        <w:tblCaption w:val="Programs and activities"/>
        <w:tblDescription w:val="Outcome 1 Social Security"/>
      </w:tblPr>
      <w:tblGrid>
        <w:gridCol w:w="4903"/>
        <w:gridCol w:w="4627"/>
      </w:tblGrid>
      <w:tr w:rsidR="007713B1" w:rsidRPr="00D229C5" w14:paraId="1384AD93" w14:textId="77777777" w:rsidTr="00046C03">
        <w:trPr>
          <w:trHeight w:val="820"/>
          <w:tblHeader/>
          <w:jc w:val="center"/>
        </w:trPr>
        <w:tc>
          <w:tcPr>
            <w:tcW w:w="490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5787D"/>
          </w:tcPr>
          <w:p w14:paraId="64228558" w14:textId="77777777" w:rsidR="007713B1" w:rsidRPr="00D229C5" w:rsidRDefault="007713B1" w:rsidP="007713B1">
            <w:pPr>
              <w:spacing w:after="120" w:line="259" w:lineRule="auto"/>
              <w:jc w:val="center"/>
              <w:rPr>
                <w:rFonts w:cstheme="minorHAnsi"/>
                <w:b/>
                <w:color w:val="FFFFFF" w:themeColor="background1"/>
                <w:sz w:val="20"/>
                <w:szCs w:val="20"/>
              </w:rPr>
            </w:pPr>
            <w:r w:rsidRPr="00D229C5">
              <w:rPr>
                <w:rFonts w:cstheme="minorHAnsi"/>
                <w:b/>
                <w:bCs/>
                <w:color w:val="FFFFFF" w:themeColor="background1"/>
                <w:sz w:val="20"/>
                <w:szCs w:val="20"/>
              </w:rPr>
              <w:t>Program 4.1</w:t>
            </w:r>
          </w:p>
          <w:p w14:paraId="1B6273E9" w14:textId="77777777" w:rsidR="007713B1" w:rsidRPr="00D229C5" w:rsidRDefault="007713B1" w:rsidP="007713B1">
            <w:pPr>
              <w:spacing w:after="120" w:line="259" w:lineRule="auto"/>
              <w:jc w:val="center"/>
              <w:rPr>
                <w:rFonts w:cstheme="minorHAnsi"/>
                <w:b/>
                <w:color w:val="FFFFFF" w:themeColor="background1"/>
                <w:sz w:val="20"/>
                <w:szCs w:val="20"/>
              </w:rPr>
            </w:pPr>
            <w:r w:rsidRPr="00D229C5">
              <w:rPr>
                <w:rFonts w:cstheme="minorHAnsi"/>
                <w:b/>
                <w:bCs/>
                <w:color w:val="FFFFFF" w:themeColor="background1"/>
                <w:sz w:val="20"/>
                <w:szCs w:val="20"/>
              </w:rPr>
              <w:t>Housing and Homelessness</w:t>
            </w:r>
            <w:r w:rsidRPr="00D229C5">
              <w:rPr>
                <w:b/>
                <w:bCs/>
                <w:color w:val="FFFFFF" w:themeColor="background1"/>
                <w:sz w:val="20"/>
                <w:szCs w:val="20"/>
              </w:rPr>
              <w:t xml:space="preserve"> </w:t>
            </w:r>
          </w:p>
        </w:tc>
        <w:tc>
          <w:tcPr>
            <w:tcW w:w="4627"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5787D"/>
          </w:tcPr>
          <w:p w14:paraId="2B057D8C" w14:textId="77777777" w:rsidR="007713B1" w:rsidRPr="00D229C5" w:rsidRDefault="007713B1" w:rsidP="007713B1">
            <w:pPr>
              <w:spacing w:after="120" w:line="259" w:lineRule="auto"/>
              <w:jc w:val="center"/>
              <w:rPr>
                <w:rFonts w:cstheme="minorHAnsi"/>
                <w:b/>
                <w:color w:val="FFFFFF" w:themeColor="background1"/>
                <w:sz w:val="20"/>
                <w:szCs w:val="20"/>
              </w:rPr>
            </w:pPr>
            <w:r w:rsidRPr="00D229C5">
              <w:rPr>
                <w:rFonts w:cstheme="minorHAnsi"/>
                <w:b/>
                <w:bCs/>
                <w:color w:val="FFFFFF" w:themeColor="background1"/>
                <w:sz w:val="20"/>
                <w:szCs w:val="20"/>
              </w:rPr>
              <w:t>Program 4.2</w:t>
            </w:r>
          </w:p>
          <w:p w14:paraId="0CAE3DC7" w14:textId="77777777" w:rsidR="007713B1" w:rsidRPr="00D229C5" w:rsidRDefault="007713B1" w:rsidP="007713B1">
            <w:pPr>
              <w:spacing w:after="120" w:line="259" w:lineRule="auto"/>
              <w:jc w:val="center"/>
              <w:rPr>
                <w:rFonts w:cstheme="minorHAnsi"/>
                <w:color w:val="FFFFFF" w:themeColor="background1"/>
                <w:sz w:val="20"/>
                <w:szCs w:val="20"/>
              </w:rPr>
            </w:pPr>
            <w:r w:rsidRPr="00D229C5">
              <w:rPr>
                <w:rFonts w:cstheme="minorHAnsi"/>
                <w:b/>
                <w:bCs/>
                <w:color w:val="FFFFFF" w:themeColor="background1"/>
                <w:sz w:val="20"/>
                <w:szCs w:val="20"/>
              </w:rPr>
              <w:t>Affordable Housing</w:t>
            </w:r>
          </w:p>
        </w:tc>
      </w:tr>
      <w:tr w:rsidR="007713B1" w:rsidRPr="00D229C5" w14:paraId="78D806E1" w14:textId="77777777" w:rsidTr="00046C03">
        <w:trPr>
          <w:trHeight w:val="1441"/>
          <w:jc w:val="center"/>
        </w:trPr>
        <w:tc>
          <w:tcPr>
            <w:tcW w:w="490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D9D9D9" w:themeFill="background1" w:themeFillShade="D9"/>
          </w:tcPr>
          <w:p w14:paraId="64038F4E" w14:textId="77777777" w:rsidR="007713B1" w:rsidRPr="00D229C5" w:rsidRDefault="007713B1" w:rsidP="007713B1">
            <w:pPr>
              <w:spacing w:after="120" w:line="259" w:lineRule="auto"/>
              <w:ind w:left="85"/>
              <w:jc w:val="center"/>
              <w:rPr>
                <w:rFonts w:cstheme="minorHAnsi"/>
                <w:sz w:val="20"/>
                <w:szCs w:val="20"/>
              </w:rPr>
            </w:pPr>
            <w:r w:rsidRPr="00D229C5">
              <w:rPr>
                <w:rFonts w:cstheme="minorHAnsi"/>
                <w:b/>
                <w:bCs/>
                <w:sz w:val="20"/>
                <w:szCs w:val="20"/>
              </w:rPr>
              <w:t>Key activities</w:t>
            </w:r>
          </w:p>
          <w:p w14:paraId="779D984C" w14:textId="77777777" w:rsidR="007713B1" w:rsidRPr="00D229C5" w:rsidRDefault="007713B1" w:rsidP="007713B1">
            <w:pPr>
              <w:spacing w:after="120" w:line="259" w:lineRule="auto"/>
              <w:ind w:left="170"/>
              <w:rPr>
                <w:rFonts w:cstheme="minorHAnsi"/>
                <w:sz w:val="20"/>
                <w:szCs w:val="20"/>
              </w:rPr>
            </w:pPr>
            <w:r w:rsidRPr="00D229C5">
              <w:rPr>
                <w:rFonts w:cstheme="minorHAnsi"/>
                <w:sz w:val="20"/>
                <w:szCs w:val="20"/>
              </w:rPr>
              <w:t>4.1.1 – National Housing and Homelessness Agreement</w:t>
            </w:r>
          </w:p>
          <w:p w14:paraId="73E88A33" w14:textId="77777777" w:rsidR="007713B1" w:rsidRPr="00D229C5" w:rsidRDefault="007713B1" w:rsidP="007713B1">
            <w:pPr>
              <w:spacing w:after="120" w:line="259" w:lineRule="auto"/>
              <w:ind w:left="170"/>
              <w:rPr>
                <w:rFonts w:cstheme="minorHAnsi"/>
                <w:sz w:val="20"/>
                <w:szCs w:val="20"/>
              </w:rPr>
            </w:pPr>
          </w:p>
        </w:tc>
        <w:tc>
          <w:tcPr>
            <w:tcW w:w="4627"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D9D9D9" w:themeFill="background1" w:themeFillShade="D9"/>
          </w:tcPr>
          <w:p w14:paraId="3B0ACAA0" w14:textId="77777777" w:rsidR="007713B1" w:rsidRPr="00D229C5" w:rsidRDefault="007713B1" w:rsidP="007713B1">
            <w:pPr>
              <w:spacing w:after="120" w:line="259" w:lineRule="auto"/>
              <w:ind w:left="85"/>
              <w:jc w:val="center"/>
              <w:rPr>
                <w:rFonts w:cstheme="minorHAnsi"/>
                <w:sz w:val="20"/>
                <w:szCs w:val="20"/>
              </w:rPr>
            </w:pPr>
            <w:r w:rsidRPr="00D229C5">
              <w:rPr>
                <w:rFonts w:cstheme="minorHAnsi"/>
                <w:b/>
                <w:bCs/>
                <w:sz w:val="20"/>
                <w:szCs w:val="20"/>
              </w:rPr>
              <w:t>Key activities</w:t>
            </w:r>
          </w:p>
          <w:p w14:paraId="280C3EF5" w14:textId="77777777" w:rsidR="007713B1" w:rsidRPr="00D229C5" w:rsidRDefault="007713B1" w:rsidP="007713B1">
            <w:pPr>
              <w:spacing w:after="120" w:line="259" w:lineRule="auto"/>
              <w:ind w:left="170"/>
              <w:rPr>
                <w:rFonts w:cstheme="minorHAnsi"/>
                <w:b/>
                <w:sz w:val="20"/>
                <w:szCs w:val="20"/>
              </w:rPr>
            </w:pPr>
            <w:r w:rsidRPr="00D229C5">
              <w:rPr>
                <w:rFonts w:cstheme="minorHAnsi"/>
                <w:sz w:val="20"/>
                <w:szCs w:val="20"/>
              </w:rPr>
              <w:t>4.2.1 – Affordable Housing</w:t>
            </w:r>
          </w:p>
        </w:tc>
      </w:tr>
    </w:tbl>
    <w:p w14:paraId="128CE9B1" w14:textId="77777777" w:rsidR="007713B1" w:rsidRPr="009B4DDE" w:rsidRDefault="007713B1" w:rsidP="007713B1">
      <w:pPr>
        <w:spacing w:after="120"/>
      </w:pPr>
      <w:r>
        <w:t xml:space="preserve"> </w:t>
      </w:r>
    </w:p>
    <w:bookmarkEnd w:id="87"/>
    <w:bookmarkEnd w:id="88"/>
    <w:p w14:paraId="42EDD9D5" w14:textId="77777777" w:rsidR="007713B1" w:rsidRDefault="007713B1" w:rsidP="007713B1">
      <w:pPr>
        <w:pStyle w:val="Heading2"/>
        <w:rPr>
          <w:sz w:val="20"/>
        </w:rPr>
      </w:pPr>
      <w:r>
        <w:rPr>
          <w:sz w:val="20"/>
        </w:rPr>
        <w:t xml:space="preserve"> </w:t>
      </w:r>
      <w:r>
        <w:rPr>
          <w:sz w:val="20"/>
        </w:rPr>
        <w:br w:type="page"/>
      </w:r>
    </w:p>
    <w:p w14:paraId="39CA9280" w14:textId="77777777" w:rsidR="007713B1" w:rsidRPr="00A46D75" w:rsidRDefault="007713B1" w:rsidP="00046C03">
      <w:pPr>
        <w:pStyle w:val="Heading3"/>
        <w:shd w:val="clear" w:color="auto" w:fill="15787D"/>
      </w:pPr>
      <w:r>
        <w:t>Program 4.1</w:t>
      </w:r>
      <w:r w:rsidRPr="00A46D75">
        <w:t xml:space="preserve"> Housing and Homelessness</w:t>
      </w:r>
    </w:p>
    <w:p w14:paraId="2B631556" w14:textId="77777777" w:rsidR="007713B1" w:rsidRPr="00A46D75" w:rsidRDefault="007713B1" w:rsidP="00046C03">
      <w:pPr>
        <w:shd w:val="clear" w:color="auto" w:fill="15787D"/>
        <w:spacing w:line="252" w:lineRule="auto"/>
        <w:rPr>
          <w:rFonts w:cstheme="minorHAnsi"/>
          <w:color w:val="FFFFFF" w:themeColor="background1"/>
          <w:sz w:val="20"/>
          <w:szCs w:val="20"/>
        </w:rPr>
      </w:pPr>
      <w:r>
        <w:rPr>
          <w:rFonts w:cstheme="minorHAnsi"/>
          <w:color w:val="FFFFFF" w:themeColor="background1"/>
          <w:sz w:val="20"/>
          <w:szCs w:val="20"/>
        </w:rPr>
        <w:t>Contribute</w:t>
      </w:r>
      <w:r w:rsidRPr="00A46D75">
        <w:rPr>
          <w:rFonts w:cstheme="minorHAnsi"/>
          <w:color w:val="FFFFFF" w:themeColor="background1"/>
          <w:sz w:val="20"/>
          <w:szCs w:val="20"/>
        </w:rPr>
        <w:t xml:space="preserve"> to </w:t>
      </w:r>
      <w:r>
        <w:rPr>
          <w:rFonts w:cstheme="minorHAnsi"/>
          <w:color w:val="FFFFFF" w:themeColor="background1"/>
          <w:sz w:val="20"/>
          <w:szCs w:val="20"/>
        </w:rPr>
        <w:t xml:space="preserve">and </w:t>
      </w:r>
      <w:r w:rsidRPr="00A46D75">
        <w:rPr>
          <w:rFonts w:cstheme="minorHAnsi"/>
          <w:color w:val="FFFFFF" w:themeColor="background1"/>
          <w:sz w:val="20"/>
          <w:szCs w:val="20"/>
        </w:rPr>
        <w:t>provide support for affordable housing and homelessness prevention initiatives</w:t>
      </w:r>
      <w:r>
        <w:rPr>
          <w:rFonts w:cstheme="minorHAnsi"/>
          <w:color w:val="FFFFFF" w:themeColor="background1"/>
          <w:sz w:val="20"/>
          <w:szCs w:val="20"/>
        </w:rPr>
        <w:t>,</w:t>
      </w:r>
      <w:r w:rsidRPr="00A46D75">
        <w:rPr>
          <w:rFonts w:cstheme="minorHAnsi"/>
          <w:color w:val="FFFFFF" w:themeColor="background1"/>
          <w:sz w:val="20"/>
          <w:szCs w:val="20"/>
        </w:rPr>
        <w:t xml:space="preserve"> including the design and imp</w:t>
      </w:r>
      <w:r>
        <w:rPr>
          <w:rFonts w:cstheme="minorHAnsi"/>
          <w:color w:val="FFFFFF" w:themeColor="background1"/>
          <w:sz w:val="20"/>
          <w:szCs w:val="20"/>
        </w:rPr>
        <w:t xml:space="preserve">lementation of innovative early </w:t>
      </w:r>
      <w:r w:rsidRPr="00A46D75">
        <w:rPr>
          <w:rFonts w:cstheme="minorHAnsi"/>
          <w:color w:val="FFFFFF" w:themeColor="background1"/>
          <w:sz w:val="20"/>
          <w:szCs w:val="20"/>
        </w:rPr>
        <w:t>stage projects.</w:t>
      </w:r>
    </w:p>
    <w:p w14:paraId="1336601B" w14:textId="77777777" w:rsidR="007713B1" w:rsidRPr="00A46D75" w:rsidRDefault="007713B1" w:rsidP="00046C03">
      <w:pPr>
        <w:pStyle w:val="Heading4"/>
        <w:shd w:val="clear" w:color="auto" w:fill="D9D9D9" w:themeFill="background1" w:themeFillShade="D9"/>
      </w:pPr>
      <w:r w:rsidRPr="00A46D75">
        <w:t>Key Activity — 4.1.1 National Housing and Homelessness Agreement</w:t>
      </w:r>
    </w:p>
    <w:p w14:paraId="2811B9D0" w14:textId="62AA4DF6" w:rsidR="007713B1" w:rsidRPr="00A46D75" w:rsidRDefault="007713B1" w:rsidP="00AA3C01">
      <w:pPr>
        <w:pStyle w:val="Normalmorespace"/>
        <w:rPr>
          <w:rFonts w:cstheme="minorHAnsi"/>
        </w:rPr>
      </w:pPr>
      <w:r w:rsidRPr="00A46D75">
        <w:t>The National Housing and Homelessness Agreement (NHHA) is a national funding agreement between the Australian Government and the states and territories and is a Key Activity of the Housing and Homelessness program. The NHHA provides funding to states and territories to improve Australians’ access to affordable, safe and sustainable housing across the housing spectrum, including to prevent and address homelessness, and to support social and economic participation</w:t>
      </w:r>
      <w:r w:rsidRPr="00A46D75">
        <w:rPr>
          <w:i/>
        </w:rPr>
        <w:t xml:space="preserve">. </w:t>
      </w:r>
    </w:p>
    <w:p w14:paraId="4B121769" w14:textId="6D6E1F98" w:rsidR="007713B1" w:rsidRDefault="007713B1" w:rsidP="00AA3C01">
      <w:pPr>
        <w:pStyle w:val="Normalmorespace"/>
        <w:rPr>
          <w:rFonts w:cstheme="minorHAnsi"/>
        </w:rPr>
      </w:pPr>
      <w:r w:rsidRPr="00A46D75">
        <w:rPr>
          <w:rFonts w:cstheme="minorHAnsi"/>
        </w:rPr>
        <w:t xml:space="preserve">Housing and homelessness priorities are set out in bilateral schedules outlining how each state and territory proposes to implement the reforms, initiatives and policies to contribute to the outcomes and outputs under the NHHA. </w:t>
      </w:r>
    </w:p>
    <w:p w14:paraId="34BEF897" w14:textId="5DDB6900" w:rsidR="003C5EE4" w:rsidRPr="00A46D75" w:rsidRDefault="003C5EE4" w:rsidP="00AA3C01">
      <w:pPr>
        <w:pStyle w:val="Normalmorespace"/>
        <w:rPr>
          <w:rFonts w:cstheme="minorHAnsi"/>
        </w:rPr>
      </w:pPr>
      <w:r>
        <w:rPr>
          <w:rFonts w:cstheme="minorHAnsi"/>
        </w:rPr>
        <w:t xml:space="preserve">The Government offered states and territories around $1.7 billion through a one-year extension of the NHHA to 30 June 2024. The </w:t>
      </w:r>
      <w:r w:rsidR="006D5DF5">
        <w:rPr>
          <w:rFonts w:cstheme="minorHAnsi"/>
        </w:rPr>
        <w:t>12-month</w:t>
      </w:r>
      <w:r>
        <w:rPr>
          <w:rFonts w:cstheme="minorHAnsi"/>
        </w:rPr>
        <w:t xml:space="preserve"> extension provides further time to work with states and key stakeholders to implement the Government’s housing agenda.</w:t>
      </w:r>
    </w:p>
    <w:p w14:paraId="1018EF7D" w14:textId="77777777" w:rsidR="007713B1" w:rsidRPr="00A46D75" w:rsidRDefault="007713B1" w:rsidP="00AA3C01">
      <w:pPr>
        <w:pStyle w:val="Normalmorespace"/>
      </w:pPr>
      <w:r w:rsidRPr="00A46D75">
        <w:rPr>
          <w:b/>
        </w:rPr>
        <w:t xml:space="preserve">The department </w:t>
      </w:r>
      <w:r w:rsidRPr="00A46D75">
        <w:t>is responsible for managing the NHHA with states and territories. The department’s role is to:</w:t>
      </w:r>
    </w:p>
    <w:p w14:paraId="27A847CF" w14:textId="77777777" w:rsidR="007713B1" w:rsidRPr="00A46D75" w:rsidRDefault="007713B1" w:rsidP="00AA3C01">
      <w:pPr>
        <w:numPr>
          <w:ilvl w:val="0"/>
          <w:numId w:val="30"/>
        </w:numPr>
        <w:spacing w:before="80" w:after="80" w:line="240" w:lineRule="auto"/>
        <w:ind w:left="714" w:hanging="357"/>
        <w:rPr>
          <w:sz w:val="20"/>
          <w:szCs w:val="20"/>
        </w:rPr>
      </w:pPr>
      <w:r w:rsidRPr="00A46D75">
        <w:rPr>
          <w:sz w:val="20"/>
          <w:szCs w:val="20"/>
        </w:rPr>
        <w:t>Conduct monitoring and compliance</w:t>
      </w:r>
    </w:p>
    <w:p w14:paraId="7DD788EB" w14:textId="77777777" w:rsidR="007713B1" w:rsidRPr="00A46D75" w:rsidRDefault="007713B1" w:rsidP="00AA3C01">
      <w:pPr>
        <w:numPr>
          <w:ilvl w:val="0"/>
          <w:numId w:val="30"/>
        </w:numPr>
        <w:spacing w:before="80" w:after="80" w:line="240" w:lineRule="auto"/>
        <w:ind w:left="714" w:hanging="357"/>
        <w:rPr>
          <w:sz w:val="20"/>
          <w:szCs w:val="20"/>
        </w:rPr>
      </w:pPr>
      <w:r w:rsidRPr="00A46D75">
        <w:rPr>
          <w:sz w:val="20"/>
          <w:szCs w:val="20"/>
        </w:rPr>
        <w:t>Conduct payments assurance</w:t>
      </w:r>
    </w:p>
    <w:p w14:paraId="50AC8C77" w14:textId="77777777" w:rsidR="007713B1" w:rsidRPr="00A46D75" w:rsidRDefault="007713B1" w:rsidP="00AA3C01">
      <w:pPr>
        <w:numPr>
          <w:ilvl w:val="0"/>
          <w:numId w:val="30"/>
        </w:numPr>
        <w:spacing w:before="80" w:after="80" w:line="240" w:lineRule="auto"/>
        <w:ind w:left="714" w:hanging="357"/>
        <w:rPr>
          <w:sz w:val="20"/>
          <w:szCs w:val="20"/>
        </w:rPr>
      </w:pPr>
      <w:r w:rsidRPr="00A46D75">
        <w:rPr>
          <w:sz w:val="20"/>
          <w:szCs w:val="20"/>
        </w:rPr>
        <w:t>Review annual statements of assurance</w:t>
      </w:r>
    </w:p>
    <w:p w14:paraId="06959D0E" w14:textId="77777777" w:rsidR="007713B1" w:rsidRPr="00A46D75" w:rsidRDefault="007713B1" w:rsidP="00AA3C01">
      <w:pPr>
        <w:numPr>
          <w:ilvl w:val="0"/>
          <w:numId w:val="30"/>
        </w:numPr>
        <w:spacing w:before="80" w:after="80" w:line="240" w:lineRule="auto"/>
        <w:ind w:left="714" w:hanging="357"/>
        <w:rPr>
          <w:sz w:val="20"/>
          <w:szCs w:val="20"/>
        </w:rPr>
      </w:pPr>
      <w:r w:rsidRPr="00A46D75">
        <w:rPr>
          <w:sz w:val="20"/>
          <w:szCs w:val="20"/>
        </w:rPr>
        <w:t>Engage with states and territories</w:t>
      </w:r>
    </w:p>
    <w:p w14:paraId="34B6E42C" w14:textId="77777777" w:rsidR="007713B1" w:rsidRPr="00A46D75" w:rsidRDefault="007713B1" w:rsidP="00AA3C01">
      <w:pPr>
        <w:numPr>
          <w:ilvl w:val="0"/>
          <w:numId w:val="30"/>
        </w:numPr>
        <w:spacing w:before="80" w:after="80" w:line="240" w:lineRule="auto"/>
        <w:ind w:left="714" w:hanging="357"/>
        <w:rPr>
          <w:sz w:val="20"/>
          <w:szCs w:val="20"/>
        </w:rPr>
      </w:pPr>
      <w:r w:rsidRPr="00A46D75">
        <w:rPr>
          <w:sz w:val="20"/>
          <w:szCs w:val="20"/>
        </w:rPr>
        <w:t>Lead the development of data improvement activities</w:t>
      </w:r>
      <w:r>
        <w:rPr>
          <w:sz w:val="20"/>
          <w:szCs w:val="20"/>
        </w:rPr>
        <w:t>.</w:t>
      </w:r>
    </w:p>
    <w:p w14:paraId="675C4DC4" w14:textId="008470AA" w:rsidR="007713B1" w:rsidRPr="00A46D75" w:rsidRDefault="007713B1" w:rsidP="00AA3C01">
      <w:pPr>
        <w:pStyle w:val="Normalmorespace"/>
        <w:rPr>
          <w:lang w:eastAsia="en-GB"/>
        </w:rPr>
      </w:pPr>
      <w:r w:rsidRPr="00A46D75">
        <w:rPr>
          <w:b/>
        </w:rPr>
        <w:t>The states and territories</w:t>
      </w:r>
      <w:r w:rsidRPr="00A46D75">
        <w:t xml:space="preserve"> are responsible for delivering services in accordance with the terms and conditions of contracts and agreements with the Commonwealth</w:t>
      </w:r>
      <w:r w:rsidRPr="00A46D75">
        <w:rPr>
          <w:lang w:eastAsia="en-GB"/>
        </w:rPr>
        <w:t xml:space="preserve">. </w:t>
      </w:r>
    </w:p>
    <w:p w14:paraId="5B20339D" w14:textId="77777777" w:rsidR="007713B1" w:rsidRPr="00A46D75" w:rsidRDefault="007713B1" w:rsidP="00AA3C01">
      <w:pPr>
        <w:numPr>
          <w:ilvl w:val="0"/>
          <w:numId w:val="32"/>
        </w:numPr>
        <w:spacing w:before="80" w:after="80" w:line="240" w:lineRule="auto"/>
        <w:rPr>
          <w:sz w:val="20"/>
          <w:szCs w:val="20"/>
        </w:rPr>
      </w:pPr>
      <w:r w:rsidRPr="00A46D75">
        <w:rPr>
          <w:sz w:val="20"/>
          <w:szCs w:val="20"/>
        </w:rPr>
        <w:t>Strategic planning: states and territories identifying priorities and allocating resourcing</w:t>
      </w:r>
    </w:p>
    <w:p w14:paraId="7D68FEF3" w14:textId="77777777" w:rsidR="007713B1" w:rsidRPr="00A46D75" w:rsidRDefault="007713B1" w:rsidP="00AA3C01">
      <w:pPr>
        <w:numPr>
          <w:ilvl w:val="0"/>
          <w:numId w:val="32"/>
        </w:numPr>
        <w:spacing w:before="80" w:after="80" w:line="240" w:lineRule="auto"/>
        <w:rPr>
          <w:sz w:val="20"/>
          <w:szCs w:val="20"/>
        </w:rPr>
      </w:pPr>
      <w:r w:rsidRPr="00A46D75">
        <w:rPr>
          <w:sz w:val="20"/>
          <w:szCs w:val="20"/>
        </w:rPr>
        <w:t>Service delivery</w:t>
      </w:r>
    </w:p>
    <w:p w14:paraId="4009A637" w14:textId="77777777" w:rsidR="007713B1" w:rsidRPr="00A46D75" w:rsidRDefault="007713B1" w:rsidP="00AA3C01">
      <w:pPr>
        <w:numPr>
          <w:ilvl w:val="0"/>
          <w:numId w:val="32"/>
        </w:numPr>
        <w:spacing w:before="80" w:after="80" w:line="240" w:lineRule="auto"/>
        <w:rPr>
          <w:sz w:val="20"/>
          <w:szCs w:val="20"/>
        </w:rPr>
      </w:pPr>
      <w:r w:rsidRPr="00A46D75">
        <w:rPr>
          <w:sz w:val="20"/>
          <w:szCs w:val="20"/>
        </w:rPr>
        <w:t>Reporting to the department</w:t>
      </w:r>
    </w:p>
    <w:p w14:paraId="5CF192FC" w14:textId="77777777" w:rsidR="00E83A55" w:rsidRDefault="007713B1" w:rsidP="00AA3C01">
      <w:pPr>
        <w:numPr>
          <w:ilvl w:val="0"/>
          <w:numId w:val="32"/>
        </w:numPr>
        <w:spacing w:before="0" w:after="200" w:line="276" w:lineRule="auto"/>
        <w:rPr>
          <w:sz w:val="20"/>
          <w:szCs w:val="20"/>
        </w:rPr>
      </w:pPr>
      <w:r w:rsidRPr="00E83A55">
        <w:rPr>
          <w:sz w:val="20"/>
          <w:szCs w:val="20"/>
        </w:rPr>
        <w:t>Engagement with the Commonwealth.</w:t>
      </w:r>
    </w:p>
    <w:p w14:paraId="1F189E67" w14:textId="3D2559C4" w:rsidR="004111BD" w:rsidRPr="00E83A55" w:rsidRDefault="007713B1" w:rsidP="00E83A55">
      <w:pPr>
        <w:spacing w:before="0" w:after="200" w:line="276" w:lineRule="auto"/>
        <w:ind w:left="360"/>
        <w:jc w:val="both"/>
        <w:rPr>
          <w:sz w:val="20"/>
          <w:szCs w:val="20"/>
        </w:rPr>
      </w:pPr>
      <w:r w:rsidRPr="00E83A55">
        <w:rPr>
          <w:sz w:val="20"/>
          <w:szCs w:val="20"/>
        </w:rPr>
        <w:br/>
      </w:r>
      <w:r w:rsidR="004111BD" w:rsidRPr="00E83A55">
        <w:rPr>
          <w:sz w:val="20"/>
          <w:szCs w:val="20"/>
        </w:rPr>
        <w:br w:type="page"/>
      </w:r>
    </w:p>
    <w:tbl>
      <w:tblPr>
        <w:tblStyle w:val="TableGrid39"/>
        <w:tblW w:w="5000" w:type="pct"/>
        <w:jc w:val="center"/>
        <w:tblLook w:val="04A0" w:firstRow="1" w:lastRow="0" w:firstColumn="1" w:lastColumn="0" w:noHBand="0" w:noVBand="1"/>
        <w:tblCaption w:val="4.1.1 performance measure and target"/>
        <w:tblDescription w:val="Table outlines the targeted percentages of state and territory delivery of the national housing and homelessness agreement across 2023-24, 2024-25, 2025-26, 2026-27"/>
      </w:tblPr>
      <w:tblGrid>
        <w:gridCol w:w="4105"/>
        <w:gridCol w:w="1297"/>
        <w:gridCol w:w="1314"/>
        <w:gridCol w:w="1314"/>
        <w:gridCol w:w="1314"/>
      </w:tblGrid>
      <w:tr w:rsidR="007713B1" w:rsidRPr="00A46D75" w14:paraId="7A54AE00" w14:textId="77777777" w:rsidTr="00CD76E2">
        <w:trPr>
          <w:cantSplit/>
          <w:trHeight w:val="356"/>
          <w:tblHeader/>
          <w:jc w:val="center"/>
        </w:trPr>
        <w:tc>
          <w:tcPr>
            <w:tcW w:w="5000" w:type="pct"/>
            <w:gridSpan w:val="5"/>
            <w:shd w:val="clear" w:color="auto" w:fill="D9D9D6"/>
          </w:tcPr>
          <w:p w14:paraId="53D7012B" w14:textId="77777777" w:rsidR="007713B1" w:rsidRPr="004111BD" w:rsidRDefault="007713B1" w:rsidP="007713B1">
            <w:pPr>
              <w:spacing w:after="120"/>
              <w:rPr>
                <w:rFonts w:cstheme="minorHAnsi"/>
                <w:b/>
                <w:sz w:val="20"/>
                <w:szCs w:val="20"/>
              </w:rPr>
            </w:pPr>
            <w:r w:rsidRPr="004111BD">
              <w:rPr>
                <w:rFonts w:cstheme="minorHAnsi"/>
                <w:b/>
                <w:sz w:val="20"/>
                <w:szCs w:val="20"/>
              </w:rPr>
              <w:t>Performance Measure</w:t>
            </w:r>
          </w:p>
        </w:tc>
      </w:tr>
      <w:tr w:rsidR="007713B1" w:rsidRPr="00A46D75" w14:paraId="41108B6E" w14:textId="77777777" w:rsidTr="007713B1">
        <w:trPr>
          <w:cantSplit/>
          <w:trHeight w:val="356"/>
          <w:jc w:val="center"/>
        </w:trPr>
        <w:tc>
          <w:tcPr>
            <w:tcW w:w="5000" w:type="pct"/>
            <w:gridSpan w:val="5"/>
            <w:shd w:val="clear" w:color="auto" w:fill="auto"/>
          </w:tcPr>
          <w:p w14:paraId="1DA43EF9" w14:textId="77777777" w:rsidR="007713B1" w:rsidRPr="004111BD" w:rsidRDefault="007713B1" w:rsidP="00AA3C01">
            <w:pPr>
              <w:spacing w:after="120"/>
              <w:rPr>
                <w:rFonts w:cstheme="minorHAnsi"/>
                <w:sz w:val="20"/>
                <w:szCs w:val="20"/>
              </w:rPr>
            </w:pPr>
            <w:r w:rsidRPr="004111BD">
              <w:rPr>
                <w:rFonts w:cstheme="minorHAnsi"/>
                <w:sz w:val="20"/>
                <w:szCs w:val="20"/>
              </w:rPr>
              <w:t>4.1.1-1 Standard of delivery by states and territories is in accordance with the terms and conditions of agreements with the Commonwealth.</w:t>
            </w:r>
          </w:p>
        </w:tc>
      </w:tr>
      <w:tr w:rsidR="007713B1" w:rsidRPr="00A46D75" w14:paraId="314CB3AD" w14:textId="77777777" w:rsidTr="007713B1">
        <w:trPr>
          <w:cantSplit/>
          <w:trHeight w:val="356"/>
          <w:jc w:val="center"/>
        </w:trPr>
        <w:tc>
          <w:tcPr>
            <w:tcW w:w="2197" w:type="pct"/>
            <w:shd w:val="clear" w:color="auto" w:fill="D9D9D6"/>
          </w:tcPr>
          <w:p w14:paraId="32C1E4E9" w14:textId="77777777" w:rsidR="007713B1" w:rsidRPr="004111BD" w:rsidRDefault="007713B1" w:rsidP="007713B1">
            <w:pPr>
              <w:spacing w:after="120"/>
              <w:rPr>
                <w:rFonts w:cstheme="minorHAnsi"/>
                <w:sz w:val="20"/>
                <w:szCs w:val="20"/>
              </w:rPr>
            </w:pPr>
            <w:r w:rsidRPr="004111BD">
              <w:rPr>
                <w:rFonts w:cstheme="minorHAnsi"/>
                <w:b/>
                <w:sz w:val="20"/>
                <w:szCs w:val="20"/>
              </w:rPr>
              <w:t>Target</w:t>
            </w:r>
          </w:p>
        </w:tc>
        <w:tc>
          <w:tcPr>
            <w:tcW w:w="694" w:type="pct"/>
            <w:shd w:val="clear" w:color="auto" w:fill="D9D9D6"/>
          </w:tcPr>
          <w:p w14:paraId="53779257" w14:textId="77777777" w:rsidR="007713B1" w:rsidRPr="004111BD" w:rsidRDefault="007713B1" w:rsidP="007713B1">
            <w:pPr>
              <w:spacing w:after="120"/>
              <w:rPr>
                <w:rFonts w:cstheme="minorHAnsi"/>
                <w:b/>
                <w:sz w:val="20"/>
                <w:szCs w:val="20"/>
              </w:rPr>
            </w:pPr>
            <w:r w:rsidRPr="004111BD">
              <w:rPr>
                <w:rFonts w:cstheme="minorHAnsi"/>
                <w:b/>
                <w:sz w:val="20"/>
                <w:szCs w:val="20"/>
              </w:rPr>
              <w:t>2023–24</w:t>
            </w:r>
          </w:p>
        </w:tc>
        <w:tc>
          <w:tcPr>
            <w:tcW w:w="703" w:type="pct"/>
            <w:shd w:val="clear" w:color="auto" w:fill="D9D9D6"/>
          </w:tcPr>
          <w:p w14:paraId="2D35E953" w14:textId="77777777" w:rsidR="007713B1" w:rsidRPr="004111BD" w:rsidRDefault="007713B1" w:rsidP="007713B1">
            <w:pPr>
              <w:spacing w:after="120"/>
              <w:rPr>
                <w:rFonts w:cstheme="minorHAnsi"/>
                <w:b/>
                <w:sz w:val="20"/>
                <w:szCs w:val="20"/>
              </w:rPr>
            </w:pPr>
            <w:r w:rsidRPr="004111BD">
              <w:rPr>
                <w:rFonts w:cstheme="minorHAnsi"/>
                <w:b/>
                <w:sz w:val="20"/>
                <w:szCs w:val="20"/>
              </w:rPr>
              <w:t>2024–25</w:t>
            </w:r>
          </w:p>
        </w:tc>
        <w:tc>
          <w:tcPr>
            <w:tcW w:w="703" w:type="pct"/>
            <w:shd w:val="clear" w:color="auto" w:fill="D9D9D6"/>
          </w:tcPr>
          <w:p w14:paraId="0844E734" w14:textId="77777777" w:rsidR="007713B1" w:rsidRPr="004111BD" w:rsidRDefault="007713B1" w:rsidP="007713B1">
            <w:pPr>
              <w:spacing w:after="120"/>
              <w:rPr>
                <w:rFonts w:cstheme="minorHAnsi"/>
                <w:b/>
                <w:sz w:val="20"/>
                <w:szCs w:val="20"/>
              </w:rPr>
            </w:pPr>
            <w:r w:rsidRPr="004111BD">
              <w:rPr>
                <w:rFonts w:cstheme="minorHAnsi"/>
                <w:b/>
                <w:sz w:val="20"/>
                <w:szCs w:val="20"/>
              </w:rPr>
              <w:t>2025–26</w:t>
            </w:r>
          </w:p>
        </w:tc>
        <w:tc>
          <w:tcPr>
            <w:tcW w:w="703" w:type="pct"/>
            <w:shd w:val="clear" w:color="auto" w:fill="D9D9D6"/>
          </w:tcPr>
          <w:p w14:paraId="56666565" w14:textId="77777777" w:rsidR="007713B1" w:rsidRPr="004111BD" w:rsidRDefault="007713B1" w:rsidP="007713B1">
            <w:pPr>
              <w:spacing w:after="120"/>
              <w:rPr>
                <w:rFonts w:cstheme="minorHAnsi"/>
                <w:b/>
                <w:sz w:val="20"/>
                <w:szCs w:val="20"/>
              </w:rPr>
            </w:pPr>
            <w:r w:rsidRPr="004111BD">
              <w:rPr>
                <w:rFonts w:cstheme="minorHAnsi"/>
                <w:b/>
                <w:sz w:val="20"/>
                <w:szCs w:val="20"/>
              </w:rPr>
              <w:t>2026–27</w:t>
            </w:r>
          </w:p>
        </w:tc>
      </w:tr>
      <w:tr w:rsidR="007713B1" w:rsidRPr="00A46D75" w14:paraId="23C1E365" w14:textId="77777777" w:rsidTr="007713B1">
        <w:trPr>
          <w:cantSplit/>
          <w:trHeight w:val="356"/>
          <w:jc w:val="center"/>
        </w:trPr>
        <w:tc>
          <w:tcPr>
            <w:tcW w:w="2197" w:type="pct"/>
            <w:shd w:val="clear" w:color="auto" w:fill="FFFFFF" w:themeFill="background1"/>
          </w:tcPr>
          <w:p w14:paraId="6695C179" w14:textId="77777777" w:rsidR="007713B1" w:rsidRPr="004111BD" w:rsidRDefault="007713B1" w:rsidP="007713B1">
            <w:pPr>
              <w:pStyle w:val="PBSbullet"/>
              <w:numPr>
                <w:ilvl w:val="0"/>
                <w:numId w:val="0"/>
              </w:numPr>
              <w:pBdr>
                <w:top w:val="nil"/>
                <w:left w:val="nil"/>
                <w:bottom w:val="nil"/>
                <w:right w:val="nil"/>
                <w:between w:val="nil"/>
                <w:bar w:val="nil"/>
              </w:pBdr>
              <w:spacing w:before="120" w:after="120"/>
              <w:contextualSpacing w:val="0"/>
              <w:rPr>
                <w:rFonts w:eastAsia="Calibri"/>
                <w:sz w:val="20"/>
                <w:szCs w:val="20"/>
                <w:bdr w:val="nil"/>
              </w:rPr>
            </w:pPr>
            <w:r w:rsidRPr="004111BD">
              <w:rPr>
                <w:noProof/>
                <w:sz w:val="20"/>
                <w:szCs w:val="20"/>
                <w:lang w:eastAsia="en-AU"/>
              </w:rPr>
              <w:sym w:font="Wingdings" w:char="F074"/>
            </w:r>
            <w:r w:rsidRPr="004111BD">
              <w:rPr>
                <w:sz w:val="20"/>
                <w:szCs w:val="20"/>
              </w:rPr>
              <w:t xml:space="preserve"> </w:t>
            </w:r>
            <w:r w:rsidRPr="004111BD">
              <w:rPr>
                <w:rFonts w:eastAsia="Calibri"/>
                <w:sz w:val="20"/>
                <w:szCs w:val="20"/>
                <w:bdr w:val="nil"/>
              </w:rPr>
              <w:t>4.1.1-1A* - 100% of states and territories meet their requirements under the National Housing and Homelessness Agreement by:</w:t>
            </w:r>
          </w:p>
          <w:p w14:paraId="1A2C1FB1" w14:textId="77777777" w:rsidR="007713B1" w:rsidRPr="004111BD" w:rsidRDefault="007713B1" w:rsidP="007713B1">
            <w:pPr>
              <w:pStyle w:val="PBSbullet"/>
              <w:pBdr>
                <w:top w:val="nil"/>
                <w:left w:val="nil"/>
                <w:bottom w:val="nil"/>
                <w:right w:val="nil"/>
                <w:between w:val="nil"/>
                <w:bar w:val="nil"/>
              </w:pBdr>
              <w:spacing w:before="120" w:after="120"/>
              <w:ind w:left="457"/>
              <w:contextualSpacing w:val="0"/>
              <w:rPr>
                <w:rFonts w:eastAsia="Calibri"/>
                <w:sz w:val="20"/>
                <w:szCs w:val="20"/>
                <w:bdr w:val="nil"/>
              </w:rPr>
            </w:pPr>
            <w:r w:rsidRPr="004111BD">
              <w:rPr>
                <w:rFonts w:eastAsia="Calibri"/>
                <w:sz w:val="20"/>
                <w:szCs w:val="20"/>
                <w:bdr w:val="nil"/>
              </w:rPr>
              <w:t>having a publicly available housing strategy</w:t>
            </w:r>
          </w:p>
          <w:p w14:paraId="29C88FE3" w14:textId="77777777" w:rsidR="007713B1" w:rsidRPr="004111BD" w:rsidRDefault="007713B1" w:rsidP="007713B1">
            <w:pPr>
              <w:pStyle w:val="PBSbullet"/>
              <w:pBdr>
                <w:top w:val="nil"/>
                <w:left w:val="nil"/>
                <w:bottom w:val="nil"/>
                <w:right w:val="nil"/>
                <w:between w:val="nil"/>
                <w:bar w:val="nil"/>
              </w:pBdr>
              <w:spacing w:before="120" w:after="120"/>
              <w:ind w:left="457"/>
              <w:contextualSpacing w:val="0"/>
              <w:rPr>
                <w:rFonts w:eastAsia="Calibri"/>
                <w:sz w:val="20"/>
                <w:szCs w:val="20"/>
                <w:bdr w:val="nil"/>
              </w:rPr>
            </w:pPr>
            <w:r w:rsidRPr="004111BD">
              <w:rPr>
                <w:rFonts w:eastAsia="Calibri"/>
                <w:sz w:val="20"/>
                <w:szCs w:val="20"/>
                <w:bdr w:val="nil"/>
              </w:rPr>
              <w:t>having a publicly available homelessness strategy</w:t>
            </w:r>
          </w:p>
          <w:p w14:paraId="0E44AEFD" w14:textId="77777777" w:rsidR="007713B1" w:rsidRPr="004111BD" w:rsidRDefault="007713B1" w:rsidP="007713B1">
            <w:pPr>
              <w:pStyle w:val="PBSbullet"/>
              <w:pBdr>
                <w:top w:val="nil"/>
                <w:left w:val="nil"/>
                <w:bottom w:val="nil"/>
                <w:right w:val="nil"/>
                <w:between w:val="nil"/>
                <w:bar w:val="nil"/>
              </w:pBdr>
              <w:spacing w:before="120" w:after="120"/>
              <w:ind w:left="457"/>
              <w:contextualSpacing w:val="0"/>
              <w:rPr>
                <w:rFonts w:eastAsia="Calibri"/>
                <w:sz w:val="20"/>
                <w:szCs w:val="20"/>
                <w:bdr w:val="nil"/>
              </w:rPr>
            </w:pPr>
            <w:r w:rsidRPr="004111BD">
              <w:rPr>
                <w:rFonts w:eastAsia="Calibri"/>
                <w:sz w:val="20"/>
                <w:szCs w:val="20"/>
                <w:bdr w:val="nil"/>
              </w:rPr>
              <w:t>contributing to the ongoing collection and transparent reporting of agreed data</w:t>
            </w:r>
          </w:p>
          <w:p w14:paraId="7BF9EA3C" w14:textId="77777777" w:rsidR="007713B1" w:rsidRPr="004111BD" w:rsidRDefault="007713B1" w:rsidP="007713B1">
            <w:pPr>
              <w:pStyle w:val="PBSbullet"/>
              <w:pBdr>
                <w:top w:val="nil"/>
                <w:left w:val="nil"/>
                <w:bottom w:val="nil"/>
                <w:right w:val="nil"/>
                <w:between w:val="nil"/>
                <w:bar w:val="nil"/>
              </w:pBdr>
              <w:spacing w:before="120" w:after="120"/>
              <w:ind w:left="457"/>
              <w:contextualSpacing w:val="0"/>
              <w:rPr>
                <w:rFonts w:eastAsia="Calibri"/>
                <w:sz w:val="20"/>
                <w:szCs w:val="20"/>
                <w:bdr w:val="nil"/>
              </w:rPr>
            </w:pPr>
            <w:r w:rsidRPr="004111BD">
              <w:rPr>
                <w:rFonts w:eastAsia="Calibri"/>
                <w:sz w:val="20"/>
                <w:szCs w:val="20"/>
                <w:bdr w:val="nil"/>
              </w:rPr>
              <w:t>providing annual statement of assurance reports outlining their housing and homelessness expenditure.</w:t>
            </w:r>
          </w:p>
          <w:p w14:paraId="3D9C0731" w14:textId="77777777" w:rsidR="007713B1" w:rsidRPr="004111BD" w:rsidRDefault="007713B1" w:rsidP="007713B1">
            <w:pPr>
              <w:pStyle w:val="PBSbullet"/>
              <w:numPr>
                <w:ilvl w:val="0"/>
                <w:numId w:val="0"/>
              </w:numPr>
              <w:pBdr>
                <w:top w:val="nil"/>
                <w:left w:val="nil"/>
                <w:bottom w:val="nil"/>
                <w:right w:val="nil"/>
                <w:between w:val="nil"/>
                <w:bar w:val="nil"/>
              </w:pBdr>
              <w:spacing w:before="120" w:after="120"/>
              <w:contextualSpacing w:val="0"/>
              <w:rPr>
                <w:rFonts w:asciiTheme="minorHAnsi" w:eastAsia="Calibri" w:hAnsiTheme="minorHAnsi" w:cstheme="minorHAnsi"/>
                <w:sz w:val="20"/>
                <w:szCs w:val="20"/>
                <w:bdr w:val="nil"/>
              </w:rPr>
            </w:pPr>
            <w:r w:rsidRPr="004111BD">
              <w:rPr>
                <w:rFonts w:eastAsia="Calibri"/>
                <w:sz w:val="20"/>
                <w:szCs w:val="20"/>
                <w:bdr w:val="nil"/>
              </w:rPr>
              <w:t>*New bilateral agreements under the extended NHHA expire at the end of 2023-24, beyond which funding is subject to negotiation.</w:t>
            </w:r>
          </w:p>
        </w:tc>
        <w:tc>
          <w:tcPr>
            <w:tcW w:w="694" w:type="pct"/>
          </w:tcPr>
          <w:p w14:paraId="25CCC555" w14:textId="77777777" w:rsidR="007713B1" w:rsidRPr="004111BD" w:rsidRDefault="007713B1" w:rsidP="007713B1">
            <w:pPr>
              <w:spacing w:after="120"/>
              <w:rPr>
                <w:rFonts w:cstheme="minorHAnsi"/>
                <w:sz w:val="20"/>
                <w:szCs w:val="20"/>
              </w:rPr>
            </w:pPr>
            <w:r w:rsidRPr="004111BD">
              <w:rPr>
                <w:rFonts w:cstheme="minorHAnsi"/>
                <w:sz w:val="20"/>
                <w:szCs w:val="20"/>
              </w:rPr>
              <w:t>100 %</w:t>
            </w:r>
          </w:p>
        </w:tc>
        <w:tc>
          <w:tcPr>
            <w:tcW w:w="703" w:type="pct"/>
          </w:tcPr>
          <w:p w14:paraId="3BBB2240" w14:textId="77777777" w:rsidR="007713B1" w:rsidRPr="004111BD" w:rsidRDefault="007713B1" w:rsidP="007713B1">
            <w:pPr>
              <w:spacing w:after="120"/>
              <w:rPr>
                <w:rFonts w:cstheme="minorHAnsi"/>
                <w:sz w:val="20"/>
                <w:szCs w:val="20"/>
              </w:rPr>
            </w:pPr>
            <w:r w:rsidRPr="004111BD">
              <w:rPr>
                <w:rFonts w:cstheme="minorHAnsi"/>
                <w:sz w:val="20"/>
                <w:szCs w:val="20"/>
              </w:rPr>
              <w:t>To be developed*</w:t>
            </w:r>
          </w:p>
        </w:tc>
        <w:tc>
          <w:tcPr>
            <w:tcW w:w="703" w:type="pct"/>
          </w:tcPr>
          <w:p w14:paraId="151DB8F6" w14:textId="77777777" w:rsidR="007713B1" w:rsidRPr="004111BD" w:rsidRDefault="007713B1" w:rsidP="007713B1">
            <w:pPr>
              <w:spacing w:after="120"/>
              <w:rPr>
                <w:rFonts w:cstheme="minorHAnsi"/>
                <w:sz w:val="20"/>
                <w:szCs w:val="20"/>
              </w:rPr>
            </w:pPr>
            <w:r w:rsidRPr="004111BD">
              <w:rPr>
                <w:rFonts w:cstheme="minorHAnsi"/>
                <w:sz w:val="20"/>
                <w:szCs w:val="20"/>
              </w:rPr>
              <w:t>To be developed*</w:t>
            </w:r>
          </w:p>
        </w:tc>
        <w:tc>
          <w:tcPr>
            <w:tcW w:w="703" w:type="pct"/>
            <w:shd w:val="clear" w:color="auto" w:fill="FFFFFF" w:themeFill="background1"/>
          </w:tcPr>
          <w:p w14:paraId="304D6253" w14:textId="77777777" w:rsidR="007713B1" w:rsidRPr="004111BD" w:rsidRDefault="007713B1" w:rsidP="007713B1">
            <w:pPr>
              <w:spacing w:after="120"/>
              <w:rPr>
                <w:rFonts w:cstheme="minorHAnsi"/>
                <w:sz w:val="20"/>
                <w:szCs w:val="20"/>
              </w:rPr>
            </w:pPr>
            <w:r w:rsidRPr="004111BD">
              <w:rPr>
                <w:rFonts w:cstheme="minorHAnsi"/>
                <w:sz w:val="20"/>
                <w:szCs w:val="20"/>
              </w:rPr>
              <w:t>To be developed*</w:t>
            </w:r>
          </w:p>
        </w:tc>
      </w:tr>
    </w:tbl>
    <w:p w14:paraId="0D7D1E8B" w14:textId="77777777" w:rsidR="00B27175" w:rsidRDefault="00B27175" w:rsidP="00B27175">
      <w:pPr>
        <w:pStyle w:val="Heading4"/>
        <w:shd w:val="clear" w:color="auto" w:fill="auto"/>
      </w:pPr>
    </w:p>
    <w:p w14:paraId="6E13E81C" w14:textId="307ED9FA" w:rsidR="007713B1" w:rsidRPr="00A46D75" w:rsidRDefault="007713B1" w:rsidP="00046C03">
      <w:pPr>
        <w:pStyle w:val="Heading4"/>
        <w:shd w:val="clear" w:color="auto" w:fill="D9D9D9" w:themeFill="background1" w:themeFillShade="D9"/>
      </w:pPr>
      <w:r w:rsidRPr="00A46D75">
        <w:t>Rationale</w:t>
      </w:r>
    </w:p>
    <w:p w14:paraId="0CBC77E8" w14:textId="77777777" w:rsidR="007713B1" w:rsidRPr="00A46D75" w:rsidRDefault="007713B1" w:rsidP="00AA3C01">
      <w:pPr>
        <w:pStyle w:val="Normalmorespace"/>
      </w:pPr>
      <w:r w:rsidRPr="00A46D75">
        <w:t>Measuring the standard of delivery by states and territories is in accordance with the terms and conditions of agreements with the Commonwealth, will demonstrate the department has effectively:</w:t>
      </w:r>
    </w:p>
    <w:p w14:paraId="3550AAF7" w14:textId="77777777" w:rsidR="007713B1" w:rsidRPr="00C02D45" w:rsidRDefault="007713B1" w:rsidP="00AA3C01">
      <w:pPr>
        <w:pStyle w:val="ListParagraph"/>
        <w:numPr>
          <w:ilvl w:val="0"/>
          <w:numId w:val="21"/>
        </w:numPr>
        <w:spacing w:before="80" w:after="80" w:line="240" w:lineRule="auto"/>
        <w:ind w:left="714" w:hanging="357"/>
        <w:contextualSpacing w:val="0"/>
        <w:rPr>
          <w:rFonts w:cstheme="minorHAnsi"/>
          <w:sz w:val="20"/>
          <w:szCs w:val="20"/>
        </w:rPr>
      </w:pPr>
      <w:r w:rsidRPr="00C02D45">
        <w:rPr>
          <w:rFonts w:cstheme="minorHAnsi"/>
          <w:sz w:val="20"/>
          <w:szCs w:val="20"/>
        </w:rPr>
        <w:t xml:space="preserve">Conducted monitoring and compliance </w:t>
      </w:r>
    </w:p>
    <w:p w14:paraId="72BB9B98" w14:textId="77777777" w:rsidR="007713B1" w:rsidRPr="00C02D45" w:rsidRDefault="007713B1" w:rsidP="00AA3C01">
      <w:pPr>
        <w:pStyle w:val="ListParagraph"/>
        <w:numPr>
          <w:ilvl w:val="0"/>
          <w:numId w:val="21"/>
        </w:numPr>
        <w:spacing w:before="80" w:after="80" w:line="240" w:lineRule="auto"/>
        <w:ind w:left="714" w:hanging="357"/>
        <w:contextualSpacing w:val="0"/>
        <w:rPr>
          <w:rFonts w:cstheme="minorHAnsi"/>
          <w:sz w:val="20"/>
          <w:szCs w:val="20"/>
        </w:rPr>
      </w:pPr>
      <w:r w:rsidRPr="00C02D45">
        <w:rPr>
          <w:rFonts w:cstheme="minorHAnsi"/>
          <w:sz w:val="20"/>
          <w:szCs w:val="20"/>
        </w:rPr>
        <w:t xml:space="preserve">Conducted payment assurance </w:t>
      </w:r>
    </w:p>
    <w:p w14:paraId="224D1C91" w14:textId="77777777" w:rsidR="007713B1" w:rsidRPr="00C02D45" w:rsidRDefault="007713B1" w:rsidP="00AA3C01">
      <w:pPr>
        <w:pStyle w:val="ListParagraph"/>
        <w:numPr>
          <w:ilvl w:val="0"/>
          <w:numId w:val="21"/>
        </w:numPr>
        <w:spacing w:before="80" w:after="80" w:line="240" w:lineRule="auto"/>
        <w:ind w:left="714" w:hanging="357"/>
        <w:contextualSpacing w:val="0"/>
        <w:rPr>
          <w:rFonts w:cstheme="minorHAnsi"/>
          <w:sz w:val="20"/>
          <w:szCs w:val="20"/>
        </w:rPr>
      </w:pPr>
      <w:r w:rsidRPr="00C02D45">
        <w:rPr>
          <w:rFonts w:cstheme="minorHAnsi"/>
          <w:sz w:val="20"/>
          <w:szCs w:val="20"/>
        </w:rPr>
        <w:t>Reviewed annual statements of assurance</w:t>
      </w:r>
    </w:p>
    <w:p w14:paraId="034DB461" w14:textId="77777777" w:rsidR="007713B1" w:rsidRPr="00C02D45" w:rsidRDefault="007713B1" w:rsidP="00AA3C01">
      <w:pPr>
        <w:pStyle w:val="ListParagraph"/>
        <w:numPr>
          <w:ilvl w:val="0"/>
          <w:numId w:val="21"/>
        </w:numPr>
        <w:spacing w:before="80" w:after="80" w:line="240" w:lineRule="auto"/>
        <w:ind w:left="714" w:hanging="357"/>
        <w:contextualSpacing w:val="0"/>
        <w:rPr>
          <w:rFonts w:cstheme="minorHAnsi"/>
          <w:sz w:val="20"/>
          <w:szCs w:val="20"/>
        </w:rPr>
      </w:pPr>
      <w:r w:rsidRPr="00C02D45">
        <w:rPr>
          <w:rFonts w:cstheme="minorHAnsi"/>
          <w:sz w:val="20"/>
          <w:szCs w:val="20"/>
        </w:rPr>
        <w:t>Engaged with states and territories.</w:t>
      </w:r>
    </w:p>
    <w:p w14:paraId="570DAE93" w14:textId="77777777" w:rsidR="007713B1" w:rsidRPr="00A46D75" w:rsidRDefault="007713B1" w:rsidP="00046C03">
      <w:pPr>
        <w:pStyle w:val="Heading4"/>
        <w:shd w:val="clear" w:color="auto" w:fill="D9D9D9" w:themeFill="background1" w:themeFillShade="D9"/>
      </w:pPr>
      <w:r w:rsidRPr="00A46D75">
        <w:t>Methodology</w:t>
      </w:r>
    </w:p>
    <w:p w14:paraId="42EF263B" w14:textId="77777777" w:rsidR="007713B1" w:rsidRPr="00A46D75" w:rsidRDefault="007713B1" w:rsidP="00AA3C01">
      <w:pPr>
        <w:pStyle w:val="Normalmorespace"/>
      </w:pPr>
      <w:r w:rsidRPr="00A46D75">
        <w:t xml:space="preserve">The per cent of </w:t>
      </w:r>
      <w:r w:rsidRPr="00A46D75">
        <w:rPr>
          <w:i/>
        </w:rPr>
        <w:t>states and territories meet their requirements</w:t>
      </w:r>
      <w:r w:rsidRPr="00A46D75">
        <w:t xml:space="preserve"> is based on the number of state and territories that have:</w:t>
      </w:r>
    </w:p>
    <w:p w14:paraId="6B9A7455" w14:textId="77777777" w:rsidR="007713B1" w:rsidRPr="00C02D45" w:rsidRDefault="007713B1" w:rsidP="00AA3C01">
      <w:pPr>
        <w:pStyle w:val="ListParagraph"/>
        <w:numPr>
          <w:ilvl w:val="0"/>
          <w:numId w:val="22"/>
        </w:numPr>
        <w:spacing w:before="80" w:after="80" w:line="240" w:lineRule="auto"/>
        <w:ind w:left="714" w:hanging="357"/>
        <w:contextualSpacing w:val="0"/>
        <w:rPr>
          <w:rFonts w:cstheme="minorHAnsi"/>
          <w:sz w:val="20"/>
          <w:szCs w:val="20"/>
        </w:rPr>
      </w:pPr>
      <w:r w:rsidRPr="00C02D45">
        <w:rPr>
          <w:rFonts w:cstheme="minorHAnsi"/>
          <w:sz w:val="20"/>
          <w:szCs w:val="20"/>
        </w:rPr>
        <w:t>published a housing strategy</w:t>
      </w:r>
    </w:p>
    <w:p w14:paraId="1F6DC4FC" w14:textId="77777777" w:rsidR="007713B1" w:rsidRPr="00C02D45" w:rsidRDefault="007713B1" w:rsidP="00AA3C01">
      <w:pPr>
        <w:pStyle w:val="ListParagraph"/>
        <w:numPr>
          <w:ilvl w:val="0"/>
          <w:numId w:val="22"/>
        </w:numPr>
        <w:spacing w:before="80" w:after="80" w:line="240" w:lineRule="auto"/>
        <w:ind w:left="714" w:hanging="357"/>
        <w:contextualSpacing w:val="0"/>
        <w:rPr>
          <w:rFonts w:cstheme="minorHAnsi"/>
          <w:sz w:val="20"/>
          <w:szCs w:val="20"/>
        </w:rPr>
      </w:pPr>
      <w:r w:rsidRPr="00C02D45">
        <w:rPr>
          <w:rFonts w:cstheme="minorHAnsi"/>
          <w:sz w:val="20"/>
          <w:szCs w:val="20"/>
        </w:rPr>
        <w:t>published a homelessness strategy</w:t>
      </w:r>
    </w:p>
    <w:p w14:paraId="512AC4CC" w14:textId="77777777" w:rsidR="007713B1" w:rsidRPr="00C02D45" w:rsidRDefault="007713B1" w:rsidP="00AA3C01">
      <w:pPr>
        <w:pStyle w:val="ListParagraph"/>
        <w:numPr>
          <w:ilvl w:val="0"/>
          <w:numId w:val="22"/>
        </w:numPr>
        <w:spacing w:before="80" w:after="80" w:line="240" w:lineRule="auto"/>
        <w:ind w:left="714" w:hanging="357"/>
        <w:contextualSpacing w:val="0"/>
        <w:rPr>
          <w:rFonts w:cstheme="minorHAnsi"/>
          <w:sz w:val="20"/>
          <w:szCs w:val="20"/>
        </w:rPr>
      </w:pPr>
      <w:r w:rsidRPr="00C02D45">
        <w:rPr>
          <w:rFonts w:cstheme="minorHAnsi"/>
          <w:sz w:val="20"/>
          <w:szCs w:val="20"/>
        </w:rPr>
        <w:t>transparent reporting of agreed data</w:t>
      </w:r>
    </w:p>
    <w:p w14:paraId="70CCAA5C" w14:textId="77777777" w:rsidR="007713B1" w:rsidRPr="00C02D45" w:rsidRDefault="007713B1" w:rsidP="00AA3C01">
      <w:pPr>
        <w:pStyle w:val="ListParagraph"/>
        <w:numPr>
          <w:ilvl w:val="0"/>
          <w:numId w:val="22"/>
        </w:numPr>
        <w:spacing w:before="80" w:after="80" w:line="240" w:lineRule="auto"/>
        <w:ind w:left="714" w:hanging="357"/>
        <w:contextualSpacing w:val="0"/>
        <w:rPr>
          <w:rFonts w:cstheme="minorHAnsi"/>
          <w:sz w:val="20"/>
          <w:szCs w:val="20"/>
        </w:rPr>
      </w:pPr>
      <w:r w:rsidRPr="00C02D45">
        <w:rPr>
          <w:rFonts w:cstheme="minorHAnsi"/>
          <w:sz w:val="20"/>
          <w:szCs w:val="20"/>
        </w:rPr>
        <w:t>annual statement of assurance reports outlining jurisdictional housing and homelessness expenditure.</w:t>
      </w:r>
    </w:p>
    <w:p w14:paraId="6047F8C5" w14:textId="77777777" w:rsidR="00524221" w:rsidRDefault="00524221">
      <w:pPr>
        <w:spacing w:before="0" w:after="200" w:line="276" w:lineRule="auto"/>
        <w:rPr>
          <w:rFonts w:cstheme="minorHAnsi"/>
          <w:sz w:val="20"/>
          <w:szCs w:val="20"/>
        </w:rPr>
      </w:pPr>
      <w:r>
        <w:rPr>
          <w:rFonts w:cstheme="minorHAnsi"/>
          <w:sz w:val="20"/>
          <w:szCs w:val="20"/>
        </w:rPr>
        <w:br w:type="page"/>
      </w:r>
    </w:p>
    <w:p w14:paraId="768DB1D0" w14:textId="75E6E09E" w:rsidR="00524221" w:rsidRPr="00524221" w:rsidRDefault="007713B1" w:rsidP="00524221">
      <w:pPr>
        <w:spacing w:before="80" w:after="80" w:line="240" w:lineRule="auto"/>
        <w:rPr>
          <w:rFonts w:cstheme="minorHAnsi"/>
          <w:sz w:val="20"/>
          <w:szCs w:val="20"/>
        </w:rPr>
      </w:pPr>
      <w:r w:rsidRPr="00A46D75">
        <w:rPr>
          <w:rFonts w:cstheme="minorHAnsi"/>
          <w:sz w:val="20"/>
          <w:szCs w:val="20"/>
        </w:rPr>
        <w:t xml:space="preserve">The </w:t>
      </w:r>
      <w:r w:rsidRPr="00A46D75">
        <w:rPr>
          <w:rFonts w:cstheme="minorHAnsi"/>
          <w:b/>
          <w:sz w:val="20"/>
          <w:szCs w:val="20"/>
        </w:rPr>
        <w:t>data sources</w:t>
      </w:r>
      <w:r w:rsidRPr="00A46D75">
        <w:rPr>
          <w:rFonts w:cstheme="minorHAnsi"/>
          <w:sz w:val="20"/>
          <w:szCs w:val="20"/>
        </w:rPr>
        <w:t xml:space="preserve"> used for this calculation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Source "/>
        <w:tblDescription w:val="SS: Relevant state and territory government departmental website where housing and homelessness strategies are published. SS: Productivity Commission’s annual Report on Government Services. SS: Australian Institute of Health and Welfare’s Specialist Homelessness Services database. SS: NHHA statements of assurance, submitted to the relevant state or territories."/>
      </w:tblPr>
      <w:tblGrid>
        <w:gridCol w:w="988"/>
        <w:gridCol w:w="8028"/>
      </w:tblGrid>
      <w:tr w:rsidR="00524221" w:rsidRPr="0066739F" w14:paraId="44955768" w14:textId="77777777" w:rsidTr="006E191F">
        <w:trPr>
          <w:trHeight w:val="737"/>
          <w:tblHeader/>
        </w:trPr>
        <w:tc>
          <w:tcPr>
            <w:tcW w:w="988" w:type="dxa"/>
            <w:vAlign w:val="center"/>
          </w:tcPr>
          <w:p w14:paraId="34EB7C70" w14:textId="77777777" w:rsidR="00524221" w:rsidRDefault="00524221" w:rsidP="00B81E0C">
            <w:r>
              <w:rPr>
                <w:noProof/>
                <w:color w:val="000000" w:themeColor="text1"/>
              </w:rPr>
              <w:drawing>
                <wp:inline distT="0" distB="0" distL="0" distR="0" wp14:anchorId="3047115D" wp14:editId="3171FBCC">
                  <wp:extent cx="457200" cy="342900"/>
                  <wp:effectExtent l="0" t="0" r="0" b="0"/>
                  <wp:docPr id="257" name="Picture 257"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vAlign w:val="center"/>
          </w:tcPr>
          <w:p w14:paraId="4911A28A" w14:textId="77777777" w:rsidR="00524221" w:rsidRPr="007E593D" w:rsidRDefault="00524221" w:rsidP="006E191F">
            <w:pPr>
              <w:rPr>
                <w:sz w:val="20"/>
                <w:szCs w:val="20"/>
              </w:rPr>
            </w:pPr>
            <w:r w:rsidRPr="007E593D">
              <w:rPr>
                <w:sz w:val="20"/>
                <w:szCs w:val="20"/>
              </w:rPr>
              <w:t>Relevant state and territory government departmental website where housing and homelessness strategies are published</w:t>
            </w:r>
          </w:p>
        </w:tc>
      </w:tr>
      <w:tr w:rsidR="00524221" w:rsidRPr="0066739F" w14:paraId="741F2419" w14:textId="77777777" w:rsidTr="006E191F">
        <w:trPr>
          <w:trHeight w:val="737"/>
        </w:trPr>
        <w:tc>
          <w:tcPr>
            <w:tcW w:w="988" w:type="dxa"/>
            <w:vAlign w:val="center"/>
          </w:tcPr>
          <w:p w14:paraId="0B9D8EEA" w14:textId="77777777" w:rsidR="00524221" w:rsidRDefault="00524221" w:rsidP="007E32E3">
            <w:r>
              <w:rPr>
                <w:noProof/>
                <w:color w:val="000000" w:themeColor="text1"/>
              </w:rPr>
              <w:drawing>
                <wp:inline distT="0" distB="0" distL="0" distR="0" wp14:anchorId="69B8BDDA" wp14:editId="6F584E40">
                  <wp:extent cx="457200" cy="342900"/>
                  <wp:effectExtent l="0" t="0" r="0" b="0"/>
                  <wp:docPr id="259" name="Picture 259"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vAlign w:val="center"/>
          </w:tcPr>
          <w:p w14:paraId="368053E4" w14:textId="77777777" w:rsidR="00524221" w:rsidRPr="007E593D" w:rsidRDefault="00524221" w:rsidP="006E191F">
            <w:pPr>
              <w:spacing w:before="80" w:after="80" w:line="240" w:lineRule="auto"/>
              <w:rPr>
                <w:sz w:val="20"/>
                <w:szCs w:val="20"/>
              </w:rPr>
            </w:pPr>
            <w:r w:rsidRPr="007E593D">
              <w:rPr>
                <w:sz w:val="20"/>
                <w:szCs w:val="20"/>
              </w:rPr>
              <w:t>Productivity Commission’s annual Report on Government Services</w:t>
            </w:r>
          </w:p>
        </w:tc>
      </w:tr>
      <w:tr w:rsidR="00524221" w:rsidRPr="0066739F" w14:paraId="67B0CADF" w14:textId="77777777" w:rsidTr="006E191F">
        <w:trPr>
          <w:trHeight w:val="737"/>
        </w:trPr>
        <w:tc>
          <w:tcPr>
            <w:tcW w:w="988" w:type="dxa"/>
          </w:tcPr>
          <w:p w14:paraId="0E41BB7F" w14:textId="77777777" w:rsidR="00524221" w:rsidRDefault="00524221" w:rsidP="00B81E0C">
            <w:r>
              <w:rPr>
                <w:noProof/>
                <w:color w:val="000000" w:themeColor="text1"/>
              </w:rPr>
              <w:drawing>
                <wp:inline distT="0" distB="0" distL="0" distR="0" wp14:anchorId="0463B6D0" wp14:editId="00690F53">
                  <wp:extent cx="457200" cy="342900"/>
                  <wp:effectExtent l="0" t="0" r="0" b="0"/>
                  <wp:docPr id="261" name="Picture 261"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vAlign w:val="center"/>
          </w:tcPr>
          <w:p w14:paraId="0AC2A140" w14:textId="4D5C514E" w:rsidR="00524221" w:rsidRPr="007E593D" w:rsidRDefault="00524221" w:rsidP="006E191F">
            <w:pPr>
              <w:rPr>
                <w:sz w:val="20"/>
                <w:szCs w:val="20"/>
              </w:rPr>
            </w:pPr>
            <w:r w:rsidRPr="007E593D">
              <w:rPr>
                <w:sz w:val="20"/>
                <w:szCs w:val="20"/>
              </w:rPr>
              <w:t>Australian Institute of Health and Welfare’s Specialist Homelessness Services database</w:t>
            </w:r>
          </w:p>
        </w:tc>
      </w:tr>
      <w:tr w:rsidR="00524221" w:rsidRPr="0066739F" w14:paraId="4971F17E" w14:textId="77777777" w:rsidTr="006E191F">
        <w:trPr>
          <w:trHeight w:val="737"/>
        </w:trPr>
        <w:tc>
          <w:tcPr>
            <w:tcW w:w="988" w:type="dxa"/>
          </w:tcPr>
          <w:p w14:paraId="3BC087E6" w14:textId="77777777" w:rsidR="00524221" w:rsidRDefault="00524221" w:rsidP="00B81E0C">
            <w:r>
              <w:rPr>
                <w:noProof/>
                <w:color w:val="000000" w:themeColor="text1"/>
              </w:rPr>
              <w:drawing>
                <wp:inline distT="0" distB="0" distL="0" distR="0" wp14:anchorId="334A3A9A" wp14:editId="41B6F8E4">
                  <wp:extent cx="457200" cy="342900"/>
                  <wp:effectExtent l="0" t="0" r="0" b="0"/>
                  <wp:docPr id="263" name="Picture 263"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vAlign w:val="center"/>
          </w:tcPr>
          <w:p w14:paraId="642A6502" w14:textId="0CD3EF15" w:rsidR="00524221" w:rsidRPr="007E593D" w:rsidRDefault="00524221" w:rsidP="006E191F">
            <w:pPr>
              <w:rPr>
                <w:sz w:val="20"/>
                <w:szCs w:val="20"/>
              </w:rPr>
            </w:pPr>
            <w:r w:rsidRPr="007E593D">
              <w:rPr>
                <w:sz w:val="20"/>
                <w:szCs w:val="20"/>
              </w:rPr>
              <w:t>NHHA statements of assurance, submitted to</w:t>
            </w:r>
            <w:r w:rsidR="00B869C2" w:rsidRPr="007E593D">
              <w:rPr>
                <w:sz w:val="20"/>
                <w:szCs w:val="20"/>
              </w:rPr>
              <w:t xml:space="preserve"> t</w:t>
            </w:r>
            <w:r w:rsidR="00467B8F">
              <w:rPr>
                <w:sz w:val="20"/>
                <w:szCs w:val="20"/>
              </w:rPr>
              <w:t>he relevant state or territory ministers</w:t>
            </w:r>
          </w:p>
        </w:tc>
      </w:tr>
    </w:tbl>
    <w:tbl>
      <w:tblPr>
        <w:tblStyle w:val="TableGrid39"/>
        <w:tblW w:w="5000" w:type="pct"/>
        <w:jc w:val="center"/>
        <w:tblLook w:val="04A0" w:firstRow="1" w:lastRow="0" w:firstColumn="1" w:lastColumn="0" w:noHBand="0" w:noVBand="1"/>
        <w:tblCaption w:val="Data Source "/>
        <w:tblDescription w:val="SS: Relevant state and territory government departmental website where housing and homelessness strategies are published. SS: Productivity Commission’s annual Report on Government Services. SS: Australian Institute of Health and Welfare’s Specialist Homelessness Services database. SS: NHHA statements of assurance, submitted to the relevant state or territories."/>
      </w:tblPr>
      <w:tblGrid>
        <w:gridCol w:w="4028"/>
        <w:gridCol w:w="1543"/>
        <w:gridCol w:w="1258"/>
        <w:gridCol w:w="1258"/>
        <w:gridCol w:w="1257"/>
      </w:tblGrid>
      <w:tr w:rsidR="007713B1" w:rsidRPr="00A46D75" w14:paraId="26B20206" w14:textId="77777777" w:rsidTr="00CD76E2">
        <w:trPr>
          <w:cantSplit/>
          <w:trHeight w:val="356"/>
          <w:tblHeader/>
          <w:jc w:val="center"/>
        </w:trPr>
        <w:tc>
          <w:tcPr>
            <w:tcW w:w="5000" w:type="pct"/>
            <w:gridSpan w:val="5"/>
            <w:shd w:val="clear" w:color="auto" w:fill="D9D9D6"/>
          </w:tcPr>
          <w:p w14:paraId="7B7DDDC6" w14:textId="682873D8" w:rsidR="007713B1" w:rsidRPr="004111BD" w:rsidRDefault="007713B1" w:rsidP="007713B1">
            <w:pPr>
              <w:spacing w:after="120"/>
              <w:rPr>
                <w:rFonts w:cstheme="minorHAnsi"/>
                <w:b/>
                <w:sz w:val="20"/>
                <w:szCs w:val="20"/>
              </w:rPr>
            </w:pPr>
            <w:r w:rsidRPr="004111BD">
              <w:rPr>
                <w:rFonts w:cstheme="minorHAnsi"/>
                <w:b/>
                <w:sz w:val="20"/>
                <w:szCs w:val="20"/>
              </w:rPr>
              <w:t>Performance Measure</w:t>
            </w:r>
          </w:p>
        </w:tc>
      </w:tr>
      <w:tr w:rsidR="007713B1" w:rsidRPr="00A46D75" w14:paraId="3F3823A2" w14:textId="77777777" w:rsidTr="007713B1">
        <w:trPr>
          <w:cantSplit/>
          <w:trHeight w:val="356"/>
          <w:jc w:val="center"/>
        </w:trPr>
        <w:tc>
          <w:tcPr>
            <w:tcW w:w="5000" w:type="pct"/>
            <w:gridSpan w:val="5"/>
            <w:shd w:val="clear" w:color="auto" w:fill="auto"/>
          </w:tcPr>
          <w:p w14:paraId="160454DB" w14:textId="2F8BEF1A" w:rsidR="007713B1" w:rsidRPr="004111BD" w:rsidRDefault="007713B1" w:rsidP="00AA3C01">
            <w:pPr>
              <w:spacing w:after="120"/>
              <w:rPr>
                <w:rFonts w:cstheme="minorHAnsi"/>
                <w:sz w:val="20"/>
                <w:szCs w:val="20"/>
              </w:rPr>
            </w:pPr>
            <w:r w:rsidRPr="004111BD">
              <w:rPr>
                <w:rFonts w:cstheme="minorHAnsi"/>
                <w:sz w:val="20"/>
                <w:szCs w:val="20"/>
              </w:rPr>
              <w:t>4.1.1-2 National reporting by states and territories on the number of dwellings for social housing and the number of specialist homelessness services delivered.</w:t>
            </w:r>
          </w:p>
        </w:tc>
      </w:tr>
      <w:tr w:rsidR="007713B1" w:rsidRPr="00A46D75" w14:paraId="6B16B108" w14:textId="77777777" w:rsidTr="00AA3C01">
        <w:trPr>
          <w:cantSplit/>
          <w:trHeight w:val="356"/>
          <w:jc w:val="center"/>
        </w:trPr>
        <w:tc>
          <w:tcPr>
            <w:tcW w:w="2156" w:type="pct"/>
            <w:shd w:val="clear" w:color="auto" w:fill="D9D9D6"/>
          </w:tcPr>
          <w:p w14:paraId="67BBE207" w14:textId="77777777" w:rsidR="007713B1" w:rsidRPr="00A46D75" w:rsidRDefault="007713B1" w:rsidP="007713B1">
            <w:pPr>
              <w:spacing w:after="120"/>
              <w:rPr>
                <w:rFonts w:cstheme="minorHAnsi"/>
              </w:rPr>
            </w:pPr>
            <w:r w:rsidRPr="00A46D75">
              <w:rPr>
                <w:rFonts w:cstheme="minorHAnsi"/>
                <w:b/>
              </w:rPr>
              <w:t>Target</w:t>
            </w:r>
          </w:p>
        </w:tc>
        <w:tc>
          <w:tcPr>
            <w:tcW w:w="826" w:type="pct"/>
            <w:shd w:val="clear" w:color="auto" w:fill="D9D9D6"/>
          </w:tcPr>
          <w:p w14:paraId="2DDB2121" w14:textId="77777777" w:rsidR="007713B1" w:rsidRPr="004111BD" w:rsidRDefault="007713B1" w:rsidP="007713B1">
            <w:pPr>
              <w:spacing w:after="120"/>
              <w:rPr>
                <w:rFonts w:cstheme="minorHAnsi"/>
                <w:b/>
                <w:sz w:val="20"/>
                <w:szCs w:val="20"/>
              </w:rPr>
            </w:pPr>
            <w:r w:rsidRPr="004111BD">
              <w:rPr>
                <w:rFonts w:cstheme="minorHAnsi"/>
                <w:b/>
                <w:sz w:val="20"/>
                <w:szCs w:val="20"/>
              </w:rPr>
              <w:t>2023–24</w:t>
            </w:r>
          </w:p>
        </w:tc>
        <w:tc>
          <w:tcPr>
            <w:tcW w:w="673" w:type="pct"/>
            <w:shd w:val="clear" w:color="auto" w:fill="D9D9D6"/>
          </w:tcPr>
          <w:p w14:paraId="4A92A8C2" w14:textId="77777777" w:rsidR="007713B1" w:rsidRPr="004111BD" w:rsidRDefault="007713B1" w:rsidP="007713B1">
            <w:pPr>
              <w:spacing w:after="120"/>
              <w:rPr>
                <w:rFonts w:cstheme="minorHAnsi"/>
                <w:b/>
                <w:sz w:val="20"/>
                <w:szCs w:val="20"/>
              </w:rPr>
            </w:pPr>
            <w:r w:rsidRPr="004111BD">
              <w:rPr>
                <w:rFonts w:cstheme="minorHAnsi"/>
                <w:b/>
                <w:sz w:val="20"/>
                <w:szCs w:val="20"/>
              </w:rPr>
              <w:t>2024–25</w:t>
            </w:r>
          </w:p>
        </w:tc>
        <w:tc>
          <w:tcPr>
            <w:tcW w:w="673" w:type="pct"/>
            <w:shd w:val="clear" w:color="auto" w:fill="D9D9D6"/>
          </w:tcPr>
          <w:p w14:paraId="7760F609" w14:textId="77777777" w:rsidR="007713B1" w:rsidRPr="004111BD" w:rsidRDefault="007713B1" w:rsidP="007713B1">
            <w:pPr>
              <w:spacing w:after="120"/>
              <w:rPr>
                <w:rFonts w:cstheme="minorHAnsi"/>
                <w:b/>
                <w:sz w:val="20"/>
                <w:szCs w:val="20"/>
              </w:rPr>
            </w:pPr>
            <w:r w:rsidRPr="004111BD">
              <w:rPr>
                <w:rFonts w:cstheme="minorHAnsi"/>
                <w:b/>
                <w:sz w:val="20"/>
                <w:szCs w:val="20"/>
              </w:rPr>
              <w:t>2025–26</w:t>
            </w:r>
          </w:p>
        </w:tc>
        <w:tc>
          <w:tcPr>
            <w:tcW w:w="673" w:type="pct"/>
            <w:shd w:val="clear" w:color="auto" w:fill="D9D9D6"/>
          </w:tcPr>
          <w:p w14:paraId="5DCBB61F" w14:textId="77777777" w:rsidR="007713B1" w:rsidRPr="004111BD" w:rsidRDefault="007713B1" w:rsidP="007713B1">
            <w:pPr>
              <w:spacing w:after="120"/>
              <w:rPr>
                <w:rFonts w:cstheme="minorHAnsi"/>
                <w:b/>
                <w:sz w:val="20"/>
                <w:szCs w:val="20"/>
              </w:rPr>
            </w:pPr>
            <w:r w:rsidRPr="004111BD">
              <w:rPr>
                <w:rFonts w:cstheme="minorHAnsi"/>
                <w:b/>
                <w:sz w:val="20"/>
                <w:szCs w:val="20"/>
              </w:rPr>
              <w:t>2026–27</w:t>
            </w:r>
          </w:p>
        </w:tc>
      </w:tr>
      <w:tr w:rsidR="007713B1" w:rsidRPr="00A46D75" w14:paraId="344FFA6C" w14:textId="77777777" w:rsidTr="00AA3C01">
        <w:trPr>
          <w:cantSplit/>
          <w:trHeight w:val="356"/>
          <w:jc w:val="center"/>
        </w:trPr>
        <w:tc>
          <w:tcPr>
            <w:tcW w:w="2156" w:type="pct"/>
            <w:shd w:val="clear" w:color="auto" w:fill="FFFFFF" w:themeFill="background1"/>
          </w:tcPr>
          <w:p w14:paraId="60925DB7" w14:textId="77777777" w:rsidR="007713B1" w:rsidRPr="00D5606A" w:rsidRDefault="007713B1" w:rsidP="007713B1">
            <w:pPr>
              <w:pStyle w:val="PBSbullet"/>
              <w:numPr>
                <w:ilvl w:val="0"/>
                <w:numId w:val="0"/>
              </w:numPr>
              <w:pBdr>
                <w:top w:val="nil"/>
                <w:left w:val="nil"/>
                <w:bottom w:val="nil"/>
                <w:right w:val="nil"/>
                <w:between w:val="nil"/>
                <w:bar w:val="nil"/>
              </w:pBdr>
              <w:spacing w:before="120" w:after="120"/>
              <w:contextualSpacing w:val="0"/>
              <w:rPr>
                <w:rFonts w:eastAsia="Calibri"/>
                <w:sz w:val="20"/>
                <w:szCs w:val="20"/>
                <w:bdr w:val="nil"/>
              </w:rPr>
            </w:pPr>
            <w:r w:rsidRPr="00D5606A">
              <w:rPr>
                <w:noProof/>
                <w:sz w:val="20"/>
                <w:szCs w:val="20"/>
                <w:lang w:eastAsia="en-AU"/>
              </w:rPr>
              <w:sym w:font="Wingdings" w:char="F074"/>
            </w:r>
            <w:r w:rsidRPr="00D5606A">
              <w:rPr>
                <w:sz w:val="20"/>
                <w:szCs w:val="20"/>
              </w:rPr>
              <w:t xml:space="preserve"> </w:t>
            </w:r>
            <w:r w:rsidRPr="00D5606A">
              <w:rPr>
                <w:rFonts w:eastAsia="Calibri"/>
                <w:sz w:val="20"/>
                <w:szCs w:val="20"/>
                <w:bdr w:val="nil"/>
              </w:rPr>
              <w:t>4.1.1-2A - States and territories report on the number of dwellings for social housing and the number of specialist homelessness services delivered.</w:t>
            </w:r>
          </w:p>
          <w:p w14:paraId="6A221F34" w14:textId="77777777" w:rsidR="007713B1" w:rsidRPr="00A46D75" w:rsidRDefault="007713B1" w:rsidP="007713B1">
            <w:pPr>
              <w:pStyle w:val="PBSbullet"/>
              <w:numPr>
                <w:ilvl w:val="0"/>
                <w:numId w:val="0"/>
              </w:numPr>
              <w:pBdr>
                <w:top w:val="nil"/>
                <w:left w:val="nil"/>
                <w:bottom w:val="nil"/>
                <w:right w:val="nil"/>
                <w:between w:val="nil"/>
                <w:bar w:val="nil"/>
              </w:pBdr>
              <w:spacing w:before="120" w:after="120"/>
              <w:contextualSpacing w:val="0"/>
              <w:rPr>
                <w:rFonts w:asciiTheme="minorHAnsi" w:eastAsia="Calibri" w:hAnsiTheme="minorHAnsi" w:cstheme="minorHAnsi"/>
                <w:sz w:val="20"/>
                <w:szCs w:val="20"/>
                <w:bdr w:val="nil"/>
              </w:rPr>
            </w:pPr>
            <w:r w:rsidRPr="00D5606A">
              <w:rPr>
                <w:rFonts w:eastAsia="Calibri"/>
                <w:sz w:val="20"/>
                <w:szCs w:val="20"/>
                <w:bdr w:val="nil"/>
              </w:rPr>
              <w:t>* New bilateral agreements under the extended NHHA expire at the end of 2023-24, beyond which funding is subject to negotiation.</w:t>
            </w:r>
          </w:p>
        </w:tc>
        <w:tc>
          <w:tcPr>
            <w:tcW w:w="826" w:type="pct"/>
          </w:tcPr>
          <w:p w14:paraId="3A13F30B" w14:textId="77777777" w:rsidR="007713B1" w:rsidRPr="004111BD" w:rsidRDefault="007713B1" w:rsidP="004111BD">
            <w:pPr>
              <w:contextualSpacing/>
              <w:rPr>
                <w:rFonts w:cstheme="minorHAnsi"/>
                <w:sz w:val="20"/>
                <w:szCs w:val="20"/>
              </w:rPr>
            </w:pPr>
            <w:r w:rsidRPr="004111BD">
              <w:rPr>
                <w:rFonts w:cstheme="minorHAnsi"/>
                <w:sz w:val="20"/>
                <w:szCs w:val="20"/>
              </w:rPr>
              <w:t xml:space="preserve">States and </w:t>
            </w:r>
          </w:p>
          <w:p w14:paraId="2A5FCF14" w14:textId="77777777" w:rsidR="007713B1" w:rsidRPr="004111BD" w:rsidRDefault="007713B1" w:rsidP="004111BD">
            <w:pPr>
              <w:contextualSpacing/>
              <w:rPr>
                <w:rFonts w:cstheme="minorHAnsi"/>
                <w:sz w:val="20"/>
                <w:szCs w:val="20"/>
              </w:rPr>
            </w:pPr>
            <w:r w:rsidRPr="004111BD">
              <w:rPr>
                <w:rFonts w:cstheme="minorHAnsi"/>
                <w:sz w:val="20"/>
                <w:szCs w:val="20"/>
              </w:rPr>
              <w:t xml:space="preserve">territories </w:t>
            </w:r>
          </w:p>
          <w:p w14:paraId="38980330" w14:textId="77777777" w:rsidR="007713B1" w:rsidRPr="004111BD" w:rsidRDefault="007713B1" w:rsidP="004111BD">
            <w:pPr>
              <w:contextualSpacing/>
              <w:rPr>
                <w:rFonts w:cstheme="minorHAnsi"/>
                <w:sz w:val="20"/>
                <w:szCs w:val="20"/>
              </w:rPr>
            </w:pPr>
            <w:r w:rsidRPr="004111BD">
              <w:rPr>
                <w:rFonts w:cstheme="minorHAnsi"/>
                <w:sz w:val="20"/>
                <w:szCs w:val="20"/>
              </w:rPr>
              <w:t xml:space="preserve">report on the </w:t>
            </w:r>
          </w:p>
          <w:p w14:paraId="3ABF28DF" w14:textId="77777777" w:rsidR="007713B1" w:rsidRPr="004111BD" w:rsidRDefault="007713B1" w:rsidP="004111BD">
            <w:pPr>
              <w:contextualSpacing/>
              <w:rPr>
                <w:rFonts w:cstheme="minorHAnsi"/>
                <w:sz w:val="20"/>
                <w:szCs w:val="20"/>
              </w:rPr>
            </w:pPr>
            <w:r w:rsidRPr="004111BD">
              <w:rPr>
                <w:rFonts w:cstheme="minorHAnsi"/>
                <w:sz w:val="20"/>
                <w:szCs w:val="20"/>
              </w:rPr>
              <w:t xml:space="preserve">number of </w:t>
            </w:r>
          </w:p>
          <w:p w14:paraId="528FC415" w14:textId="77777777" w:rsidR="007713B1" w:rsidRPr="004111BD" w:rsidRDefault="007713B1" w:rsidP="004111BD">
            <w:pPr>
              <w:contextualSpacing/>
              <w:rPr>
                <w:rFonts w:cstheme="minorHAnsi"/>
                <w:sz w:val="20"/>
                <w:szCs w:val="20"/>
              </w:rPr>
            </w:pPr>
            <w:r w:rsidRPr="004111BD">
              <w:rPr>
                <w:rFonts w:cstheme="minorHAnsi"/>
                <w:sz w:val="20"/>
                <w:szCs w:val="20"/>
              </w:rPr>
              <w:t xml:space="preserve">dwellings for </w:t>
            </w:r>
          </w:p>
          <w:p w14:paraId="706247FF" w14:textId="77777777" w:rsidR="007713B1" w:rsidRPr="004111BD" w:rsidRDefault="007713B1" w:rsidP="004111BD">
            <w:pPr>
              <w:contextualSpacing/>
              <w:rPr>
                <w:rFonts w:cstheme="minorHAnsi"/>
                <w:sz w:val="20"/>
                <w:szCs w:val="20"/>
              </w:rPr>
            </w:pPr>
            <w:r w:rsidRPr="004111BD">
              <w:rPr>
                <w:rFonts w:cstheme="minorHAnsi"/>
                <w:sz w:val="20"/>
                <w:szCs w:val="20"/>
              </w:rPr>
              <w:t xml:space="preserve">social housing </w:t>
            </w:r>
          </w:p>
          <w:p w14:paraId="0570F0D6" w14:textId="77777777" w:rsidR="007713B1" w:rsidRPr="004111BD" w:rsidRDefault="007713B1" w:rsidP="004111BD">
            <w:pPr>
              <w:contextualSpacing/>
              <w:rPr>
                <w:rFonts w:cstheme="minorHAnsi"/>
                <w:sz w:val="20"/>
                <w:szCs w:val="20"/>
              </w:rPr>
            </w:pPr>
            <w:r w:rsidRPr="004111BD">
              <w:rPr>
                <w:rFonts w:cstheme="minorHAnsi"/>
                <w:sz w:val="20"/>
                <w:szCs w:val="20"/>
              </w:rPr>
              <w:t xml:space="preserve">and the number </w:t>
            </w:r>
          </w:p>
          <w:p w14:paraId="58D3E422" w14:textId="77777777" w:rsidR="007713B1" w:rsidRPr="004111BD" w:rsidRDefault="007713B1" w:rsidP="004111BD">
            <w:pPr>
              <w:contextualSpacing/>
              <w:rPr>
                <w:rFonts w:cstheme="minorHAnsi"/>
                <w:sz w:val="20"/>
                <w:szCs w:val="20"/>
              </w:rPr>
            </w:pPr>
            <w:r w:rsidRPr="004111BD">
              <w:rPr>
                <w:rFonts w:cstheme="minorHAnsi"/>
                <w:sz w:val="20"/>
                <w:szCs w:val="20"/>
              </w:rPr>
              <w:t xml:space="preserve">of specialist </w:t>
            </w:r>
          </w:p>
          <w:p w14:paraId="53E3D480" w14:textId="77777777" w:rsidR="007713B1" w:rsidRPr="004111BD" w:rsidRDefault="007713B1" w:rsidP="004111BD">
            <w:pPr>
              <w:contextualSpacing/>
              <w:rPr>
                <w:rFonts w:cstheme="minorHAnsi"/>
                <w:sz w:val="20"/>
                <w:szCs w:val="20"/>
              </w:rPr>
            </w:pPr>
            <w:r w:rsidRPr="004111BD">
              <w:rPr>
                <w:rFonts w:cstheme="minorHAnsi"/>
                <w:sz w:val="20"/>
                <w:szCs w:val="20"/>
              </w:rPr>
              <w:t xml:space="preserve">homelessness </w:t>
            </w:r>
          </w:p>
          <w:p w14:paraId="665C1EC5" w14:textId="77777777" w:rsidR="007713B1" w:rsidRPr="004111BD" w:rsidRDefault="007713B1" w:rsidP="004111BD">
            <w:pPr>
              <w:contextualSpacing/>
              <w:rPr>
                <w:rFonts w:cstheme="minorHAnsi"/>
                <w:sz w:val="20"/>
                <w:szCs w:val="20"/>
              </w:rPr>
            </w:pPr>
            <w:r w:rsidRPr="004111BD">
              <w:rPr>
                <w:rFonts w:cstheme="minorHAnsi"/>
                <w:sz w:val="20"/>
                <w:szCs w:val="20"/>
              </w:rPr>
              <w:t xml:space="preserve">services </w:t>
            </w:r>
          </w:p>
          <w:p w14:paraId="77155776" w14:textId="77777777" w:rsidR="007713B1" w:rsidRPr="004111BD" w:rsidRDefault="007713B1" w:rsidP="004111BD">
            <w:pPr>
              <w:contextualSpacing/>
              <w:rPr>
                <w:rFonts w:cstheme="minorHAnsi"/>
                <w:sz w:val="20"/>
                <w:szCs w:val="20"/>
              </w:rPr>
            </w:pPr>
            <w:r w:rsidRPr="004111BD">
              <w:rPr>
                <w:rFonts w:cstheme="minorHAnsi"/>
                <w:sz w:val="20"/>
                <w:szCs w:val="20"/>
              </w:rPr>
              <w:t>delivered</w:t>
            </w:r>
          </w:p>
        </w:tc>
        <w:tc>
          <w:tcPr>
            <w:tcW w:w="673" w:type="pct"/>
          </w:tcPr>
          <w:p w14:paraId="08C9394A" w14:textId="77777777" w:rsidR="007713B1" w:rsidRPr="004111BD" w:rsidRDefault="007713B1" w:rsidP="007713B1">
            <w:pPr>
              <w:spacing w:after="120"/>
              <w:rPr>
                <w:rFonts w:cstheme="minorHAnsi"/>
                <w:sz w:val="20"/>
                <w:szCs w:val="20"/>
                <w:highlight w:val="yellow"/>
              </w:rPr>
            </w:pPr>
            <w:r w:rsidRPr="004111BD">
              <w:rPr>
                <w:rFonts w:cstheme="minorHAnsi"/>
                <w:sz w:val="20"/>
                <w:szCs w:val="20"/>
              </w:rPr>
              <w:t>To be developed*</w:t>
            </w:r>
          </w:p>
        </w:tc>
        <w:tc>
          <w:tcPr>
            <w:tcW w:w="673" w:type="pct"/>
          </w:tcPr>
          <w:p w14:paraId="2AA78342" w14:textId="77777777" w:rsidR="007713B1" w:rsidRPr="004111BD" w:rsidRDefault="007713B1" w:rsidP="007713B1">
            <w:pPr>
              <w:spacing w:after="120"/>
              <w:rPr>
                <w:rFonts w:cstheme="minorHAnsi"/>
                <w:sz w:val="20"/>
                <w:szCs w:val="20"/>
                <w:highlight w:val="yellow"/>
              </w:rPr>
            </w:pPr>
            <w:r w:rsidRPr="004111BD">
              <w:rPr>
                <w:rFonts w:cstheme="minorHAnsi"/>
                <w:sz w:val="20"/>
                <w:szCs w:val="20"/>
              </w:rPr>
              <w:t>To be developed*</w:t>
            </w:r>
          </w:p>
        </w:tc>
        <w:tc>
          <w:tcPr>
            <w:tcW w:w="673" w:type="pct"/>
            <w:shd w:val="clear" w:color="auto" w:fill="FFFFFF" w:themeFill="background1"/>
          </w:tcPr>
          <w:p w14:paraId="7763375E" w14:textId="77777777" w:rsidR="007713B1" w:rsidRPr="004111BD" w:rsidRDefault="007713B1" w:rsidP="007713B1">
            <w:pPr>
              <w:spacing w:after="120"/>
              <w:rPr>
                <w:rFonts w:cstheme="minorHAnsi"/>
                <w:sz w:val="20"/>
                <w:szCs w:val="20"/>
                <w:highlight w:val="yellow"/>
              </w:rPr>
            </w:pPr>
            <w:r w:rsidRPr="004111BD">
              <w:rPr>
                <w:rFonts w:cstheme="minorHAnsi"/>
                <w:sz w:val="20"/>
                <w:szCs w:val="20"/>
              </w:rPr>
              <w:t>To be developed*</w:t>
            </w:r>
          </w:p>
        </w:tc>
      </w:tr>
    </w:tbl>
    <w:p w14:paraId="55BA65D9" w14:textId="77777777" w:rsidR="006E191F" w:rsidRDefault="006E191F" w:rsidP="006E191F">
      <w:pPr>
        <w:pStyle w:val="Heading4"/>
        <w:shd w:val="clear" w:color="auto" w:fill="auto"/>
      </w:pPr>
    </w:p>
    <w:p w14:paraId="697FEBDD" w14:textId="7D703BFD" w:rsidR="007713B1" w:rsidRPr="00A46D75" w:rsidRDefault="007713B1" w:rsidP="00046C03">
      <w:pPr>
        <w:pStyle w:val="Heading4"/>
        <w:shd w:val="clear" w:color="auto" w:fill="D9D9D9" w:themeFill="background1" w:themeFillShade="D9"/>
      </w:pPr>
      <w:r w:rsidRPr="00A46D75">
        <w:t>Rationale</w:t>
      </w:r>
    </w:p>
    <w:p w14:paraId="6B886E33" w14:textId="77777777" w:rsidR="007713B1" w:rsidRPr="00A46D75" w:rsidRDefault="007713B1" w:rsidP="00AA3C01">
      <w:pPr>
        <w:pStyle w:val="Normalmorespace"/>
      </w:pPr>
      <w:r w:rsidRPr="00A46D75">
        <w:t xml:space="preserve">As a requirement under the NHHA, states and territories report on the number of social housing dwellings and the number of specialist homelessness services delivered.  </w:t>
      </w:r>
    </w:p>
    <w:p w14:paraId="6BF89076" w14:textId="77777777" w:rsidR="007713B1" w:rsidRPr="00A46D75" w:rsidRDefault="007713B1" w:rsidP="00AA3C01">
      <w:pPr>
        <w:pStyle w:val="Normalmorespace"/>
      </w:pPr>
      <w:r w:rsidRPr="00A46D75">
        <w:rPr>
          <w:lang w:eastAsia="en-GB"/>
        </w:rPr>
        <w:t xml:space="preserve">The output target </w:t>
      </w:r>
      <w:r w:rsidRPr="00A46D75">
        <w:t xml:space="preserve">represents a strong demonstration of outputs achieved under the measure and complements the effectiveness measure under this key activity (4.1.1-1 Standard of delivery by states and territories is in accordance with the terms and conditions of agreements with the Commonwealth). </w:t>
      </w:r>
    </w:p>
    <w:p w14:paraId="39CAFB79" w14:textId="7B66FB70" w:rsidR="007713B1" w:rsidRPr="00A46D75" w:rsidRDefault="007713B1" w:rsidP="00AA3C01">
      <w:pPr>
        <w:pStyle w:val="Normalmorespace"/>
        <w:rPr>
          <w:rFonts w:cstheme="minorHAnsi"/>
        </w:rPr>
      </w:pPr>
      <w:r w:rsidRPr="00A46D75">
        <w:t>The target demonstrates the measurable result for the financial year as part of the larger strategy towards improving housing affordability, supporting social housing for individuals and preventing and addressing homelessness by providing targeted supports.</w:t>
      </w:r>
    </w:p>
    <w:p w14:paraId="79B15D82" w14:textId="77777777" w:rsidR="006E191F" w:rsidRDefault="006E191F">
      <w:pPr>
        <w:spacing w:before="0" w:after="200" w:line="276" w:lineRule="auto"/>
        <w:rPr>
          <w:b/>
          <w:sz w:val="20"/>
          <w:szCs w:val="20"/>
        </w:rPr>
      </w:pPr>
      <w:r>
        <w:br w:type="page"/>
      </w:r>
    </w:p>
    <w:p w14:paraId="3B1E2D7E" w14:textId="0946BC45" w:rsidR="007713B1" w:rsidRPr="00A46D75" w:rsidRDefault="007713B1" w:rsidP="00046C03">
      <w:pPr>
        <w:pStyle w:val="Heading4"/>
        <w:shd w:val="clear" w:color="auto" w:fill="D9D9D9" w:themeFill="background1" w:themeFillShade="D9"/>
      </w:pPr>
      <w:r w:rsidRPr="00A46D75">
        <w:t>Methodology</w:t>
      </w:r>
    </w:p>
    <w:p w14:paraId="7237A71B" w14:textId="74BAAB80" w:rsidR="007713B1" w:rsidRDefault="007713B1" w:rsidP="00AA3C01">
      <w:pPr>
        <w:pStyle w:val="Normalmorespace"/>
      </w:pPr>
      <w:r w:rsidRPr="00A46D75">
        <w:t>The number of social housing dwellings by category is based on the Australian Institute of</w:t>
      </w:r>
      <w:r w:rsidR="00E83A55">
        <w:t xml:space="preserve"> </w:t>
      </w:r>
      <w:r w:rsidRPr="00A46D75">
        <w:t>Health and Welfare Housing Assistance in Australia report 2020 (the report is publ</w:t>
      </w:r>
      <w:r>
        <w:t>ished annually).</w:t>
      </w:r>
    </w:p>
    <w:p w14:paraId="5C12B8E2" w14:textId="77777777" w:rsidR="007713B1" w:rsidRPr="00A46D75" w:rsidRDefault="007713B1" w:rsidP="00AA3C01">
      <w:pPr>
        <w:pStyle w:val="Normalmorespace"/>
      </w:pPr>
      <w:r w:rsidRPr="00A46D75">
        <w:t>The number of specialist homelessness services clients by cohort is based on the Australian Institute of Health and Welfare Specialist Home</w:t>
      </w:r>
      <w:r>
        <w:t>lessness Service annual report.</w:t>
      </w:r>
    </w:p>
    <w:p w14:paraId="554B9C87" w14:textId="1B53FB64" w:rsidR="007713B1" w:rsidRDefault="007713B1" w:rsidP="007E32E3">
      <w:pPr>
        <w:pStyle w:val="Normalmorespace"/>
        <w:rPr>
          <w:b/>
        </w:rPr>
      </w:pPr>
      <w:r w:rsidRPr="00467B8F">
        <w:t>The</w:t>
      </w:r>
      <w:r w:rsidRPr="00A46D75">
        <w:rPr>
          <w:b/>
        </w:rPr>
        <w:t xml:space="preserve"> data sources used </w:t>
      </w:r>
      <w:r w:rsidRPr="00467B8F">
        <w:t>for this calculation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Source"/>
        <w:tblDescription w:val="SS: State and territory relevant government department website where housing and homelessness strategies are published. SS: Australian Institute of Health and Welfare Housing Assistance annual report. SS: Australian Institute of Health and Welfare’s Specialist Homelessness Services database. SS: NHHA statements of assurance, submitted to the relevant state or territories."/>
      </w:tblPr>
      <w:tblGrid>
        <w:gridCol w:w="988"/>
        <w:gridCol w:w="8028"/>
      </w:tblGrid>
      <w:tr w:rsidR="00B869C2" w:rsidRPr="0066739F" w14:paraId="3AECCE34" w14:textId="77777777" w:rsidTr="0017156F">
        <w:trPr>
          <w:trHeight w:val="737"/>
          <w:tblHeader/>
        </w:trPr>
        <w:tc>
          <w:tcPr>
            <w:tcW w:w="988" w:type="dxa"/>
            <w:vAlign w:val="center"/>
          </w:tcPr>
          <w:p w14:paraId="0E7EE99C" w14:textId="77777777" w:rsidR="00B869C2" w:rsidRPr="007E593D" w:rsidRDefault="00B869C2" w:rsidP="00B81E0C">
            <w:pPr>
              <w:rPr>
                <w:sz w:val="20"/>
              </w:rPr>
            </w:pPr>
            <w:r w:rsidRPr="007E593D">
              <w:rPr>
                <w:noProof/>
                <w:color w:val="000000" w:themeColor="text1"/>
                <w:sz w:val="20"/>
              </w:rPr>
              <w:drawing>
                <wp:inline distT="0" distB="0" distL="0" distR="0" wp14:anchorId="3469AA8B" wp14:editId="54C064A5">
                  <wp:extent cx="457200" cy="342900"/>
                  <wp:effectExtent l="0" t="0" r="0" b="0"/>
                  <wp:docPr id="266" name="Picture 266"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vAlign w:val="center"/>
          </w:tcPr>
          <w:p w14:paraId="35D4AC90" w14:textId="45A6DFE2" w:rsidR="00B869C2" w:rsidRPr="007E593D" w:rsidRDefault="00B869C2" w:rsidP="00B81E0C">
            <w:pPr>
              <w:rPr>
                <w:sz w:val="20"/>
              </w:rPr>
            </w:pPr>
            <w:r w:rsidRPr="007E593D">
              <w:rPr>
                <w:sz w:val="20"/>
              </w:rPr>
              <w:t>State and territory relevant government department website where housing and homelessness strategies are published</w:t>
            </w:r>
          </w:p>
        </w:tc>
      </w:tr>
      <w:tr w:rsidR="00B869C2" w:rsidRPr="0066739F" w14:paraId="17B06ABC" w14:textId="77777777" w:rsidTr="00AA3C01">
        <w:trPr>
          <w:trHeight w:val="737"/>
        </w:trPr>
        <w:tc>
          <w:tcPr>
            <w:tcW w:w="988" w:type="dxa"/>
            <w:vAlign w:val="center"/>
          </w:tcPr>
          <w:p w14:paraId="29AF7C14" w14:textId="77777777" w:rsidR="00B869C2" w:rsidRPr="007E593D" w:rsidRDefault="00B869C2" w:rsidP="00AA3C01">
            <w:pPr>
              <w:rPr>
                <w:sz w:val="20"/>
              </w:rPr>
            </w:pPr>
            <w:r w:rsidRPr="007E593D">
              <w:rPr>
                <w:noProof/>
                <w:color w:val="000000" w:themeColor="text1"/>
                <w:sz w:val="20"/>
              </w:rPr>
              <w:drawing>
                <wp:inline distT="0" distB="0" distL="0" distR="0" wp14:anchorId="73E1F916" wp14:editId="3F1DB774">
                  <wp:extent cx="457200" cy="342900"/>
                  <wp:effectExtent l="0" t="0" r="0" b="0"/>
                  <wp:docPr id="267" name="Picture 267"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vAlign w:val="center"/>
          </w:tcPr>
          <w:p w14:paraId="4C37E747" w14:textId="542CED82" w:rsidR="00B869C2" w:rsidRPr="007E593D" w:rsidRDefault="00B869C2" w:rsidP="00AA3C01">
            <w:pPr>
              <w:spacing w:before="80" w:after="80" w:line="240" w:lineRule="auto"/>
              <w:rPr>
                <w:sz w:val="20"/>
              </w:rPr>
            </w:pPr>
            <w:r w:rsidRPr="007E593D">
              <w:rPr>
                <w:sz w:val="20"/>
              </w:rPr>
              <w:t>Australian Institute of Health and Welfare H</w:t>
            </w:r>
            <w:r w:rsidR="008139F7">
              <w:rPr>
                <w:sz w:val="20"/>
              </w:rPr>
              <w:t>ousing Assistance annual report</w:t>
            </w:r>
          </w:p>
        </w:tc>
      </w:tr>
      <w:tr w:rsidR="00B869C2" w:rsidRPr="0066739F" w14:paraId="503C9C71" w14:textId="77777777" w:rsidTr="00AF5D30">
        <w:trPr>
          <w:trHeight w:val="737"/>
        </w:trPr>
        <w:tc>
          <w:tcPr>
            <w:tcW w:w="988" w:type="dxa"/>
          </w:tcPr>
          <w:p w14:paraId="65FB5CE6" w14:textId="77777777" w:rsidR="00B869C2" w:rsidRPr="007E593D" w:rsidRDefault="00B869C2" w:rsidP="00B81E0C">
            <w:pPr>
              <w:rPr>
                <w:sz w:val="20"/>
              </w:rPr>
            </w:pPr>
            <w:r w:rsidRPr="007E593D">
              <w:rPr>
                <w:noProof/>
                <w:color w:val="000000" w:themeColor="text1"/>
                <w:sz w:val="20"/>
              </w:rPr>
              <w:drawing>
                <wp:inline distT="0" distB="0" distL="0" distR="0" wp14:anchorId="7213BDB8" wp14:editId="7A624136">
                  <wp:extent cx="457200" cy="342900"/>
                  <wp:effectExtent l="0" t="0" r="0" b="0"/>
                  <wp:docPr id="269" name="Picture 269"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tcPr>
          <w:p w14:paraId="7727E301" w14:textId="77777777" w:rsidR="00B869C2" w:rsidRPr="007E593D" w:rsidRDefault="00B869C2" w:rsidP="00B81E0C">
            <w:pPr>
              <w:rPr>
                <w:sz w:val="20"/>
              </w:rPr>
            </w:pPr>
            <w:r w:rsidRPr="007E593D">
              <w:rPr>
                <w:sz w:val="20"/>
              </w:rPr>
              <w:t>Australian Institute of Health and Welfare’s Specialist Homelessness Services database</w:t>
            </w:r>
          </w:p>
        </w:tc>
      </w:tr>
      <w:tr w:rsidR="00B869C2" w:rsidRPr="0066739F" w14:paraId="3B7FE464" w14:textId="77777777" w:rsidTr="00AA3C01">
        <w:trPr>
          <w:trHeight w:val="737"/>
        </w:trPr>
        <w:tc>
          <w:tcPr>
            <w:tcW w:w="988" w:type="dxa"/>
            <w:vAlign w:val="center"/>
          </w:tcPr>
          <w:p w14:paraId="404A774A" w14:textId="77777777" w:rsidR="00B869C2" w:rsidRPr="007E593D" w:rsidRDefault="00B869C2" w:rsidP="00AA3C01">
            <w:pPr>
              <w:rPr>
                <w:sz w:val="20"/>
              </w:rPr>
            </w:pPr>
            <w:r w:rsidRPr="007E593D">
              <w:rPr>
                <w:noProof/>
                <w:color w:val="000000" w:themeColor="text1"/>
                <w:sz w:val="20"/>
              </w:rPr>
              <w:drawing>
                <wp:inline distT="0" distB="0" distL="0" distR="0" wp14:anchorId="266CC11C" wp14:editId="353918D4">
                  <wp:extent cx="457200" cy="342900"/>
                  <wp:effectExtent l="0" t="0" r="0" b="0"/>
                  <wp:docPr id="271" name="Picture 271" descr="Data Source - Secondary (Government) source, Data sourced from another Commonwealth or state and territory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inline>
              </w:drawing>
            </w:r>
          </w:p>
        </w:tc>
        <w:tc>
          <w:tcPr>
            <w:tcW w:w="8028" w:type="dxa"/>
            <w:vAlign w:val="center"/>
          </w:tcPr>
          <w:p w14:paraId="03CF1C5E" w14:textId="77777777" w:rsidR="00B869C2" w:rsidRPr="007E593D" w:rsidRDefault="00B869C2" w:rsidP="00AA3C01">
            <w:pPr>
              <w:rPr>
                <w:sz w:val="20"/>
              </w:rPr>
            </w:pPr>
            <w:r w:rsidRPr="007E593D">
              <w:rPr>
                <w:sz w:val="20"/>
              </w:rPr>
              <w:t>NHHA statements of assurance, submitted to the relevant state or territories</w:t>
            </w:r>
          </w:p>
        </w:tc>
      </w:tr>
    </w:tbl>
    <w:p w14:paraId="5BEF1B66" w14:textId="77777777" w:rsidR="007713B1" w:rsidRPr="00A46D75" w:rsidRDefault="007713B1" w:rsidP="00046C03">
      <w:pPr>
        <w:pStyle w:val="Heading4"/>
        <w:shd w:val="clear" w:color="auto" w:fill="D9D9D9" w:themeFill="background1" w:themeFillShade="D9"/>
      </w:pPr>
      <w:r w:rsidRPr="00A46D75">
        <w:t>Supporting Information</w:t>
      </w:r>
    </w:p>
    <w:p w14:paraId="7EFB00BA" w14:textId="77777777" w:rsidR="007713B1" w:rsidRPr="00C02D45" w:rsidRDefault="007713B1" w:rsidP="007572E0">
      <w:pPr>
        <w:pStyle w:val="ListParagraph"/>
        <w:numPr>
          <w:ilvl w:val="0"/>
          <w:numId w:val="21"/>
        </w:numPr>
        <w:spacing w:before="80" w:after="80" w:line="240" w:lineRule="auto"/>
        <w:ind w:left="714" w:hanging="357"/>
        <w:contextualSpacing w:val="0"/>
        <w:rPr>
          <w:sz w:val="20"/>
          <w:szCs w:val="20"/>
        </w:rPr>
      </w:pPr>
      <w:r w:rsidRPr="00C02D45">
        <w:rPr>
          <w:sz w:val="20"/>
          <w:szCs w:val="20"/>
        </w:rPr>
        <w:t xml:space="preserve">Administered outlays </w:t>
      </w:r>
    </w:p>
    <w:p w14:paraId="7E57D641" w14:textId="77777777" w:rsidR="007713B1" w:rsidRDefault="007713B1" w:rsidP="007713B1">
      <w:pPr>
        <w:spacing w:after="160" w:line="254" w:lineRule="auto"/>
        <w:rPr>
          <w:szCs w:val="20"/>
        </w:rPr>
      </w:pPr>
    </w:p>
    <w:p w14:paraId="0AC37108" w14:textId="77777777" w:rsidR="007713B1" w:rsidRDefault="007713B1" w:rsidP="007713B1">
      <w:pPr>
        <w:spacing w:after="160"/>
        <w:rPr>
          <w:szCs w:val="20"/>
        </w:rPr>
      </w:pPr>
      <w:r>
        <w:rPr>
          <w:szCs w:val="20"/>
        </w:rPr>
        <w:br w:type="page"/>
      </w:r>
    </w:p>
    <w:p w14:paraId="06D3E54D" w14:textId="77777777" w:rsidR="007713B1" w:rsidRPr="00A46D75" w:rsidRDefault="007713B1" w:rsidP="00046C03">
      <w:pPr>
        <w:pStyle w:val="Heading3"/>
        <w:shd w:val="clear" w:color="auto" w:fill="15787D"/>
      </w:pPr>
      <w:r>
        <w:t xml:space="preserve">Program 4.2 </w:t>
      </w:r>
      <w:r w:rsidRPr="00A46D75">
        <w:t xml:space="preserve">Affordable Housing </w:t>
      </w:r>
    </w:p>
    <w:p w14:paraId="0A106097" w14:textId="77777777" w:rsidR="007713B1" w:rsidRPr="00A46D75" w:rsidRDefault="007713B1" w:rsidP="00046C03">
      <w:pPr>
        <w:shd w:val="clear" w:color="auto" w:fill="15787D"/>
        <w:spacing w:line="252" w:lineRule="auto"/>
        <w:rPr>
          <w:rFonts w:cs="Arial"/>
          <w:sz w:val="20"/>
          <w:szCs w:val="20"/>
        </w:rPr>
      </w:pPr>
      <w:r>
        <w:rPr>
          <w:rFonts w:cs="Arial"/>
          <w:color w:val="FFFFFF" w:themeColor="background1"/>
          <w:sz w:val="20"/>
          <w:szCs w:val="20"/>
        </w:rPr>
        <w:t>T</w:t>
      </w:r>
      <w:r w:rsidRPr="00A46D75">
        <w:rPr>
          <w:rFonts w:cs="Arial"/>
          <w:color w:val="FFFFFF" w:themeColor="background1"/>
          <w:sz w:val="20"/>
          <w:szCs w:val="20"/>
        </w:rPr>
        <w:t>o improve the supply of affordable rental housing to low and moderate income households</w:t>
      </w:r>
      <w:r w:rsidRPr="00A46D75">
        <w:rPr>
          <w:rFonts w:cs="Arial"/>
          <w:sz w:val="20"/>
          <w:szCs w:val="20"/>
        </w:rPr>
        <w:t>.</w:t>
      </w:r>
    </w:p>
    <w:p w14:paraId="31563B60" w14:textId="77777777" w:rsidR="007713B1" w:rsidRPr="00B27175" w:rsidRDefault="007713B1" w:rsidP="00046C03">
      <w:pPr>
        <w:pStyle w:val="Heading4"/>
        <w:shd w:val="clear" w:color="auto" w:fill="D9D9D9" w:themeFill="background1" w:themeFillShade="D9"/>
      </w:pPr>
      <w:r w:rsidRPr="00B27175">
        <w:rPr>
          <w:rStyle w:val="Heading4Char"/>
          <w:b/>
          <w:shd w:val="clear" w:color="auto" w:fill="auto"/>
        </w:rPr>
        <w:t>Key Activity — 4.2.1 National Rental Affordability Scheme (NRAS</w:t>
      </w:r>
      <w:r w:rsidRPr="00B27175">
        <w:t>)</w:t>
      </w:r>
    </w:p>
    <w:p w14:paraId="5430A665" w14:textId="77777777" w:rsidR="007713B1" w:rsidRPr="00A46D75" w:rsidRDefault="007713B1" w:rsidP="00AA3C01">
      <w:pPr>
        <w:pStyle w:val="Normalmorespace"/>
      </w:pPr>
      <w:r w:rsidRPr="00A46D75">
        <w:t>The National Rental Affordability Scheme (NRAS, the Scheme) is a key activity of the Affordable Housing program. The Scheme increase</w:t>
      </w:r>
      <w:r>
        <w:t>s</w:t>
      </w:r>
      <w:r w:rsidRPr="00A46D75">
        <w:t xml:space="preserve"> the supply of affordable rental dwellings and reduce rental costs for low and moderate income households. The Scheme, which commenced in 2008, provides an annual, retrospective financial incentive each year for up to 10 years for approved participants who rent dwellings to eligible </w:t>
      </w:r>
      <w:r w:rsidRPr="00A46D75">
        <w:rPr>
          <w:b/>
        </w:rPr>
        <w:t>people on low to moderate incomes</w:t>
      </w:r>
      <w:r w:rsidRPr="00A46D75">
        <w:t xml:space="preserve"> at a rate at least 20 per cent below market rent. </w:t>
      </w:r>
    </w:p>
    <w:p w14:paraId="696C4655" w14:textId="77777777" w:rsidR="007713B1" w:rsidRPr="00A46D75" w:rsidRDefault="007713B1" w:rsidP="00AA3C01">
      <w:pPr>
        <w:pStyle w:val="Normalmorespace"/>
      </w:pPr>
      <w:r w:rsidRPr="00A46D75">
        <w:t>Under NRAS, the Australian Government in conjunction with the states and territories is providing financial incentives to:</w:t>
      </w:r>
    </w:p>
    <w:p w14:paraId="79D31C51" w14:textId="77777777" w:rsidR="007713B1" w:rsidRPr="005162B4" w:rsidRDefault="007713B1" w:rsidP="00AA3C01">
      <w:pPr>
        <w:pStyle w:val="ListParagraph"/>
        <w:numPr>
          <w:ilvl w:val="0"/>
          <w:numId w:val="24"/>
        </w:numPr>
        <w:spacing w:before="80" w:after="80" w:line="240" w:lineRule="auto"/>
        <w:ind w:left="641" w:hanging="284"/>
        <w:contextualSpacing w:val="0"/>
        <w:rPr>
          <w:rFonts w:cs="Arial"/>
          <w:sz w:val="20"/>
          <w:szCs w:val="20"/>
        </w:rPr>
      </w:pPr>
      <w:r w:rsidRPr="005162B4">
        <w:rPr>
          <w:rFonts w:cs="Arial"/>
          <w:sz w:val="20"/>
          <w:szCs w:val="20"/>
        </w:rPr>
        <w:t>increase the supply of affordable rental housing</w:t>
      </w:r>
    </w:p>
    <w:p w14:paraId="32F24FC7" w14:textId="77777777" w:rsidR="007713B1" w:rsidRPr="005162B4" w:rsidRDefault="007713B1" w:rsidP="00AA3C01">
      <w:pPr>
        <w:pStyle w:val="ListParagraph"/>
        <w:numPr>
          <w:ilvl w:val="0"/>
          <w:numId w:val="24"/>
        </w:numPr>
        <w:spacing w:before="80" w:after="80" w:line="240" w:lineRule="auto"/>
        <w:ind w:left="641" w:hanging="284"/>
        <w:contextualSpacing w:val="0"/>
        <w:rPr>
          <w:rFonts w:cs="Arial"/>
          <w:sz w:val="20"/>
          <w:szCs w:val="20"/>
        </w:rPr>
      </w:pPr>
      <w:r w:rsidRPr="005162B4">
        <w:rPr>
          <w:rFonts w:cs="Arial"/>
          <w:sz w:val="20"/>
          <w:szCs w:val="20"/>
        </w:rPr>
        <w:t>reduce the rental costs for low to moderate income households</w:t>
      </w:r>
    </w:p>
    <w:p w14:paraId="14EB64FB" w14:textId="77777777" w:rsidR="007713B1" w:rsidRPr="005162B4" w:rsidRDefault="007713B1" w:rsidP="00AA3C01">
      <w:pPr>
        <w:pStyle w:val="ListParagraph"/>
        <w:numPr>
          <w:ilvl w:val="0"/>
          <w:numId w:val="24"/>
        </w:numPr>
        <w:spacing w:before="80" w:after="80" w:line="240" w:lineRule="auto"/>
        <w:ind w:left="641" w:hanging="284"/>
        <w:contextualSpacing w:val="0"/>
        <w:rPr>
          <w:rFonts w:cs="Arial"/>
          <w:sz w:val="20"/>
          <w:szCs w:val="20"/>
        </w:rPr>
      </w:pPr>
      <w:r w:rsidRPr="005162B4">
        <w:rPr>
          <w:rFonts w:cs="Arial"/>
          <w:sz w:val="20"/>
          <w:szCs w:val="20"/>
        </w:rPr>
        <w:t>encourage the large-scale investment and innovative delivery of affordable rental housing.</w:t>
      </w:r>
    </w:p>
    <w:p w14:paraId="258DA2F0" w14:textId="77777777" w:rsidR="007713B1" w:rsidRPr="00A46D75" w:rsidRDefault="007713B1" w:rsidP="00AA3C01">
      <w:pPr>
        <w:pStyle w:val="Normalmorespace"/>
      </w:pPr>
      <w:r w:rsidRPr="00A46D75">
        <w:t>As announced in the 2014–15 Budget, there will be no further funding rounds or new allocations of NRAS incentives beyond those allocated in the Scheme and held by approved participants.</w:t>
      </w:r>
    </w:p>
    <w:p w14:paraId="45B09C0A" w14:textId="77777777" w:rsidR="007713B1" w:rsidRPr="00A46D75" w:rsidRDefault="007713B1" w:rsidP="00AA3C01">
      <w:pPr>
        <w:pStyle w:val="Normalmorespace"/>
      </w:pPr>
      <w:r w:rsidRPr="00A46D75">
        <w:rPr>
          <w:b/>
        </w:rPr>
        <w:t>The department’s</w:t>
      </w:r>
      <w:r w:rsidRPr="00A46D75">
        <w:t xml:space="preserve"> role is to:</w:t>
      </w:r>
    </w:p>
    <w:p w14:paraId="235F1715" w14:textId="77777777" w:rsidR="007713B1" w:rsidRPr="005162B4" w:rsidRDefault="007713B1" w:rsidP="00AA3C01">
      <w:pPr>
        <w:pStyle w:val="ListParagraph"/>
        <w:numPr>
          <w:ilvl w:val="0"/>
          <w:numId w:val="25"/>
        </w:numPr>
        <w:spacing w:before="80" w:after="80" w:line="240" w:lineRule="auto"/>
        <w:ind w:left="641" w:hanging="284"/>
        <w:contextualSpacing w:val="0"/>
        <w:rPr>
          <w:rFonts w:cs="Arial"/>
          <w:sz w:val="20"/>
          <w:szCs w:val="20"/>
        </w:rPr>
      </w:pPr>
      <w:r w:rsidRPr="005162B4">
        <w:rPr>
          <w:rFonts w:cs="Arial"/>
          <w:sz w:val="20"/>
          <w:szCs w:val="20"/>
        </w:rPr>
        <w:t>administer the NRAS legislative framework</w:t>
      </w:r>
    </w:p>
    <w:p w14:paraId="1205463E" w14:textId="77777777" w:rsidR="007713B1" w:rsidRPr="005162B4" w:rsidRDefault="007713B1" w:rsidP="00AA3C01">
      <w:pPr>
        <w:pStyle w:val="ListParagraph"/>
        <w:numPr>
          <w:ilvl w:val="0"/>
          <w:numId w:val="25"/>
        </w:numPr>
        <w:spacing w:before="80" w:after="80" w:line="240" w:lineRule="auto"/>
        <w:ind w:left="641" w:hanging="284"/>
        <w:contextualSpacing w:val="0"/>
        <w:rPr>
          <w:rFonts w:cs="Arial"/>
          <w:sz w:val="20"/>
          <w:szCs w:val="20"/>
        </w:rPr>
      </w:pPr>
      <w:r w:rsidRPr="005162B4">
        <w:rPr>
          <w:rFonts w:cs="Arial"/>
          <w:sz w:val="20"/>
          <w:szCs w:val="20"/>
        </w:rPr>
        <w:t>process statements of compliance for rental dwellings and calculate and distribute financial incentives, including issuing cash incentives</w:t>
      </w:r>
    </w:p>
    <w:p w14:paraId="6F64622E" w14:textId="77777777" w:rsidR="007713B1" w:rsidRPr="005162B4" w:rsidRDefault="007713B1" w:rsidP="00AA3C01">
      <w:pPr>
        <w:pStyle w:val="ListParagraph"/>
        <w:numPr>
          <w:ilvl w:val="0"/>
          <w:numId w:val="25"/>
        </w:numPr>
        <w:spacing w:before="80" w:after="80" w:line="240" w:lineRule="auto"/>
        <w:ind w:left="641" w:hanging="284"/>
        <w:contextualSpacing w:val="0"/>
        <w:rPr>
          <w:rFonts w:cs="Arial"/>
          <w:sz w:val="20"/>
          <w:szCs w:val="20"/>
        </w:rPr>
      </w:pPr>
      <w:r w:rsidRPr="005162B4">
        <w:rPr>
          <w:rFonts w:cs="Arial"/>
          <w:sz w:val="20"/>
          <w:szCs w:val="20"/>
        </w:rPr>
        <w:t>make decisions on the transfer of NRAS dwellings between approved participants or to another rental dwelling</w:t>
      </w:r>
    </w:p>
    <w:p w14:paraId="79177E9C" w14:textId="77777777" w:rsidR="007713B1" w:rsidRPr="005162B4" w:rsidRDefault="007713B1" w:rsidP="00AA3C01">
      <w:pPr>
        <w:pStyle w:val="ListParagraph"/>
        <w:numPr>
          <w:ilvl w:val="0"/>
          <w:numId w:val="25"/>
        </w:numPr>
        <w:spacing w:before="80" w:after="80" w:line="240" w:lineRule="auto"/>
        <w:ind w:left="641" w:hanging="284"/>
        <w:contextualSpacing w:val="0"/>
        <w:rPr>
          <w:rFonts w:cs="Arial"/>
          <w:sz w:val="20"/>
          <w:szCs w:val="20"/>
        </w:rPr>
      </w:pPr>
      <w:r w:rsidRPr="005162B4">
        <w:rPr>
          <w:rFonts w:cs="Arial"/>
          <w:sz w:val="20"/>
          <w:szCs w:val="20"/>
        </w:rPr>
        <w:t>publish and maintain guidelines for NRAS stakeholders, including guidance on regulatory and administrative requirements.</w:t>
      </w:r>
    </w:p>
    <w:p w14:paraId="15612946" w14:textId="77777777" w:rsidR="007713B1" w:rsidRPr="00A46D75" w:rsidRDefault="007713B1" w:rsidP="00AA3C01">
      <w:pPr>
        <w:spacing w:before="80" w:after="80" w:line="240" w:lineRule="auto"/>
        <w:rPr>
          <w:rFonts w:cs="Arial"/>
          <w:sz w:val="20"/>
          <w:szCs w:val="20"/>
        </w:rPr>
      </w:pPr>
      <w:r w:rsidRPr="00A46D75">
        <w:rPr>
          <w:rFonts w:cs="Arial"/>
          <w:b/>
          <w:sz w:val="20"/>
          <w:szCs w:val="20"/>
        </w:rPr>
        <w:t>The states’ and territories’</w:t>
      </w:r>
      <w:r w:rsidRPr="00A46D75">
        <w:rPr>
          <w:rFonts w:cs="Arial"/>
          <w:sz w:val="20"/>
          <w:szCs w:val="20"/>
        </w:rPr>
        <w:t xml:space="preserve"> role is to:</w:t>
      </w:r>
    </w:p>
    <w:p w14:paraId="4B792CFC" w14:textId="77777777" w:rsidR="007713B1" w:rsidRPr="005162B4" w:rsidRDefault="007713B1" w:rsidP="00AA3C01">
      <w:pPr>
        <w:pStyle w:val="ListParagraph"/>
        <w:numPr>
          <w:ilvl w:val="0"/>
          <w:numId w:val="26"/>
        </w:numPr>
        <w:spacing w:before="80" w:after="80" w:line="240" w:lineRule="auto"/>
        <w:ind w:left="641" w:hanging="284"/>
        <w:contextualSpacing w:val="0"/>
        <w:rPr>
          <w:rFonts w:cs="Arial"/>
          <w:sz w:val="20"/>
          <w:szCs w:val="20"/>
        </w:rPr>
      </w:pPr>
      <w:r w:rsidRPr="005162B4">
        <w:rPr>
          <w:rFonts w:cs="Arial"/>
          <w:sz w:val="20"/>
          <w:szCs w:val="20"/>
        </w:rPr>
        <w:t>provide approved participants a contribution per NRAS dwelling as direct payment or payment in-kind.</w:t>
      </w:r>
    </w:p>
    <w:p w14:paraId="02BF8F20" w14:textId="77777777" w:rsidR="007713B1" w:rsidRPr="00A46D75" w:rsidRDefault="007713B1" w:rsidP="00AA3C01">
      <w:pPr>
        <w:spacing w:before="80" w:after="80" w:line="240" w:lineRule="auto"/>
        <w:rPr>
          <w:rFonts w:cs="Arial"/>
          <w:sz w:val="20"/>
          <w:szCs w:val="20"/>
        </w:rPr>
      </w:pPr>
      <w:r w:rsidRPr="00A46D75">
        <w:rPr>
          <w:rFonts w:cs="Arial"/>
          <w:b/>
          <w:sz w:val="20"/>
          <w:szCs w:val="20"/>
        </w:rPr>
        <w:t xml:space="preserve">The Australian Taxation Office’s </w:t>
      </w:r>
      <w:r w:rsidRPr="00A46D75">
        <w:rPr>
          <w:rFonts w:cs="Arial"/>
          <w:sz w:val="20"/>
          <w:szCs w:val="20"/>
        </w:rPr>
        <w:t>role is to:</w:t>
      </w:r>
    </w:p>
    <w:p w14:paraId="09E26E5C" w14:textId="77777777" w:rsidR="007713B1" w:rsidRPr="005162B4" w:rsidRDefault="007713B1" w:rsidP="00AA3C01">
      <w:pPr>
        <w:pStyle w:val="ListParagraph"/>
        <w:numPr>
          <w:ilvl w:val="0"/>
          <w:numId w:val="26"/>
        </w:numPr>
        <w:spacing w:before="80" w:after="80" w:line="240" w:lineRule="auto"/>
        <w:ind w:left="641" w:hanging="284"/>
        <w:contextualSpacing w:val="0"/>
        <w:rPr>
          <w:rFonts w:cs="Arial"/>
          <w:sz w:val="20"/>
          <w:szCs w:val="20"/>
        </w:rPr>
      </w:pPr>
      <w:r w:rsidRPr="005162B4">
        <w:rPr>
          <w:rFonts w:cs="Arial"/>
          <w:sz w:val="20"/>
          <w:szCs w:val="20"/>
        </w:rPr>
        <w:t>issue refundable tax offset certificates to approved participants</w:t>
      </w:r>
    </w:p>
    <w:p w14:paraId="4EB06796" w14:textId="77777777" w:rsidR="007713B1" w:rsidRPr="005162B4" w:rsidRDefault="007713B1" w:rsidP="00AA3C01">
      <w:pPr>
        <w:pStyle w:val="ListParagraph"/>
        <w:numPr>
          <w:ilvl w:val="0"/>
          <w:numId w:val="26"/>
        </w:numPr>
        <w:spacing w:before="80" w:after="80" w:line="240" w:lineRule="auto"/>
        <w:ind w:left="641" w:hanging="284"/>
        <w:contextualSpacing w:val="0"/>
        <w:rPr>
          <w:rFonts w:cs="Arial"/>
          <w:sz w:val="20"/>
          <w:szCs w:val="20"/>
        </w:rPr>
      </w:pPr>
      <w:r w:rsidRPr="005162B4">
        <w:rPr>
          <w:rFonts w:cs="Arial"/>
          <w:sz w:val="20"/>
          <w:szCs w:val="20"/>
        </w:rPr>
        <w:t>issue tax refunds to approved participants / investors.</w:t>
      </w:r>
    </w:p>
    <w:tbl>
      <w:tblPr>
        <w:tblStyle w:val="TableGrid39"/>
        <w:tblW w:w="5003" w:type="pct"/>
        <w:jc w:val="center"/>
        <w:tblLook w:val="04A0" w:firstRow="1" w:lastRow="0" w:firstColumn="1" w:lastColumn="0" w:noHBand="0" w:noVBand="1"/>
        <w:tblCaption w:val="4.2.1-1 performance measure and target"/>
        <w:tblDescription w:val="Table outlines the percentage of incentives issued to approved participants on time in 2023-24, 2024-25, 2025-26 and 2026-27"/>
      </w:tblPr>
      <w:tblGrid>
        <w:gridCol w:w="4550"/>
        <w:gridCol w:w="1322"/>
        <w:gridCol w:w="1176"/>
        <w:gridCol w:w="1174"/>
        <w:gridCol w:w="1128"/>
      </w:tblGrid>
      <w:tr w:rsidR="007713B1" w:rsidRPr="00A46D75" w14:paraId="12B63842" w14:textId="77777777" w:rsidTr="00CD76E2">
        <w:trPr>
          <w:cantSplit/>
          <w:trHeight w:val="356"/>
          <w:tblHeader/>
          <w:jc w:val="center"/>
        </w:trPr>
        <w:tc>
          <w:tcPr>
            <w:tcW w:w="5000" w:type="pct"/>
            <w:gridSpan w:val="5"/>
            <w:shd w:val="clear" w:color="auto" w:fill="D9D9D6"/>
          </w:tcPr>
          <w:p w14:paraId="6082BDBF" w14:textId="77777777" w:rsidR="007713B1" w:rsidRPr="004111BD" w:rsidRDefault="007713B1" w:rsidP="007713B1">
            <w:pPr>
              <w:spacing w:after="120"/>
              <w:rPr>
                <w:rFonts w:cs="Arial"/>
                <w:sz w:val="20"/>
                <w:szCs w:val="20"/>
              </w:rPr>
            </w:pPr>
            <w:r w:rsidRPr="004111BD">
              <w:rPr>
                <w:rFonts w:cs="Arial"/>
                <w:b/>
                <w:sz w:val="20"/>
                <w:szCs w:val="20"/>
              </w:rPr>
              <w:t>Performance Measure</w:t>
            </w:r>
          </w:p>
        </w:tc>
      </w:tr>
      <w:tr w:rsidR="007713B1" w:rsidRPr="00A46D75" w14:paraId="4E3DDA44" w14:textId="77777777" w:rsidTr="007713B1">
        <w:trPr>
          <w:cantSplit/>
          <w:trHeight w:val="356"/>
          <w:jc w:val="center"/>
        </w:trPr>
        <w:tc>
          <w:tcPr>
            <w:tcW w:w="5000" w:type="pct"/>
            <w:gridSpan w:val="5"/>
            <w:shd w:val="clear" w:color="auto" w:fill="auto"/>
          </w:tcPr>
          <w:p w14:paraId="7398F6B8" w14:textId="6F60C5DC" w:rsidR="007713B1" w:rsidRPr="004111BD" w:rsidRDefault="007713B1" w:rsidP="00DA7D1D">
            <w:pPr>
              <w:spacing w:after="120"/>
              <w:rPr>
                <w:rFonts w:cs="Arial"/>
                <w:sz w:val="20"/>
                <w:szCs w:val="20"/>
              </w:rPr>
            </w:pPr>
            <w:r w:rsidRPr="004111BD">
              <w:rPr>
                <w:rFonts w:cs="Arial"/>
                <w:sz w:val="20"/>
                <w:szCs w:val="20"/>
              </w:rPr>
              <w:t xml:space="preserve">4.2.1-1 </w:t>
            </w:r>
            <w:r w:rsidR="00DA7D1D">
              <w:rPr>
                <w:rFonts w:cs="Arial"/>
                <w:sz w:val="20"/>
                <w:szCs w:val="20"/>
              </w:rPr>
              <w:t>I</w:t>
            </w:r>
            <w:r w:rsidRPr="004111BD">
              <w:rPr>
                <w:rFonts w:cs="Arial"/>
                <w:sz w:val="20"/>
                <w:szCs w:val="20"/>
              </w:rPr>
              <w:t xml:space="preserve">ncentives are issued </w:t>
            </w:r>
            <w:r w:rsidR="00DA7D1D">
              <w:rPr>
                <w:rFonts w:cs="Arial"/>
                <w:sz w:val="20"/>
                <w:szCs w:val="20"/>
              </w:rPr>
              <w:t xml:space="preserve">in a timely manner </w:t>
            </w:r>
            <w:r w:rsidRPr="004111BD">
              <w:rPr>
                <w:rFonts w:cs="Arial"/>
                <w:sz w:val="20"/>
                <w:szCs w:val="20"/>
              </w:rPr>
              <w:t>to approved participants.</w:t>
            </w:r>
          </w:p>
        </w:tc>
      </w:tr>
      <w:tr w:rsidR="007713B1" w:rsidRPr="00A46D75" w14:paraId="0EB77D60" w14:textId="77777777" w:rsidTr="007713B1">
        <w:trPr>
          <w:cantSplit/>
          <w:trHeight w:val="356"/>
          <w:jc w:val="center"/>
        </w:trPr>
        <w:tc>
          <w:tcPr>
            <w:tcW w:w="2433" w:type="pct"/>
            <w:shd w:val="clear" w:color="auto" w:fill="D9D9D6"/>
          </w:tcPr>
          <w:p w14:paraId="35EB526C" w14:textId="77777777" w:rsidR="007713B1" w:rsidRPr="004111BD" w:rsidRDefault="007713B1" w:rsidP="007713B1">
            <w:pPr>
              <w:spacing w:after="120"/>
              <w:rPr>
                <w:rFonts w:cs="Arial"/>
                <w:sz w:val="20"/>
                <w:szCs w:val="20"/>
              </w:rPr>
            </w:pPr>
            <w:r w:rsidRPr="004111BD">
              <w:rPr>
                <w:rFonts w:cs="Arial"/>
                <w:b/>
                <w:sz w:val="20"/>
                <w:szCs w:val="20"/>
              </w:rPr>
              <w:t>Target</w:t>
            </w:r>
          </w:p>
        </w:tc>
        <w:tc>
          <w:tcPr>
            <w:tcW w:w="707" w:type="pct"/>
            <w:shd w:val="clear" w:color="auto" w:fill="D9D9D6"/>
          </w:tcPr>
          <w:p w14:paraId="1FC5CC68" w14:textId="77777777" w:rsidR="007713B1" w:rsidRPr="004111BD" w:rsidRDefault="007713B1" w:rsidP="007713B1">
            <w:pPr>
              <w:spacing w:after="120"/>
              <w:rPr>
                <w:rFonts w:cs="Arial"/>
                <w:b/>
                <w:sz w:val="20"/>
                <w:szCs w:val="20"/>
              </w:rPr>
            </w:pPr>
            <w:r w:rsidRPr="004111BD">
              <w:rPr>
                <w:rFonts w:cs="Arial"/>
                <w:b/>
                <w:sz w:val="20"/>
                <w:szCs w:val="20"/>
              </w:rPr>
              <w:t>2023–24</w:t>
            </w:r>
          </w:p>
        </w:tc>
        <w:tc>
          <w:tcPr>
            <w:tcW w:w="629" w:type="pct"/>
            <w:shd w:val="clear" w:color="auto" w:fill="D9D9D6"/>
          </w:tcPr>
          <w:p w14:paraId="023F7D17" w14:textId="77777777" w:rsidR="007713B1" w:rsidRPr="004111BD" w:rsidRDefault="007713B1" w:rsidP="007713B1">
            <w:pPr>
              <w:spacing w:after="120"/>
              <w:rPr>
                <w:rFonts w:cs="Arial"/>
                <w:b/>
                <w:sz w:val="20"/>
                <w:szCs w:val="20"/>
              </w:rPr>
            </w:pPr>
            <w:r w:rsidRPr="004111BD">
              <w:rPr>
                <w:rFonts w:cs="Arial"/>
                <w:b/>
                <w:sz w:val="20"/>
                <w:szCs w:val="20"/>
              </w:rPr>
              <w:t>2024–25</w:t>
            </w:r>
          </w:p>
        </w:tc>
        <w:tc>
          <w:tcPr>
            <w:tcW w:w="628" w:type="pct"/>
            <w:shd w:val="clear" w:color="auto" w:fill="D9D9D6"/>
          </w:tcPr>
          <w:p w14:paraId="58AE7D86" w14:textId="77777777" w:rsidR="007713B1" w:rsidRPr="004111BD" w:rsidRDefault="007713B1" w:rsidP="007713B1">
            <w:pPr>
              <w:spacing w:after="120"/>
              <w:rPr>
                <w:rFonts w:cs="Arial"/>
                <w:b/>
                <w:sz w:val="20"/>
                <w:szCs w:val="20"/>
              </w:rPr>
            </w:pPr>
            <w:r w:rsidRPr="004111BD">
              <w:rPr>
                <w:rFonts w:cs="Arial"/>
                <w:b/>
                <w:sz w:val="20"/>
                <w:szCs w:val="20"/>
              </w:rPr>
              <w:t>2025–26</w:t>
            </w:r>
          </w:p>
        </w:tc>
        <w:tc>
          <w:tcPr>
            <w:tcW w:w="603" w:type="pct"/>
            <w:shd w:val="clear" w:color="auto" w:fill="D9D9D6"/>
          </w:tcPr>
          <w:p w14:paraId="391250EE" w14:textId="77777777" w:rsidR="007713B1" w:rsidRPr="004111BD" w:rsidRDefault="007713B1" w:rsidP="007713B1">
            <w:pPr>
              <w:spacing w:after="120"/>
              <w:rPr>
                <w:rFonts w:cs="Arial"/>
                <w:b/>
                <w:sz w:val="20"/>
                <w:szCs w:val="20"/>
              </w:rPr>
            </w:pPr>
            <w:r w:rsidRPr="004111BD">
              <w:rPr>
                <w:rFonts w:cs="Arial"/>
                <w:b/>
                <w:sz w:val="20"/>
                <w:szCs w:val="20"/>
              </w:rPr>
              <w:t>2026–27</w:t>
            </w:r>
          </w:p>
        </w:tc>
      </w:tr>
      <w:tr w:rsidR="007713B1" w:rsidRPr="00A46D75" w14:paraId="0D754473" w14:textId="77777777" w:rsidTr="007713B1">
        <w:trPr>
          <w:cantSplit/>
          <w:trHeight w:val="356"/>
          <w:jc w:val="center"/>
        </w:trPr>
        <w:tc>
          <w:tcPr>
            <w:tcW w:w="2433" w:type="pct"/>
            <w:shd w:val="clear" w:color="auto" w:fill="FFFFFF" w:themeFill="background1"/>
          </w:tcPr>
          <w:p w14:paraId="30518738" w14:textId="1141D2B3" w:rsidR="007713B1" w:rsidRPr="004111BD" w:rsidRDefault="000B73EF" w:rsidP="007713B1">
            <w:pPr>
              <w:spacing w:after="120"/>
              <w:rPr>
                <w:rFonts w:cs="Arial"/>
                <w:sz w:val="20"/>
                <w:szCs w:val="20"/>
              </w:rPr>
            </w:pPr>
            <w:r w:rsidRPr="004111BD">
              <w:rPr>
                <w:rFonts w:cstheme="minorHAnsi"/>
                <w:sz w:val="20"/>
                <w:szCs w:val="20"/>
              </w:rPr>
              <w:sym w:font="Wingdings" w:char="F074"/>
            </w:r>
            <w:r w:rsidRPr="004111BD">
              <w:rPr>
                <w:rFonts w:cstheme="minorHAnsi"/>
                <w:sz w:val="20"/>
                <w:szCs w:val="20"/>
              </w:rPr>
              <w:t xml:space="preserve"> </w:t>
            </w:r>
            <w:r w:rsidR="007713B1" w:rsidRPr="004111BD">
              <w:rPr>
                <w:rFonts w:cs="Arial"/>
                <w:sz w:val="20"/>
                <w:szCs w:val="20"/>
              </w:rPr>
              <w:t>4.2.1-1A - At least 90% of statements of compliance are processed within 60</w:t>
            </w:r>
            <w:r w:rsidRPr="004111BD">
              <w:rPr>
                <w:rFonts w:cs="Arial"/>
                <w:sz w:val="20"/>
                <w:szCs w:val="20"/>
              </w:rPr>
              <w:t xml:space="preserve"> business</w:t>
            </w:r>
            <w:r w:rsidR="007713B1" w:rsidRPr="004111BD">
              <w:rPr>
                <w:rFonts w:cs="Arial"/>
                <w:sz w:val="20"/>
                <w:szCs w:val="20"/>
              </w:rPr>
              <w:t xml:space="preserve"> days.</w:t>
            </w:r>
          </w:p>
        </w:tc>
        <w:tc>
          <w:tcPr>
            <w:tcW w:w="707" w:type="pct"/>
          </w:tcPr>
          <w:p w14:paraId="42BD43CA" w14:textId="77777777" w:rsidR="007713B1" w:rsidRPr="004111BD" w:rsidRDefault="007713B1" w:rsidP="007713B1">
            <w:pPr>
              <w:spacing w:after="120"/>
              <w:rPr>
                <w:rFonts w:cs="Arial"/>
                <w:sz w:val="20"/>
                <w:szCs w:val="20"/>
              </w:rPr>
            </w:pPr>
            <w:r w:rsidRPr="004111BD">
              <w:rPr>
                <w:rFonts w:cs="Arial"/>
                <w:sz w:val="20"/>
                <w:szCs w:val="20"/>
              </w:rPr>
              <w:t>≥ 90 %</w:t>
            </w:r>
          </w:p>
        </w:tc>
        <w:tc>
          <w:tcPr>
            <w:tcW w:w="629" w:type="pct"/>
          </w:tcPr>
          <w:p w14:paraId="71DE6B0E" w14:textId="77777777" w:rsidR="007713B1" w:rsidRPr="004111BD" w:rsidRDefault="007713B1" w:rsidP="007713B1">
            <w:pPr>
              <w:spacing w:after="120"/>
              <w:rPr>
                <w:rFonts w:cs="Arial"/>
                <w:sz w:val="20"/>
                <w:szCs w:val="20"/>
              </w:rPr>
            </w:pPr>
            <w:r w:rsidRPr="004111BD">
              <w:rPr>
                <w:rFonts w:cs="Arial"/>
                <w:sz w:val="20"/>
                <w:szCs w:val="20"/>
              </w:rPr>
              <w:t>≥ 90 %</w:t>
            </w:r>
          </w:p>
        </w:tc>
        <w:tc>
          <w:tcPr>
            <w:tcW w:w="628" w:type="pct"/>
          </w:tcPr>
          <w:p w14:paraId="7CBDEDA5" w14:textId="77777777" w:rsidR="007713B1" w:rsidRPr="004111BD" w:rsidRDefault="007713B1" w:rsidP="007713B1">
            <w:pPr>
              <w:spacing w:after="120"/>
              <w:rPr>
                <w:rFonts w:cs="Arial"/>
                <w:sz w:val="20"/>
                <w:szCs w:val="20"/>
              </w:rPr>
            </w:pPr>
            <w:r w:rsidRPr="004111BD">
              <w:rPr>
                <w:rFonts w:cs="Arial"/>
                <w:sz w:val="20"/>
                <w:szCs w:val="20"/>
              </w:rPr>
              <w:t>≥ 90 %</w:t>
            </w:r>
          </w:p>
        </w:tc>
        <w:tc>
          <w:tcPr>
            <w:tcW w:w="603" w:type="pct"/>
            <w:shd w:val="clear" w:color="auto" w:fill="FFFFFF" w:themeFill="background1"/>
          </w:tcPr>
          <w:p w14:paraId="1D52D2FF" w14:textId="77777777" w:rsidR="007713B1" w:rsidRPr="004111BD" w:rsidRDefault="007713B1" w:rsidP="007713B1">
            <w:pPr>
              <w:spacing w:after="120"/>
              <w:rPr>
                <w:rFonts w:cs="Arial"/>
                <w:sz w:val="20"/>
                <w:szCs w:val="20"/>
              </w:rPr>
            </w:pPr>
            <w:r w:rsidRPr="004111BD">
              <w:rPr>
                <w:rFonts w:cs="Arial"/>
                <w:sz w:val="20"/>
                <w:szCs w:val="20"/>
              </w:rPr>
              <w:t>≥ 90 %</w:t>
            </w:r>
          </w:p>
        </w:tc>
      </w:tr>
    </w:tbl>
    <w:p w14:paraId="7A42444B" w14:textId="77777777" w:rsidR="00B27175" w:rsidRDefault="00B27175" w:rsidP="00B27175">
      <w:pPr>
        <w:pStyle w:val="Heading4"/>
        <w:shd w:val="clear" w:color="auto" w:fill="auto"/>
      </w:pPr>
    </w:p>
    <w:p w14:paraId="2F8F390C" w14:textId="77777777" w:rsidR="00B27175" w:rsidRDefault="00B27175">
      <w:pPr>
        <w:spacing w:before="0" w:after="200" w:line="276" w:lineRule="auto"/>
        <w:rPr>
          <w:b/>
          <w:sz w:val="20"/>
          <w:szCs w:val="20"/>
        </w:rPr>
      </w:pPr>
      <w:r>
        <w:br w:type="page"/>
      </w:r>
    </w:p>
    <w:p w14:paraId="48ED0CCF" w14:textId="5B42DFC4" w:rsidR="007713B1" w:rsidRPr="00A46D75" w:rsidRDefault="007713B1" w:rsidP="00046C03">
      <w:pPr>
        <w:pStyle w:val="Heading4"/>
        <w:shd w:val="clear" w:color="auto" w:fill="D9D9D9" w:themeFill="background1" w:themeFillShade="D9"/>
      </w:pPr>
      <w:r w:rsidRPr="00A46D75">
        <w:t>Rationale</w:t>
      </w:r>
    </w:p>
    <w:p w14:paraId="4911345F" w14:textId="77777777" w:rsidR="007713B1" w:rsidRPr="00A46D75" w:rsidRDefault="007713B1" w:rsidP="00AA3C01">
      <w:pPr>
        <w:pStyle w:val="Normalmorespace"/>
      </w:pPr>
      <w:r w:rsidRPr="00A46D75">
        <w:t>Measuring that delivery complies with relevant legislation to ensure that incentives are issued accurately to approved participants, will demonstrate the department has effectively:</w:t>
      </w:r>
    </w:p>
    <w:p w14:paraId="3412EBD1" w14:textId="77777777" w:rsidR="007713B1" w:rsidRPr="005162B4" w:rsidRDefault="007713B1" w:rsidP="00AA3C01">
      <w:pPr>
        <w:pStyle w:val="ListParagraph"/>
        <w:numPr>
          <w:ilvl w:val="0"/>
          <w:numId w:val="23"/>
        </w:numPr>
        <w:spacing w:before="80" w:after="80" w:line="240" w:lineRule="auto"/>
        <w:ind w:left="714" w:hanging="357"/>
        <w:contextualSpacing w:val="0"/>
        <w:rPr>
          <w:rFonts w:cs="Arial"/>
          <w:sz w:val="20"/>
          <w:szCs w:val="20"/>
        </w:rPr>
      </w:pPr>
      <w:r w:rsidRPr="005162B4">
        <w:rPr>
          <w:rFonts w:cs="Arial"/>
          <w:sz w:val="20"/>
          <w:szCs w:val="20"/>
        </w:rPr>
        <w:t>administered the NRAS legislative framework</w:t>
      </w:r>
    </w:p>
    <w:p w14:paraId="54ED7975" w14:textId="77777777" w:rsidR="007713B1" w:rsidRPr="005162B4" w:rsidRDefault="007713B1" w:rsidP="00AA3C01">
      <w:pPr>
        <w:pStyle w:val="ListParagraph"/>
        <w:numPr>
          <w:ilvl w:val="0"/>
          <w:numId w:val="23"/>
        </w:numPr>
        <w:spacing w:before="80" w:after="80" w:line="240" w:lineRule="auto"/>
        <w:ind w:left="714" w:hanging="357"/>
        <w:contextualSpacing w:val="0"/>
        <w:rPr>
          <w:rFonts w:cs="Arial"/>
          <w:sz w:val="20"/>
          <w:szCs w:val="20"/>
        </w:rPr>
      </w:pPr>
      <w:r w:rsidRPr="005162B4">
        <w:rPr>
          <w:rFonts w:cs="Arial"/>
          <w:sz w:val="20"/>
          <w:szCs w:val="20"/>
        </w:rPr>
        <w:t>processed statements of compliance for rental dwellings and calculated and communicated financial incentives</w:t>
      </w:r>
    </w:p>
    <w:p w14:paraId="355950C0" w14:textId="77777777" w:rsidR="007713B1" w:rsidRPr="005162B4" w:rsidRDefault="007713B1" w:rsidP="00AA3C01">
      <w:pPr>
        <w:pStyle w:val="ListParagraph"/>
        <w:numPr>
          <w:ilvl w:val="0"/>
          <w:numId w:val="23"/>
        </w:numPr>
        <w:spacing w:before="80" w:after="80" w:line="240" w:lineRule="auto"/>
        <w:ind w:left="714" w:hanging="357"/>
        <w:contextualSpacing w:val="0"/>
        <w:rPr>
          <w:rFonts w:cs="Arial"/>
          <w:sz w:val="20"/>
          <w:szCs w:val="20"/>
        </w:rPr>
      </w:pPr>
      <w:r w:rsidRPr="005162B4">
        <w:rPr>
          <w:rFonts w:cs="Arial"/>
          <w:sz w:val="20"/>
          <w:szCs w:val="20"/>
        </w:rPr>
        <w:t xml:space="preserve">made decisions on the transfer of NRAS dwellings between approved participants or to another rental dwelling; and </w:t>
      </w:r>
    </w:p>
    <w:p w14:paraId="3E7BA806" w14:textId="77777777" w:rsidR="007713B1" w:rsidRPr="005162B4" w:rsidRDefault="007713B1" w:rsidP="00AA3C01">
      <w:pPr>
        <w:pStyle w:val="ListParagraph"/>
        <w:numPr>
          <w:ilvl w:val="0"/>
          <w:numId w:val="23"/>
        </w:numPr>
        <w:spacing w:before="80" w:after="80" w:line="240" w:lineRule="auto"/>
        <w:ind w:left="714" w:hanging="357"/>
        <w:contextualSpacing w:val="0"/>
        <w:rPr>
          <w:rFonts w:cs="Arial"/>
          <w:sz w:val="20"/>
          <w:szCs w:val="20"/>
        </w:rPr>
      </w:pPr>
      <w:r w:rsidRPr="005162B4">
        <w:rPr>
          <w:rFonts w:cs="Arial"/>
          <w:sz w:val="20"/>
          <w:szCs w:val="20"/>
        </w:rPr>
        <w:t>published and maintained guidelines for NRAS stakeholders.</w:t>
      </w:r>
    </w:p>
    <w:p w14:paraId="28E9B297" w14:textId="27ED8DB4" w:rsidR="007713B1" w:rsidRDefault="007713B1" w:rsidP="00AA3C01">
      <w:pPr>
        <w:pStyle w:val="Normalmorespace"/>
      </w:pPr>
      <w:r w:rsidRPr="00A46D75">
        <w:t xml:space="preserve">Targeting 90 per cent of statements of compliance are processed within 60 </w:t>
      </w:r>
      <w:r w:rsidR="000B73EF">
        <w:t xml:space="preserve">business </w:t>
      </w:r>
      <w:r w:rsidRPr="00A46D75">
        <w:t xml:space="preserve">days demonstrates the </w:t>
      </w:r>
      <w:r w:rsidRPr="00A46D75">
        <w:rPr>
          <w:b/>
        </w:rPr>
        <w:t xml:space="preserve">efficient </w:t>
      </w:r>
      <w:r w:rsidRPr="00A46D75">
        <w:t>achievement of a key output by showing that the department, in its role as the administrator of the Scheme, provided timely incentives for approved participants who rent dwellings to eligible tenants at a rate at least 20 per cent below market rent.</w:t>
      </w:r>
    </w:p>
    <w:p w14:paraId="5F61EC15" w14:textId="77777777" w:rsidR="006E191F" w:rsidRPr="00A46D75" w:rsidRDefault="006E191F" w:rsidP="00AA3C01">
      <w:pPr>
        <w:pStyle w:val="Normalmorespace"/>
      </w:pPr>
    </w:p>
    <w:p w14:paraId="28751E7A" w14:textId="77777777" w:rsidR="007713B1" w:rsidRPr="00A46D75" w:rsidRDefault="007713B1" w:rsidP="00046C03">
      <w:pPr>
        <w:pStyle w:val="Heading4"/>
        <w:shd w:val="clear" w:color="auto" w:fill="D9D9D9" w:themeFill="background1" w:themeFillShade="D9"/>
      </w:pPr>
      <w:r w:rsidRPr="00A46D75">
        <w:t>Methodology</w:t>
      </w:r>
    </w:p>
    <w:p w14:paraId="301EFD12" w14:textId="77777777" w:rsidR="007713B1" w:rsidRPr="00A46D75" w:rsidRDefault="007713B1" w:rsidP="00AA3C01">
      <w:pPr>
        <w:pStyle w:val="Normalmorespace"/>
      </w:pPr>
      <w:r w:rsidRPr="00A46D75">
        <w:t>The per cent of statements of compliance processed within 60 days (business days) is based on the date:</w:t>
      </w:r>
    </w:p>
    <w:p w14:paraId="2FDF71B5" w14:textId="77777777" w:rsidR="007713B1" w:rsidRPr="005162B4" w:rsidRDefault="007713B1" w:rsidP="00AA3C01">
      <w:pPr>
        <w:pStyle w:val="ListParagraph"/>
        <w:numPr>
          <w:ilvl w:val="0"/>
          <w:numId w:val="23"/>
        </w:numPr>
        <w:spacing w:before="80" w:after="80" w:line="240" w:lineRule="auto"/>
        <w:ind w:left="714" w:hanging="357"/>
        <w:contextualSpacing w:val="0"/>
        <w:rPr>
          <w:rFonts w:cs="Arial"/>
          <w:sz w:val="20"/>
          <w:szCs w:val="20"/>
        </w:rPr>
      </w:pPr>
      <w:r w:rsidRPr="005162B4">
        <w:rPr>
          <w:rFonts w:cs="Arial"/>
          <w:sz w:val="20"/>
          <w:szCs w:val="20"/>
        </w:rPr>
        <w:t>an approved participant notifies the department they have submitted a finalised statement of compliance</w:t>
      </w:r>
    </w:p>
    <w:p w14:paraId="2A1A0240" w14:textId="72FA0172" w:rsidR="007713B1" w:rsidRDefault="007713B1" w:rsidP="00AA3C01">
      <w:pPr>
        <w:pStyle w:val="ListParagraph"/>
        <w:numPr>
          <w:ilvl w:val="0"/>
          <w:numId w:val="23"/>
        </w:numPr>
        <w:spacing w:before="80" w:after="80" w:line="240" w:lineRule="auto"/>
        <w:ind w:left="714" w:hanging="357"/>
        <w:contextualSpacing w:val="0"/>
        <w:rPr>
          <w:rFonts w:cs="Arial"/>
          <w:sz w:val="20"/>
          <w:szCs w:val="20"/>
        </w:rPr>
      </w:pPr>
      <w:r w:rsidRPr="005162B4">
        <w:rPr>
          <w:rFonts w:cs="Arial"/>
          <w:sz w:val="20"/>
          <w:szCs w:val="20"/>
        </w:rPr>
        <w:t>funds are released or the refundable tax offset certificate is issued for the relevant statement of compliance.</w:t>
      </w:r>
    </w:p>
    <w:p w14:paraId="7C165DDC" w14:textId="77777777" w:rsidR="006D5DF5" w:rsidRPr="005162B4" w:rsidRDefault="006D5DF5" w:rsidP="006D5DF5">
      <w:pPr>
        <w:pStyle w:val="ListParagraph"/>
        <w:spacing w:before="80" w:after="80" w:line="240" w:lineRule="auto"/>
        <w:ind w:left="714"/>
        <w:contextualSpacing w:val="0"/>
        <w:rPr>
          <w:rFonts w:cs="Arial"/>
          <w:sz w:val="20"/>
          <w:szCs w:val="20"/>
        </w:rPr>
      </w:pPr>
    </w:p>
    <w:p w14:paraId="361E24B5" w14:textId="49F8B580" w:rsidR="00B869C2" w:rsidRDefault="007713B1" w:rsidP="00AA3C01">
      <w:pPr>
        <w:spacing w:before="80" w:after="80" w:line="240" w:lineRule="auto"/>
        <w:rPr>
          <w:rFonts w:cs="Arial"/>
          <w:sz w:val="20"/>
          <w:szCs w:val="20"/>
        </w:rPr>
      </w:pPr>
      <w:r w:rsidRPr="00A46D75">
        <w:rPr>
          <w:rFonts w:cs="Arial"/>
          <w:sz w:val="20"/>
          <w:szCs w:val="20"/>
        </w:rPr>
        <w:t xml:space="preserve">The </w:t>
      </w:r>
      <w:r w:rsidRPr="00A46D75">
        <w:rPr>
          <w:rFonts w:cs="Arial"/>
          <w:b/>
          <w:sz w:val="20"/>
          <w:szCs w:val="20"/>
        </w:rPr>
        <w:t>data source</w:t>
      </w:r>
      <w:r w:rsidR="00010E53">
        <w:rPr>
          <w:rFonts w:cs="Arial"/>
          <w:b/>
          <w:sz w:val="20"/>
          <w:szCs w:val="20"/>
        </w:rPr>
        <w:t>s</w:t>
      </w:r>
      <w:r w:rsidRPr="00A46D75">
        <w:rPr>
          <w:rFonts w:cs="Arial"/>
          <w:sz w:val="20"/>
          <w:szCs w:val="20"/>
        </w:rPr>
        <w:t xml:space="preserve"> used for this calculation </w:t>
      </w:r>
      <w:r w:rsidR="00010E53">
        <w:rPr>
          <w:rFonts w:cs="Arial"/>
          <w:sz w:val="20"/>
          <w:szCs w:val="20"/>
        </w:rPr>
        <w:t>are</w:t>
      </w:r>
      <w:r w:rsidR="004C5D4B">
        <w:rPr>
          <w:rFonts w:cs="Arial"/>
          <w:sz w:val="20"/>
          <w:szCs w:val="20"/>
        </w:rPr>
        <w:t>:</w:t>
      </w:r>
      <w:r w:rsidRPr="00A46D75">
        <w:rPr>
          <w:rFonts w:cs="Arial"/>
          <w:sz w:val="20"/>
          <w:szCs w:val="20"/>
        </w:rPr>
        <w:t xml:space="preserve"> </w:t>
      </w:r>
    </w:p>
    <w:tbl>
      <w:tblPr>
        <w:tblStyle w:val="TableGrid"/>
        <w:tblW w:w="0" w:type="auto"/>
        <w:tblLook w:val="04A0" w:firstRow="1" w:lastRow="0" w:firstColumn="1" w:lastColumn="0" w:noHBand="0" w:noVBand="1"/>
        <w:tblCaption w:val="Performance measure 4.2.1-2 table"/>
        <w:tblDescription w:val="Table outlines the targeted percentages of Incentives delivered through the National Rental Affordability Scheme across 2022-23, 2023-24, 2024-25, 2025-26 and 2026-27"/>
      </w:tblPr>
      <w:tblGrid>
        <w:gridCol w:w="988"/>
        <w:gridCol w:w="3402"/>
        <w:gridCol w:w="1275"/>
        <w:gridCol w:w="1134"/>
        <w:gridCol w:w="1134"/>
        <w:gridCol w:w="1083"/>
      </w:tblGrid>
      <w:tr w:rsidR="00E06071" w:rsidRPr="0066739F" w14:paraId="0E38B13B" w14:textId="77777777" w:rsidTr="006E191F">
        <w:trPr>
          <w:trHeight w:val="575"/>
          <w:tblHeader/>
        </w:trPr>
        <w:tc>
          <w:tcPr>
            <w:tcW w:w="988" w:type="dxa"/>
            <w:tcBorders>
              <w:top w:val="nil"/>
              <w:left w:val="nil"/>
              <w:bottom w:val="nil"/>
              <w:right w:val="nil"/>
            </w:tcBorders>
            <w:vAlign w:val="center"/>
          </w:tcPr>
          <w:p w14:paraId="045EA246" w14:textId="77777777" w:rsidR="00E06071" w:rsidRDefault="00E06071" w:rsidP="00AA3C01">
            <w:r>
              <w:rPr>
                <w:noProof/>
                <w:color w:val="000000" w:themeColor="text1"/>
              </w:rPr>
              <mc:AlternateContent>
                <mc:Choice Requires="wps">
                  <w:drawing>
                    <wp:anchor distT="0" distB="0" distL="114300" distR="114300" simplePos="0" relativeHeight="251680819" behindDoc="0" locked="0" layoutInCell="1" allowOverlap="1" wp14:anchorId="2FF3E759" wp14:editId="775598C7">
                      <wp:simplePos x="0" y="0"/>
                      <wp:positionH relativeFrom="column">
                        <wp:posOffset>17335</wp:posOffset>
                      </wp:positionH>
                      <wp:positionV relativeFrom="paragraph">
                        <wp:posOffset>46990</wp:posOffset>
                      </wp:positionV>
                      <wp:extent cx="446049" cy="329042"/>
                      <wp:effectExtent l="0" t="0" r="11430" b="13970"/>
                      <wp:wrapNone/>
                      <wp:docPr id="273" name="Rounded Rectangle 273"/>
                      <wp:cNvGraphicFramePr/>
                      <a:graphic xmlns:a="http://schemas.openxmlformats.org/drawingml/2006/main">
                        <a:graphicData uri="http://schemas.microsoft.com/office/word/2010/wordprocessingShape">
                          <wps:wsp>
                            <wps:cNvSpPr/>
                            <wps:spPr>
                              <a:xfrm>
                                <a:off x="0" y="0"/>
                                <a:ext cx="446049" cy="3290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5A4D91" w14:textId="77777777" w:rsidR="00027309" w:rsidRPr="00F24CAC" w:rsidRDefault="00027309" w:rsidP="00E06071">
                                  <w:pPr>
                                    <w:shd w:val="clear" w:color="auto" w:fill="005A70" w:themeFill="accent4"/>
                                    <w:spacing w:before="0" w:after="0" w:line="240" w:lineRule="auto"/>
                                    <w:jc w:val="center"/>
                                    <w:rPr>
                                      <w:color w:val="FFFFFF" w:themeColor="background1"/>
                                      <w:sz w:val="36"/>
                                    </w:rPr>
                                  </w:pPr>
                                  <w:r w:rsidRPr="00F24CAC">
                                    <w:rPr>
                                      <w:color w:val="FFFFFF" w:themeColor="background1"/>
                                      <w:sz w:val="14"/>
                                    </w:rPr>
                                    <w:t>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3E759" id="Rounded Rectangle 273" o:spid="_x0000_s1047" style="position:absolute;margin-left:1.35pt;margin-top:3.7pt;width:35.1pt;height:25.9pt;z-index:2516808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" fillcolor="#005a70 [3204]" strokecolor="#002c37 [1604]" strokeweight=".73403mm">
                      <v:textbox>
                        <w:txbxContent>
                          <w:p w14:paraId="555A4D91" w14:textId="77777777" w:rsidR="00027309" w:rsidRPr="00F24CAC" w:rsidRDefault="00027309" w:rsidP="00E06071">
                            <w:pPr>
                              <w:shd w:val="clear" w:color="auto" w:fill="005A70" w:themeFill="accent4"/>
                              <w:spacing w:before="0" w:after="0" w:line="240" w:lineRule="auto"/>
                              <w:jc w:val="center"/>
                              <w:rPr>
                                <w:color w:val="FFFFFF" w:themeColor="background1"/>
                                <w:sz w:val="36"/>
                              </w:rPr>
                            </w:pPr>
                            <w:r w:rsidRPr="00F24CAC">
                              <w:rPr>
                                <w:color w:val="FFFFFF" w:themeColor="background1"/>
                                <w:sz w:val="14"/>
                              </w:rPr>
                              <w:t>PS</w:t>
                            </w:r>
                          </w:p>
                        </w:txbxContent>
                      </v:textbox>
                    </v:roundrect>
                  </w:pict>
                </mc:Fallback>
              </mc:AlternateContent>
            </w:r>
          </w:p>
        </w:tc>
        <w:tc>
          <w:tcPr>
            <w:tcW w:w="8028" w:type="dxa"/>
            <w:gridSpan w:val="5"/>
            <w:tcBorders>
              <w:top w:val="nil"/>
              <w:left w:val="nil"/>
              <w:bottom w:val="nil"/>
              <w:right w:val="nil"/>
            </w:tcBorders>
            <w:vAlign w:val="center"/>
          </w:tcPr>
          <w:p w14:paraId="3D840ECD" w14:textId="77777777" w:rsidR="00E06071" w:rsidRPr="0066739F" w:rsidRDefault="00E06071" w:rsidP="00AA3C01">
            <w:pPr>
              <w:spacing w:before="80" w:after="80" w:line="240" w:lineRule="auto"/>
              <w:rPr>
                <w:rFonts w:cs="Arial"/>
                <w:bCs/>
                <w:sz w:val="20"/>
                <w:szCs w:val="20"/>
              </w:rPr>
            </w:pPr>
            <w:r>
              <w:rPr>
                <w:rFonts w:cs="Arial"/>
                <w:sz w:val="20"/>
                <w:szCs w:val="20"/>
              </w:rPr>
              <w:t>D</w:t>
            </w:r>
            <w:r w:rsidRPr="00A46D75">
              <w:rPr>
                <w:rFonts w:cs="Arial"/>
                <w:sz w:val="20"/>
                <w:szCs w:val="20"/>
              </w:rPr>
              <w:t>epartment of Social Services’ Grants Processing System</w:t>
            </w:r>
            <w:r w:rsidRPr="00A46D75">
              <w:rPr>
                <w:rFonts w:cs="Arial"/>
                <w:bCs/>
                <w:sz w:val="20"/>
                <w:szCs w:val="20"/>
              </w:rPr>
              <w:t xml:space="preserve"> </w:t>
            </w:r>
          </w:p>
        </w:tc>
      </w:tr>
      <w:tr w:rsidR="00E06071" w:rsidRPr="0066739F" w14:paraId="6E881003" w14:textId="77777777" w:rsidTr="00B27175">
        <w:trPr>
          <w:trHeight w:val="647"/>
        </w:trPr>
        <w:tc>
          <w:tcPr>
            <w:tcW w:w="988" w:type="dxa"/>
            <w:tcBorders>
              <w:top w:val="nil"/>
              <w:left w:val="nil"/>
              <w:bottom w:val="nil"/>
              <w:right w:val="nil"/>
            </w:tcBorders>
            <w:vAlign w:val="center"/>
          </w:tcPr>
          <w:p w14:paraId="70D81F39" w14:textId="77777777" w:rsidR="00E06071" w:rsidRDefault="00E06071" w:rsidP="00AA3C01">
            <w:r>
              <w:rPr>
                <w:noProof/>
              </w:rPr>
              <mc:AlternateContent>
                <mc:Choice Requires="wps">
                  <w:drawing>
                    <wp:inline distT="0" distB="0" distL="0" distR="0" wp14:anchorId="74DB3354" wp14:editId="184D219E">
                      <wp:extent cx="446400" cy="327600"/>
                      <wp:effectExtent l="0" t="0" r="11430" b="15875"/>
                      <wp:docPr id="272" name="Rounded Rectangle 272"/>
                      <wp:cNvGraphicFramePr/>
                      <a:graphic xmlns:a="http://schemas.openxmlformats.org/drawingml/2006/main">
                        <a:graphicData uri="http://schemas.microsoft.com/office/word/2010/wordprocessingShape">
                          <wps:wsp>
                            <wps:cNvSpPr/>
                            <wps:spPr>
                              <a:xfrm>
                                <a:off x="0" y="0"/>
                                <a:ext cx="446400" cy="327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060AC6" w14:textId="77777777" w:rsidR="00027309" w:rsidRPr="00F24CAC" w:rsidRDefault="00027309" w:rsidP="00E06071">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4DB3354" id="Rounded Rectangle 272" o:spid="_x0000_s1048" style="width:35.15pt;height:2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" fillcolor="#005a70 [3204]" strokecolor="#002c37 [1604]" strokeweight=".73403mm">
                      <v:textbox>
                        <w:txbxContent>
                          <w:p w14:paraId="46060AC6" w14:textId="77777777" w:rsidR="00027309" w:rsidRPr="00F24CAC" w:rsidRDefault="00027309" w:rsidP="00E06071">
                            <w:pPr>
                              <w:spacing w:before="0" w:after="0" w:line="240" w:lineRule="auto"/>
                              <w:jc w:val="center"/>
                              <w:rPr>
                                <w:color w:val="FFFFFF" w:themeColor="background1"/>
                                <w:sz w:val="36"/>
                              </w:rPr>
                            </w:pPr>
                            <w:r>
                              <w:rPr>
                                <w:color w:val="FFFFFF" w:themeColor="background1"/>
                                <w:sz w:val="14"/>
                              </w:rPr>
                              <w:t>T</w:t>
                            </w:r>
                            <w:r w:rsidRPr="00F24CAC">
                              <w:rPr>
                                <w:color w:val="FFFFFF" w:themeColor="background1"/>
                                <w:sz w:val="14"/>
                              </w:rPr>
                              <w:t>S</w:t>
                            </w:r>
                          </w:p>
                        </w:txbxContent>
                      </v:textbox>
                      <w10:anchorlock/>
                    </v:roundrect>
                  </w:pict>
                </mc:Fallback>
              </mc:AlternateContent>
            </w:r>
          </w:p>
        </w:tc>
        <w:tc>
          <w:tcPr>
            <w:tcW w:w="8028" w:type="dxa"/>
            <w:gridSpan w:val="5"/>
            <w:tcBorders>
              <w:top w:val="nil"/>
              <w:left w:val="nil"/>
              <w:bottom w:val="nil"/>
              <w:right w:val="nil"/>
            </w:tcBorders>
            <w:vAlign w:val="center"/>
          </w:tcPr>
          <w:p w14:paraId="2E32D0FC" w14:textId="77777777" w:rsidR="00E06071" w:rsidRPr="0066739F" w:rsidRDefault="00E06071" w:rsidP="00AA3C01">
            <w:pPr>
              <w:spacing w:before="80" w:after="80" w:line="240" w:lineRule="auto"/>
              <w:rPr>
                <w:rFonts w:cs="Arial"/>
                <w:sz w:val="20"/>
                <w:szCs w:val="20"/>
              </w:rPr>
            </w:pPr>
            <w:r w:rsidRPr="0066739F">
              <w:rPr>
                <w:rFonts w:cs="Arial"/>
                <w:sz w:val="20"/>
                <w:szCs w:val="20"/>
              </w:rPr>
              <w:t>Date of the notification email from the approved participant</w:t>
            </w:r>
            <w:r w:rsidRPr="00A46D75">
              <w:rPr>
                <w:rFonts w:cs="Arial"/>
                <w:sz w:val="20"/>
                <w:szCs w:val="20"/>
              </w:rPr>
              <w:t>.</w:t>
            </w:r>
          </w:p>
        </w:tc>
      </w:tr>
      <w:tr w:rsidR="007713B1" w:rsidRPr="00A46D75" w14:paraId="4DD3F0CF" w14:textId="77777777" w:rsidTr="00B27175">
        <w:trPr>
          <w:trHeight w:val="390"/>
          <w:tblHeader/>
        </w:trPr>
        <w:tc>
          <w:tcPr>
            <w:tcW w:w="9016" w:type="dxa"/>
            <w:gridSpan w:val="6"/>
            <w:tcBorders>
              <w:top w:val="single" w:sz="4" w:space="0" w:color="auto"/>
            </w:tcBorders>
            <w:shd w:val="clear" w:color="auto" w:fill="D9D9D6"/>
          </w:tcPr>
          <w:p w14:paraId="0295F490" w14:textId="77777777" w:rsidR="007713B1" w:rsidRPr="004111BD" w:rsidRDefault="007713B1" w:rsidP="007713B1">
            <w:pPr>
              <w:spacing w:after="120"/>
              <w:rPr>
                <w:rFonts w:cs="Arial"/>
                <w:sz w:val="20"/>
                <w:szCs w:val="20"/>
              </w:rPr>
            </w:pPr>
            <w:r w:rsidRPr="004111BD">
              <w:rPr>
                <w:rFonts w:cs="Arial"/>
                <w:b/>
                <w:sz w:val="20"/>
                <w:szCs w:val="20"/>
              </w:rPr>
              <w:t>Performance Measure</w:t>
            </w:r>
          </w:p>
        </w:tc>
      </w:tr>
      <w:tr w:rsidR="007713B1" w:rsidRPr="00A46D75" w14:paraId="20709E28" w14:textId="77777777" w:rsidTr="007713B1">
        <w:trPr>
          <w:trHeight w:val="692"/>
        </w:trPr>
        <w:tc>
          <w:tcPr>
            <w:tcW w:w="9016" w:type="dxa"/>
            <w:gridSpan w:val="6"/>
            <w:shd w:val="clear" w:color="auto" w:fill="auto"/>
          </w:tcPr>
          <w:p w14:paraId="56CA0D64" w14:textId="77777777" w:rsidR="007713B1" w:rsidRPr="004111BD" w:rsidRDefault="007713B1" w:rsidP="00D35857">
            <w:pPr>
              <w:spacing w:after="120"/>
              <w:rPr>
                <w:rFonts w:cs="Arial"/>
                <w:sz w:val="20"/>
                <w:szCs w:val="20"/>
              </w:rPr>
            </w:pPr>
            <w:r w:rsidRPr="004111BD">
              <w:rPr>
                <w:rFonts w:cs="Arial"/>
                <w:sz w:val="20"/>
                <w:szCs w:val="20"/>
              </w:rPr>
              <w:t>4.2.1-2 Incentives delivered through the National Rental Affordability Scheme are maximised to improve the supply of affordable rental housing to low and moderate income households.</w:t>
            </w:r>
          </w:p>
        </w:tc>
      </w:tr>
      <w:tr w:rsidR="007713B1" w:rsidRPr="00A46D75" w14:paraId="18B120B5" w14:textId="77777777" w:rsidTr="007713B1">
        <w:trPr>
          <w:trHeight w:val="433"/>
        </w:trPr>
        <w:tc>
          <w:tcPr>
            <w:tcW w:w="4390" w:type="dxa"/>
            <w:gridSpan w:val="2"/>
            <w:shd w:val="clear" w:color="auto" w:fill="D9D9D6"/>
          </w:tcPr>
          <w:p w14:paraId="1B701C6E" w14:textId="77777777" w:rsidR="007713B1" w:rsidRPr="004111BD" w:rsidRDefault="007713B1" w:rsidP="007713B1">
            <w:pPr>
              <w:spacing w:after="120"/>
              <w:rPr>
                <w:rFonts w:cs="Arial"/>
                <w:sz w:val="20"/>
                <w:szCs w:val="20"/>
              </w:rPr>
            </w:pPr>
            <w:r w:rsidRPr="004111BD">
              <w:rPr>
                <w:rFonts w:cs="Arial"/>
                <w:b/>
                <w:sz w:val="20"/>
                <w:szCs w:val="20"/>
              </w:rPr>
              <w:t>Target</w:t>
            </w:r>
          </w:p>
        </w:tc>
        <w:tc>
          <w:tcPr>
            <w:tcW w:w="1275" w:type="dxa"/>
            <w:shd w:val="clear" w:color="auto" w:fill="D9D9D6"/>
          </w:tcPr>
          <w:p w14:paraId="36FF6EC5" w14:textId="77777777" w:rsidR="007713B1" w:rsidRPr="004111BD" w:rsidRDefault="007713B1" w:rsidP="007713B1">
            <w:pPr>
              <w:spacing w:after="120"/>
              <w:jc w:val="both"/>
              <w:rPr>
                <w:rFonts w:cs="Arial"/>
                <w:b/>
                <w:sz w:val="20"/>
                <w:szCs w:val="20"/>
              </w:rPr>
            </w:pPr>
            <w:r w:rsidRPr="004111BD">
              <w:rPr>
                <w:rFonts w:cs="Arial"/>
                <w:b/>
                <w:sz w:val="20"/>
                <w:szCs w:val="20"/>
              </w:rPr>
              <w:t>2023–24</w:t>
            </w:r>
          </w:p>
        </w:tc>
        <w:tc>
          <w:tcPr>
            <w:tcW w:w="1134" w:type="dxa"/>
            <w:shd w:val="clear" w:color="auto" w:fill="D9D9D6"/>
          </w:tcPr>
          <w:p w14:paraId="004947FF" w14:textId="77777777" w:rsidR="007713B1" w:rsidRPr="004111BD" w:rsidRDefault="007713B1" w:rsidP="007713B1">
            <w:pPr>
              <w:spacing w:after="120"/>
              <w:jc w:val="both"/>
              <w:rPr>
                <w:rFonts w:cs="Arial"/>
                <w:b/>
                <w:sz w:val="20"/>
                <w:szCs w:val="20"/>
              </w:rPr>
            </w:pPr>
            <w:r w:rsidRPr="004111BD">
              <w:rPr>
                <w:rFonts w:cs="Arial"/>
                <w:b/>
                <w:sz w:val="20"/>
                <w:szCs w:val="20"/>
              </w:rPr>
              <w:t>2024–25</w:t>
            </w:r>
          </w:p>
        </w:tc>
        <w:tc>
          <w:tcPr>
            <w:tcW w:w="1134" w:type="dxa"/>
            <w:shd w:val="clear" w:color="auto" w:fill="D9D9D6"/>
          </w:tcPr>
          <w:p w14:paraId="165BBF9B" w14:textId="77777777" w:rsidR="007713B1" w:rsidRPr="004111BD" w:rsidRDefault="007713B1" w:rsidP="007713B1">
            <w:pPr>
              <w:spacing w:after="120"/>
              <w:jc w:val="both"/>
              <w:rPr>
                <w:rFonts w:cs="Arial"/>
                <w:b/>
                <w:sz w:val="20"/>
                <w:szCs w:val="20"/>
              </w:rPr>
            </w:pPr>
            <w:r w:rsidRPr="004111BD">
              <w:rPr>
                <w:rFonts w:cs="Arial"/>
                <w:b/>
                <w:sz w:val="20"/>
                <w:szCs w:val="20"/>
              </w:rPr>
              <w:t>2025–26</w:t>
            </w:r>
          </w:p>
        </w:tc>
        <w:tc>
          <w:tcPr>
            <w:tcW w:w="1083" w:type="dxa"/>
            <w:shd w:val="clear" w:color="auto" w:fill="D9D9D6"/>
          </w:tcPr>
          <w:p w14:paraId="58D2591A" w14:textId="77777777" w:rsidR="007713B1" w:rsidRPr="004111BD" w:rsidRDefault="007713B1" w:rsidP="007713B1">
            <w:pPr>
              <w:spacing w:after="120"/>
              <w:jc w:val="both"/>
              <w:rPr>
                <w:rFonts w:cs="Arial"/>
                <w:b/>
                <w:sz w:val="20"/>
                <w:szCs w:val="20"/>
              </w:rPr>
            </w:pPr>
            <w:r w:rsidRPr="004111BD">
              <w:rPr>
                <w:rFonts w:cs="Arial"/>
                <w:b/>
                <w:sz w:val="20"/>
                <w:szCs w:val="20"/>
              </w:rPr>
              <w:t>2026–27</w:t>
            </w:r>
          </w:p>
        </w:tc>
      </w:tr>
      <w:tr w:rsidR="007713B1" w:rsidRPr="00A46D75" w14:paraId="2E550D72" w14:textId="77777777" w:rsidTr="007713B1">
        <w:tc>
          <w:tcPr>
            <w:tcW w:w="4390" w:type="dxa"/>
            <w:gridSpan w:val="2"/>
            <w:shd w:val="clear" w:color="auto" w:fill="FFFFFF" w:themeFill="background1"/>
          </w:tcPr>
          <w:p w14:paraId="5E4078C6" w14:textId="3C64DC8D" w:rsidR="007713B1" w:rsidRPr="004111BD" w:rsidRDefault="000B73EF" w:rsidP="007713B1">
            <w:pPr>
              <w:spacing w:after="120"/>
              <w:rPr>
                <w:rFonts w:cs="Arial"/>
                <w:sz w:val="20"/>
                <w:szCs w:val="20"/>
              </w:rPr>
            </w:pPr>
            <w:r w:rsidRPr="004111BD">
              <w:rPr>
                <w:rFonts w:cstheme="minorHAnsi"/>
                <w:sz w:val="20"/>
                <w:szCs w:val="20"/>
              </w:rPr>
              <w:sym w:font="Wingdings" w:char="F074"/>
            </w:r>
            <w:r w:rsidRPr="004111BD">
              <w:rPr>
                <w:rFonts w:cstheme="minorHAnsi"/>
                <w:sz w:val="20"/>
                <w:szCs w:val="20"/>
              </w:rPr>
              <w:t xml:space="preserve"> </w:t>
            </w:r>
            <w:r w:rsidR="007713B1" w:rsidRPr="004111BD">
              <w:rPr>
                <w:rFonts w:cs="Arial"/>
                <w:sz w:val="20"/>
                <w:szCs w:val="20"/>
              </w:rPr>
              <w:t>4.2.1-2A - At least 90% of allocations set under the National Rental Affordability Scheme are active and receiving incentive payments.</w:t>
            </w:r>
          </w:p>
        </w:tc>
        <w:tc>
          <w:tcPr>
            <w:tcW w:w="1275" w:type="dxa"/>
          </w:tcPr>
          <w:p w14:paraId="6A662688" w14:textId="77777777" w:rsidR="007713B1" w:rsidRPr="004111BD" w:rsidRDefault="007713B1" w:rsidP="007713B1">
            <w:pPr>
              <w:spacing w:after="120"/>
              <w:jc w:val="both"/>
              <w:rPr>
                <w:rFonts w:cs="Arial"/>
                <w:sz w:val="20"/>
                <w:szCs w:val="20"/>
              </w:rPr>
            </w:pPr>
            <w:r w:rsidRPr="004111BD">
              <w:rPr>
                <w:rFonts w:cs="Arial"/>
                <w:sz w:val="20"/>
                <w:szCs w:val="20"/>
              </w:rPr>
              <w:t>≥ 90 %</w:t>
            </w:r>
          </w:p>
        </w:tc>
        <w:tc>
          <w:tcPr>
            <w:tcW w:w="1134" w:type="dxa"/>
          </w:tcPr>
          <w:p w14:paraId="6BE1311B" w14:textId="77777777" w:rsidR="007713B1" w:rsidRPr="004111BD" w:rsidRDefault="007713B1" w:rsidP="007713B1">
            <w:pPr>
              <w:spacing w:after="120"/>
              <w:jc w:val="both"/>
              <w:rPr>
                <w:rFonts w:cs="Arial"/>
                <w:sz w:val="20"/>
                <w:szCs w:val="20"/>
              </w:rPr>
            </w:pPr>
            <w:r w:rsidRPr="004111BD">
              <w:rPr>
                <w:rFonts w:cs="Arial"/>
                <w:sz w:val="20"/>
                <w:szCs w:val="20"/>
              </w:rPr>
              <w:t>≥ 90 %</w:t>
            </w:r>
          </w:p>
        </w:tc>
        <w:tc>
          <w:tcPr>
            <w:tcW w:w="1134" w:type="dxa"/>
          </w:tcPr>
          <w:p w14:paraId="3925C2C2" w14:textId="77777777" w:rsidR="007713B1" w:rsidRPr="004111BD" w:rsidRDefault="007713B1" w:rsidP="007713B1">
            <w:pPr>
              <w:spacing w:after="120"/>
              <w:jc w:val="both"/>
              <w:rPr>
                <w:rFonts w:cs="Arial"/>
                <w:sz w:val="20"/>
                <w:szCs w:val="20"/>
              </w:rPr>
            </w:pPr>
            <w:r w:rsidRPr="004111BD">
              <w:rPr>
                <w:rFonts w:cs="Arial"/>
                <w:sz w:val="20"/>
                <w:szCs w:val="20"/>
              </w:rPr>
              <w:t>≥ 90 %</w:t>
            </w:r>
          </w:p>
        </w:tc>
        <w:tc>
          <w:tcPr>
            <w:tcW w:w="1083" w:type="dxa"/>
          </w:tcPr>
          <w:p w14:paraId="78AD6051" w14:textId="77777777" w:rsidR="007713B1" w:rsidRPr="004111BD" w:rsidRDefault="007713B1" w:rsidP="007713B1">
            <w:pPr>
              <w:spacing w:after="120"/>
              <w:jc w:val="both"/>
              <w:rPr>
                <w:rFonts w:cs="Arial"/>
                <w:sz w:val="20"/>
                <w:szCs w:val="20"/>
              </w:rPr>
            </w:pPr>
            <w:r w:rsidRPr="004111BD">
              <w:rPr>
                <w:rFonts w:cs="Arial"/>
                <w:sz w:val="20"/>
                <w:szCs w:val="20"/>
              </w:rPr>
              <w:t>≥ 90 %</w:t>
            </w:r>
          </w:p>
        </w:tc>
      </w:tr>
    </w:tbl>
    <w:p w14:paraId="7B8CD1BF" w14:textId="77777777" w:rsidR="006D5DF5" w:rsidRDefault="006D5DF5" w:rsidP="006D5DF5">
      <w:pPr>
        <w:pStyle w:val="Heading4"/>
        <w:shd w:val="clear" w:color="auto" w:fill="auto"/>
      </w:pPr>
    </w:p>
    <w:p w14:paraId="60AE0847" w14:textId="77777777" w:rsidR="006D5DF5" w:rsidRDefault="006D5DF5">
      <w:pPr>
        <w:spacing w:before="0" w:after="200" w:line="276" w:lineRule="auto"/>
        <w:rPr>
          <w:b/>
          <w:sz w:val="20"/>
          <w:szCs w:val="20"/>
        </w:rPr>
      </w:pPr>
      <w:r>
        <w:br w:type="page"/>
      </w:r>
    </w:p>
    <w:p w14:paraId="426F32B4" w14:textId="5A7F4CB1" w:rsidR="007713B1" w:rsidRPr="00A46D75" w:rsidRDefault="007713B1" w:rsidP="00046C03">
      <w:pPr>
        <w:pStyle w:val="Heading4"/>
        <w:shd w:val="clear" w:color="auto" w:fill="D9D9D9" w:themeFill="background1" w:themeFillShade="D9"/>
      </w:pPr>
      <w:r w:rsidRPr="00A46D75">
        <w:t>Rationale</w:t>
      </w:r>
    </w:p>
    <w:p w14:paraId="3EF8F417" w14:textId="77777777" w:rsidR="007713B1" w:rsidRPr="00A46D75" w:rsidRDefault="007713B1" w:rsidP="00D35857">
      <w:pPr>
        <w:pStyle w:val="Normalmorespace"/>
      </w:pPr>
      <w:r w:rsidRPr="00A46D75">
        <w:t xml:space="preserve">Measuring the allocations that received an incentive payment within the framework of the Scheme aims to demonstrate the department is improving the supply of affordable rental housing to low and moderate income households. While the department does not control whether an approved participant of the Scheme will act in accordance with the regulations to receive an incentive payment, the department seeks to maximise the proportion of active allocations and payments issued to maximise the supply of affordable rental housing to low and moderate income households. </w:t>
      </w:r>
    </w:p>
    <w:p w14:paraId="6FB8E1E1" w14:textId="6DE42CA9" w:rsidR="007713B1" w:rsidRDefault="007713B1" w:rsidP="00D35857">
      <w:pPr>
        <w:pStyle w:val="Normalmorespace"/>
      </w:pPr>
      <w:r w:rsidRPr="00A46D75">
        <w:t xml:space="preserve">Targeting 90 per cent of allocations set under the Scheme being </w:t>
      </w:r>
      <w:r w:rsidRPr="00A46D75">
        <w:rPr>
          <w:b/>
        </w:rPr>
        <w:t xml:space="preserve">active </w:t>
      </w:r>
      <w:r w:rsidRPr="00A46D75">
        <w:t xml:space="preserve">and </w:t>
      </w:r>
      <w:r w:rsidRPr="00A46D75">
        <w:rPr>
          <w:b/>
        </w:rPr>
        <w:t>receiving an incentive payment</w:t>
      </w:r>
      <w:r w:rsidRPr="00A46D75">
        <w:t xml:space="preserve"> demonstrates the achievement of the key outcome of the Scheme, within the legislative al</w:t>
      </w:r>
      <w:r>
        <w:t>location cap set by Parliament.</w:t>
      </w:r>
    </w:p>
    <w:p w14:paraId="65923A9D" w14:textId="77777777" w:rsidR="006D5DF5" w:rsidRPr="00A46D75" w:rsidRDefault="006D5DF5" w:rsidP="00D35857">
      <w:pPr>
        <w:pStyle w:val="Normalmorespace"/>
      </w:pPr>
    </w:p>
    <w:p w14:paraId="22BE788A" w14:textId="31BF8BBC" w:rsidR="007713B1" w:rsidRPr="00A46D75" w:rsidRDefault="007713B1" w:rsidP="00046C03">
      <w:pPr>
        <w:pStyle w:val="Heading4"/>
        <w:shd w:val="clear" w:color="auto" w:fill="D9D9D9" w:themeFill="background1" w:themeFillShade="D9"/>
      </w:pPr>
      <w:r w:rsidRPr="00A46D75">
        <w:t>Methodology</w:t>
      </w:r>
    </w:p>
    <w:p w14:paraId="00230D18" w14:textId="529F3951" w:rsidR="007713B1" w:rsidRDefault="007713B1" w:rsidP="00D35857">
      <w:pPr>
        <w:pStyle w:val="Normalmorespace"/>
      </w:pPr>
      <w:r w:rsidRPr="00A46D75">
        <w:t>The active, provisional and total allocations under the Scheme are reported quarterly, while incentives are paid on a yearly basis. For the purposes of this measure, the maximum number of allocations in the year is used.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Source"/>
        <w:tblDescription w:val="PS: The data source used for this calculation is the Department of Social Services’ Grants Processing System"/>
      </w:tblPr>
      <w:tblGrid>
        <w:gridCol w:w="988"/>
        <w:gridCol w:w="8028"/>
      </w:tblGrid>
      <w:tr w:rsidR="00E06071" w:rsidRPr="0066739F" w14:paraId="644C460E" w14:textId="77777777" w:rsidTr="0017156F">
        <w:trPr>
          <w:trHeight w:val="906"/>
          <w:tblHeader/>
        </w:trPr>
        <w:tc>
          <w:tcPr>
            <w:tcW w:w="988" w:type="dxa"/>
          </w:tcPr>
          <w:p w14:paraId="413F87A5" w14:textId="77777777" w:rsidR="00E06071" w:rsidRDefault="00E06071" w:rsidP="00B81E0C">
            <w:r>
              <w:rPr>
                <w:noProof/>
                <w:color w:val="000000" w:themeColor="text1"/>
              </w:rPr>
              <mc:AlternateContent>
                <mc:Choice Requires="wps">
                  <w:drawing>
                    <wp:anchor distT="0" distB="0" distL="114300" distR="114300" simplePos="0" relativeHeight="251682867" behindDoc="0" locked="0" layoutInCell="1" allowOverlap="1" wp14:anchorId="5D286246" wp14:editId="714EF370">
                      <wp:simplePos x="0" y="0"/>
                      <wp:positionH relativeFrom="column">
                        <wp:posOffset>17335</wp:posOffset>
                      </wp:positionH>
                      <wp:positionV relativeFrom="paragraph">
                        <wp:posOffset>46990</wp:posOffset>
                      </wp:positionV>
                      <wp:extent cx="446049" cy="329042"/>
                      <wp:effectExtent l="0" t="0" r="11430" b="13970"/>
                      <wp:wrapNone/>
                      <wp:docPr id="274" name="Rounded Rectangle 274"/>
                      <wp:cNvGraphicFramePr/>
                      <a:graphic xmlns:a="http://schemas.openxmlformats.org/drawingml/2006/main">
                        <a:graphicData uri="http://schemas.microsoft.com/office/word/2010/wordprocessingShape">
                          <wps:wsp>
                            <wps:cNvSpPr/>
                            <wps:spPr>
                              <a:xfrm>
                                <a:off x="0" y="0"/>
                                <a:ext cx="446049" cy="3290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A2B67D" w14:textId="77777777" w:rsidR="00027309" w:rsidRPr="00F24CAC" w:rsidRDefault="00027309" w:rsidP="00E06071">
                                  <w:pPr>
                                    <w:shd w:val="clear" w:color="auto" w:fill="005A70" w:themeFill="accent4"/>
                                    <w:spacing w:before="0" w:after="0" w:line="240" w:lineRule="auto"/>
                                    <w:jc w:val="center"/>
                                    <w:rPr>
                                      <w:color w:val="FFFFFF" w:themeColor="background1"/>
                                      <w:sz w:val="36"/>
                                    </w:rPr>
                                  </w:pPr>
                                  <w:r w:rsidRPr="00F24CAC">
                                    <w:rPr>
                                      <w:color w:val="FFFFFF" w:themeColor="background1"/>
                                      <w:sz w:val="14"/>
                                    </w:rPr>
                                    <w:t>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86246" id="Rounded Rectangle 274" o:spid="_x0000_s1049" style="position:absolute;margin-left:1.35pt;margin-top:3.7pt;width:35.1pt;height:25.9pt;z-index:2516828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" fillcolor="#005a70 [3204]" strokecolor="#002c37 [1604]" strokeweight=".73403mm">
                      <v:textbox>
                        <w:txbxContent>
                          <w:p w14:paraId="14A2B67D" w14:textId="77777777" w:rsidR="00027309" w:rsidRPr="00F24CAC" w:rsidRDefault="00027309" w:rsidP="00E06071">
                            <w:pPr>
                              <w:shd w:val="clear" w:color="auto" w:fill="005A70" w:themeFill="accent4"/>
                              <w:spacing w:before="0" w:after="0" w:line="240" w:lineRule="auto"/>
                              <w:jc w:val="center"/>
                              <w:rPr>
                                <w:color w:val="FFFFFF" w:themeColor="background1"/>
                                <w:sz w:val="36"/>
                              </w:rPr>
                            </w:pPr>
                            <w:r w:rsidRPr="00F24CAC">
                              <w:rPr>
                                <w:color w:val="FFFFFF" w:themeColor="background1"/>
                                <w:sz w:val="14"/>
                              </w:rPr>
                              <w:t>PS</w:t>
                            </w:r>
                          </w:p>
                        </w:txbxContent>
                      </v:textbox>
                    </v:roundrect>
                  </w:pict>
                </mc:Fallback>
              </mc:AlternateContent>
            </w:r>
          </w:p>
        </w:tc>
        <w:tc>
          <w:tcPr>
            <w:tcW w:w="8028" w:type="dxa"/>
          </w:tcPr>
          <w:p w14:paraId="3D439231" w14:textId="45CCB569" w:rsidR="00E06071" w:rsidRPr="0066739F" w:rsidRDefault="00E06071" w:rsidP="00D35857">
            <w:pPr>
              <w:spacing w:before="80" w:after="80" w:line="240" w:lineRule="auto"/>
              <w:rPr>
                <w:rFonts w:cs="Arial"/>
                <w:bCs/>
                <w:sz w:val="20"/>
                <w:szCs w:val="20"/>
              </w:rPr>
            </w:pPr>
            <w:r w:rsidRPr="00A46D75">
              <w:rPr>
                <w:rFonts w:cs="Arial"/>
                <w:bCs/>
                <w:sz w:val="20"/>
                <w:szCs w:val="20"/>
              </w:rPr>
              <w:t xml:space="preserve">The </w:t>
            </w:r>
            <w:r w:rsidRPr="00A46D75">
              <w:rPr>
                <w:rFonts w:cs="Arial"/>
                <w:b/>
                <w:bCs/>
                <w:sz w:val="20"/>
                <w:szCs w:val="20"/>
              </w:rPr>
              <w:t>data source</w:t>
            </w:r>
            <w:r w:rsidRPr="00A46D75">
              <w:rPr>
                <w:rFonts w:cs="Arial"/>
                <w:bCs/>
                <w:sz w:val="20"/>
                <w:szCs w:val="20"/>
              </w:rPr>
              <w:t xml:space="preserve"> us</w:t>
            </w:r>
            <w:r>
              <w:rPr>
                <w:rFonts w:cs="Arial"/>
                <w:bCs/>
                <w:sz w:val="20"/>
                <w:szCs w:val="20"/>
              </w:rPr>
              <w:t>ed for this calculation is the D</w:t>
            </w:r>
            <w:r w:rsidRPr="00A46D75">
              <w:rPr>
                <w:rFonts w:cs="Arial"/>
                <w:bCs/>
                <w:sz w:val="20"/>
                <w:szCs w:val="20"/>
              </w:rPr>
              <w:t>epartment of Social Services’ Grants Processing System</w:t>
            </w:r>
          </w:p>
        </w:tc>
      </w:tr>
    </w:tbl>
    <w:p w14:paraId="0A7A3FF0" w14:textId="117D2D48" w:rsidR="007713B1" w:rsidRPr="00A46D75" w:rsidRDefault="007713B1" w:rsidP="00046C03">
      <w:pPr>
        <w:pStyle w:val="Heading4"/>
        <w:shd w:val="clear" w:color="auto" w:fill="D9D9D9" w:themeFill="background1" w:themeFillShade="D9"/>
      </w:pPr>
      <w:r w:rsidRPr="00A46D75">
        <w:t xml:space="preserve">Supporting Information </w:t>
      </w:r>
    </w:p>
    <w:p w14:paraId="75550D4E" w14:textId="373B698E" w:rsidR="00212EB9" w:rsidRPr="00DE4970" w:rsidRDefault="007713B1" w:rsidP="007572E0">
      <w:pPr>
        <w:pStyle w:val="ListParagraph"/>
        <w:numPr>
          <w:ilvl w:val="0"/>
          <w:numId w:val="31"/>
        </w:numPr>
        <w:spacing w:before="80" w:after="80" w:line="240" w:lineRule="auto"/>
        <w:ind w:left="714" w:hanging="357"/>
        <w:contextualSpacing w:val="0"/>
        <w:rPr>
          <w:color w:val="005A70"/>
        </w:rPr>
      </w:pPr>
      <w:r w:rsidRPr="007713B1">
        <w:rPr>
          <w:rFonts w:cs="Arial"/>
          <w:sz w:val="20"/>
          <w:szCs w:val="20"/>
        </w:rPr>
        <w:t>Administered outlays</w:t>
      </w:r>
    </w:p>
    <w:p w14:paraId="04B7C4C5" w14:textId="77777777" w:rsidR="00DE4970" w:rsidRDefault="00DE4970" w:rsidP="00DE4970">
      <w:pPr>
        <w:pStyle w:val="ListParagraph"/>
        <w:spacing w:before="80" w:after="80" w:line="240" w:lineRule="auto"/>
        <w:ind w:left="714"/>
        <w:contextualSpacing w:val="0"/>
        <w:rPr>
          <w:color w:val="005A70"/>
        </w:rPr>
      </w:pPr>
    </w:p>
    <w:p w14:paraId="57F80644" w14:textId="77777777" w:rsidR="00DE4970" w:rsidRDefault="00DE4970">
      <w:pPr>
        <w:spacing w:before="0" w:after="200" w:line="276" w:lineRule="auto"/>
        <w:rPr>
          <w:color w:val="005A70"/>
        </w:rPr>
      </w:pPr>
      <w:r>
        <w:rPr>
          <w:color w:val="005A70"/>
        </w:rPr>
        <w:br w:type="page"/>
      </w:r>
    </w:p>
    <w:p w14:paraId="56084486" w14:textId="1F9DA14E" w:rsidR="00DE4970" w:rsidRPr="00461D53" w:rsidRDefault="00DE4970" w:rsidP="00046C03">
      <w:pPr>
        <w:pStyle w:val="Heading3"/>
        <w:shd w:val="clear" w:color="auto" w:fill="15787D"/>
      </w:pPr>
      <w:r>
        <w:t xml:space="preserve">CROSS PROGRAM SUPPORT </w:t>
      </w:r>
    </w:p>
    <w:p w14:paraId="3F1377D9" w14:textId="3E716788" w:rsidR="00DE4970" w:rsidRPr="00461D53" w:rsidRDefault="00DE4970" w:rsidP="00046C03">
      <w:pPr>
        <w:pStyle w:val="Heading4"/>
        <w:shd w:val="clear" w:color="auto" w:fill="D9D9D9" w:themeFill="background1" w:themeFillShade="D9"/>
      </w:pPr>
      <w:r w:rsidRPr="00461D53">
        <w:t xml:space="preserve">Key Activity — </w:t>
      </w:r>
      <w:r>
        <w:t>Advice and Support to Ministers</w:t>
      </w:r>
    </w:p>
    <w:p w14:paraId="75E93348" w14:textId="376078A4" w:rsidR="00DE4970" w:rsidRPr="00DE4970" w:rsidRDefault="00DE4970" w:rsidP="00D35857">
      <w:pPr>
        <w:pStyle w:val="Normalmorespace"/>
      </w:pPr>
      <w:r w:rsidRPr="00DE4970">
        <w:t>Program Support is a key activity of Program Support for Outcomes 1 – 4 and aims to support programs across outcomes 1 – 4 to ensure that</w:t>
      </w:r>
      <w:r>
        <w:t xml:space="preserve"> </w:t>
      </w:r>
      <w:r w:rsidRPr="00DE4970">
        <w:t>Ministers and Assistant Ministers are provided with timely advice and support from the department.</w:t>
      </w:r>
    </w:p>
    <w:tbl>
      <w:tblPr>
        <w:tblStyle w:val="TableGrid39"/>
        <w:tblW w:w="4983" w:type="pct"/>
        <w:jc w:val="center"/>
        <w:tblLook w:val="04A0" w:firstRow="1" w:lastRow="0" w:firstColumn="1" w:lastColumn="0" w:noHBand="0" w:noVBand="1"/>
        <w:tblCaption w:val="Performance table for advice and support to ministers"/>
        <w:tblDescription w:val="Table outlines the the percent of ministerial briefs and correspondance provided ontime for 2023-24, 2024-25, 2026-27"/>
      </w:tblPr>
      <w:tblGrid>
        <w:gridCol w:w="3848"/>
        <w:gridCol w:w="1365"/>
        <w:gridCol w:w="1367"/>
        <w:gridCol w:w="1367"/>
        <w:gridCol w:w="1365"/>
      </w:tblGrid>
      <w:tr w:rsidR="00DE4970" w:rsidRPr="00461D53" w14:paraId="70C46228" w14:textId="77777777" w:rsidTr="00CD76E2">
        <w:trPr>
          <w:cantSplit/>
          <w:trHeight w:val="356"/>
          <w:tblHeader/>
          <w:jc w:val="center"/>
        </w:trPr>
        <w:tc>
          <w:tcPr>
            <w:tcW w:w="5000" w:type="pct"/>
            <w:gridSpan w:val="5"/>
            <w:shd w:val="clear" w:color="auto" w:fill="D9D9D6"/>
          </w:tcPr>
          <w:p w14:paraId="74A4C91D" w14:textId="77777777" w:rsidR="00DE4970" w:rsidRPr="00723A4C" w:rsidRDefault="00DE4970" w:rsidP="00C075A0">
            <w:pPr>
              <w:spacing w:after="120"/>
              <w:rPr>
                <w:rFonts w:cs="Arial"/>
                <w:b/>
                <w:sz w:val="20"/>
                <w:szCs w:val="20"/>
              </w:rPr>
            </w:pPr>
            <w:r w:rsidRPr="00723A4C">
              <w:rPr>
                <w:rFonts w:cs="Arial"/>
                <w:b/>
                <w:sz w:val="20"/>
                <w:szCs w:val="20"/>
              </w:rPr>
              <w:t>Performance Measure</w:t>
            </w:r>
          </w:p>
        </w:tc>
      </w:tr>
      <w:tr w:rsidR="00DE4970" w:rsidRPr="00461D53" w14:paraId="6479D6A2" w14:textId="77777777" w:rsidTr="00C075A0">
        <w:trPr>
          <w:cantSplit/>
          <w:trHeight w:val="356"/>
          <w:jc w:val="center"/>
        </w:trPr>
        <w:tc>
          <w:tcPr>
            <w:tcW w:w="5000" w:type="pct"/>
            <w:gridSpan w:val="5"/>
            <w:shd w:val="clear" w:color="auto" w:fill="auto"/>
          </w:tcPr>
          <w:p w14:paraId="38F685DA" w14:textId="737D1324" w:rsidR="00DE4970" w:rsidRPr="00723A4C" w:rsidRDefault="00DE4970" w:rsidP="00D35857">
            <w:pPr>
              <w:spacing w:after="120"/>
              <w:rPr>
                <w:rFonts w:cs="Arial"/>
                <w:sz w:val="20"/>
                <w:szCs w:val="20"/>
              </w:rPr>
            </w:pPr>
            <w:r w:rsidRPr="00DE4970">
              <w:rPr>
                <w:rFonts w:cs="Arial"/>
                <w:sz w:val="20"/>
                <w:szCs w:val="20"/>
              </w:rPr>
              <w:t xml:space="preserve">Timeliness of advice and support provided to Portfolio Ministers and Assistant Ministers by the department across the </w:t>
            </w:r>
            <w:r w:rsidR="00DF3752">
              <w:rPr>
                <w:rFonts w:cs="Arial"/>
                <w:sz w:val="20"/>
                <w:szCs w:val="20"/>
              </w:rPr>
              <w:t>4</w:t>
            </w:r>
            <w:r w:rsidRPr="00DE4970">
              <w:rPr>
                <w:rFonts w:cs="Arial"/>
                <w:sz w:val="20"/>
                <w:szCs w:val="20"/>
              </w:rPr>
              <w:t xml:space="preserve"> outcomes.</w:t>
            </w:r>
          </w:p>
        </w:tc>
      </w:tr>
      <w:tr w:rsidR="00DE4970" w:rsidRPr="00461D53" w14:paraId="30F6204F" w14:textId="77777777" w:rsidTr="00C075A0">
        <w:trPr>
          <w:cantSplit/>
          <w:trHeight w:val="356"/>
          <w:jc w:val="center"/>
        </w:trPr>
        <w:tc>
          <w:tcPr>
            <w:tcW w:w="2066" w:type="pct"/>
            <w:shd w:val="clear" w:color="auto" w:fill="D9D9D6"/>
          </w:tcPr>
          <w:p w14:paraId="312BE7E8" w14:textId="77777777" w:rsidR="00DE4970" w:rsidRPr="00723A4C" w:rsidRDefault="00DE4970" w:rsidP="00C075A0">
            <w:pPr>
              <w:spacing w:after="120"/>
              <w:rPr>
                <w:rFonts w:cs="Arial"/>
                <w:sz w:val="20"/>
                <w:szCs w:val="20"/>
              </w:rPr>
            </w:pPr>
            <w:r w:rsidRPr="00723A4C">
              <w:rPr>
                <w:rFonts w:cs="Arial"/>
                <w:b/>
                <w:sz w:val="20"/>
                <w:szCs w:val="20"/>
              </w:rPr>
              <w:t>Target</w:t>
            </w:r>
          </w:p>
        </w:tc>
        <w:tc>
          <w:tcPr>
            <w:tcW w:w="733" w:type="pct"/>
            <w:shd w:val="clear" w:color="auto" w:fill="D9D9D6"/>
            <w:vAlign w:val="center"/>
          </w:tcPr>
          <w:p w14:paraId="7C6C8E10" w14:textId="77777777" w:rsidR="00DE4970" w:rsidRPr="00723A4C" w:rsidRDefault="00DE4970" w:rsidP="00C075A0">
            <w:pPr>
              <w:spacing w:after="120"/>
              <w:rPr>
                <w:rFonts w:cs="Arial"/>
                <w:sz w:val="20"/>
                <w:szCs w:val="20"/>
              </w:rPr>
            </w:pPr>
            <w:r w:rsidRPr="00723A4C">
              <w:rPr>
                <w:rFonts w:cs="Arial"/>
                <w:b/>
                <w:sz w:val="20"/>
                <w:szCs w:val="20"/>
              </w:rPr>
              <w:t>2023–24</w:t>
            </w:r>
          </w:p>
        </w:tc>
        <w:tc>
          <w:tcPr>
            <w:tcW w:w="734" w:type="pct"/>
            <w:shd w:val="clear" w:color="auto" w:fill="D9D9D6"/>
            <w:vAlign w:val="center"/>
          </w:tcPr>
          <w:p w14:paraId="6B92F365" w14:textId="77777777" w:rsidR="00DE4970" w:rsidRPr="00723A4C" w:rsidRDefault="00DE4970" w:rsidP="00C075A0">
            <w:pPr>
              <w:spacing w:after="120"/>
              <w:rPr>
                <w:rFonts w:cs="Arial"/>
                <w:b/>
                <w:sz w:val="20"/>
                <w:szCs w:val="20"/>
              </w:rPr>
            </w:pPr>
            <w:r w:rsidRPr="00723A4C">
              <w:rPr>
                <w:rFonts w:cs="Arial"/>
                <w:b/>
                <w:sz w:val="20"/>
                <w:szCs w:val="20"/>
              </w:rPr>
              <w:t>2024–25</w:t>
            </w:r>
          </w:p>
        </w:tc>
        <w:tc>
          <w:tcPr>
            <w:tcW w:w="734" w:type="pct"/>
            <w:shd w:val="clear" w:color="auto" w:fill="D9D9D6"/>
            <w:vAlign w:val="center"/>
          </w:tcPr>
          <w:p w14:paraId="7F9065FE" w14:textId="77777777" w:rsidR="00DE4970" w:rsidRPr="00723A4C" w:rsidRDefault="00DE4970" w:rsidP="00C075A0">
            <w:pPr>
              <w:spacing w:after="120"/>
              <w:rPr>
                <w:rFonts w:cs="Arial"/>
                <w:b/>
                <w:sz w:val="20"/>
                <w:szCs w:val="20"/>
              </w:rPr>
            </w:pPr>
            <w:r w:rsidRPr="00723A4C">
              <w:rPr>
                <w:rFonts w:cs="Arial"/>
                <w:b/>
                <w:sz w:val="20"/>
                <w:szCs w:val="20"/>
              </w:rPr>
              <w:t>2025–26</w:t>
            </w:r>
          </w:p>
        </w:tc>
        <w:tc>
          <w:tcPr>
            <w:tcW w:w="733" w:type="pct"/>
            <w:shd w:val="clear" w:color="auto" w:fill="D9D9D6"/>
            <w:vAlign w:val="center"/>
          </w:tcPr>
          <w:p w14:paraId="61A5CEA9" w14:textId="77777777" w:rsidR="00DE4970" w:rsidRPr="00723A4C" w:rsidRDefault="00DE4970" w:rsidP="00C075A0">
            <w:pPr>
              <w:spacing w:after="120"/>
              <w:rPr>
                <w:rFonts w:cs="Arial"/>
                <w:b/>
                <w:sz w:val="20"/>
                <w:szCs w:val="20"/>
              </w:rPr>
            </w:pPr>
            <w:r w:rsidRPr="00723A4C">
              <w:rPr>
                <w:rFonts w:cs="Arial"/>
                <w:b/>
                <w:sz w:val="20"/>
                <w:szCs w:val="20"/>
              </w:rPr>
              <w:t>2026–27</w:t>
            </w:r>
          </w:p>
        </w:tc>
      </w:tr>
      <w:tr w:rsidR="00DE4970" w:rsidRPr="00461D53" w14:paraId="6365A53C" w14:textId="77777777" w:rsidTr="00C075A0">
        <w:trPr>
          <w:cantSplit/>
          <w:trHeight w:val="356"/>
          <w:jc w:val="center"/>
        </w:trPr>
        <w:tc>
          <w:tcPr>
            <w:tcW w:w="2066" w:type="pct"/>
            <w:shd w:val="clear" w:color="auto" w:fill="FFFFFF" w:themeFill="background1"/>
          </w:tcPr>
          <w:p w14:paraId="6D42344A" w14:textId="015E0E87" w:rsidR="00DE4970" w:rsidRPr="00723A4C" w:rsidRDefault="00DE4970" w:rsidP="00DF3752">
            <w:pPr>
              <w:pStyle w:val="PBSbullet"/>
              <w:numPr>
                <w:ilvl w:val="0"/>
                <w:numId w:val="0"/>
              </w:numPr>
              <w:pBdr>
                <w:top w:val="nil"/>
                <w:left w:val="nil"/>
                <w:bottom w:val="nil"/>
                <w:right w:val="nil"/>
                <w:between w:val="nil"/>
                <w:bar w:val="nil"/>
              </w:pBdr>
              <w:spacing w:before="120" w:after="120"/>
              <w:contextualSpacing w:val="0"/>
              <w:rPr>
                <w:rFonts w:eastAsia="Calibri"/>
                <w:sz w:val="20"/>
                <w:szCs w:val="20"/>
                <w:bdr w:val="nil"/>
              </w:rPr>
            </w:pPr>
            <w:r w:rsidRPr="00DE4970">
              <w:rPr>
                <w:rFonts w:eastAsia="Times New Roman"/>
                <w:iCs w:val="0"/>
                <w:spacing w:val="4"/>
                <w:sz w:val="20"/>
                <w:szCs w:val="20"/>
                <w:lang w:eastAsia="en-AU"/>
              </w:rPr>
              <w:t>At least 95 per cent of ministerial briefs and correspondence</w:t>
            </w:r>
            <w:r w:rsidR="00DF3752">
              <w:rPr>
                <w:rFonts w:eastAsia="Times New Roman"/>
                <w:iCs w:val="0"/>
                <w:spacing w:val="4"/>
                <w:sz w:val="20"/>
                <w:szCs w:val="20"/>
                <w:lang w:eastAsia="en-AU"/>
              </w:rPr>
              <w:t xml:space="preserve"> across the 4</w:t>
            </w:r>
            <w:r w:rsidRPr="00DE4970">
              <w:rPr>
                <w:rFonts w:eastAsia="Times New Roman"/>
                <w:iCs w:val="0"/>
                <w:spacing w:val="4"/>
                <w:sz w:val="20"/>
                <w:szCs w:val="20"/>
                <w:lang w:eastAsia="en-AU"/>
              </w:rPr>
              <w:t xml:space="preserve"> outcomes are provided on time.</w:t>
            </w:r>
          </w:p>
        </w:tc>
        <w:tc>
          <w:tcPr>
            <w:tcW w:w="733" w:type="pct"/>
          </w:tcPr>
          <w:p w14:paraId="1FDCE090" w14:textId="5E377484" w:rsidR="00DE4970" w:rsidRPr="00723A4C" w:rsidRDefault="00DA7D1D" w:rsidP="00DA7D1D">
            <w:pPr>
              <w:spacing w:after="120"/>
              <w:jc w:val="center"/>
              <w:rPr>
                <w:rFonts w:cs="Arial"/>
                <w:sz w:val="20"/>
                <w:szCs w:val="20"/>
              </w:rPr>
            </w:pPr>
            <w:r w:rsidRPr="004111BD">
              <w:rPr>
                <w:rFonts w:cs="Arial"/>
                <w:sz w:val="20"/>
                <w:szCs w:val="20"/>
              </w:rPr>
              <w:t>≥</w:t>
            </w:r>
            <w:r w:rsidR="00DE4970">
              <w:rPr>
                <w:rFonts w:cs="Arial"/>
                <w:sz w:val="20"/>
                <w:szCs w:val="20"/>
              </w:rPr>
              <w:t>95%</w:t>
            </w:r>
          </w:p>
        </w:tc>
        <w:tc>
          <w:tcPr>
            <w:tcW w:w="734" w:type="pct"/>
          </w:tcPr>
          <w:p w14:paraId="779FBA84" w14:textId="1C7D39BA" w:rsidR="00DE4970" w:rsidRPr="00723A4C" w:rsidRDefault="00DA7D1D" w:rsidP="00DA7D1D">
            <w:pPr>
              <w:spacing w:after="120"/>
              <w:jc w:val="center"/>
              <w:rPr>
                <w:rFonts w:cs="Arial"/>
                <w:sz w:val="20"/>
                <w:szCs w:val="20"/>
              </w:rPr>
            </w:pPr>
            <w:r w:rsidRPr="004111BD">
              <w:rPr>
                <w:rFonts w:cs="Arial"/>
                <w:sz w:val="20"/>
                <w:szCs w:val="20"/>
              </w:rPr>
              <w:t>≥</w:t>
            </w:r>
            <w:r w:rsidR="00DE4970">
              <w:rPr>
                <w:rFonts w:cs="Arial"/>
                <w:sz w:val="20"/>
                <w:szCs w:val="20"/>
              </w:rPr>
              <w:t>95%</w:t>
            </w:r>
          </w:p>
        </w:tc>
        <w:tc>
          <w:tcPr>
            <w:tcW w:w="734" w:type="pct"/>
          </w:tcPr>
          <w:p w14:paraId="45C361B9" w14:textId="4ECC1969" w:rsidR="00DE4970" w:rsidRPr="00723A4C" w:rsidRDefault="00DA7D1D" w:rsidP="00DA7D1D">
            <w:pPr>
              <w:spacing w:after="120"/>
              <w:jc w:val="center"/>
              <w:rPr>
                <w:rFonts w:cs="Arial"/>
                <w:sz w:val="20"/>
                <w:szCs w:val="20"/>
              </w:rPr>
            </w:pPr>
            <w:r w:rsidRPr="004111BD">
              <w:rPr>
                <w:rFonts w:cs="Arial"/>
                <w:sz w:val="20"/>
                <w:szCs w:val="20"/>
              </w:rPr>
              <w:t>≥</w:t>
            </w:r>
            <w:r>
              <w:rPr>
                <w:rFonts w:cs="Arial"/>
                <w:sz w:val="20"/>
                <w:szCs w:val="20"/>
              </w:rPr>
              <w:t>9</w:t>
            </w:r>
            <w:r w:rsidR="00DE4970">
              <w:rPr>
                <w:rFonts w:cs="Arial"/>
                <w:sz w:val="20"/>
                <w:szCs w:val="20"/>
              </w:rPr>
              <w:t>5%</w:t>
            </w:r>
          </w:p>
        </w:tc>
        <w:tc>
          <w:tcPr>
            <w:tcW w:w="733" w:type="pct"/>
            <w:shd w:val="clear" w:color="auto" w:fill="FFFFFF" w:themeFill="background1"/>
          </w:tcPr>
          <w:p w14:paraId="7388D523" w14:textId="099F9E3E" w:rsidR="00DE4970" w:rsidRPr="00723A4C" w:rsidRDefault="00DA7D1D" w:rsidP="00DA7D1D">
            <w:pPr>
              <w:spacing w:after="120"/>
              <w:jc w:val="center"/>
              <w:rPr>
                <w:rFonts w:cs="Arial"/>
                <w:sz w:val="20"/>
                <w:szCs w:val="20"/>
              </w:rPr>
            </w:pPr>
            <w:r w:rsidRPr="004111BD">
              <w:rPr>
                <w:rFonts w:cs="Arial"/>
                <w:sz w:val="20"/>
                <w:szCs w:val="20"/>
              </w:rPr>
              <w:t>≥</w:t>
            </w:r>
            <w:r w:rsidR="00DE4970">
              <w:rPr>
                <w:rFonts w:cs="Arial"/>
                <w:sz w:val="20"/>
                <w:szCs w:val="20"/>
              </w:rPr>
              <w:t>95%</w:t>
            </w:r>
          </w:p>
        </w:tc>
      </w:tr>
    </w:tbl>
    <w:p w14:paraId="57698762" w14:textId="77777777" w:rsidR="006D5DF5" w:rsidRDefault="006D5DF5" w:rsidP="006D5DF5">
      <w:pPr>
        <w:pStyle w:val="Heading4"/>
        <w:shd w:val="clear" w:color="auto" w:fill="auto"/>
      </w:pPr>
    </w:p>
    <w:p w14:paraId="4571AEE6" w14:textId="51EEF63E" w:rsidR="00DE4970" w:rsidRPr="00461D53" w:rsidRDefault="00DE4970" w:rsidP="007F1487">
      <w:pPr>
        <w:pStyle w:val="Heading4"/>
        <w:shd w:val="clear" w:color="auto" w:fill="D9D9D9" w:themeFill="background1" w:themeFillShade="D9"/>
      </w:pPr>
      <w:r w:rsidRPr="00461D53">
        <w:t>Rationale</w:t>
      </w:r>
    </w:p>
    <w:p w14:paraId="22A3E51A" w14:textId="77777777" w:rsidR="00DE4970" w:rsidRPr="00DE4970" w:rsidRDefault="00DE4970" w:rsidP="00D35857">
      <w:pPr>
        <w:pStyle w:val="Normalmorespace"/>
      </w:pPr>
      <w:r w:rsidRPr="00DE4970">
        <w:t>Measuring timeliness of advice and support provided to Portfolio Ministers and Assistant Ministers aims to demonstrate timely advice and support in order to allow Ministers and Assistant Ministers to make decisions that support the department to achieve its objectives. This measure demonstrates the efficiency of the Program Support in achieving an objective of the key activity: Timely advice and support Ministers and Assistant Ministers.</w:t>
      </w:r>
    </w:p>
    <w:p w14:paraId="367BAD5C" w14:textId="49136362" w:rsidR="00DE4970" w:rsidRPr="00461D53" w:rsidRDefault="00DE4970" w:rsidP="007F1487">
      <w:pPr>
        <w:pStyle w:val="Heading4"/>
        <w:shd w:val="clear" w:color="auto" w:fill="D9D9D9" w:themeFill="background1" w:themeFillShade="D9"/>
      </w:pPr>
      <w:r w:rsidRPr="00461D53">
        <w:t>Methodology</w:t>
      </w:r>
    </w:p>
    <w:p w14:paraId="3BBDD332" w14:textId="3A5AAC3C" w:rsidR="00DE4970" w:rsidRDefault="00DE4970" w:rsidP="00D35857">
      <w:pPr>
        <w:pStyle w:val="Normalmorespace"/>
      </w:pPr>
      <w:r w:rsidRPr="00DE4970">
        <w:t>A</w:t>
      </w:r>
      <w:r>
        <w:t xml:space="preserve"> report </w:t>
      </w:r>
      <w:r w:rsidRPr="00DE4970">
        <w:t>filter</w:t>
      </w:r>
      <w:r>
        <w:t>s</w:t>
      </w:r>
      <w:r w:rsidRPr="00DE4970">
        <w:t xml:space="preserve"> records not relevant to the evaluation of the performance measure. The number of records provided on time is based on the associated critical date.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Source"/>
        <w:tblDescription w:val="PS: The data source used for this calculation is the Department of Social Services’ Parliamentary Document Management System (PDMS)."/>
      </w:tblPr>
      <w:tblGrid>
        <w:gridCol w:w="988"/>
        <w:gridCol w:w="8028"/>
      </w:tblGrid>
      <w:tr w:rsidR="00E06071" w:rsidRPr="0066739F" w14:paraId="5717A275" w14:textId="77777777" w:rsidTr="0017156F">
        <w:trPr>
          <w:trHeight w:val="737"/>
          <w:tblHeader/>
        </w:trPr>
        <w:tc>
          <w:tcPr>
            <w:tcW w:w="988" w:type="dxa"/>
          </w:tcPr>
          <w:p w14:paraId="6DCA1208" w14:textId="77777777" w:rsidR="00E06071" w:rsidRDefault="00E06071" w:rsidP="00B81E0C">
            <w:r>
              <w:rPr>
                <w:noProof/>
                <w:color w:val="000000" w:themeColor="text1"/>
              </w:rPr>
              <mc:AlternateContent>
                <mc:Choice Requires="wps">
                  <w:drawing>
                    <wp:anchor distT="0" distB="0" distL="114300" distR="114300" simplePos="0" relativeHeight="251684915" behindDoc="0" locked="0" layoutInCell="1" allowOverlap="1" wp14:anchorId="40C05512" wp14:editId="79CB402E">
                      <wp:simplePos x="0" y="0"/>
                      <wp:positionH relativeFrom="column">
                        <wp:posOffset>29020</wp:posOffset>
                      </wp:positionH>
                      <wp:positionV relativeFrom="paragraph">
                        <wp:posOffset>82616</wp:posOffset>
                      </wp:positionV>
                      <wp:extent cx="446049" cy="329042"/>
                      <wp:effectExtent l="0" t="0" r="11430" b="13970"/>
                      <wp:wrapNone/>
                      <wp:docPr id="275" name="Rounded Rectangle 275"/>
                      <wp:cNvGraphicFramePr/>
                      <a:graphic xmlns:a="http://schemas.openxmlformats.org/drawingml/2006/main">
                        <a:graphicData uri="http://schemas.microsoft.com/office/word/2010/wordprocessingShape">
                          <wps:wsp>
                            <wps:cNvSpPr/>
                            <wps:spPr>
                              <a:xfrm>
                                <a:off x="0" y="0"/>
                                <a:ext cx="446049" cy="3290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93E522" w14:textId="77777777" w:rsidR="00027309" w:rsidRPr="00F24CAC" w:rsidRDefault="00027309" w:rsidP="00E06071">
                                  <w:pPr>
                                    <w:shd w:val="clear" w:color="auto" w:fill="005A70" w:themeFill="accent4"/>
                                    <w:spacing w:before="0" w:after="0" w:line="240" w:lineRule="auto"/>
                                    <w:jc w:val="center"/>
                                    <w:rPr>
                                      <w:color w:val="FFFFFF" w:themeColor="background1"/>
                                      <w:sz w:val="36"/>
                                    </w:rPr>
                                  </w:pPr>
                                  <w:r w:rsidRPr="00F24CAC">
                                    <w:rPr>
                                      <w:color w:val="FFFFFF" w:themeColor="background1"/>
                                      <w:sz w:val="14"/>
                                    </w:rPr>
                                    <w:t>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C05512" id="Rounded Rectangle 275" o:spid="_x0000_s1050" style="position:absolute;margin-left:2.3pt;margin-top:6.5pt;width:35.1pt;height:25.9pt;z-index:2516849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" fillcolor="#005a70 [3204]" strokecolor="#002c37 [1604]" strokeweight=".73403mm">
                      <v:textbox>
                        <w:txbxContent>
                          <w:p w14:paraId="3D93E522" w14:textId="77777777" w:rsidR="00027309" w:rsidRPr="00F24CAC" w:rsidRDefault="00027309" w:rsidP="00E06071">
                            <w:pPr>
                              <w:shd w:val="clear" w:color="auto" w:fill="005A70" w:themeFill="accent4"/>
                              <w:spacing w:before="0" w:after="0" w:line="240" w:lineRule="auto"/>
                              <w:jc w:val="center"/>
                              <w:rPr>
                                <w:color w:val="FFFFFF" w:themeColor="background1"/>
                                <w:sz w:val="36"/>
                              </w:rPr>
                            </w:pPr>
                            <w:r w:rsidRPr="00F24CAC">
                              <w:rPr>
                                <w:color w:val="FFFFFF" w:themeColor="background1"/>
                                <w:sz w:val="14"/>
                              </w:rPr>
                              <w:t>PS</w:t>
                            </w:r>
                          </w:p>
                        </w:txbxContent>
                      </v:textbox>
                    </v:roundrect>
                  </w:pict>
                </mc:Fallback>
              </mc:AlternateContent>
            </w:r>
          </w:p>
        </w:tc>
        <w:tc>
          <w:tcPr>
            <w:tcW w:w="8028" w:type="dxa"/>
          </w:tcPr>
          <w:p w14:paraId="7C229E16" w14:textId="69534DFC" w:rsidR="00E06071" w:rsidRPr="00E06071" w:rsidRDefault="00E06071" w:rsidP="00D35857">
            <w:pPr>
              <w:rPr>
                <w:rFonts w:cs="Arial"/>
                <w:sz w:val="20"/>
                <w:szCs w:val="20"/>
              </w:rPr>
            </w:pPr>
            <w:r w:rsidRPr="00A46D75">
              <w:rPr>
                <w:rFonts w:cs="Arial"/>
                <w:bCs/>
                <w:sz w:val="20"/>
                <w:szCs w:val="20"/>
              </w:rPr>
              <w:t xml:space="preserve">The </w:t>
            </w:r>
            <w:r w:rsidRPr="00A46D75">
              <w:rPr>
                <w:rFonts w:cs="Arial"/>
                <w:b/>
                <w:bCs/>
                <w:sz w:val="20"/>
                <w:szCs w:val="20"/>
              </w:rPr>
              <w:t>data source</w:t>
            </w:r>
            <w:r w:rsidRPr="00A46D75">
              <w:rPr>
                <w:rFonts w:cs="Arial"/>
                <w:bCs/>
                <w:sz w:val="20"/>
                <w:szCs w:val="20"/>
              </w:rPr>
              <w:t xml:space="preserve"> us</w:t>
            </w:r>
            <w:r>
              <w:rPr>
                <w:rFonts w:cs="Arial"/>
                <w:bCs/>
                <w:sz w:val="20"/>
                <w:szCs w:val="20"/>
              </w:rPr>
              <w:t>ed for this calculation is the D</w:t>
            </w:r>
            <w:r w:rsidRPr="00A46D75">
              <w:rPr>
                <w:rFonts w:cs="Arial"/>
                <w:bCs/>
                <w:sz w:val="20"/>
                <w:szCs w:val="20"/>
              </w:rPr>
              <w:t xml:space="preserve">epartment of Social Services’ </w:t>
            </w:r>
            <w:r w:rsidRPr="00DE4970">
              <w:rPr>
                <w:rFonts w:cs="Arial"/>
                <w:sz w:val="20"/>
                <w:szCs w:val="20"/>
              </w:rPr>
              <w:t>Parliamentary Document Management System (PDMS).</w:t>
            </w:r>
          </w:p>
        </w:tc>
      </w:tr>
    </w:tbl>
    <w:p w14:paraId="438E4480" w14:textId="77777777" w:rsidR="00E06071" w:rsidRPr="00DE4970" w:rsidRDefault="00E06071" w:rsidP="00E83A55">
      <w:pPr>
        <w:pStyle w:val="Normalmorespace"/>
        <w:jc w:val="both"/>
      </w:pPr>
    </w:p>
    <w:p w14:paraId="0982855F" w14:textId="4A09EEF4" w:rsidR="00DE4970" w:rsidRDefault="00DE4970" w:rsidP="00DE4970">
      <w:pPr>
        <w:ind w:left="720"/>
        <w:rPr>
          <w:rFonts w:cs="Arial"/>
          <w:sz w:val="20"/>
          <w:szCs w:val="20"/>
        </w:rPr>
      </w:pPr>
    </w:p>
    <w:p w14:paraId="6AC53362" w14:textId="77777777" w:rsidR="00DE4970" w:rsidRDefault="00DE4970" w:rsidP="00DE4970">
      <w:pPr>
        <w:ind w:left="720"/>
        <w:rPr>
          <w:rFonts w:cs="Arial"/>
          <w:sz w:val="20"/>
          <w:szCs w:val="20"/>
        </w:rPr>
      </w:pPr>
    </w:p>
    <w:sectPr w:rsidR="00DE4970" w:rsidSect="005E1945">
      <w:footerReference w:type="first" r:id="rId33"/>
      <w:pgSz w:w="11906" w:h="16838"/>
      <w:pgMar w:top="1134" w:right="1418" w:bottom="1418" w:left="1134" w:header="28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17ED9" w14:textId="77777777" w:rsidR="00027309" w:rsidRDefault="00027309" w:rsidP="008F3023">
      <w:pPr>
        <w:spacing w:before="0" w:after="0" w:line="240" w:lineRule="auto"/>
      </w:pPr>
      <w:r>
        <w:separator/>
      </w:r>
    </w:p>
  </w:endnote>
  <w:endnote w:type="continuationSeparator" w:id="0">
    <w:p w14:paraId="39244BA8" w14:textId="77777777" w:rsidR="00027309" w:rsidRDefault="00027309" w:rsidP="008F3023">
      <w:pPr>
        <w:spacing w:before="0" w:after="0" w:line="240" w:lineRule="auto"/>
      </w:pPr>
      <w:r>
        <w:continuationSeparator/>
      </w:r>
    </w:p>
  </w:endnote>
  <w:endnote w:type="continuationNotice" w:id="1">
    <w:p w14:paraId="39395F46" w14:textId="77777777" w:rsidR="00027309" w:rsidRDefault="0002730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variable"/>
    <w:sig w:usb0="00000003" w:usb1="00000000" w:usb2="00000000" w:usb3="00000000" w:csb0="00000001" w:csb1="00000000"/>
  </w:font>
  <w:font w:name="Myriad Pro Light">
    <w:altName w:val="Myriad Pro Light"/>
    <w:panose1 w:val="00000000000000000000"/>
    <w:charset w:val="00"/>
    <w:family w:val="swiss"/>
    <w:notTrueType/>
    <w:pitch w:val="variable"/>
    <w:sig w:usb0="00000003" w:usb1="00000000" w:usb2="00000000" w:usb3="00000000" w:csb0="00000001" w:csb1="00000000"/>
  </w:font>
  <w:font w:name="DIN OT Light">
    <w:altName w:val="DIN OT Ligh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84810"/>
      <w:docPartObj>
        <w:docPartGallery w:val="Page Numbers (Bottom of Page)"/>
        <w:docPartUnique/>
      </w:docPartObj>
    </w:sdtPr>
    <w:sdtEndPr>
      <w:rPr>
        <w:noProof/>
      </w:rPr>
    </w:sdtEndPr>
    <w:sdtContent>
      <w:p w14:paraId="01B6F311" w14:textId="336ECDC9" w:rsidR="00027309" w:rsidRDefault="00027309">
        <w:pPr>
          <w:pStyle w:val="Footer"/>
          <w:jc w:val="right"/>
        </w:pPr>
        <w:r>
          <w:fldChar w:fldCharType="begin"/>
        </w:r>
        <w:r>
          <w:instrText xml:space="preserve"> PAGE   \* MERGEFORMAT </w:instrText>
        </w:r>
        <w:r>
          <w:fldChar w:fldCharType="separate"/>
        </w:r>
        <w:r w:rsidR="005F7F5E">
          <w:rPr>
            <w:noProof/>
          </w:rPr>
          <w:t>3</w:t>
        </w:r>
        <w:r>
          <w:rPr>
            <w:noProof/>
          </w:rPr>
          <w:fldChar w:fldCharType="end"/>
        </w:r>
      </w:p>
    </w:sdtContent>
  </w:sdt>
  <w:p w14:paraId="1178C76B" w14:textId="77777777" w:rsidR="00027309" w:rsidRDefault="00027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8BD2" w14:textId="10D07DB0" w:rsidR="00027309" w:rsidRDefault="00027309" w:rsidP="008E32D4">
    <w:pPr>
      <w:pStyle w:val="Footer"/>
      <w:jc w:val="center"/>
    </w:pPr>
  </w:p>
  <w:p w14:paraId="0E2AE344" w14:textId="77777777" w:rsidR="00027309" w:rsidRDefault="00027309"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79EC" w14:textId="77777777" w:rsidR="00027309" w:rsidRDefault="00027309" w:rsidP="008F3023">
      <w:pPr>
        <w:spacing w:before="0" w:after="0" w:line="240" w:lineRule="auto"/>
      </w:pPr>
      <w:r>
        <w:separator/>
      </w:r>
    </w:p>
  </w:footnote>
  <w:footnote w:type="continuationSeparator" w:id="0">
    <w:p w14:paraId="78C55FE1" w14:textId="77777777" w:rsidR="00027309" w:rsidRDefault="00027309" w:rsidP="008F3023">
      <w:pPr>
        <w:spacing w:before="0" w:after="0" w:line="240" w:lineRule="auto"/>
      </w:pPr>
      <w:r>
        <w:continuationSeparator/>
      </w:r>
    </w:p>
  </w:footnote>
  <w:footnote w:type="continuationNotice" w:id="1">
    <w:p w14:paraId="52D03F81" w14:textId="77777777" w:rsidR="00027309" w:rsidRDefault="00027309">
      <w:pPr>
        <w:spacing w:before="0" w:after="0" w:line="240" w:lineRule="auto"/>
      </w:pPr>
    </w:p>
  </w:footnote>
  <w:footnote w:id="2">
    <w:p w14:paraId="1D1FCD7F" w14:textId="77777777" w:rsidR="00027309" w:rsidRPr="00CB042A" w:rsidRDefault="00027309" w:rsidP="00471573">
      <w:pPr>
        <w:pStyle w:val="FootnoteText"/>
        <w:ind w:left="0" w:firstLine="0"/>
        <w:jc w:val="both"/>
        <w:rPr>
          <w:sz w:val="16"/>
          <w:szCs w:val="16"/>
        </w:rPr>
      </w:pPr>
      <w:r>
        <w:rPr>
          <w:rStyle w:val="FootnoteReference"/>
        </w:rPr>
        <w:footnoteRef/>
      </w:r>
      <w:r>
        <w:t xml:space="preserve"> </w:t>
      </w:r>
      <w:r w:rsidRPr="00CB042A">
        <w:rPr>
          <w:rFonts w:eastAsiaTheme="minorEastAsia"/>
          <w:sz w:val="16"/>
          <w:szCs w:val="16"/>
        </w:rPr>
        <w:t>A recipient household or ‘income unit’ comprises a single person (with or without dependent childre</w:t>
      </w:r>
      <w:r w:rsidRPr="00935531">
        <w:rPr>
          <w:rFonts w:eastAsiaTheme="minorEastAsia"/>
          <w:sz w:val="16"/>
          <w:szCs w:val="16"/>
        </w:rPr>
        <w:t xml:space="preserve">n) or a couple (with or without </w:t>
      </w:r>
      <w:r w:rsidRPr="00CB042A">
        <w:rPr>
          <w:rFonts w:eastAsiaTheme="minorEastAsia"/>
          <w:sz w:val="16"/>
          <w:szCs w:val="16"/>
        </w:rPr>
        <w:t>dependent children) receiving a social security or family assistance payment and expected to share financial resources. Single social security recipients living together in the same dwelling are regarded as separate recipient households.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3E35E" w14:textId="77777777" w:rsidR="00027309" w:rsidRPr="007713B1" w:rsidRDefault="00027309" w:rsidP="007713B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01A"/>
    <w:multiLevelType w:val="hybridMultilevel"/>
    <w:tmpl w:val="5BD6962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181992"/>
    <w:multiLevelType w:val="hybridMultilevel"/>
    <w:tmpl w:val="3C9C8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B6580B"/>
    <w:multiLevelType w:val="hybridMultilevel"/>
    <w:tmpl w:val="0BAAF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132EF2"/>
    <w:multiLevelType w:val="hybridMultilevel"/>
    <w:tmpl w:val="5A62E3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42C3A68"/>
    <w:multiLevelType w:val="hybridMultilevel"/>
    <w:tmpl w:val="C5EA47DC"/>
    <w:lvl w:ilvl="0" w:tplc="2A00CE54">
      <w:start w:val="1"/>
      <w:numFmt w:val="bullet"/>
      <w:lvlText w:val=""/>
      <w:lvlJc w:val="left"/>
      <w:pPr>
        <w:ind w:left="720" w:hanging="360"/>
      </w:pPr>
      <w:rPr>
        <w:rFonts w:ascii="Symbol" w:hAnsi="Symbol" w:hint="default"/>
      </w:rPr>
    </w:lvl>
    <w:lvl w:ilvl="1" w:tplc="05143372">
      <w:start w:val="1"/>
      <w:numFmt w:val="decimal"/>
      <w:lvlText w:val="%2."/>
      <w:lvlJc w:val="left"/>
      <w:pPr>
        <w:ind w:left="1440" w:hanging="360"/>
      </w:pPr>
    </w:lvl>
    <w:lvl w:ilvl="2" w:tplc="F93C1BE2">
      <w:start w:val="1"/>
      <w:numFmt w:val="bullet"/>
      <w:lvlText w:val=""/>
      <w:lvlJc w:val="left"/>
      <w:pPr>
        <w:ind w:left="2160" w:hanging="360"/>
      </w:pPr>
      <w:rPr>
        <w:rFonts w:ascii="Wingdings" w:hAnsi="Wingdings" w:hint="default"/>
      </w:rPr>
    </w:lvl>
    <w:lvl w:ilvl="3" w:tplc="065C66F0">
      <w:start w:val="1"/>
      <w:numFmt w:val="bullet"/>
      <w:lvlText w:val=""/>
      <w:lvlJc w:val="left"/>
      <w:pPr>
        <w:ind w:left="2880" w:hanging="360"/>
      </w:pPr>
      <w:rPr>
        <w:rFonts w:ascii="Symbol" w:hAnsi="Symbol" w:hint="default"/>
      </w:rPr>
    </w:lvl>
    <w:lvl w:ilvl="4" w:tplc="A2426D6E">
      <w:start w:val="1"/>
      <w:numFmt w:val="bullet"/>
      <w:lvlText w:val="o"/>
      <w:lvlJc w:val="left"/>
      <w:pPr>
        <w:ind w:left="3600" w:hanging="360"/>
      </w:pPr>
      <w:rPr>
        <w:rFonts w:ascii="Courier New" w:hAnsi="Courier New" w:hint="default"/>
      </w:rPr>
    </w:lvl>
    <w:lvl w:ilvl="5" w:tplc="9FCCCA38">
      <w:start w:val="1"/>
      <w:numFmt w:val="bullet"/>
      <w:lvlText w:val=""/>
      <w:lvlJc w:val="left"/>
      <w:pPr>
        <w:ind w:left="4320" w:hanging="360"/>
      </w:pPr>
      <w:rPr>
        <w:rFonts w:ascii="Wingdings" w:hAnsi="Wingdings" w:hint="default"/>
      </w:rPr>
    </w:lvl>
    <w:lvl w:ilvl="6" w:tplc="7CF437FC">
      <w:start w:val="1"/>
      <w:numFmt w:val="bullet"/>
      <w:lvlText w:val=""/>
      <w:lvlJc w:val="left"/>
      <w:pPr>
        <w:ind w:left="5040" w:hanging="360"/>
      </w:pPr>
      <w:rPr>
        <w:rFonts w:ascii="Symbol" w:hAnsi="Symbol" w:hint="default"/>
      </w:rPr>
    </w:lvl>
    <w:lvl w:ilvl="7" w:tplc="330CB290">
      <w:start w:val="1"/>
      <w:numFmt w:val="bullet"/>
      <w:lvlText w:val="o"/>
      <w:lvlJc w:val="left"/>
      <w:pPr>
        <w:ind w:left="5760" w:hanging="360"/>
      </w:pPr>
      <w:rPr>
        <w:rFonts w:ascii="Courier New" w:hAnsi="Courier New" w:hint="default"/>
      </w:rPr>
    </w:lvl>
    <w:lvl w:ilvl="8" w:tplc="D744DC26">
      <w:start w:val="1"/>
      <w:numFmt w:val="bullet"/>
      <w:lvlText w:val=""/>
      <w:lvlJc w:val="left"/>
      <w:pPr>
        <w:ind w:left="6480" w:hanging="360"/>
      </w:pPr>
      <w:rPr>
        <w:rFonts w:ascii="Wingdings" w:hAnsi="Wingdings" w:hint="default"/>
      </w:rPr>
    </w:lvl>
  </w:abstractNum>
  <w:abstractNum w:abstractNumId="5" w15:restartNumberingAfterBreak="0">
    <w:nsid w:val="04916FA7"/>
    <w:multiLevelType w:val="multilevel"/>
    <w:tmpl w:val="764C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832A2"/>
    <w:multiLevelType w:val="hybridMultilevel"/>
    <w:tmpl w:val="7534CB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2C5E9F"/>
    <w:multiLevelType w:val="hybridMultilevel"/>
    <w:tmpl w:val="A2FC3D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140EB5"/>
    <w:multiLevelType w:val="hybridMultilevel"/>
    <w:tmpl w:val="B34AA0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154D25"/>
    <w:multiLevelType w:val="hybridMultilevel"/>
    <w:tmpl w:val="A9D6F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010877"/>
    <w:multiLevelType w:val="hybridMultilevel"/>
    <w:tmpl w:val="F4225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075BFA"/>
    <w:multiLevelType w:val="hybridMultilevel"/>
    <w:tmpl w:val="C5527012"/>
    <w:lvl w:ilvl="0" w:tplc="45A42F1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496A66"/>
    <w:multiLevelType w:val="hybridMultilevel"/>
    <w:tmpl w:val="2F24070E"/>
    <w:lvl w:ilvl="0" w:tplc="BC489644">
      <w:start w:val="1"/>
      <w:numFmt w:val="bullet"/>
      <w:pStyle w:val="PBSTextbullet"/>
      <w:lvlText w:val=""/>
      <w:lvlJc w:val="left"/>
      <w:pPr>
        <w:ind w:left="360" w:hanging="360"/>
      </w:pPr>
      <w:rPr>
        <w:rFonts w:ascii="Symbol" w:hAnsi="Symbol" w:hint="default"/>
      </w:rPr>
    </w:lvl>
    <w:lvl w:ilvl="1" w:tplc="49CCAC20">
      <w:start w:val="1"/>
      <w:numFmt w:val="bullet"/>
      <w:lvlText w:val=""/>
      <w:lvlJc w:val="left"/>
      <w:pPr>
        <w:ind w:left="1080" w:hanging="360"/>
      </w:pPr>
      <w:rPr>
        <w:rFonts w:ascii="Symbol" w:hAnsi="Symbol" w:hint="default"/>
      </w:rPr>
    </w:lvl>
    <w:lvl w:ilvl="2" w:tplc="E9FCEFFE">
      <w:start w:val="1"/>
      <w:numFmt w:val="bullet"/>
      <w:lvlText w:val=""/>
      <w:lvlJc w:val="left"/>
      <w:pPr>
        <w:ind w:left="1800" w:hanging="360"/>
      </w:pPr>
      <w:rPr>
        <w:rFonts w:ascii="Wingdings" w:hAnsi="Wingdings" w:hint="default"/>
      </w:rPr>
    </w:lvl>
    <w:lvl w:ilvl="3" w:tplc="7C66DD6A">
      <w:start w:val="1"/>
      <w:numFmt w:val="bullet"/>
      <w:lvlText w:val=""/>
      <w:lvlJc w:val="left"/>
      <w:pPr>
        <w:ind w:left="2520" w:hanging="360"/>
      </w:pPr>
      <w:rPr>
        <w:rFonts w:ascii="Symbol" w:hAnsi="Symbol" w:hint="default"/>
      </w:rPr>
    </w:lvl>
    <w:lvl w:ilvl="4" w:tplc="B002ED24">
      <w:start w:val="1"/>
      <w:numFmt w:val="bullet"/>
      <w:lvlText w:val="o"/>
      <w:lvlJc w:val="left"/>
      <w:pPr>
        <w:ind w:left="3240" w:hanging="360"/>
      </w:pPr>
      <w:rPr>
        <w:rFonts w:ascii="Courier New" w:hAnsi="Courier New" w:cs="Courier New" w:hint="default"/>
      </w:rPr>
    </w:lvl>
    <w:lvl w:ilvl="5" w:tplc="43E4ED6A">
      <w:start w:val="1"/>
      <w:numFmt w:val="bullet"/>
      <w:lvlText w:val=""/>
      <w:lvlJc w:val="left"/>
      <w:pPr>
        <w:ind w:left="3960" w:hanging="360"/>
      </w:pPr>
      <w:rPr>
        <w:rFonts w:ascii="Wingdings" w:hAnsi="Wingdings" w:hint="default"/>
      </w:rPr>
    </w:lvl>
    <w:lvl w:ilvl="6" w:tplc="BFA24026">
      <w:start w:val="1"/>
      <w:numFmt w:val="bullet"/>
      <w:lvlText w:val=""/>
      <w:lvlJc w:val="left"/>
      <w:pPr>
        <w:ind w:left="4680" w:hanging="360"/>
      </w:pPr>
      <w:rPr>
        <w:rFonts w:ascii="Symbol" w:hAnsi="Symbol" w:hint="default"/>
      </w:rPr>
    </w:lvl>
    <w:lvl w:ilvl="7" w:tplc="846467CA">
      <w:start w:val="1"/>
      <w:numFmt w:val="bullet"/>
      <w:lvlText w:val="o"/>
      <w:lvlJc w:val="left"/>
      <w:pPr>
        <w:ind w:left="5400" w:hanging="360"/>
      </w:pPr>
      <w:rPr>
        <w:rFonts w:ascii="Courier New" w:hAnsi="Courier New" w:cs="Courier New" w:hint="default"/>
      </w:rPr>
    </w:lvl>
    <w:lvl w:ilvl="8" w:tplc="2E362FA2">
      <w:start w:val="1"/>
      <w:numFmt w:val="bullet"/>
      <w:lvlText w:val=""/>
      <w:lvlJc w:val="left"/>
      <w:pPr>
        <w:ind w:left="6120" w:hanging="360"/>
      </w:pPr>
      <w:rPr>
        <w:rFonts w:ascii="Wingdings" w:hAnsi="Wingdings" w:hint="default"/>
      </w:rPr>
    </w:lvl>
  </w:abstractNum>
  <w:abstractNum w:abstractNumId="13"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C55294"/>
    <w:multiLevelType w:val="hybridMultilevel"/>
    <w:tmpl w:val="3B1CE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4D01AB"/>
    <w:multiLevelType w:val="hybridMultilevel"/>
    <w:tmpl w:val="23723842"/>
    <w:lvl w:ilvl="0" w:tplc="BF523D4C">
      <w:start w:val="1"/>
      <w:numFmt w:val="bullet"/>
      <w:pStyle w:val="TABLEBullets"/>
      <w:lvlText w:val=""/>
      <w:lvlJc w:val="left"/>
      <w:pPr>
        <w:ind w:left="360" w:hanging="360"/>
      </w:pPr>
      <w:rPr>
        <w:rFonts w:ascii="Wingdings" w:hAnsi="Wingdings" w:hint="default"/>
        <w:color w:val="00838A" w:themeColor="accent5" w:themeShade="BF"/>
        <w:sz w:val="18"/>
        <w:szCs w:val="18"/>
      </w:rPr>
    </w:lvl>
    <w:lvl w:ilvl="1" w:tplc="5B02EE0E">
      <w:start w:val="1"/>
      <w:numFmt w:val="bullet"/>
      <w:lvlText w:val="•"/>
      <w:lvlJc w:val="left"/>
      <w:pPr>
        <w:tabs>
          <w:tab w:val="num" w:pos="1440"/>
        </w:tabs>
        <w:ind w:left="1440" w:hanging="360"/>
      </w:pPr>
      <w:rPr>
        <w:rFonts w:ascii="Arial" w:hAnsi="Arial" w:hint="default"/>
      </w:rPr>
    </w:lvl>
    <w:lvl w:ilvl="2" w:tplc="D3365278" w:tentative="1">
      <w:start w:val="1"/>
      <w:numFmt w:val="bullet"/>
      <w:lvlText w:val="•"/>
      <w:lvlJc w:val="left"/>
      <w:pPr>
        <w:tabs>
          <w:tab w:val="num" w:pos="2160"/>
        </w:tabs>
        <w:ind w:left="2160" w:hanging="360"/>
      </w:pPr>
      <w:rPr>
        <w:rFonts w:ascii="Arial" w:hAnsi="Arial" w:hint="default"/>
      </w:rPr>
    </w:lvl>
    <w:lvl w:ilvl="3" w:tplc="23A248B6" w:tentative="1">
      <w:start w:val="1"/>
      <w:numFmt w:val="bullet"/>
      <w:lvlText w:val="•"/>
      <w:lvlJc w:val="left"/>
      <w:pPr>
        <w:tabs>
          <w:tab w:val="num" w:pos="2880"/>
        </w:tabs>
        <w:ind w:left="2880" w:hanging="360"/>
      </w:pPr>
      <w:rPr>
        <w:rFonts w:ascii="Arial" w:hAnsi="Arial" w:hint="default"/>
      </w:rPr>
    </w:lvl>
    <w:lvl w:ilvl="4" w:tplc="EF9CC59E" w:tentative="1">
      <w:start w:val="1"/>
      <w:numFmt w:val="bullet"/>
      <w:lvlText w:val="•"/>
      <w:lvlJc w:val="left"/>
      <w:pPr>
        <w:tabs>
          <w:tab w:val="num" w:pos="3600"/>
        </w:tabs>
        <w:ind w:left="3600" w:hanging="360"/>
      </w:pPr>
      <w:rPr>
        <w:rFonts w:ascii="Arial" w:hAnsi="Arial" w:hint="default"/>
      </w:rPr>
    </w:lvl>
    <w:lvl w:ilvl="5" w:tplc="ECB44080" w:tentative="1">
      <w:start w:val="1"/>
      <w:numFmt w:val="bullet"/>
      <w:lvlText w:val="•"/>
      <w:lvlJc w:val="left"/>
      <w:pPr>
        <w:tabs>
          <w:tab w:val="num" w:pos="4320"/>
        </w:tabs>
        <w:ind w:left="4320" w:hanging="360"/>
      </w:pPr>
      <w:rPr>
        <w:rFonts w:ascii="Arial" w:hAnsi="Arial" w:hint="default"/>
      </w:rPr>
    </w:lvl>
    <w:lvl w:ilvl="6" w:tplc="F41EC3FC" w:tentative="1">
      <w:start w:val="1"/>
      <w:numFmt w:val="bullet"/>
      <w:lvlText w:val="•"/>
      <w:lvlJc w:val="left"/>
      <w:pPr>
        <w:tabs>
          <w:tab w:val="num" w:pos="5040"/>
        </w:tabs>
        <w:ind w:left="5040" w:hanging="360"/>
      </w:pPr>
      <w:rPr>
        <w:rFonts w:ascii="Arial" w:hAnsi="Arial" w:hint="default"/>
      </w:rPr>
    </w:lvl>
    <w:lvl w:ilvl="7" w:tplc="1F58DDDE" w:tentative="1">
      <w:start w:val="1"/>
      <w:numFmt w:val="bullet"/>
      <w:lvlText w:val="•"/>
      <w:lvlJc w:val="left"/>
      <w:pPr>
        <w:tabs>
          <w:tab w:val="num" w:pos="5760"/>
        </w:tabs>
        <w:ind w:left="5760" w:hanging="360"/>
      </w:pPr>
      <w:rPr>
        <w:rFonts w:ascii="Arial" w:hAnsi="Arial" w:hint="default"/>
      </w:rPr>
    </w:lvl>
    <w:lvl w:ilvl="8" w:tplc="0E7E69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8745AD5"/>
    <w:multiLevelType w:val="hybridMultilevel"/>
    <w:tmpl w:val="79B8EDEE"/>
    <w:lvl w:ilvl="0" w:tplc="0088D8D6">
      <w:start w:val="1"/>
      <w:numFmt w:val="bullet"/>
      <w:pStyle w:val="PBSTaabullet"/>
      <w:lvlText w:val=""/>
      <w:lvlJc w:val="left"/>
      <w:pPr>
        <w:ind w:left="360" w:hanging="360"/>
      </w:pPr>
      <w:rPr>
        <w:rFonts w:ascii="Symbol" w:hAnsi="Symbol" w:hint="default"/>
      </w:rPr>
    </w:lvl>
    <w:lvl w:ilvl="1" w:tplc="3C201DD6">
      <w:start w:val="1"/>
      <w:numFmt w:val="bullet"/>
      <w:lvlText w:val="o"/>
      <w:lvlJc w:val="left"/>
      <w:pPr>
        <w:ind w:left="1080" w:hanging="360"/>
      </w:pPr>
      <w:rPr>
        <w:rFonts w:ascii="Courier New" w:hAnsi="Courier New" w:cs="Courier New" w:hint="default"/>
      </w:rPr>
    </w:lvl>
    <w:lvl w:ilvl="2" w:tplc="EC563FDA">
      <w:start w:val="1"/>
      <w:numFmt w:val="bullet"/>
      <w:lvlText w:val=""/>
      <w:lvlJc w:val="left"/>
      <w:pPr>
        <w:ind w:left="1800" w:hanging="360"/>
      </w:pPr>
      <w:rPr>
        <w:rFonts w:ascii="Wingdings" w:hAnsi="Wingdings" w:hint="default"/>
      </w:rPr>
    </w:lvl>
    <w:lvl w:ilvl="3" w:tplc="02C6AC68">
      <w:start w:val="1"/>
      <w:numFmt w:val="bullet"/>
      <w:lvlText w:val=""/>
      <w:lvlJc w:val="left"/>
      <w:pPr>
        <w:ind w:left="2520" w:hanging="360"/>
      </w:pPr>
      <w:rPr>
        <w:rFonts w:ascii="Symbol" w:hAnsi="Symbol" w:hint="default"/>
      </w:rPr>
    </w:lvl>
    <w:lvl w:ilvl="4" w:tplc="B7E091AA">
      <w:start w:val="1"/>
      <w:numFmt w:val="bullet"/>
      <w:lvlText w:val="o"/>
      <w:lvlJc w:val="left"/>
      <w:pPr>
        <w:ind w:left="3240" w:hanging="360"/>
      </w:pPr>
      <w:rPr>
        <w:rFonts w:ascii="Courier New" w:hAnsi="Courier New" w:cs="Courier New" w:hint="default"/>
      </w:rPr>
    </w:lvl>
    <w:lvl w:ilvl="5" w:tplc="CEA66844">
      <w:start w:val="1"/>
      <w:numFmt w:val="bullet"/>
      <w:lvlText w:val=""/>
      <w:lvlJc w:val="left"/>
      <w:pPr>
        <w:ind w:left="3960" w:hanging="360"/>
      </w:pPr>
      <w:rPr>
        <w:rFonts w:ascii="Wingdings" w:hAnsi="Wingdings" w:hint="default"/>
      </w:rPr>
    </w:lvl>
    <w:lvl w:ilvl="6" w:tplc="5B48439E">
      <w:start w:val="1"/>
      <w:numFmt w:val="bullet"/>
      <w:lvlText w:val=""/>
      <w:lvlJc w:val="left"/>
      <w:pPr>
        <w:ind w:left="4680" w:hanging="360"/>
      </w:pPr>
      <w:rPr>
        <w:rFonts w:ascii="Symbol" w:hAnsi="Symbol" w:hint="default"/>
      </w:rPr>
    </w:lvl>
    <w:lvl w:ilvl="7" w:tplc="84CE5B12">
      <w:start w:val="1"/>
      <w:numFmt w:val="bullet"/>
      <w:lvlText w:val="o"/>
      <w:lvlJc w:val="left"/>
      <w:pPr>
        <w:ind w:left="5400" w:hanging="360"/>
      </w:pPr>
      <w:rPr>
        <w:rFonts w:ascii="Courier New" w:hAnsi="Courier New" w:cs="Courier New" w:hint="default"/>
      </w:rPr>
    </w:lvl>
    <w:lvl w:ilvl="8" w:tplc="539AA352">
      <w:start w:val="1"/>
      <w:numFmt w:val="bullet"/>
      <w:lvlText w:val=""/>
      <w:lvlJc w:val="left"/>
      <w:pPr>
        <w:ind w:left="6120" w:hanging="360"/>
      </w:pPr>
      <w:rPr>
        <w:rFonts w:ascii="Wingdings" w:hAnsi="Wingdings" w:hint="default"/>
      </w:rPr>
    </w:lvl>
  </w:abstractNum>
  <w:abstractNum w:abstractNumId="17" w15:restartNumberingAfterBreak="0">
    <w:nsid w:val="1DF85DE9"/>
    <w:multiLevelType w:val="hybridMultilevel"/>
    <w:tmpl w:val="1090AFE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E64243D"/>
    <w:multiLevelType w:val="hybridMultilevel"/>
    <w:tmpl w:val="52EE0D30"/>
    <w:lvl w:ilvl="0" w:tplc="38CEB7E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7E7936"/>
    <w:multiLevelType w:val="hybridMultilevel"/>
    <w:tmpl w:val="EFBA3122"/>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B9301B"/>
    <w:multiLevelType w:val="hybridMultilevel"/>
    <w:tmpl w:val="56E608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6F078FB"/>
    <w:multiLevelType w:val="hybridMultilevel"/>
    <w:tmpl w:val="21E25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134AC5"/>
    <w:multiLevelType w:val="hybridMultilevel"/>
    <w:tmpl w:val="FD2C4574"/>
    <w:lvl w:ilvl="0" w:tplc="BF523D4C">
      <w:start w:val="1"/>
      <w:numFmt w:val="bullet"/>
      <w:lvlText w:val=""/>
      <w:lvlJc w:val="left"/>
      <w:pPr>
        <w:ind w:left="644" w:hanging="360"/>
      </w:pPr>
      <w:rPr>
        <w:rFonts w:ascii="Wingdings" w:hAnsi="Wingdings" w:hint="default"/>
        <w:color w:val="00838A" w:themeColor="accent5" w:themeShade="BF"/>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2CEB6DF6"/>
    <w:multiLevelType w:val="hybridMultilevel"/>
    <w:tmpl w:val="EFBA3122"/>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CC34FC"/>
    <w:multiLevelType w:val="hybridMultilevel"/>
    <w:tmpl w:val="477E3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F2194B"/>
    <w:multiLevelType w:val="hybridMultilevel"/>
    <w:tmpl w:val="EF3A3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CB0BA9"/>
    <w:multiLevelType w:val="hybridMultilevel"/>
    <w:tmpl w:val="9F04CFEC"/>
    <w:lvl w:ilvl="0" w:tplc="BF523D4C">
      <w:start w:val="1"/>
      <w:numFmt w:val="bullet"/>
      <w:lvlText w:val=""/>
      <w:lvlJc w:val="left"/>
      <w:pPr>
        <w:ind w:left="360" w:hanging="360"/>
      </w:pPr>
      <w:rPr>
        <w:rFonts w:ascii="Wingdings" w:hAnsi="Wingdings" w:hint="default"/>
        <w:color w:val="00838A"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D5434A"/>
    <w:multiLevelType w:val="multilevel"/>
    <w:tmpl w:val="73B087E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D402F2"/>
    <w:multiLevelType w:val="hybridMultilevel"/>
    <w:tmpl w:val="A8E04BD6"/>
    <w:lvl w:ilvl="0" w:tplc="BF523D4C">
      <w:start w:val="1"/>
      <w:numFmt w:val="bullet"/>
      <w:lvlText w:val=""/>
      <w:lvlJc w:val="left"/>
      <w:pPr>
        <w:tabs>
          <w:tab w:val="num" w:pos="720"/>
        </w:tabs>
        <w:ind w:left="720" w:hanging="360"/>
      </w:pPr>
      <w:rPr>
        <w:rFonts w:ascii="Wingdings" w:hAnsi="Wingdings" w:hint="default"/>
        <w:color w:val="00838A" w:themeColor="accent5" w:themeShade="BF"/>
      </w:rPr>
    </w:lvl>
    <w:lvl w:ilvl="1" w:tplc="BF523D4C">
      <w:start w:val="1"/>
      <w:numFmt w:val="bullet"/>
      <w:lvlText w:val=""/>
      <w:lvlJc w:val="left"/>
      <w:pPr>
        <w:tabs>
          <w:tab w:val="num" w:pos="1440"/>
        </w:tabs>
        <w:ind w:left="1440" w:hanging="360"/>
      </w:pPr>
      <w:rPr>
        <w:rFonts w:ascii="Wingdings" w:hAnsi="Wingdings" w:hint="default"/>
        <w:color w:val="00838A" w:themeColor="accent5" w:themeShade="BF"/>
      </w:rPr>
    </w:lvl>
    <w:lvl w:ilvl="2" w:tplc="97C88308" w:tentative="1">
      <w:start w:val="1"/>
      <w:numFmt w:val="bullet"/>
      <w:lvlText w:val="•"/>
      <w:lvlJc w:val="left"/>
      <w:pPr>
        <w:tabs>
          <w:tab w:val="num" w:pos="2160"/>
        </w:tabs>
        <w:ind w:left="2160" w:hanging="360"/>
      </w:pPr>
      <w:rPr>
        <w:rFonts w:ascii="Arial" w:hAnsi="Arial" w:hint="default"/>
      </w:rPr>
    </w:lvl>
    <w:lvl w:ilvl="3" w:tplc="3844095E" w:tentative="1">
      <w:start w:val="1"/>
      <w:numFmt w:val="bullet"/>
      <w:lvlText w:val="•"/>
      <w:lvlJc w:val="left"/>
      <w:pPr>
        <w:tabs>
          <w:tab w:val="num" w:pos="2880"/>
        </w:tabs>
        <w:ind w:left="2880" w:hanging="360"/>
      </w:pPr>
      <w:rPr>
        <w:rFonts w:ascii="Arial" w:hAnsi="Arial" w:hint="default"/>
      </w:rPr>
    </w:lvl>
    <w:lvl w:ilvl="4" w:tplc="D7B007A6" w:tentative="1">
      <w:start w:val="1"/>
      <w:numFmt w:val="bullet"/>
      <w:lvlText w:val="•"/>
      <w:lvlJc w:val="left"/>
      <w:pPr>
        <w:tabs>
          <w:tab w:val="num" w:pos="3600"/>
        </w:tabs>
        <w:ind w:left="3600" w:hanging="360"/>
      </w:pPr>
      <w:rPr>
        <w:rFonts w:ascii="Arial" w:hAnsi="Arial" w:hint="default"/>
      </w:rPr>
    </w:lvl>
    <w:lvl w:ilvl="5" w:tplc="D84EE43A" w:tentative="1">
      <w:start w:val="1"/>
      <w:numFmt w:val="bullet"/>
      <w:lvlText w:val="•"/>
      <w:lvlJc w:val="left"/>
      <w:pPr>
        <w:tabs>
          <w:tab w:val="num" w:pos="4320"/>
        </w:tabs>
        <w:ind w:left="4320" w:hanging="360"/>
      </w:pPr>
      <w:rPr>
        <w:rFonts w:ascii="Arial" w:hAnsi="Arial" w:hint="default"/>
      </w:rPr>
    </w:lvl>
    <w:lvl w:ilvl="6" w:tplc="1DAE0080" w:tentative="1">
      <w:start w:val="1"/>
      <w:numFmt w:val="bullet"/>
      <w:lvlText w:val="•"/>
      <w:lvlJc w:val="left"/>
      <w:pPr>
        <w:tabs>
          <w:tab w:val="num" w:pos="5040"/>
        </w:tabs>
        <w:ind w:left="5040" w:hanging="360"/>
      </w:pPr>
      <w:rPr>
        <w:rFonts w:ascii="Arial" w:hAnsi="Arial" w:hint="default"/>
      </w:rPr>
    </w:lvl>
    <w:lvl w:ilvl="7" w:tplc="8AE4DC76" w:tentative="1">
      <w:start w:val="1"/>
      <w:numFmt w:val="bullet"/>
      <w:lvlText w:val="•"/>
      <w:lvlJc w:val="left"/>
      <w:pPr>
        <w:tabs>
          <w:tab w:val="num" w:pos="5760"/>
        </w:tabs>
        <w:ind w:left="5760" w:hanging="360"/>
      </w:pPr>
      <w:rPr>
        <w:rFonts w:ascii="Arial" w:hAnsi="Arial" w:hint="default"/>
      </w:rPr>
    </w:lvl>
    <w:lvl w:ilvl="8" w:tplc="4D4CEFF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23F3421"/>
    <w:multiLevelType w:val="hybridMultilevel"/>
    <w:tmpl w:val="11F68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2234B8"/>
    <w:multiLevelType w:val="hybridMultilevel"/>
    <w:tmpl w:val="298E9C98"/>
    <w:lvl w:ilvl="0" w:tplc="11A2D790">
      <w:start w:val="1"/>
      <w:numFmt w:val="decimal"/>
      <w:lvlText w:val="%1."/>
      <w:lvlJc w:val="left"/>
      <w:pPr>
        <w:ind w:left="720" w:hanging="360"/>
      </w:pPr>
      <w:rPr>
        <w:rFonts w:asciiTheme="minorHAnsi" w:hAnsiTheme="minorHAnsi" w:cstheme="minorHAnsi"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BA542F1"/>
    <w:multiLevelType w:val="hybridMultilevel"/>
    <w:tmpl w:val="930E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64271A"/>
    <w:multiLevelType w:val="hybridMultilevel"/>
    <w:tmpl w:val="9E18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F97F01"/>
    <w:multiLevelType w:val="hybridMultilevel"/>
    <w:tmpl w:val="969AFFBE"/>
    <w:lvl w:ilvl="0" w:tplc="0C090001">
      <w:start w:val="1"/>
      <w:numFmt w:val="bullet"/>
      <w:lvlText w:val=""/>
      <w:lvlJc w:val="left"/>
      <w:pPr>
        <w:ind w:left="1020" w:hanging="360"/>
      </w:pPr>
      <w:rPr>
        <w:rFonts w:ascii="Symbol" w:hAnsi="Symbo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34" w15:restartNumberingAfterBreak="0">
    <w:nsid w:val="521B2343"/>
    <w:multiLevelType w:val="hybridMultilevel"/>
    <w:tmpl w:val="E75A2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5FD0088"/>
    <w:multiLevelType w:val="hybridMultilevel"/>
    <w:tmpl w:val="56D0F518"/>
    <w:lvl w:ilvl="0" w:tplc="440625D2">
      <w:start w:val="1"/>
      <w:numFmt w:val="bullet"/>
      <w:lvlText w:val=""/>
      <w:lvlJc w:val="left"/>
      <w:pPr>
        <w:ind w:left="1740" w:hanging="720"/>
      </w:pPr>
      <w:rPr>
        <w:rFonts w:ascii="Symbol" w:hAnsi="Symbol" w:hint="default"/>
        <w:sz w:val="20"/>
        <w:szCs w:val="20"/>
      </w:rPr>
    </w:lvl>
    <w:lvl w:ilvl="1" w:tplc="0C090003">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36" w15:restartNumberingAfterBreak="0">
    <w:nsid w:val="5DA66C19"/>
    <w:multiLevelType w:val="hybridMultilevel"/>
    <w:tmpl w:val="8FFC2C18"/>
    <w:lvl w:ilvl="0" w:tplc="E36C6BAA">
      <w:start w:val="1"/>
      <w:numFmt w:val="bullet"/>
      <w:pStyle w:val="Style2"/>
      <w:lvlText w:val=""/>
      <w:lvlJc w:val="left"/>
      <w:pPr>
        <w:ind w:left="360" w:hanging="360"/>
      </w:pPr>
      <w:rPr>
        <w:rFonts w:ascii="Symbol" w:hAnsi="Symbol" w:hint="default"/>
        <w:color w:val="auto"/>
      </w:rPr>
    </w:lvl>
    <w:lvl w:ilvl="1" w:tplc="BF6041EA">
      <w:start w:val="1"/>
      <w:numFmt w:val="bullet"/>
      <w:lvlText w:val="o"/>
      <w:lvlJc w:val="left"/>
      <w:pPr>
        <w:ind w:left="1080" w:hanging="360"/>
      </w:pPr>
      <w:rPr>
        <w:rFonts w:ascii="Courier New" w:hAnsi="Courier New" w:cs="Courier New" w:hint="default"/>
      </w:rPr>
    </w:lvl>
    <w:lvl w:ilvl="2" w:tplc="12CEA4DE">
      <w:start w:val="1"/>
      <w:numFmt w:val="bullet"/>
      <w:lvlText w:val=""/>
      <w:lvlJc w:val="left"/>
      <w:pPr>
        <w:ind w:left="1800" w:hanging="360"/>
      </w:pPr>
      <w:rPr>
        <w:rFonts w:ascii="Wingdings" w:hAnsi="Wingdings" w:hint="default"/>
      </w:rPr>
    </w:lvl>
    <w:lvl w:ilvl="3" w:tplc="580A1222">
      <w:start w:val="1"/>
      <w:numFmt w:val="bullet"/>
      <w:lvlText w:val=""/>
      <w:lvlJc w:val="left"/>
      <w:pPr>
        <w:ind w:left="2520" w:hanging="360"/>
      </w:pPr>
      <w:rPr>
        <w:rFonts w:ascii="Symbol" w:hAnsi="Symbol" w:hint="default"/>
      </w:rPr>
    </w:lvl>
    <w:lvl w:ilvl="4" w:tplc="EEDE615A">
      <w:start w:val="1"/>
      <w:numFmt w:val="bullet"/>
      <w:lvlText w:val="o"/>
      <w:lvlJc w:val="left"/>
      <w:pPr>
        <w:ind w:left="3240" w:hanging="360"/>
      </w:pPr>
      <w:rPr>
        <w:rFonts w:ascii="Courier New" w:hAnsi="Courier New" w:cs="Courier New" w:hint="default"/>
      </w:rPr>
    </w:lvl>
    <w:lvl w:ilvl="5" w:tplc="1242EC58">
      <w:start w:val="1"/>
      <w:numFmt w:val="bullet"/>
      <w:lvlText w:val=""/>
      <w:lvlJc w:val="left"/>
      <w:pPr>
        <w:ind w:left="3960" w:hanging="360"/>
      </w:pPr>
      <w:rPr>
        <w:rFonts w:ascii="Wingdings" w:hAnsi="Wingdings" w:hint="default"/>
      </w:rPr>
    </w:lvl>
    <w:lvl w:ilvl="6" w:tplc="9E7C7C82">
      <w:start w:val="1"/>
      <w:numFmt w:val="bullet"/>
      <w:lvlText w:val=""/>
      <w:lvlJc w:val="left"/>
      <w:pPr>
        <w:ind w:left="4680" w:hanging="360"/>
      </w:pPr>
      <w:rPr>
        <w:rFonts w:ascii="Symbol" w:hAnsi="Symbol" w:hint="default"/>
      </w:rPr>
    </w:lvl>
    <w:lvl w:ilvl="7" w:tplc="18CE0E78">
      <w:start w:val="1"/>
      <w:numFmt w:val="bullet"/>
      <w:lvlText w:val="o"/>
      <w:lvlJc w:val="left"/>
      <w:pPr>
        <w:ind w:left="5400" w:hanging="360"/>
      </w:pPr>
      <w:rPr>
        <w:rFonts w:ascii="Courier New" w:hAnsi="Courier New" w:cs="Courier New" w:hint="default"/>
      </w:rPr>
    </w:lvl>
    <w:lvl w:ilvl="8" w:tplc="615C5A32">
      <w:start w:val="1"/>
      <w:numFmt w:val="bullet"/>
      <w:lvlText w:val=""/>
      <w:lvlJc w:val="left"/>
      <w:pPr>
        <w:ind w:left="6120" w:hanging="360"/>
      </w:pPr>
      <w:rPr>
        <w:rFonts w:ascii="Wingdings" w:hAnsi="Wingdings" w:hint="default"/>
      </w:rPr>
    </w:lvl>
  </w:abstractNum>
  <w:abstractNum w:abstractNumId="37" w15:restartNumberingAfterBreak="0">
    <w:nsid w:val="61582DD0"/>
    <w:multiLevelType w:val="hybridMultilevel"/>
    <w:tmpl w:val="7450B074"/>
    <w:lvl w:ilvl="0" w:tplc="632285DC">
      <w:start w:val="1"/>
      <w:numFmt w:val="bullet"/>
      <w:pStyle w:val="TABLESUBBullets"/>
      <w:lvlText w:val="̶"/>
      <w:lvlJc w:val="left"/>
      <w:pPr>
        <w:ind w:left="1004" w:hanging="360"/>
      </w:pPr>
      <w:rPr>
        <w:rFonts w:ascii="Arial" w:hAnsi="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62092D8E"/>
    <w:multiLevelType w:val="hybridMultilevel"/>
    <w:tmpl w:val="AC62A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177DD9"/>
    <w:multiLevelType w:val="hybridMultilevel"/>
    <w:tmpl w:val="8C2E4A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FF4052"/>
    <w:multiLevelType w:val="hybridMultilevel"/>
    <w:tmpl w:val="A41E7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7905197"/>
    <w:multiLevelType w:val="hybridMultilevel"/>
    <w:tmpl w:val="2076ABB0"/>
    <w:lvl w:ilvl="0" w:tplc="0C090017">
      <w:start w:val="1"/>
      <w:numFmt w:val="lowerLetter"/>
      <w:lvlText w:val="%1)"/>
      <w:lvlJc w:val="left"/>
      <w:pPr>
        <w:ind w:left="1080" w:hanging="72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FC07CB"/>
    <w:multiLevelType w:val="hybridMultilevel"/>
    <w:tmpl w:val="63729A0A"/>
    <w:lvl w:ilvl="0" w:tplc="BF523D4C">
      <w:start w:val="1"/>
      <w:numFmt w:val="bullet"/>
      <w:lvlText w:val=""/>
      <w:lvlJc w:val="left"/>
      <w:pPr>
        <w:ind w:left="720" w:hanging="360"/>
      </w:pPr>
      <w:rPr>
        <w:rFonts w:ascii="Wingdings" w:hAnsi="Wingdings" w:hint="default"/>
        <w:color w:val="00838A" w:themeColor="accent5" w:themeShade="B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68106EF4"/>
    <w:multiLevelType w:val="hybridMultilevel"/>
    <w:tmpl w:val="BC1E5E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6F682A8C"/>
    <w:multiLevelType w:val="hybridMultilevel"/>
    <w:tmpl w:val="D5047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FF4AB3"/>
    <w:multiLevelType w:val="hybridMultilevel"/>
    <w:tmpl w:val="54E40EEA"/>
    <w:lvl w:ilvl="0" w:tplc="229048DE">
      <w:start w:val="1"/>
      <w:numFmt w:val="decimal"/>
      <w:pStyle w:val="TABLE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1A764B6"/>
    <w:multiLevelType w:val="hybridMultilevel"/>
    <w:tmpl w:val="F2EAB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71460726">
      <w:numFmt w:val="bullet"/>
      <w:lvlText w:val="•"/>
      <w:lvlJc w:val="left"/>
      <w:pPr>
        <w:ind w:left="2160" w:hanging="360"/>
      </w:pPr>
      <w:rPr>
        <w:rFonts w:ascii="Calibri" w:eastAsiaTheme="minorEastAsia"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23650AE"/>
    <w:multiLevelType w:val="hybridMultilevel"/>
    <w:tmpl w:val="B34AA0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37E6972"/>
    <w:multiLevelType w:val="hybridMultilevel"/>
    <w:tmpl w:val="2FB49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42179AD"/>
    <w:multiLevelType w:val="hybridMultilevel"/>
    <w:tmpl w:val="5F247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72C3137"/>
    <w:multiLevelType w:val="hybridMultilevel"/>
    <w:tmpl w:val="0EF092C8"/>
    <w:lvl w:ilvl="0" w:tplc="8ECE144C">
      <w:start w:val="1"/>
      <w:numFmt w:val="bullet"/>
      <w:pStyle w:val="PBSbullet"/>
      <w:lvlText w:val=""/>
      <w:lvlJc w:val="left"/>
      <w:pPr>
        <w:ind w:left="720" w:hanging="360"/>
      </w:pPr>
      <w:rPr>
        <w:rFonts w:ascii="Symbol" w:hAnsi="Symbol" w:hint="default"/>
      </w:rPr>
    </w:lvl>
    <w:lvl w:ilvl="1" w:tplc="20E2EA32">
      <w:start w:val="1"/>
      <w:numFmt w:val="bullet"/>
      <w:lvlText w:val="o"/>
      <w:lvlJc w:val="left"/>
      <w:pPr>
        <w:ind w:left="1440" w:hanging="360"/>
      </w:pPr>
      <w:rPr>
        <w:rFonts w:ascii="Courier New" w:hAnsi="Courier New" w:cs="Courier New" w:hint="default"/>
      </w:rPr>
    </w:lvl>
    <w:lvl w:ilvl="2" w:tplc="3FA029CC">
      <w:start w:val="1"/>
      <w:numFmt w:val="bullet"/>
      <w:lvlText w:val=""/>
      <w:lvlJc w:val="left"/>
      <w:pPr>
        <w:ind w:left="2160" w:hanging="360"/>
      </w:pPr>
      <w:rPr>
        <w:rFonts w:ascii="Wingdings" w:hAnsi="Wingdings" w:hint="default"/>
      </w:rPr>
    </w:lvl>
    <w:lvl w:ilvl="3" w:tplc="F2B0EB64">
      <w:start w:val="1"/>
      <w:numFmt w:val="bullet"/>
      <w:lvlText w:val=""/>
      <w:lvlJc w:val="left"/>
      <w:pPr>
        <w:ind w:left="2880" w:hanging="360"/>
      </w:pPr>
      <w:rPr>
        <w:rFonts w:ascii="Symbol" w:hAnsi="Symbol" w:hint="default"/>
      </w:rPr>
    </w:lvl>
    <w:lvl w:ilvl="4" w:tplc="F4E44FA6">
      <w:start w:val="1"/>
      <w:numFmt w:val="bullet"/>
      <w:lvlText w:val="o"/>
      <w:lvlJc w:val="left"/>
      <w:pPr>
        <w:ind w:left="3600" w:hanging="360"/>
      </w:pPr>
      <w:rPr>
        <w:rFonts w:ascii="Courier New" w:hAnsi="Courier New" w:cs="Courier New" w:hint="default"/>
      </w:rPr>
    </w:lvl>
    <w:lvl w:ilvl="5" w:tplc="2C0E6F9C">
      <w:start w:val="1"/>
      <w:numFmt w:val="bullet"/>
      <w:lvlText w:val=""/>
      <w:lvlJc w:val="left"/>
      <w:pPr>
        <w:ind w:left="4320" w:hanging="360"/>
      </w:pPr>
      <w:rPr>
        <w:rFonts w:ascii="Wingdings" w:hAnsi="Wingdings" w:hint="default"/>
      </w:rPr>
    </w:lvl>
    <w:lvl w:ilvl="6" w:tplc="1BB08D4C">
      <w:start w:val="1"/>
      <w:numFmt w:val="bullet"/>
      <w:lvlText w:val=""/>
      <w:lvlJc w:val="left"/>
      <w:pPr>
        <w:ind w:left="5040" w:hanging="360"/>
      </w:pPr>
      <w:rPr>
        <w:rFonts w:ascii="Symbol" w:hAnsi="Symbol" w:hint="default"/>
      </w:rPr>
    </w:lvl>
    <w:lvl w:ilvl="7" w:tplc="25082D06">
      <w:start w:val="1"/>
      <w:numFmt w:val="bullet"/>
      <w:lvlText w:val="o"/>
      <w:lvlJc w:val="left"/>
      <w:pPr>
        <w:ind w:left="5760" w:hanging="360"/>
      </w:pPr>
      <w:rPr>
        <w:rFonts w:ascii="Courier New" w:hAnsi="Courier New" w:cs="Courier New" w:hint="default"/>
      </w:rPr>
    </w:lvl>
    <w:lvl w:ilvl="8" w:tplc="967827C0">
      <w:start w:val="1"/>
      <w:numFmt w:val="bullet"/>
      <w:lvlText w:val=""/>
      <w:lvlJc w:val="left"/>
      <w:pPr>
        <w:ind w:left="6480" w:hanging="360"/>
      </w:pPr>
      <w:rPr>
        <w:rFonts w:ascii="Wingdings" w:hAnsi="Wingdings" w:hint="default"/>
      </w:rPr>
    </w:lvl>
  </w:abstractNum>
  <w:abstractNum w:abstractNumId="51" w15:restartNumberingAfterBreak="0">
    <w:nsid w:val="791E1424"/>
    <w:multiLevelType w:val="hybridMultilevel"/>
    <w:tmpl w:val="FEFA4B90"/>
    <w:lvl w:ilvl="0" w:tplc="16DE914C">
      <w:start w:val="1"/>
      <w:numFmt w:val="bullet"/>
      <w:pStyle w:val="PBSbullet0"/>
      <w:lvlText w:val=""/>
      <w:lvlJc w:val="left"/>
      <w:pPr>
        <w:ind w:left="360" w:hanging="360"/>
      </w:pPr>
      <w:rPr>
        <w:rFonts w:ascii="Symbol" w:hAnsi="Symbol" w:hint="default"/>
      </w:rPr>
    </w:lvl>
    <w:lvl w:ilvl="1" w:tplc="AE823040">
      <w:start w:val="1"/>
      <w:numFmt w:val="bullet"/>
      <w:lvlText w:val="o"/>
      <w:lvlJc w:val="left"/>
      <w:pPr>
        <w:ind w:left="1080" w:hanging="360"/>
      </w:pPr>
      <w:rPr>
        <w:rFonts w:ascii="Courier New" w:hAnsi="Courier New" w:cs="Courier New" w:hint="default"/>
      </w:rPr>
    </w:lvl>
    <w:lvl w:ilvl="2" w:tplc="78B2E15E">
      <w:start w:val="1"/>
      <w:numFmt w:val="bullet"/>
      <w:lvlText w:val=""/>
      <w:lvlJc w:val="left"/>
      <w:pPr>
        <w:ind w:left="1800" w:hanging="360"/>
      </w:pPr>
      <w:rPr>
        <w:rFonts w:ascii="Wingdings" w:hAnsi="Wingdings" w:hint="default"/>
      </w:rPr>
    </w:lvl>
    <w:lvl w:ilvl="3" w:tplc="90FA61A8">
      <w:start w:val="1"/>
      <w:numFmt w:val="bullet"/>
      <w:lvlText w:val=""/>
      <w:lvlJc w:val="left"/>
      <w:pPr>
        <w:ind w:left="2520" w:hanging="360"/>
      </w:pPr>
      <w:rPr>
        <w:rFonts w:ascii="Symbol" w:hAnsi="Symbol" w:hint="default"/>
      </w:rPr>
    </w:lvl>
    <w:lvl w:ilvl="4" w:tplc="C6E03C50">
      <w:start w:val="1"/>
      <w:numFmt w:val="bullet"/>
      <w:lvlText w:val="o"/>
      <w:lvlJc w:val="left"/>
      <w:pPr>
        <w:ind w:left="3240" w:hanging="360"/>
      </w:pPr>
      <w:rPr>
        <w:rFonts w:ascii="Courier New" w:hAnsi="Courier New" w:cs="Courier New" w:hint="default"/>
      </w:rPr>
    </w:lvl>
    <w:lvl w:ilvl="5" w:tplc="4B68402A">
      <w:start w:val="1"/>
      <w:numFmt w:val="bullet"/>
      <w:lvlText w:val=""/>
      <w:lvlJc w:val="left"/>
      <w:pPr>
        <w:ind w:left="3960" w:hanging="360"/>
      </w:pPr>
      <w:rPr>
        <w:rFonts w:ascii="Wingdings" w:hAnsi="Wingdings" w:hint="default"/>
      </w:rPr>
    </w:lvl>
    <w:lvl w:ilvl="6" w:tplc="FECC7CE2">
      <w:start w:val="1"/>
      <w:numFmt w:val="bullet"/>
      <w:lvlText w:val=""/>
      <w:lvlJc w:val="left"/>
      <w:pPr>
        <w:ind w:left="4680" w:hanging="360"/>
      </w:pPr>
      <w:rPr>
        <w:rFonts w:ascii="Symbol" w:hAnsi="Symbol" w:hint="default"/>
      </w:rPr>
    </w:lvl>
    <w:lvl w:ilvl="7" w:tplc="6E88BF7A">
      <w:start w:val="1"/>
      <w:numFmt w:val="bullet"/>
      <w:lvlText w:val="o"/>
      <w:lvlJc w:val="left"/>
      <w:pPr>
        <w:ind w:left="5400" w:hanging="360"/>
      </w:pPr>
      <w:rPr>
        <w:rFonts w:ascii="Courier New" w:hAnsi="Courier New" w:cs="Courier New" w:hint="default"/>
      </w:rPr>
    </w:lvl>
    <w:lvl w:ilvl="8" w:tplc="4D9016F6">
      <w:start w:val="1"/>
      <w:numFmt w:val="bullet"/>
      <w:lvlText w:val=""/>
      <w:lvlJc w:val="left"/>
      <w:pPr>
        <w:ind w:left="6120" w:hanging="360"/>
      </w:pPr>
      <w:rPr>
        <w:rFonts w:ascii="Wingdings" w:hAnsi="Wingdings" w:hint="default"/>
      </w:rPr>
    </w:lvl>
  </w:abstractNum>
  <w:num w:numId="1">
    <w:abstractNumId w:val="13"/>
  </w:num>
  <w:num w:numId="2">
    <w:abstractNumId w:val="23"/>
  </w:num>
  <w:num w:numId="3">
    <w:abstractNumId w:val="22"/>
  </w:num>
  <w:num w:numId="4">
    <w:abstractNumId w:val="4"/>
  </w:num>
  <w:num w:numId="5">
    <w:abstractNumId w:val="15"/>
  </w:num>
  <w:num w:numId="6">
    <w:abstractNumId w:val="34"/>
  </w:num>
  <w:num w:numId="7">
    <w:abstractNumId w:val="26"/>
  </w:num>
  <w:num w:numId="8">
    <w:abstractNumId w:val="21"/>
  </w:num>
  <w:num w:numId="9">
    <w:abstractNumId w:val="42"/>
  </w:num>
  <w:num w:numId="10">
    <w:abstractNumId w:val="51"/>
  </w:num>
  <w:num w:numId="11">
    <w:abstractNumId w:val="16"/>
  </w:num>
  <w:num w:numId="12">
    <w:abstractNumId w:val="50"/>
  </w:num>
  <w:num w:numId="13">
    <w:abstractNumId w:val="12"/>
  </w:num>
  <w:num w:numId="14">
    <w:abstractNumId w:val="36"/>
  </w:num>
  <w:num w:numId="15">
    <w:abstractNumId w:val="45"/>
  </w:num>
  <w:num w:numId="16">
    <w:abstractNumId w:val="37"/>
  </w:num>
  <w:num w:numId="17">
    <w:abstractNumId w:val="35"/>
  </w:num>
  <w:num w:numId="18">
    <w:abstractNumId w:val="31"/>
  </w:num>
  <w:num w:numId="19">
    <w:abstractNumId w:val="44"/>
  </w:num>
  <w:num w:numId="20">
    <w:abstractNumId w:val="9"/>
  </w:num>
  <w:num w:numId="21">
    <w:abstractNumId w:val="46"/>
  </w:num>
  <w:num w:numId="22">
    <w:abstractNumId w:val="17"/>
  </w:num>
  <w:num w:numId="23">
    <w:abstractNumId w:val="48"/>
  </w:num>
  <w:num w:numId="24">
    <w:abstractNumId w:val="38"/>
  </w:num>
  <w:num w:numId="25">
    <w:abstractNumId w:val="1"/>
  </w:num>
  <w:num w:numId="26">
    <w:abstractNumId w:val="2"/>
  </w:num>
  <w:num w:numId="27">
    <w:abstractNumId w:val="27"/>
  </w:num>
  <w:num w:numId="28">
    <w:abstractNumId w:val="3"/>
  </w:num>
  <w:num w:numId="29">
    <w:abstractNumId w:val="43"/>
  </w:num>
  <w:num w:numId="30">
    <w:abstractNumId w:val="47"/>
  </w:num>
  <w:num w:numId="31">
    <w:abstractNumId w:val="29"/>
  </w:num>
  <w:num w:numId="32">
    <w:abstractNumId w:val="8"/>
  </w:num>
  <w:num w:numId="33">
    <w:abstractNumId w:val="0"/>
  </w:num>
  <w:num w:numId="34">
    <w:abstractNumId w:val="10"/>
  </w:num>
  <w:num w:numId="35">
    <w:abstractNumId w:val="18"/>
  </w:num>
  <w:num w:numId="36">
    <w:abstractNumId w:val="49"/>
  </w:num>
  <w:num w:numId="37">
    <w:abstractNumId w:val="6"/>
  </w:num>
  <w:num w:numId="38">
    <w:abstractNumId w:val="41"/>
  </w:num>
  <w:num w:numId="39">
    <w:abstractNumId w:val="24"/>
  </w:num>
  <w:num w:numId="40">
    <w:abstractNumId w:val="39"/>
  </w:num>
  <w:num w:numId="41">
    <w:abstractNumId w:val="7"/>
  </w:num>
  <w:num w:numId="42">
    <w:abstractNumId w:val="32"/>
  </w:num>
  <w:num w:numId="43">
    <w:abstractNumId w:val="28"/>
  </w:num>
  <w:num w:numId="44">
    <w:abstractNumId w:val="20"/>
  </w:num>
  <w:num w:numId="45">
    <w:abstractNumId w:val="30"/>
  </w:num>
  <w:num w:numId="46">
    <w:abstractNumId w:val="11"/>
  </w:num>
  <w:num w:numId="47">
    <w:abstractNumId w:val="19"/>
  </w:num>
  <w:num w:numId="48">
    <w:abstractNumId w:val="33"/>
  </w:num>
  <w:num w:numId="49">
    <w:abstractNumId w:val="14"/>
  </w:num>
  <w:num w:numId="50">
    <w:abstractNumId w:val="40"/>
  </w:num>
  <w:num w:numId="51">
    <w:abstractNumId w:val="5"/>
  </w:num>
  <w:num w:numId="52">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74"/>
    <w:rsid w:val="0000545B"/>
    <w:rsid w:val="000104A8"/>
    <w:rsid w:val="00010E53"/>
    <w:rsid w:val="00013CF0"/>
    <w:rsid w:val="000140B8"/>
    <w:rsid w:val="000157C1"/>
    <w:rsid w:val="00027309"/>
    <w:rsid w:val="0002773E"/>
    <w:rsid w:val="00030FF1"/>
    <w:rsid w:val="00032D8F"/>
    <w:rsid w:val="00046C03"/>
    <w:rsid w:val="000471C6"/>
    <w:rsid w:val="00054033"/>
    <w:rsid w:val="000611FC"/>
    <w:rsid w:val="0006278F"/>
    <w:rsid w:val="00066D6C"/>
    <w:rsid w:val="00066FDE"/>
    <w:rsid w:val="00071617"/>
    <w:rsid w:val="00073300"/>
    <w:rsid w:val="00080D84"/>
    <w:rsid w:val="00081610"/>
    <w:rsid w:val="0008518E"/>
    <w:rsid w:val="00090A49"/>
    <w:rsid w:val="00094DA9"/>
    <w:rsid w:val="00095805"/>
    <w:rsid w:val="000A10A3"/>
    <w:rsid w:val="000A27EC"/>
    <w:rsid w:val="000A2B33"/>
    <w:rsid w:val="000B73EF"/>
    <w:rsid w:val="000C71AD"/>
    <w:rsid w:val="000D1EF8"/>
    <w:rsid w:val="000D4B0D"/>
    <w:rsid w:val="000D6701"/>
    <w:rsid w:val="000D76E4"/>
    <w:rsid w:val="000E428B"/>
    <w:rsid w:val="000F232F"/>
    <w:rsid w:val="0010078D"/>
    <w:rsid w:val="001100E8"/>
    <w:rsid w:val="0011061F"/>
    <w:rsid w:val="001161E3"/>
    <w:rsid w:val="00120601"/>
    <w:rsid w:val="0012725A"/>
    <w:rsid w:val="00133D36"/>
    <w:rsid w:val="00134C52"/>
    <w:rsid w:val="00135C6B"/>
    <w:rsid w:val="0014311E"/>
    <w:rsid w:val="00150952"/>
    <w:rsid w:val="001510D7"/>
    <w:rsid w:val="001518AF"/>
    <w:rsid w:val="0015621D"/>
    <w:rsid w:val="00164B33"/>
    <w:rsid w:val="00167583"/>
    <w:rsid w:val="0017156F"/>
    <w:rsid w:val="001715B6"/>
    <w:rsid w:val="00171C12"/>
    <w:rsid w:val="00175F0C"/>
    <w:rsid w:val="00180C2E"/>
    <w:rsid w:val="00187ED2"/>
    <w:rsid w:val="001A39D1"/>
    <w:rsid w:val="001A6656"/>
    <w:rsid w:val="001A7461"/>
    <w:rsid w:val="001B5934"/>
    <w:rsid w:val="001C1D56"/>
    <w:rsid w:val="001C3F03"/>
    <w:rsid w:val="001C59F7"/>
    <w:rsid w:val="001D368E"/>
    <w:rsid w:val="001E09F8"/>
    <w:rsid w:val="001E630D"/>
    <w:rsid w:val="001F512D"/>
    <w:rsid w:val="001F54F8"/>
    <w:rsid w:val="00200C22"/>
    <w:rsid w:val="00200C27"/>
    <w:rsid w:val="00205A3C"/>
    <w:rsid w:val="00206E81"/>
    <w:rsid w:val="00212EB9"/>
    <w:rsid w:val="0021380C"/>
    <w:rsid w:val="002214EF"/>
    <w:rsid w:val="00223CE9"/>
    <w:rsid w:val="002277BA"/>
    <w:rsid w:val="00230F35"/>
    <w:rsid w:val="00236DFD"/>
    <w:rsid w:val="00243945"/>
    <w:rsid w:val="00243B56"/>
    <w:rsid w:val="00244B4B"/>
    <w:rsid w:val="00245ECD"/>
    <w:rsid w:val="00246CC8"/>
    <w:rsid w:val="0025329B"/>
    <w:rsid w:val="00261536"/>
    <w:rsid w:val="00274FAB"/>
    <w:rsid w:val="00280376"/>
    <w:rsid w:val="00281DFB"/>
    <w:rsid w:val="002821EC"/>
    <w:rsid w:val="00286310"/>
    <w:rsid w:val="00287355"/>
    <w:rsid w:val="00291151"/>
    <w:rsid w:val="00292F05"/>
    <w:rsid w:val="002A299C"/>
    <w:rsid w:val="002A7ABB"/>
    <w:rsid w:val="002B0503"/>
    <w:rsid w:val="002B11FA"/>
    <w:rsid w:val="002B13CB"/>
    <w:rsid w:val="002B1491"/>
    <w:rsid w:val="002B31F2"/>
    <w:rsid w:val="002B3CC6"/>
    <w:rsid w:val="002B64F4"/>
    <w:rsid w:val="002C04C1"/>
    <w:rsid w:val="002C39B9"/>
    <w:rsid w:val="002C5B48"/>
    <w:rsid w:val="002C5CCF"/>
    <w:rsid w:val="002D0576"/>
    <w:rsid w:val="002D320F"/>
    <w:rsid w:val="002D3F1E"/>
    <w:rsid w:val="002D685D"/>
    <w:rsid w:val="002F0B2E"/>
    <w:rsid w:val="002F0FB4"/>
    <w:rsid w:val="002F5ED0"/>
    <w:rsid w:val="00300480"/>
    <w:rsid w:val="003014E7"/>
    <w:rsid w:val="00303841"/>
    <w:rsid w:val="00304C83"/>
    <w:rsid w:val="00311FC7"/>
    <w:rsid w:val="003132CB"/>
    <w:rsid w:val="00313829"/>
    <w:rsid w:val="0031457D"/>
    <w:rsid w:val="00314B59"/>
    <w:rsid w:val="00316574"/>
    <w:rsid w:val="0032201C"/>
    <w:rsid w:val="003226D4"/>
    <w:rsid w:val="003258D7"/>
    <w:rsid w:val="003359FA"/>
    <w:rsid w:val="00335F98"/>
    <w:rsid w:val="00341351"/>
    <w:rsid w:val="00341717"/>
    <w:rsid w:val="00347226"/>
    <w:rsid w:val="00354B5C"/>
    <w:rsid w:val="00354C8A"/>
    <w:rsid w:val="00362BE4"/>
    <w:rsid w:val="003655FF"/>
    <w:rsid w:val="00366C4D"/>
    <w:rsid w:val="00370E16"/>
    <w:rsid w:val="00373444"/>
    <w:rsid w:val="003775EB"/>
    <w:rsid w:val="0038044C"/>
    <w:rsid w:val="0038125B"/>
    <w:rsid w:val="00382A1D"/>
    <w:rsid w:val="00382BBC"/>
    <w:rsid w:val="00385E00"/>
    <w:rsid w:val="003872B0"/>
    <w:rsid w:val="00387F05"/>
    <w:rsid w:val="00391B15"/>
    <w:rsid w:val="00395D81"/>
    <w:rsid w:val="003A093B"/>
    <w:rsid w:val="003A3157"/>
    <w:rsid w:val="003A3CD2"/>
    <w:rsid w:val="003A4551"/>
    <w:rsid w:val="003A4CDE"/>
    <w:rsid w:val="003B2081"/>
    <w:rsid w:val="003B2BB8"/>
    <w:rsid w:val="003B61D1"/>
    <w:rsid w:val="003C327F"/>
    <w:rsid w:val="003C5EE4"/>
    <w:rsid w:val="003C7958"/>
    <w:rsid w:val="003D162C"/>
    <w:rsid w:val="003D34FF"/>
    <w:rsid w:val="003D5A7F"/>
    <w:rsid w:val="003E2B62"/>
    <w:rsid w:val="003E7880"/>
    <w:rsid w:val="003F69FE"/>
    <w:rsid w:val="003F71DB"/>
    <w:rsid w:val="0041090B"/>
    <w:rsid w:val="004111BD"/>
    <w:rsid w:val="004112A7"/>
    <w:rsid w:val="004125AC"/>
    <w:rsid w:val="00415C8F"/>
    <w:rsid w:val="0041699A"/>
    <w:rsid w:val="0042026E"/>
    <w:rsid w:val="0043206C"/>
    <w:rsid w:val="00433F10"/>
    <w:rsid w:val="00437589"/>
    <w:rsid w:val="00437883"/>
    <w:rsid w:val="00440CB8"/>
    <w:rsid w:val="00442CF1"/>
    <w:rsid w:val="00447FC1"/>
    <w:rsid w:val="004514CF"/>
    <w:rsid w:val="00452D67"/>
    <w:rsid w:val="00454E13"/>
    <w:rsid w:val="0045793E"/>
    <w:rsid w:val="00460E3E"/>
    <w:rsid w:val="004622F7"/>
    <w:rsid w:val="00462679"/>
    <w:rsid w:val="00462E0F"/>
    <w:rsid w:val="00467B8F"/>
    <w:rsid w:val="00471573"/>
    <w:rsid w:val="00474C69"/>
    <w:rsid w:val="00485432"/>
    <w:rsid w:val="004916FB"/>
    <w:rsid w:val="00492EC7"/>
    <w:rsid w:val="004A2A44"/>
    <w:rsid w:val="004B0BC0"/>
    <w:rsid w:val="004B54CA"/>
    <w:rsid w:val="004B6E68"/>
    <w:rsid w:val="004C3F74"/>
    <w:rsid w:val="004C5561"/>
    <w:rsid w:val="004C5D4B"/>
    <w:rsid w:val="004D0D63"/>
    <w:rsid w:val="004E0EDF"/>
    <w:rsid w:val="004E31FB"/>
    <w:rsid w:val="004E510E"/>
    <w:rsid w:val="004E5CBF"/>
    <w:rsid w:val="004E5E2C"/>
    <w:rsid w:val="004F3CE5"/>
    <w:rsid w:val="004F446E"/>
    <w:rsid w:val="004F77F4"/>
    <w:rsid w:val="0050273B"/>
    <w:rsid w:val="00506CF4"/>
    <w:rsid w:val="0051305F"/>
    <w:rsid w:val="00513E72"/>
    <w:rsid w:val="005166CF"/>
    <w:rsid w:val="00517AE4"/>
    <w:rsid w:val="00524221"/>
    <w:rsid w:val="00530576"/>
    <w:rsid w:val="00535193"/>
    <w:rsid w:val="00545CA1"/>
    <w:rsid w:val="0054713E"/>
    <w:rsid w:val="00552BDC"/>
    <w:rsid w:val="005533D7"/>
    <w:rsid w:val="00557E11"/>
    <w:rsid w:val="00565E62"/>
    <w:rsid w:val="00567053"/>
    <w:rsid w:val="00567FAA"/>
    <w:rsid w:val="00572596"/>
    <w:rsid w:val="00577EBC"/>
    <w:rsid w:val="00583552"/>
    <w:rsid w:val="005843FB"/>
    <w:rsid w:val="00584FC1"/>
    <w:rsid w:val="00586246"/>
    <w:rsid w:val="005877DC"/>
    <w:rsid w:val="005909EE"/>
    <w:rsid w:val="005A03AC"/>
    <w:rsid w:val="005A1678"/>
    <w:rsid w:val="005B27DF"/>
    <w:rsid w:val="005B6403"/>
    <w:rsid w:val="005B7E34"/>
    <w:rsid w:val="005C2365"/>
    <w:rsid w:val="005C3AA9"/>
    <w:rsid w:val="005D06A7"/>
    <w:rsid w:val="005D099C"/>
    <w:rsid w:val="005D5E61"/>
    <w:rsid w:val="005E1945"/>
    <w:rsid w:val="005F5C38"/>
    <w:rsid w:val="005F7F5E"/>
    <w:rsid w:val="00613C45"/>
    <w:rsid w:val="00623B67"/>
    <w:rsid w:val="006254E8"/>
    <w:rsid w:val="00631860"/>
    <w:rsid w:val="00632B52"/>
    <w:rsid w:val="00632E1D"/>
    <w:rsid w:val="006364CB"/>
    <w:rsid w:val="00640524"/>
    <w:rsid w:val="006444F6"/>
    <w:rsid w:val="00645559"/>
    <w:rsid w:val="00646C34"/>
    <w:rsid w:val="0065212E"/>
    <w:rsid w:val="0066268A"/>
    <w:rsid w:val="006635C6"/>
    <w:rsid w:val="00666749"/>
    <w:rsid w:val="006960CA"/>
    <w:rsid w:val="0069687D"/>
    <w:rsid w:val="006A2989"/>
    <w:rsid w:val="006A4CE7"/>
    <w:rsid w:val="006B2800"/>
    <w:rsid w:val="006B5608"/>
    <w:rsid w:val="006C2BF0"/>
    <w:rsid w:val="006C55A7"/>
    <w:rsid w:val="006D0F33"/>
    <w:rsid w:val="006D5DF5"/>
    <w:rsid w:val="006E191F"/>
    <w:rsid w:val="006E359C"/>
    <w:rsid w:val="006E74F5"/>
    <w:rsid w:val="006F02E8"/>
    <w:rsid w:val="006F5203"/>
    <w:rsid w:val="006F5C3B"/>
    <w:rsid w:val="00700EBD"/>
    <w:rsid w:val="007065F3"/>
    <w:rsid w:val="00711AB5"/>
    <w:rsid w:val="00711C28"/>
    <w:rsid w:val="007161E9"/>
    <w:rsid w:val="007200B7"/>
    <w:rsid w:val="00720610"/>
    <w:rsid w:val="00723605"/>
    <w:rsid w:val="00723A4C"/>
    <w:rsid w:val="00731347"/>
    <w:rsid w:val="0073320E"/>
    <w:rsid w:val="00734890"/>
    <w:rsid w:val="00740A2E"/>
    <w:rsid w:val="00740D34"/>
    <w:rsid w:val="0074245C"/>
    <w:rsid w:val="007442DD"/>
    <w:rsid w:val="00746189"/>
    <w:rsid w:val="0074756B"/>
    <w:rsid w:val="007572E0"/>
    <w:rsid w:val="007713B1"/>
    <w:rsid w:val="00772BDE"/>
    <w:rsid w:val="0078025D"/>
    <w:rsid w:val="00781125"/>
    <w:rsid w:val="00781EEF"/>
    <w:rsid w:val="0078204C"/>
    <w:rsid w:val="007835CB"/>
    <w:rsid w:val="00785261"/>
    <w:rsid w:val="00787E13"/>
    <w:rsid w:val="00790943"/>
    <w:rsid w:val="00792874"/>
    <w:rsid w:val="00793E3F"/>
    <w:rsid w:val="007A03BF"/>
    <w:rsid w:val="007B0256"/>
    <w:rsid w:val="007B0D41"/>
    <w:rsid w:val="007C4E85"/>
    <w:rsid w:val="007C6336"/>
    <w:rsid w:val="007C6633"/>
    <w:rsid w:val="007C7335"/>
    <w:rsid w:val="007E32E3"/>
    <w:rsid w:val="007E593D"/>
    <w:rsid w:val="007F1487"/>
    <w:rsid w:val="007F14CF"/>
    <w:rsid w:val="007F178A"/>
    <w:rsid w:val="007F1A1C"/>
    <w:rsid w:val="007F511C"/>
    <w:rsid w:val="007F57B7"/>
    <w:rsid w:val="008001D4"/>
    <w:rsid w:val="00801887"/>
    <w:rsid w:val="00801A37"/>
    <w:rsid w:val="008050E6"/>
    <w:rsid w:val="00810230"/>
    <w:rsid w:val="00810615"/>
    <w:rsid w:val="008118E0"/>
    <w:rsid w:val="008139F7"/>
    <w:rsid w:val="00825F57"/>
    <w:rsid w:val="008351F4"/>
    <w:rsid w:val="00840A33"/>
    <w:rsid w:val="0084227C"/>
    <w:rsid w:val="00843398"/>
    <w:rsid w:val="00844151"/>
    <w:rsid w:val="008513D8"/>
    <w:rsid w:val="00851653"/>
    <w:rsid w:val="0085559F"/>
    <w:rsid w:val="00856362"/>
    <w:rsid w:val="008565DF"/>
    <w:rsid w:val="0085710F"/>
    <w:rsid w:val="00866C00"/>
    <w:rsid w:val="00867815"/>
    <w:rsid w:val="0087333D"/>
    <w:rsid w:val="00873B34"/>
    <w:rsid w:val="0087600D"/>
    <w:rsid w:val="00876CA6"/>
    <w:rsid w:val="00877018"/>
    <w:rsid w:val="00877EFF"/>
    <w:rsid w:val="00881195"/>
    <w:rsid w:val="00882308"/>
    <w:rsid w:val="00882BA1"/>
    <w:rsid w:val="0088465D"/>
    <w:rsid w:val="00893599"/>
    <w:rsid w:val="0089725F"/>
    <w:rsid w:val="008A1F6D"/>
    <w:rsid w:val="008A4CA6"/>
    <w:rsid w:val="008B4DEE"/>
    <w:rsid w:val="008C07B4"/>
    <w:rsid w:val="008C4212"/>
    <w:rsid w:val="008C6FB1"/>
    <w:rsid w:val="008C7448"/>
    <w:rsid w:val="008C7D77"/>
    <w:rsid w:val="008D277E"/>
    <w:rsid w:val="008D3751"/>
    <w:rsid w:val="008E2D39"/>
    <w:rsid w:val="008E32D4"/>
    <w:rsid w:val="008E34D9"/>
    <w:rsid w:val="008F3023"/>
    <w:rsid w:val="009008FD"/>
    <w:rsid w:val="009040A2"/>
    <w:rsid w:val="00916D57"/>
    <w:rsid w:val="009225F0"/>
    <w:rsid w:val="00922805"/>
    <w:rsid w:val="00923B6A"/>
    <w:rsid w:val="009278B4"/>
    <w:rsid w:val="0094563F"/>
    <w:rsid w:val="0095192D"/>
    <w:rsid w:val="00957999"/>
    <w:rsid w:val="009712DA"/>
    <w:rsid w:val="00971A46"/>
    <w:rsid w:val="00973441"/>
    <w:rsid w:val="00974C55"/>
    <w:rsid w:val="00974F00"/>
    <w:rsid w:val="0097758C"/>
    <w:rsid w:val="00980869"/>
    <w:rsid w:val="009820DB"/>
    <w:rsid w:val="00985071"/>
    <w:rsid w:val="00991905"/>
    <w:rsid w:val="009A6401"/>
    <w:rsid w:val="009A70AA"/>
    <w:rsid w:val="009A73FD"/>
    <w:rsid w:val="009B2458"/>
    <w:rsid w:val="009B4C7F"/>
    <w:rsid w:val="009B66B3"/>
    <w:rsid w:val="009D29CF"/>
    <w:rsid w:val="009D3CCB"/>
    <w:rsid w:val="009D536E"/>
    <w:rsid w:val="009E15D4"/>
    <w:rsid w:val="009E4B36"/>
    <w:rsid w:val="009E644F"/>
    <w:rsid w:val="009F0E05"/>
    <w:rsid w:val="00A13549"/>
    <w:rsid w:val="00A2149D"/>
    <w:rsid w:val="00A26839"/>
    <w:rsid w:val="00A26E98"/>
    <w:rsid w:val="00A43E66"/>
    <w:rsid w:val="00A4462B"/>
    <w:rsid w:val="00A47213"/>
    <w:rsid w:val="00A57DD5"/>
    <w:rsid w:val="00A61C5A"/>
    <w:rsid w:val="00A7418F"/>
    <w:rsid w:val="00A74769"/>
    <w:rsid w:val="00A76DAC"/>
    <w:rsid w:val="00A82AFD"/>
    <w:rsid w:val="00A85BB0"/>
    <w:rsid w:val="00A874F9"/>
    <w:rsid w:val="00A97017"/>
    <w:rsid w:val="00AA2384"/>
    <w:rsid w:val="00AA3C01"/>
    <w:rsid w:val="00AA4468"/>
    <w:rsid w:val="00AA6AEB"/>
    <w:rsid w:val="00AA77A8"/>
    <w:rsid w:val="00AB1756"/>
    <w:rsid w:val="00AB1979"/>
    <w:rsid w:val="00AB1F1B"/>
    <w:rsid w:val="00AC0F17"/>
    <w:rsid w:val="00AC1E15"/>
    <w:rsid w:val="00AC5592"/>
    <w:rsid w:val="00AD1A4A"/>
    <w:rsid w:val="00AD3485"/>
    <w:rsid w:val="00AD7356"/>
    <w:rsid w:val="00AE4E9D"/>
    <w:rsid w:val="00AF04D5"/>
    <w:rsid w:val="00AF4009"/>
    <w:rsid w:val="00AF5D30"/>
    <w:rsid w:val="00B01E96"/>
    <w:rsid w:val="00B10EB1"/>
    <w:rsid w:val="00B21E27"/>
    <w:rsid w:val="00B22FAE"/>
    <w:rsid w:val="00B25125"/>
    <w:rsid w:val="00B25F26"/>
    <w:rsid w:val="00B27175"/>
    <w:rsid w:val="00B42482"/>
    <w:rsid w:val="00B42F2F"/>
    <w:rsid w:val="00B43A38"/>
    <w:rsid w:val="00B43AF6"/>
    <w:rsid w:val="00B45425"/>
    <w:rsid w:val="00B60455"/>
    <w:rsid w:val="00B606EA"/>
    <w:rsid w:val="00B62E3B"/>
    <w:rsid w:val="00B652F7"/>
    <w:rsid w:val="00B80D38"/>
    <w:rsid w:val="00B813A2"/>
    <w:rsid w:val="00B81E0C"/>
    <w:rsid w:val="00B84D55"/>
    <w:rsid w:val="00B869C2"/>
    <w:rsid w:val="00B9072F"/>
    <w:rsid w:val="00BA2C80"/>
    <w:rsid w:val="00BA2DB9"/>
    <w:rsid w:val="00BA2FFB"/>
    <w:rsid w:val="00BA7B4A"/>
    <w:rsid w:val="00BD0746"/>
    <w:rsid w:val="00BE2942"/>
    <w:rsid w:val="00BE4296"/>
    <w:rsid w:val="00BE7148"/>
    <w:rsid w:val="00C027B8"/>
    <w:rsid w:val="00C075A0"/>
    <w:rsid w:val="00C107F6"/>
    <w:rsid w:val="00C11841"/>
    <w:rsid w:val="00C15051"/>
    <w:rsid w:val="00C215F9"/>
    <w:rsid w:val="00C24046"/>
    <w:rsid w:val="00C30D18"/>
    <w:rsid w:val="00C32CDB"/>
    <w:rsid w:val="00C50EE6"/>
    <w:rsid w:val="00C5215E"/>
    <w:rsid w:val="00C525D3"/>
    <w:rsid w:val="00C525F9"/>
    <w:rsid w:val="00C526A0"/>
    <w:rsid w:val="00C57001"/>
    <w:rsid w:val="00C60262"/>
    <w:rsid w:val="00C669BD"/>
    <w:rsid w:val="00C672B6"/>
    <w:rsid w:val="00C71E31"/>
    <w:rsid w:val="00C72211"/>
    <w:rsid w:val="00C73042"/>
    <w:rsid w:val="00C94A5A"/>
    <w:rsid w:val="00C9576F"/>
    <w:rsid w:val="00C95E0E"/>
    <w:rsid w:val="00CB3F84"/>
    <w:rsid w:val="00CB4750"/>
    <w:rsid w:val="00CC3C73"/>
    <w:rsid w:val="00CD76E2"/>
    <w:rsid w:val="00CE0DD8"/>
    <w:rsid w:val="00CE1CB4"/>
    <w:rsid w:val="00CE2F87"/>
    <w:rsid w:val="00CF53C6"/>
    <w:rsid w:val="00D02C2D"/>
    <w:rsid w:val="00D2262D"/>
    <w:rsid w:val="00D229C5"/>
    <w:rsid w:val="00D22A8A"/>
    <w:rsid w:val="00D22AFD"/>
    <w:rsid w:val="00D24892"/>
    <w:rsid w:val="00D274A4"/>
    <w:rsid w:val="00D30ECA"/>
    <w:rsid w:val="00D35857"/>
    <w:rsid w:val="00D40570"/>
    <w:rsid w:val="00D40820"/>
    <w:rsid w:val="00D4571B"/>
    <w:rsid w:val="00D53016"/>
    <w:rsid w:val="00D57588"/>
    <w:rsid w:val="00D6248F"/>
    <w:rsid w:val="00D64207"/>
    <w:rsid w:val="00D6462D"/>
    <w:rsid w:val="00D7192D"/>
    <w:rsid w:val="00D73DA7"/>
    <w:rsid w:val="00D75A71"/>
    <w:rsid w:val="00D75E8B"/>
    <w:rsid w:val="00D76324"/>
    <w:rsid w:val="00D82AFE"/>
    <w:rsid w:val="00D90D3C"/>
    <w:rsid w:val="00D92B45"/>
    <w:rsid w:val="00D9532A"/>
    <w:rsid w:val="00DA00C8"/>
    <w:rsid w:val="00DA14A7"/>
    <w:rsid w:val="00DA20A4"/>
    <w:rsid w:val="00DA4763"/>
    <w:rsid w:val="00DA51A0"/>
    <w:rsid w:val="00DA7D1D"/>
    <w:rsid w:val="00DB03D7"/>
    <w:rsid w:val="00DB08EE"/>
    <w:rsid w:val="00DB7573"/>
    <w:rsid w:val="00DC0DD8"/>
    <w:rsid w:val="00DC55BE"/>
    <w:rsid w:val="00DC7EE5"/>
    <w:rsid w:val="00DD0B35"/>
    <w:rsid w:val="00DD1FC3"/>
    <w:rsid w:val="00DD41FE"/>
    <w:rsid w:val="00DD7ABF"/>
    <w:rsid w:val="00DE4026"/>
    <w:rsid w:val="00DE4970"/>
    <w:rsid w:val="00DE6B8C"/>
    <w:rsid w:val="00DF3752"/>
    <w:rsid w:val="00DF4887"/>
    <w:rsid w:val="00DF51E2"/>
    <w:rsid w:val="00DF58EE"/>
    <w:rsid w:val="00DF5C88"/>
    <w:rsid w:val="00E0136E"/>
    <w:rsid w:val="00E05CB2"/>
    <w:rsid w:val="00E06071"/>
    <w:rsid w:val="00E0797A"/>
    <w:rsid w:val="00E103E1"/>
    <w:rsid w:val="00E1155B"/>
    <w:rsid w:val="00E14B36"/>
    <w:rsid w:val="00E14E66"/>
    <w:rsid w:val="00E1647F"/>
    <w:rsid w:val="00E21042"/>
    <w:rsid w:val="00E2521F"/>
    <w:rsid w:val="00E25640"/>
    <w:rsid w:val="00E277F7"/>
    <w:rsid w:val="00E27AAE"/>
    <w:rsid w:val="00E31589"/>
    <w:rsid w:val="00E3238A"/>
    <w:rsid w:val="00E34E32"/>
    <w:rsid w:val="00E37DEA"/>
    <w:rsid w:val="00E415FA"/>
    <w:rsid w:val="00E465B8"/>
    <w:rsid w:val="00E46B4D"/>
    <w:rsid w:val="00E476CB"/>
    <w:rsid w:val="00E47C94"/>
    <w:rsid w:val="00E519BF"/>
    <w:rsid w:val="00E51A31"/>
    <w:rsid w:val="00E51D05"/>
    <w:rsid w:val="00E56BD0"/>
    <w:rsid w:val="00E612F5"/>
    <w:rsid w:val="00E61BCD"/>
    <w:rsid w:val="00E67D1D"/>
    <w:rsid w:val="00E708BB"/>
    <w:rsid w:val="00E71CC4"/>
    <w:rsid w:val="00E81936"/>
    <w:rsid w:val="00E81CDE"/>
    <w:rsid w:val="00E83A55"/>
    <w:rsid w:val="00E86701"/>
    <w:rsid w:val="00E908D5"/>
    <w:rsid w:val="00E90F89"/>
    <w:rsid w:val="00E94DBF"/>
    <w:rsid w:val="00E94E7D"/>
    <w:rsid w:val="00EB1ABF"/>
    <w:rsid w:val="00EB3538"/>
    <w:rsid w:val="00EB4A37"/>
    <w:rsid w:val="00ED34CB"/>
    <w:rsid w:val="00EE3834"/>
    <w:rsid w:val="00EE3AA1"/>
    <w:rsid w:val="00EE593B"/>
    <w:rsid w:val="00EE7890"/>
    <w:rsid w:val="00F00085"/>
    <w:rsid w:val="00F03F77"/>
    <w:rsid w:val="00F30908"/>
    <w:rsid w:val="00F3114D"/>
    <w:rsid w:val="00F331CE"/>
    <w:rsid w:val="00F36D82"/>
    <w:rsid w:val="00F4721F"/>
    <w:rsid w:val="00F62A75"/>
    <w:rsid w:val="00F76253"/>
    <w:rsid w:val="00F765B4"/>
    <w:rsid w:val="00F7715B"/>
    <w:rsid w:val="00F77521"/>
    <w:rsid w:val="00F77BC2"/>
    <w:rsid w:val="00F85669"/>
    <w:rsid w:val="00F93639"/>
    <w:rsid w:val="00F9411B"/>
    <w:rsid w:val="00F975CE"/>
    <w:rsid w:val="00FA09BE"/>
    <w:rsid w:val="00FA0FED"/>
    <w:rsid w:val="00FA29B5"/>
    <w:rsid w:val="00FA45F4"/>
    <w:rsid w:val="00FA6FC8"/>
    <w:rsid w:val="00FB1314"/>
    <w:rsid w:val="00FB1FB6"/>
    <w:rsid w:val="00FB7E4B"/>
    <w:rsid w:val="00FC143A"/>
    <w:rsid w:val="00FC6210"/>
    <w:rsid w:val="00FD2D9F"/>
    <w:rsid w:val="00FD5835"/>
    <w:rsid w:val="00FD7908"/>
    <w:rsid w:val="00FE21BA"/>
    <w:rsid w:val="00FE242B"/>
    <w:rsid w:val="00FE69B2"/>
    <w:rsid w:val="00FE7C6D"/>
    <w:rsid w:val="00FF38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32D3EA8"/>
  <w15:docId w15:val="{93309E57-D144-46ED-9352-346FFC7F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47F"/>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9"/>
    <w:qFormat/>
    <w:rsid w:val="001F512D"/>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9"/>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E51A31"/>
    <w:pPr>
      <w:shd w:val="clear" w:color="auto" w:fill="005A70"/>
      <w:outlineLvl w:val="2"/>
    </w:pPr>
    <w:rPr>
      <w:b/>
      <w:color w:val="FFFFFF" w:themeColor="background1"/>
      <w:sz w:val="20"/>
      <w:szCs w:val="20"/>
    </w:rPr>
  </w:style>
  <w:style w:type="paragraph" w:styleId="Heading4">
    <w:name w:val="heading 4"/>
    <w:basedOn w:val="Normal"/>
    <w:next w:val="Normal"/>
    <w:link w:val="Heading4Char"/>
    <w:uiPriority w:val="9"/>
    <w:unhideWhenUsed/>
    <w:qFormat/>
    <w:rsid w:val="00E51A31"/>
    <w:pPr>
      <w:shd w:val="clear" w:color="auto" w:fill="B1E4E3"/>
      <w:outlineLvl w:val="3"/>
    </w:pPr>
    <w:rPr>
      <w:b/>
      <w:sz w:val="20"/>
      <w:szCs w:val="20"/>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12D"/>
    <w:rPr>
      <w:rFonts w:ascii="Georgia" w:eastAsiaTheme="majorEastAsia" w:hAnsi="Georgia" w:cstheme="majorBidi"/>
      <w:bCs/>
      <w:color w:val="24596E"/>
      <w:spacing w:val="4"/>
      <w:sz w:val="36"/>
      <w:szCs w:val="28"/>
      <w:lang w:eastAsia="en-AU"/>
    </w:rPr>
  </w:style>
  <w:style w:type="character" w:customStyle="1" w:styleId="Heading2Char">
    <w:name w:val="Heading 2 Char"/>
    <w:basedOn w:val="DefaultParagraphFont"/>
    <w:link w:val="Heading2"/>
    <w:uiPriority w:val="9"/>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E51A31"/>
    <w:rPr>
      <w:rFonts w:ascii="Arial" w:eastAsia="Times New Roman" w:hAnsi="Arial" w:cs="Times New Roman"/>
      <w:b/>
      <w:color w:val="FFFFFF" w:themeColor="background1"/>
      <w:spacing w:val="4"/>
      <w:sz w:val="20"/>
      <w:szCs w:val="20"/>
      <w:shd w:val="clear" w:color="auto" w:fill="005A70"/>
      <w:lang w:eastAsia="en-AU"/>
    </w:rPr>
  </w:style>
  <w:style w:type="character" w:customStyle="1" w:styleId="Heading4Char">
    <w:name w:val="Heading 4 Char"/>
    <w:basedOn w:val="DefaultParagraphFont"/>
    <w:link w:val="Heading4"/>
    <w:uiPriority w:val="9"/>
    <w:rsid w:val="00E51A31"/>
    <w:rPr>
      <w:rFonts w:ascii="Arial" w:eastAsia="Times New Roman" w:hAnsi="Arial" w:cs="Times New Roman"/>
      <w:b/>
      <w:spacing w:val="4"/>
      <w:sz w:val="20"/>
      <w:szCs w:val="20"/>
      <w:shd w:val="clear" w:color="auto" w:fill="B1E4E3"/>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1F512D"/>
    <w:pPr>
      <w:spacing w:before="1440" w:line="240" w:lineRule="auto"/>
      <w:contextualSpacing/>
    </w:pPr>
    <w:rPr>
      <w:rFonts w:ascii="Georgia" w:eastAsiaTheme="majorEastAsia" w:hAnsi="Georgia" w:cstheme="majorBidi"/>
      <w:color w:val="24596E"/>
      <w:spacing w:val="5"/>
      <w:sz w:val="72"/>
      <w:szCs w:val="52"/>
    </w:rPr>
  </w:style>
  <w:style w:type="character" w:customStyle="1" w:styleId="TitleChar">
    <w:name w:val="Title Char"/>
    <w:basedOn w:val="DefaultParagraphFont"/>
    <w:link w:val="Title"/>
    <w:uiPriority w:val="10"/>
    <w:rsid w:val="001F512D"/>
    <w:rPr>
      <w:rFonts w:ascii="Georgia" w:eastAsiaTheme="majorEastAsia" w:hAnsi="Georgia" w:cstheme="majorBidi"/>
      <w:color w:val="24596E"/>
      <w:spacing w:val="5"/>
      <w:sz w:val="72"/>
      <w:szCs w:val="52"/>
      <w:lang w:eastAsia="en-AU"/>
    </w:rPr>
  </w:style>
  <w:style w:type="paragraph" w:styleId="Subtitle">
    <w:name w:val="Subtitle"/>
    <w:basedOn w:val="Normal"/>
    <w:next w:val="Normal"/>
    <w:link w:val="SubtitleChar"/>
    <w:uiPriority w:val="11"/>
    <w:qFormat/>
    <w:rsid w:val="001F512D"/>
    <w:pPr>
      <w:spacing w:before="240" w:after="600" w:line="240" w:lineRule="auto"/>
    </w:pPr>
    <w:rPr>
      <w:rFonts w:ascii="Georgia" w:eastAsiaTheme="majorEastAsia" w:hAnsi="Georgia" w:cstheme="majorBidi"/>
      <w:iCs/>
      <w:spacing w:val="6"/>
      <w:sz w:val="36"/>
    </w:rPr>
  </w:style>
  <w:style w:type="character" w:customStyle="1" w:styleId="SubtitleChar">
    <w:name w:val="Subtitle Char"/>
    <w:basedOn w:val="DefaultParagraphFont"/>
    <w:link w:val="Subtitle"/>
    <w:uiPriority w:val="11"/>
    <w:rsid w:val="001F512D"/>
    <w:rPr>
      <w:rFonts w:ascii="Georgia" w:eastAsiaTheme="majorEastAsia" w:hAnsi="Georgia" w:cstheme="majorBidi"/>
      <w:iCs/>
      <w:spacing w:val="6"/>
      <w:sz w:val="36"/>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Bulleted text,AR bullet 1,List Paragraph1,List Paragraph11,Number Paragraph,Recommendation,List Paragraph Number,Bullet point,L,Content descriptions,Bullet Point,dot point List Paragraph,Bullet points,List Paragraph2,#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1F512D"/>
    <w:pPr>
      <w:spacing w:before="4000"/>
      <w:jc w:val="center"/>
    </w:pPr>
  </w:style>
  <w:style w:type="paragraph" w:styleId="Caption">
    <w:name w:val="caption"/>
    <w:aliases w:val="table title"/>
    <w:basedOn w:val="Normal"/>
    <w:next w:val="Normal"/>
    <w:uiPriority w:val="35"/>
    <w:unhideWhenUsed/>
    <w:qFormat/>
    <w:rsid w:val="00781EEF"/>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50273B"/>
    <w:pPr>
      <w:numPr>
        <w:numId w:val="1"/>
      </w:numPr>
      <w:tabs>
        <w:tab w:val="clear" w:pos="360"/>
        <w:tab w:val="left" w:pos="170"/>
      </w:tabs>
      <w:spacing w:before="60" w:after="120"/>
      <w:ind w:left="170" w:hanging="170"/>
    </w:pPr>
  </w:style>
  <w:style w:type="paragraph" w:customStyle="1" w:styleId="Pullouttext">
    <w:name w:val="Pullout text"/>
    <w:next w:val="Normal"/>
    <w:link w:val="PullouttextChar"/>
    <w:uiPriority w:val="3"/>
    <w:qFormat/>
    <w:rsid w:val="001F512D"/>
    <w:pPr>
      <w:spacing w:before="120" w:after="120" w:line="280" w:lineRule="atLeast"/>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1F512D"/>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3A093B"/>
    <w:pPr>
      <w:tabs>
        <w:tab w:val="right" w:leader="dot" w:pos="9344"/>
      </w:tabs>
      <w:spacing w:before="0" w:after="0"/>
      <w:jc w:val="both"/>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customStyle="1" w:styleId="DSSDatatablestyle">
    <w:name w:val="DSS Data table style"/>
    <w:basedOn w:val="TableNormal"/>
    <w:uiPriority w:val="99"/>
    <w:rsid w:val="001F512D"/>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9B66B3"/>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shd w:val="clear" w:color="auto" w:fill="B1E4E3"/>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aliases w:val="H: Horizontal table,Numerical table"/>
    <w:basedOn w:val="TableNormal"/>
    <w:uiPriority w:val="59"/>
    <w:rsid w:val="0078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73B"/>
    <w:rPr>
      <w:color w:val="000000" w:themeColor="followedHyperlink"/>
      <w:u w:val="single"/>
    </w:rPr>
  </w:style>
  <w:style w:type="character" w:customStyle="1" w:styleId="ListParagraphChar">
    <w:name w:val="List Paragraph Char"/>
    <w:aliases w:val="Bulleted text Char,AR bullet 1 Char,List Paragraph1 Char,List Paragraph11 Char,Number Paragraph Char,Recommendation Char,List Paragraph Number Char,Bullet point Char,L Char,Content descriptions Char,Bullet Point Char"/>
    <w:basedOn w:val="DefaultParagraphFont"/>
    <w:link w:val="ListParagraph"/>
    <w:uiPriority w:val="34"/>
    <w:qFormat/>
    <w:locked/>
    <w:rsid w:val="006960CA"/>
    <w:rPr>
      <w:rFonts w:ascii="Arial" w:eastAsia="Times New Roman" w:hAnsi="Arial" w:cs="Times New Roman"/>
      <w:spacing w:val="4"/>
      <w:sz w:val="24"/>
      <w:szCs w:val="24"/>
      <w:lang w:eastAsia="en-AU"/>
    </w:rPr>
  </w:style>
  <w:style w:type="paragraph" w:customStyle="1" w:styleId="Normalmorespace">
    <w:name w:val="Normal (more space)"/>
    <w:basedOn w:val="Normal"/>
    <w:link w:val="NormalmorespaceChar"/>
    <w:qFormat/>
    <w:rsid w:val="006960CA"/>
    <w:pPr>
      <w:suppressAutoHyphens/>
      <w:spacing w:after="120" w:line="259" w:lineRule="auto"/>
    </w:pPr>
    <w:rPr>
      <w:color w:val="000000" w:themeColor="text1"/>
      <w:spacing w:val="0"/>
      <w:sz w:val="20"/>
      <w:szCs w:val="20"/>
    </w:rPr>
  </w:style>
  <w:style w:type="character" w:customStyle="1" w:styleId="NormalmorespaceChar">
    <w:name w:val="Normal (more space) Char"/>
    <w:basedOn w:val="DefaultParagraphFont"/>
    <w:link w:val="Normalmorespace"/>
    <w:rsid w:val="006960CA"/>
    <w:rPr>
      <w:rFonts w:ascii="Arial" w:eastAsia="Times New Roman" w:hAnsi="Arial" w:cs="Times New Roman"/>
      <w:color w:val="000000" w:themeColor="text1"/>
      <w:sz w:val="20"/>
      <w:szCs w:val="20"/>
      <w:lang w:eastAsia="en-AU"/>
    </w:rPr>
  </w:style>
  <w:style w:type="character" w:customStyle="1" w:styleId="BodytextITALIC">
    <w:name w:val="Body text ITALIC"/>
    <w:basedOn w:val="DefaultParagraphFont"/>
    <w:uiPriority w:val="1"/>
    <w:qFormat/>
    <w:rsid w:val="00AE4E9D"/>
    <w:rPr>
      <w:rFonts w:ascii="Arial" w:hAnsi="Arial" w:cstheme="minorHAnsi"/>
      <w:i/>
      <w:color w:val="000000"/>
      <w:sz w:val="20"/>
    </w:rPr>
  </w:style>
  <w:style w:type="paragraph" w:styleId="CommentText">
    <w:name w:val="annotation text"/>
    <w:basedOn w:val="Normal"/>
    <w:link w:val="CommentTextChar"/>
    <w:uiPriority w:val="99"/>
    <w:unhideWhenUsed/>
    <w:rsid w:val="00212EB9"/>
    <w:pPr>
      <w:spacing w:before="60" w:after="60" w:line="240" w:lineRule="auto"/>
    </w:pPr>
    <w:rPr>
      <w:rFonts w:eastAsiaTheme="minorEastAsia" w:cstheme="minorBidi"/>
      <w:spacing w:val="0"/>
      <w:sz w:val="20"/>
      <w:szCs w:val="20"/>
      <w:lang w:eastAsia="en-US"/>
    </w:rPr>
  </w:style>
  <w:style w:type="character" w:customStyle="1" w:styleId="CommentTextChar">
    <w:name w:val="Comment Text Char"/>
    <w:basedOn w:val="DefaultParagraphFont"/>
    <w:link w:val="CommentText"/>
    <w:uiPriority w:val="99"/>
    <w:rsid w:val="00212EB9"/>
    <w:rPr>
      <w:rFonts w:ascii="Arial" w:eastAsiaTheme="minorEastAsia" w:hAnsi="Arial"/>
      <w:sz w:val="20"/>
      <w:szCs w:val="20"/>
    </w:rPr>
  </w:style>
  <w:style w:type="table" w:customStyle="1" w:styleId="DSSCorporatePlan">
    <w:name w:val="DSS Corporate Plan"/>
    <w:basedOn w:val="TableNormal"/>
    <w:next w:val="TableGrid"/>
    <w:uiPriority w:val="39"/>
    <w:rsid w:val="00212EB9"/>
    <w:pPr>
      <w:suppressAutoHyphens/>
      <w:spacing w:before="60" w:after="60" w:line="240" w:lineRule="auto"/>
      <w:ind w:left="57" w:right="57"/>
    </w:pPr>
    <w:rPr>
      <w:rFonts w:ascii="Arial" w:eastAsiaTheme="minorEastAsia" w:hAnsi="Arial"/>
      <w:color w:val="000000" w:themeColor="text1"/>
      <w:sz w:val="18"/>
      <w:szCs w:val="20"/>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57" w:type="dxa"/>
        <w:bottom w:w="57" w:type="dxa"/>
        <w:right w:w="57" w:type="dxa"/>
      </w:tblCellMar>
    </w:tblPr>
    <w:trPr>
      <w:cantSplit/>
      <w:tblHeader/>
    </w:trPr>
    <w:tcPr>
      <w:shd w:val="clear" w:color="auto" w:fill="D9D9D6"/>
    </w:tcPr>
  </w:style>
  <w:style w:type="paragraph" w:customStyle="1" w:styleId="TableH1">
    <w:name w:val="Table H1"/>
    <w:basedOn w:val="Normal"/>
    <w:qFormat/>
    <w:rsid w:val="00212EB9"/>
    <w:pPr>
      <w:tabs>
        <w:tab w:val="left" w:pos="709"/>
      </w:tabs>
      <w:spacing w:before="60" w:after="60" w:line="259" w:lineRule="auto"/>
    </w:pPr>
    <w:rPr>
      <w:rFonts w:eastAsiaTheme="minorEastAsia" w:cs="Arial"/>
      <w:b/>
      <w:caps/>
      <w:color w:val="FFFFFF" w:themeColor="background1"/>
      <w:spacing w:val="0"/>
      <w:sz w:val="18"/>
      <w:szCs w:val="18"/>
      <w:bdr w:val="none" w:sz="0" w:space="0" w:color="auto" w:frame="1"/>
      <w:lang w:val="en-US" w:eastAsia="en-US"/>
    </w:rPr>
  </w:style>
  <w:style w:type="paragraph" w:customStyle="1" w:styleId="TABLEH2">
    <w:name w:val="TABLE H2"/>
    <w:basedOn w:val="TableH1"/>
    <w:qFormat/>
    <w:rsid w:val="00212EB9"/>
    <w:pPr>
      <w:suppressAutoHyphens/>
      <w:spacing w:line="240" w:lineRule="auto"/>
    </w:pPr>
    <w:rPr>
      <w:caps w:val="0"/>
      <w:color w:val="000000" w:themeColor="text1"/>
    </w:rPr>
  </w:style>
  <w:style w:type="character" w:customStyle="1" w:styleId="BodytextBOLD">
    <w:name w:val="Body text BOLD"/>
    <w:basedOn w:val="DefaultParagraphFont"/>
    <w:uiPriority w:val="1"/>
    <w:qFormat/>
    <w:rsid w:val="00212EB9"/>
    <w:rPr>
      <w:rFonts w:ascii="Arial" w:hAnsi="Arial"/>
      <w:b/>
      <w:color w:val="000000" w:themeColor="text1"/>
    </w:rPr>
  </w:style>
  <w:style w:type="paragraph" w:customStyle="1" w:styleId="TABLEBodytext">
    <w:name w:val="TABLE Body text"/>
    <w:basedOn w:val="Normal"/>
    <w:qFormat/>
    <w:rsid w:val="00212EB9"/>
    <w:pPr>
      <w:spacing w:after="60" w:line="240" w:lineRule="auto"/>
    </w:pPr>
    <w:rPr>
      <w:rFonts w:eastAsiaTheme="minorEastAsia" w:cstheme="minorBidi"/>
      <w:spacing w:val="0"/>
      <w:sz w:val="18"/>
      <w:szCs w:val="20"/>
      <w:bdr w:val="nil"/>
      <w:lang w:eastAsia="en-US"/>
    </w:rPr>
  </w:style>
  <w:style w:type="paragraph" w:customStyle="1" w:styleId="TABLEBullets">
    <w:name w:val="TABLE Bullets"/>
    <w:basedOn w:val="Normal"/>
    <w:qFormat/>
    <w:rsid w:val="00212EB9"/>
    <w:pPr>
      <w:numPr>
        <w:numId w:val="5"/>
      </w:numPr>
      <w:spacing w:before="40" w:after="0" w:line="240" w:lineRule="auto"/>
    </w:pPr>
    <w:rPr>
      <w:rFonts w:eastAsiaTheme="minorEastAsia" w:cstheme="minorHAnsi"/>
      <w:spacing w:val="0"/>
      <w:sz w:val="18"/>
      <w:szCs w:val="16"/>
      <w:lang w:eastAsia="en-US"/>
    </w:rPr>
  </w:style>
  <w:style w:type="table" w:customStyle="1" w:styleId="TableGrid101">
    <w:name w:val="Table Grid101"/>
    <w:basedOn w:val="TableNormal"/>
    <w:next w:val="TableGrid"/>
    <w:uiPriority w:val="39"/>
    <w:rsid w:val="00212EB9"/>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P">
    <w:name w:val="Heading 1 - NP"/>
    <w:basedOn w:val="Heading1"/>
    <w:qFormat/>
    <w:rsid w:val="00212EB9"/>
    <w:pPr>
      <w:keepNext/>
      <w:keepLines/>
      <w:pageBreakBefore/>
      <w:contextualSpacing w:val="0"/>
    </w:pPr>
    <w:rPr>
      <w:bCs w:val="0"/>
      <w:color w:val="275D38"/>
      <w:spacing w:val="0"/>
      <w:sz w:val="48"/>
      <w:szCs w:val="36"/>
      <w:lang w:eastAsia="en-US"/>
    </w:rPr>
  </w:style>
  <w:style w:type="paragraph" w:customStyle="1" w:styleId="Normal-PUSHTONEXTPAGE">
    <w:name w:val="Normal - PUSH TO NEXT PAGE"/>
    <w:basedOn w:val="Normalmorespace"/>
    <w:qFormat/>
    <w:rsid w:val="00212EB9"/>
    <w:pPr>
      <w:pageBreakBefore/>
    </w:pPr>
  </w:style>
  <w:style w:type="character" w:styleId="CommentReference">
    <w:name w:val="annotation reference"/>
    <w:basedOn w:val="DefaultParagraphFont"/>
    <w:uiPriority w:val="99"/>
    <w:semiHidden/>
    <w:unhideWhenUsed/>
    <w:rsid w:val="000D76E4"/>
    <w:rPr>
      <w:sz w:val="16"/>
      <w:szCs w:val="16"/>
    </w:rPr>
  </w:style>
  <w:style w:type="paragraph" w:styleId="CommentSubject">
    <w:name w:val="annotation subject"/>
    <w:basedOn w:val="CommentText"/>
    <w:next w:val="CommentText"/>
    <w:link w:val="CommentSubjectChar"/>
    <w:uiPriority w:val="99"/>
    <w:semiHidden/>
    <w:unhideWhenUsed/>
    <w:rsid w:val="000D76E4"/>
    <w:pPr>
      <w:spacing w:before="120" w:after="180"/>
    </w:pPr>
    <w:rPr>
      <w:rFonts w:eastAsia="Times New Roman" w:cs="Times New Roman"/>
      <w:b/>
      <w:bCs/>
      <w:spacing w:val="4"/>
      <w:lang w:eastAsia="en-AU"/>
    </w:rPr>
  </w:style>
  <w:style w:type="character" w:customStyle="1" w:styleId="CommentSubjectChar">
    <w:name w:val="Comment Subject Char"/>
    <w:basedOn w:val="CommentTextChar"/>
    <w:link w:val="CommentSubject"/>
    <w:uiPriority w:val="99"/>
    <w:semiHidden/>
    <w:rsid w:val="000D76E4"/>
    <w:rPr>
      <w:rFonts w:ascii="Arial" w:eastAsia="Times New Roman" w:hAnsi="Arial" w:cs="Times New Roman"/>
      <w:b/>
      <w:bCs/>
      <w:spacing w:val="4"/>
      <w:sz w:val="20"/>
      <w:szCs w:val="20"/>
      <w:lang w:eastAsia="en-AU"/>
    </w:rPr>
  </w:style>
  <w:style w:type="paragraph" w:customStyle="1" w:styleId="TableSUBHEADING">
    <w:name w:val="Table SUB HEADING"/>
    <w:basedOn w:val="Normal"/>
    <w:qFormat/>
    <w:rsid w:val="00781125"/>
    <w:pPr>
      <w:tabs>
        <w:tab w:val="left" w:pos="709"/>
      </w:tabs>
      <w:spacing w:before="60" w:after="60" w:line="259" w:lineRule="auto"/>
    </w:pPr>
    <w:rPr>
      <w:rFonts w:eastAsiaTheme="minorEastAsia" w:cs="Arial"/>
      <w:spacing w:val="0"/>
      <w:sz w:val="18"/>
      <w:szCs w:val="18"/>
      <w:bdr w:val="none" w:sz="0" w:space="0" w:color="auto" w:frame="1"/>
      <w:lang w:val="en-US" w:eastAsia="en-US"/>
    </w:rPr>
  </w:style>
  <w:style w:type="character" w:customStyle="1" w:styleId="ui-provider">
    <w:name w:val="ui-provider"/>
    <w:basedOn w:val="DefaultParagraphFont"/>
    <w:rsid w:val="005A03AC"/>
  </w:style>
  <w:style w:type="paragraph" w:styleId="Quote">
    <w:name w:val="Quote"/>
    <w:basedOn w:val="Normal"/>
    <w:next w:val="Normal"/>
    <w:link w:val="QuoteChar"/>
    <w:uiPriority w:val="29"/>
    <w:qFormat/>
    <w:rsid w:val="007713B1"/>
    <w:pPr>
      <w:spacing w:before="200" w:after="0" w:line="276" w:lineRule="auto"/>
      <w:ind w:left="360" w:right="360"/>
    </w:pPr>
    <w:rPr>
      <w:rFonts w:eastAsiaTheme="minorHAnsi" w:cstheme="minorBidi"/>
      <w:i/>
      <w:iCs/>
      <w:spacing w:val="0"/>
      <w:sz w:val="22"/>
      <w:szCs w:val="22"/>
      <w:lang w:eastAsia="en-US"/>
    </w:rPr>
  </w:style>
  <w:style w:type="character" w:customStyle="1" w:styleId="QuoteChar">
    <w:name w:val="Quote Char"/>
    <w:basedOn w:val="DefaultParagraphFont"/>
    <w:link w:val="Quote"/>
    <w:uiPriority w:val="29"/>
    <w:rsid w:val="007713B1"/>
    <w:rPr>
      <w:rFonts w:ascii="Arial" w:hAnsi="Arial"/>
      <w:i/>
      <w:iCs/>
    </w:rPr>
  </w:style>
  <w:style w:type="paragraph" w:styleId="IntenseQuote">
    <w:name w:val="Intense Quote"/>
    <w:basedOn w:val="Normal"/>
    <w:next w:val="Normal"/>
    <w:link w:val="IntenseQuoteChar"/>
    <w:uiPriority w:val="30"/>
    <w:qFormat/>
    <w:rsid w:val="007713B1"/>
    <w:pPr>
      <w:pBdr>
        <w:bottom w:val="single" w:sz="4" w:space="1" w:color="auto"/>
      </w:pBdr>
      <w:spacing w:before="200" w:after="280" w:line="276" w:lineRule="auto"/>
      <w:ind w:left="1008" w:right="1152"/>
      <w:jc w:val="both"/>
    </w:pPr>
    <w:rPr>
      <w:rFonts w:eastAsiaTheme="minorHAnsi" w:cstheme="minorBidi"/>
      <w:b/>
      <w:bCs/>
      <w:i/>
      <w:iCs/>
      <w:spacing w:val="0"/>
      <w:sz w:val="22"/>
      <w:szCs w:val="22"/>
      <w:lang w:eastAsia="en-US"/>
    </w:rPr>
  </w:style>
  <w:style w:type="character" w:customStyle="1" w:styleId="IntenseQuoteChar">
    <w:name w:val="Intense Quote Char"/>
    <w:basedOn w:val="DefaultParagraphFont"/>
    <w:link w:val="IntenseQuote"/>
    <w:uiPriority w:val="30"/>
    <w:rsid w:val="007713B1"/>
    <w:rPr>
      <w:rFonts w:ascii="Arial" w:hAnsi="Arial"/>
      <w:b/>
      <w:bCs/>
      <w:i/>
      <w:iCs/>
    </w:rPr>
  </w:style>
  <w:style w:type="character" w:styleId="SubtleReference">
    <w:name w:val="Subtle Reference"/>
    <w:uiPriority w:val="31"/>
    <w:qFormat/>
    <w:rsid w:val="007713B1"/>
    <w:rPr>
      <w:smallCaps/>
    </w:rPr>
  </w:style>
  <w:style w:type="character" w:styleId="IntenseReference">
    <w:name w:val="Intense Reference"/>
    <w:uiPriority w:val="32"/>
    <w:qFormat/>
    <w:rsid w:val="007713B1"/>
    <w:rPr>
      <w:smallCaps/>
      <w:spacing w:val="5"/>
      <w:u w:val="single"/>
    </w:rPr>
  </w:style>
  <w:style w:type="character" w:styleId="BookTitle">
    <w:name w:val="Book Title"/>
    <w:uiPriority w:val="33"/>
    <w:qFormat/>
    <w:rsid w:val="007713B1"/>
    <w:rPr>
      <w:i/>
      <w:iCs/>
      <w:smallCaps/>
      <w:spacing w:val="5"/>
    </w:rPr>
  </w:style>
  <w:style w:type="paragraph" w:customStyle="1" w:styleId="DHSHeading1">
    <w:name w:val="DHS Heading 1"/>
    <w:basedOn w:val="Heading1"/>
    <w:uiPriority w:val="99"/>
    <w:rsid w:val="007713B1"/>
    <w:pPr>
      <w:keepNext/>
      <w:keepLines/>
      <w:spacing w:before="0" w:after="240"/>
      <w:contextualSpacing w:val="0"/>
    </w:pPr>
    <w:rPr>
      <w:rFonts w:eastAsia="Times New Roman" w:cs="Arial"/>
      <w:b/>
      <w:bCs w:val="0"/>
      <w:color w:val="275D38"/>
      <w:spacing w:val="0"/>
      <w:kern w:val="32"/>
      <w:sz w:val="48"/>
      <w:szCs w:val="40"/>
    </w:rPr>
  </w:style>
  <w:style w:type="paragraph" w:styleId="BodyText">
    <w:name w:val="Body Text"/>
    <w:basedOn w:val="Normal"/>
    <w:link w:val="BodyTextChar"/>
    <w:uiPriority w:val="99"/>
    <w:rsid w:val="007713B1"/>
    <w:pPr>
      <w:tabs>
        <w:tab w:val="left" w:pos="1066"/>
      </w:tabs>
      <w:spacing w:after="60" w:line="240" w:lineRule="auto"/>
    </w:pPr>
    <w:rPr>
      <w:rFonts w:ascii="HelveticaNeueLT Std Lt" w:hAnsi="HelveticaNeueLT Std Lt"/>
      <w:spacing w:val="0"/>
      <w:sz w:val="18"/>
      <w:lang w:val="en-US" w:eastAsia="en-US"/>
    </w:rPr>
  </w:style>
  <w:style w:type="character" w:customStyle="1" w:styleId="BodyTextChar">
    <w:name w:val="Body Text Char"/>
    <w:basedOn w:val="DefaultParagraphFont"/>
    <w:link w:val="BodyText"/>
    <w:uiPriority w:val="99"/>
    <w:rsid w:val="007713B1"/>
    <w:rPr>
      <w:rFonts w:ascii="HelveticaNeueLT Std Lt" w:eastAsia="Times New Roman" w:hAnsi="HelveticaNeueLT Std Lt" w:cs="Times New Roman"/>
      <w:sz w:val="18"/>
      <w:szCs w:val="24"/>
      <w:lang w:val="en-US"/>
    </w:rPr>
  </w:style>
  <w:style w:type="table" w:customStyle="1" w:styleId="TableGrid1">
    <w:name w:val="Table Grid1"/>
    <w:basedOn w:val="TableNormal"/>
    <w:next w:val="TableGrid"/>
    <w:uiPriority w:val="59"/>
    <w:rsid w:val="007713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CORPPLAN">
    <w:name w:val="DSS Data table CORP PLAN"/>
    <w:basedOn w:val="TableNormal"/>
    <w:uiPriority w:val="99"/>
    <w:rsid w:val="007713B1"/>
    <w:pPr>
      <w:suppressAutoHyphens/>
      <w:spacing w:before="120" w:after="0" w:line="240" w:lineRule="auto"/>
    </w:pPr>
    <w:rPr>
      <w:rFonts w:ascii="Arial" w:eastAsiaTheme="minorEastAsia" w:hAnsi="Arial"/>
      <w:sz w:val="18"/>
    </w:rPr>
    <w:tblPr>
      <w:tblStyleRowBandSize w:val="1"/>
      <w:tblInd w:w="113" w:type="dxa"/>
      <w:tblBorders>
        <w:top w:val="single" w:sz="12" w:space="0" w:color="FFFFFF" w:themeColor="background1"/>
        <w:bottom w:val="single" w:sz="12" w:space="0" w:color="FFFFFF" w:themeColor="background1"/>
        <w:insideH w:val="single" w:sz="12" w:space="0" w:color="FFFFFF" w:themeColor="background1"/>
        <w:insideV w:val="single" w:sz="12" w:space="0" w:color="FFFFFF" w:themeColor="background1"/>
      </w:tblBorders>
      <w:tblCellMar>
        <w:top w:w="57" w:type="dxa"/>
        <w:left w:w="85" w:type="dxa"/>
        <w:bottom w:w="57" w:type="dxa"/>
        <w:right w:w="85" w:type="dxa"/>
      </w:tblCellMar>
    </w:tblPr>
    <w:tblStylePr w:type="firstRow">
      <w:rPr>
        <w:rFonts w:ascii="Arial" w:hAnsi="Arial"/>
        <w:b/>
        <w:color w:val="FFFFFF"/>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Datatablestyle221">
    <w:name w:val="DSS Data table style221"/>
    <w:basedOn w:val="TableNormal"/>
    <w:uiPriority w:val="99"/>
    <w:rsid w:val="007713B1"/>
    <w:pPr>
      <w:spacing w:after="0" w:line="240" w:lineRule="auto"/>
    </w:pPr>
    <w:rPr>
      <w:rFonts w:ascii="Arial" w:eastAsiaTheme="minorEastAsia" w:hAnsi="Arial"/>
    </w:rPr>
    <w:tblPr>
      <w:tblStyleRowBandSize w:val="1"/>
      <w:tblInd w:w="113" w:type="dxa"/>
    </w:tblPr>
    <w:tblStylePr w:type="firstRow">
      <w:rPr>
        <w:rFonts w:ascii="Arial" w:hAnsi="Arial"/>
        <w:b/>
        <w:color w:val="FFFFFF"/>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Datatablestyle3">
    <w:name w:val="DSS Data table style3"/>
    <w:basedOn w:val="TableNormal"/>
    <w:uiPriority w:val="99"/>
    <w:rsid w:val="007713B1"/>
    <w:pPr>
      <w:spacing w:after="0" w:line="240" w:lineRule="auto"/>
    </w:pPr>
    <w:rPr>
      <w:rFonts w:ascii="Arial" w:eastAsia="Calibri" w:hAnsi="Arial"/>
    </w:rPr>
    <w:tblPr>
      <w:tblStyleRowBandSize w:val="1"/>
      <w:tblInd w:w="113" w:type="dxa"/>
    </w:tblPr>
    <w:tblStylePr w:type="firstRow">
      <w:rPr>
        <w:rFonts w:ascii="Arial" w:hAnsi="Arial"/>
        <w:b/>
        <w:color w:val="FFFFFF"/>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Datatablestyle11">
    <w:name w:val="DSS Data table style11"/>
    <w:basedOn w:val="TableNormal"/>
    <w:uiPriority w:val="99"/>
    <w:rsid w:val="007713B1"/>
    <w:pPr>
      <w:spacing w:after="0" w:line="240" w:lineRule="auto"/>
    </w:pPr>
    <w:rPr>
      <w:rFonts w:ascii="Arial" w:eastAsia="Calibri" w:hAnsi="Arial"/>
      <w:sz w:val="24"/>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TableGrid2">
    <w:name w:val="Table Grid2"/>
    <w:basedOn w:val="TableNormal"/>
    <w:next w:val="TableGrid"/>
    <w:uiPriority w:val="39"/>
    <w:rsid w:val="007713B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7713B1"/>
    <w:pPr>
      <w:spacing w:after="0" w:line="240" w:lineRule="auto"/>
    </w:pPr>
    <w:rPr>
      <w:rFonts w:eastAsiaTheme="minorEastAsia"/>
    </w:rPr>
    <w:tblPr>
      <w:tblStyleRowBandSize w:val="1"/>
      <w:tblStyleColBandSize w:val="1"/>
      <w:tblBorders>
        <w:top w:val="single" w:sz="2" w:space="0" w:color="10CFFF" w:themeColor="accent1" w:themeTint="99"/>
        <w:bottom w:val="single" w:sz="2" w:space="0" w:color="10CFFF" w:themeColor="accent1" w:themeTint="99"/>
        <w:insideH w:val="single" w:sz="2" w:space="0" w:color="10CFFF" w:themeColor="accent1" w:themeTint="99"/>
        <w:insideV w:val="single" w:sz="2" w:space="0" w:color="10CFFF" w:themeColor="accent1" w:themeTint="99"/>
      </w:tblBorders>
    </w:tblPr>
    <w:tblStylePr w:type="firstRow">
      <w:rPr>
        <w:b/>
        <w:bCs/>
      </w:rPr>
      <w:tblPr/>
      <w:tcPr>
        <w:tcBorders>
          <w:top w:val="nil"/>
          <w:bottom w:val="single" w:sz="12" w:space="0" w:color="10CFFF" w:themeColor="accent1" w:themeTint="99"/>
          <w:insideH w:val="nil"/>
          <w:insideV w:val="nil"/>
        </w:tcBorders>
        <w:shd w:val="clear" w:color="auto" w:fill="FFFFFF" w:themeFill="background1"/>
      </w:tcPr>
    </w:tblStylePr>
    <w:tblStylePr w:type="lastRow">
      <w:rPr>
        <w:b/>
        <w:bCs/>
      </w:rPr>
      <w:tblPr/>
      <w:tcPr>
        <w:tcBorders>
          <w:top w:val="double" w:sz="2" w:space="0" w:color="10C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EFFF" w:themeFill="accent1" w:themeFillTint="33"/>
      </w:tcPr>
    </w:tblStylePr>
    <w:tblStylePr w:type="band1Horz">
      <w:tblPr/>
      <w:tcPr>
        <w:shd w:val="clear" w:color="auto" w:fill="AFEFFF" w:themeFill="accent1" w:themeFillTint="33"/>
      </w:tcPr>
    </w:tblStylePr>
  </w:style>
  <w:style w:type="table" w:styleId="ListTable6Colorful-Accent4">
    <w:name w:val="List Table 6 Colorful Accent 4"/>
    <w:basedOn w:val="TableNormal"/>
    <w:uiPriority w:val="51"/>
    <w:rsid w:val="007713B1"/>
    <w:pPr>
      <w:spacing w:after="0" w:line="240" w:lineRule="auto"/>
    </w:pPr>
    <w:rPr>
      <w:rFonts w:eastAsiaTheme="minorEastAsia"/>
      <w:color w:val="004253" w:themeColor="accent4" w:themeShade="BF"/>
    </w:rPr>
    <w:tblPr>
      <w:tblStyleRowBandSize w:val="1"/>
      <w:tblStyleColBandSize w:val="1"/>
      <w:tblBorders>
        <w:top w:val="single" w:sz="4" w:space="0" w:color="005A70" w:themeColor="accent4"/>
        <w:bottom w:val="single" w:sz="4" w:space="0" w:color="005A70" w:themeColor="accent4"/>
      </w:tblBorders>
    </w:tblPr>
    <w:tblStylePr w:type="firstRow">
      <w:rPr>
        <w:b/>
        <w:bCs/>
      </w:rPr>
      <w:tblPr/>
      <w:tcPr>
        <w:tcBorders>
          <w:bottom w:val="single" w:sz="4" w:space="0" w:color="005A70" w:themeColor="accent4"/>
        </w:tcBorders>
      </w:tcPr>
    </w:tblStylePr>
    <w:tblStylePr w:type="lastRow">
      <w:rPr>
        <w:b/>
        <w:bCs/>
      </w:rPr>
      <w:tblPr/>
      <w:tcPr>
        <w:tcBorders>
          <w:top w:val="double" w:sz="4" w:space="0" w:color="005A70" w:themeColor="accent4"/>
        </w:tcBorders>
      </w:tcPr>
    </w:tblStylePr>
    <w:tblStylePr w:type="firstCol">
      <w:rPr>
        <w:b/>
        <w:bCs/>
      </w:rPr>
    </w:tblStylePr>
    <w:tblStylePr w:type="lastCol">
      <w:rPr>
        <w:b/>
        <w:bCs/>
      </w:rPr>
    </w:tblStylePr>
    <w:tblStylePr w:type="band1Vert">
      <w:tblPr/>
      <w:tcPr>
        <w:shd w:val="clear" w:color="auto" w:fill="AFEFFF" w:themeFill="accent4" w:themeFillTint="33"/>
      </w:tcPr>
    </w:tblStylePr>
    <w:tblStylePr w:type="band1Horz">
      <w:tblPr/>
      <w:tcPr>
        <w:shd w:val="clear" w:color="auto" w:fill="AFEFFF" w:themeFill="accent4" w:themeFillTint="33"/>
      </w:tcPr>
    </w:tblStylePr>
  </w:style>
  <w:style w:type="character" w:customStyle="1" w:styleId="element-invisible">
    <w:name w:val="element-invisible"/>
    <w:basedOn w:val="DefaultParagraphFont"/>
    <w:rsid w:val="007713B1"/>
  </w:style>
  <w:style w:type="table" w:styleId="PlainTable3">
    <w:name w:val="Plain Table 3"/>
    <w:basedOn w:val="TableNormal"/>
    <w:uiPriority w:val="43"/>
    <w:rsid w:val="007713B1"/>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10">
    <w:name w:val="Pa10"/>
    <w:basedOn w:val="Normal"/>
    <w:next w:val="Normal"/>
    <w:uiPriority w:val="99"/>
    <w:rsid w:val="007713B1"/>
    <w:pPr>
      <w:autoSpaceDE w:val="0"/>
      <w:autoSpaceDN w:val="0"/>
      <w:adjustRightInd w:val="0"/>
      <w:spacing w:before="60" w:after="0" w:line="301" w:lineRule="atLeast"/>
    </w:pPr>
    <w:rPr>
      <w:rFonts w:ascii="Myriad Pro Light" w:eastAsiaTheme="minorEastAsia" w:hAnsi="Myriad Pro Light" w:cstheme="minorBidi"/>
      <w:spacing w:val="0"/>
      <w:lang w:eastAsia="en-US"/>
    </w:rPr>
  </w:style>
  <w:style w:type="paragraph" w:customStyle="1" w:styleId="Default">
    <w:name w:val="Default"/>
    <w:rsid w:val="007713B1"/>
    <w:pPr>
      <w:autoSpaceDE w:val="0"/>
      <w:autoSpaceDN w:val="0"/>
      <w:adjustRightInd w:val="0"/>
      <w:spacing w:after="0" w:line="240" w:lineRule="auto"/>
    </w:pPr>
    <w:rPr>
      <w:rFonts w:ascii="DIN OT Light" w:eastAsiaTheme="minorEastAsia" w:hAnsi="DIN OT Light" w:cs="DIN OT Light"/>
      <w:color w:val="000000"/>
      <w:sz w:val="24"/>
      <w:szCs w:val="24"/>
    </w:rPr>
  </w:style>
  <w:style w:type="character" w:customStyle="1" w:styleId="A4">
    <w:name w:val="A4"/>
    <w:uiPriority w:val="99"/>
    <w:rsid w:val="007713B1"/>
    <w:rPr>
      <w:rFonts w:cs="DIN OT Light"/>
      <w:color w:val="000000"/>
      <w:sz w:val="18"/>
      <w:szCs w:val="18"/>
    </w:rPr>
  </w:style>
  <w:style w:type="paragraph" w:customStyle="1" w:styleId="Pa3">
    <w:name w:val="Pa3"/>
    <w:basedOn w:val="Default"/>
    <w:next w:val="Default"/>
    <w:uiPriority w:val="99"/>
    <w:rsid w:val="007713B1"/>
    <w:pPr>
      <w:spacing w:line="181" w:lineRule="atLeast"/>
    </w:pPr>
    <w:rPr>
      <w:rFonts w:cstheme="minorBidi"/>
      <w:color w:val="auto"/>
    </w:rPr>
  </w:style>
  <w:style w:type="paragraph" w:customStyle="1" w:styleId="msonormal0">
    <w:name w:val="msonormal"/>
    <w:basedOn w:val="Normal"/>
    <w:uiPriority w:val="99"/>
    <w:rsid w:val="007713B1"/>
    <w:pPr>
      <w:spacing w:before="100" w:beforeAutospacing="1" w:after="100" w:afterAutospacing="1" w:line="240" w:lineRule="auto"/>
    </w:pPr>
    <w:rPr>
      <w:rFonts w:ascii="Times New Roman" w:hAnsi="Times New Roman"/>
      <w:spacing w:val="0"/>
    </w:rPr>
  </w:style>
  <w:style w:type="paragraph" w:customStyle="1" w:styleId="Normal0">
    <w:name w:val="Normal_0"/>
    <w:basedOn w:val="Normal"/>
    <w:uiPriority w:val="99"/>
    <w:rsid w:val="007713B1"/>
    <w:pPr>
      <w:spacing w:before="60" w:after="200" w:line="276" w:lineRule="auto"/>
    </w:pPr>
    <w:rPr>
      <w:rFonts w:ascii="Book Antiqua" w:eastAsiaTheme="minorHAnsi" w:hAnsi="Book Antiqua"/>
      <w:spacing w:val="0"/>
      <w:sz w:val="18"/>
      <w:szCs w:val="22"/>
      <w:lang w:eastAsia="en-US"/>
    </w:rPr>
  </w:style>
  <w:style w:type="table" w:customStyle="1" w:styleId="TableGrid3">
    <w:name w:val="Table Grid3"/>
    <w:basedOn w:val="TableNormal"/>
    <w:next w:val="TableGrid"/>
    <w:uiPriority w:val="39"/>
    <w:rsid w:val="007713B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713B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713B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713B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713B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713B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713B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713B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7713B1"/>
    <w:pPr>
      <w:tabs>
        <w:tab w:val="left" w:pos="709"/>
      </w:tabs>
      <w:spacing w:before="60" w:after="60" w:line="259" w:lineRule="auto"/>
    </w:pPr>
    <w:rPr>
      <w:rFonts w:eastAsiaTheme="minorEastAsia" w:cs="Arial"/>
      <w:b/>
      <w:caps/>
      <w:color w:val="FFFFFF" w:themeColor="background1"/>
      <w:spacing w:val="0"/>
      <w:sz w:val="18"/>
      <w:szCs w:val="18"/>
      <w:bdr w:val="none" w:sz="0" w:space="0" w:color="auto" w:frame="1"/>
      <w:lang w:val="en-US" w:eastAsia="en-US"/>
    </w:rPr>
  </w:style>
  <w:style w:type="table" w:styleId="PlainTable4">
    <w:name w:val="Plain Table 4"/>
    <w:basedOn w:val="TableNormal"/>
    <w:uiPriority w:val="44"/>
    <w:rsid w:val="007713B1"/>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umberedlist1">
    <w:name w:val="numberedlist1"/>
    <w:basedOn w:val="Normal"/>
    <w:rsid w:val="007713B1"/>
    <w:pPr>
      <w:spacing w:before="100" w:beforeAutospacing="1" w:after="100" w:afterAutospacing="1" w:line="240" w:lineRule="auto"/>
    </w:pPr>
    <w:rPr>
      <w:rFonts w:ascii="Times New Roman" w:hAnsi="Times New Roman"/>
      <w:spacing w:val="0"/>
    </w:rPr>
  </w:style>
  <w:style w:type="paragraph" w:customStyle="1" w:styleId="Schedule">
    <w:name w:val="Schedule"/>
    <w:aliases w:val="Matter dealt with"/>
    <w:basedOn w:val="Normal"/>
    <w:link w:val="ScheduleChar"/>
    <w:qFormat/>
    <w:rsid w:val="007713B1"/>
    <w:pPr>
      <w:tabs>
        <w:tab w:val="left" w:pos="1304"/>
      </w:tabs>
      <w:autoSpaceDE w:val="0"/>
      <w:autoSpaceDN w:val="0"/>
      <w:spacing w:before="60" w:after="0" w:line="240" w:lineRule="auto"/>
      <w:ind w:left="180" w:hanging="180"/>
    </w:pPr>
    <w:rPr>
      <w:rFonts w:ascii="Times New Roman" w:hAnsi="Times New Roman"/>
      <w:spacing w:val="0"/>
      <w:sz w:val="26"/>
      <w:szCs w:val="26"/>
    </w:rPr>
  </w:style>
  <w:style w:type="character" w:customStyle="1" w:styleId="ScheduleChar">
    <w:name w:val="Schedule Char"/>
    <w:aliases w:val="Matter dealt with Char"/>
    <w:basedOn w:val="DefaultParagraphFont"/>
    <w:link w:val="Schedule"/>
    <w:locked/>
    <w:rsid w:val="007713B1"/>
    <w:rPr>
      <w:rFonts w:ascii="Times New Roman" w:eastAsia="Times New Roman" w:hAnsi="Times New Roman" w:cs="Times New Roman"/>
      <w:sz w:val="26"/>
      <w:szCs w:val="26"/>
      <w:lang w:eastAsia="en-AU"/>
    </w:rPr>
  </w:style>
  <w:style w:type="character" w:customStyle="1" w:styleId="PBSOutcometextChar">
    <w:name w:val="PBSOutcometext Char"/>
    <w:basedOn w:val="DefaultParagraphFont"/>
    <w:link w:val="PBSOutcometext"/>
    <w:rsid w:val="007713B1"/>
    <w:rPr>
      <w:rFonts w:ascii="Arial" w:eastAsia="Times New Roman" w:hAnsi="Arial" w:cs="Arial"/>
      <w:sz w:val="20"/>
      <w:szCs w:val="20"/>
      <w:lang w:eastAsia="en-AU"/>
    </w:rPr>
  </w:style>
  <w:style w:type="paragraph" w:customStyle="1" w:styleId="PBSOutcometext">
    <w:name w:val="PBSOutcometext"/>
    <w:basedOn w:val="Normal0"/>
    <w:link w:val="PBSOutcometextChar"/>
    <w:qFormat/>
    <w:rsid w:val="007713B1"/>
    <w:pPr>
      <w:keepLines/>
      <w:spacing w:after="60" w:line="240" w:lineRule="auto"/>
      <w:jc w:val="both"/>
    </w:pPr>
    <w:rPr>
      <w:rFonts w:ascii="Arial" w:eastAsia="Times New Roman" w:hAnsi="Arial" w:cs="Arial"/>
      <w:sz w:val="20"/>
      <w:szCs w:val="20"/>
      <w:lang w:eastAsia="en-AU"/>
    </w:rPr>
  </w:style>
  <w:style w:type="paragraph" w:customStyle="1" w:styleId="ContentsHeading">
    <w:name w:val="Contents Heading"/>
    <w:basedOn w:val="Normal"/>
    <w:next w:val="Normal"/>
    <w:rsid w:val="007713B1"/>
    <w:pPr>
      <w:keepNext/>
      <w:keepLines/>
      <w:spacing w:before="60" w:after="360" w:line="240" w:lineRule="auto"/>
      <w:jc w:val="center"/>
    </w:pPr>
    <w:rPr>
      <w:b/>
      <w:smallCaps/>
      <w:spacing w:val="0"/>
      <w:sz w:val="34"/>
      <w:szCs w:val="20"/>
    </w:rPr>
  </w:style>
  <w:style w:type="paragraph" w:customStyle="1" w:styleId="Style2">
    <w:name w:val="Style2"/>
    <w:basedOn w:val="ListParagraph"/>
    <w:link w:val="Style2Char"/>
    <w:qFormat/>
    <w:rsid w:val="007713B1"/>
    <w:pPr>
      <w:numPr>
        <w:numId w:val="14"/>
      </w:numPr>
      <w:tabs>
        <w:tab w:val="left" w:pos="709"/>
      </w:tabs>
      <w:spacing w:before="60" w:after="60" w:line="240" w:lineRule="auto"/>
    </w:pPr>
    <w:rPr>
      <w:rFonts w:cs="Arial"/>
      <w:color w:val="000000" w:themeColor="text1"/>
      <w:sz w:val="16"/>
      <w:szCs w:val="16"/>
    </w:rPr>
  </w:style>
  <w:style w:type="character" w:customStyle="1" w:styleId="Style2Char">
    <w:name w:val="Style2 Char"/>
    <w:basedOn w:val="ListParagraphChar"/>
    <w:link w:val="Style2"/>
    <w:rsid w:val="007713B1"/>
    <w:rPr>
      <w:rFonts w:ascii="Arial" w:eastAsia="Times New Roman" w:hAnsi="Arial" w:cs="Arial"/>
      <w:color w:val="000000" w:themeColor="text1"/>
      <w:spacing w:val="4"/>
      <w:sz w:val="16"/>
      <w:szCs w:val="16"/>
      <w:lang w:eastAsia="en-AU"/>
    </w:rPr>
  </w:style>
  <w:style w:type="paragraph" w:customStyle="1" w:styleId="Normal2">
    <w:name w:val="Normal_2"/>
    <w:link w:val="Normal2Char"/>
    <w:qFormat/>
    <w:rsid w:val="007713B1"/>
    <w:pPr>
      <w:keepLines/>
      <w:spacing w:after="240" w:line="260" w:lineRule="exact"/>
      <w:jc w:val="both"/>
    </w:pPr>
    <w:rPr>
      <w:rFonts w:ascii="Book Antiqua" w:eastAsia="Times New Roman" w:hAnsi="Book Antiqua" w:cs="Times New Roman"/>
      <w:sz w:val="20"/>
      <w:szCs w:val="20"/>
      <w:lang w:eastAsia="en-AU"/>
    </w:rPr>
  </w:style>
  <w:style w:type="character" w:customStyle="1" w:styleId="Normal2Char">
    <w:name w:val="Normal_2 Char"/>
    <w:basedOn w:val="DefaultParagraphFont"/>
    <w:link w:val="Normal2"/>
    <w:rsid w:val="007713B1"/>
    <w:rPr>
      <w:rFonts w:ascii="Book Antiqua" w:eastAsia="Times New Roman" w:hAnsi="Book Antiqua" w:cs="Times New Roman"/>
      <w:sz w:val="20"/>
      <w:szCs w:val="20"/>
      <w:lang w:eastAsia="en-AU"/>
    </w:rPr>
  </w:style>
  <w:style w:type="character" w:customStyle="1" w:styleId="PBSTabletextChar">
    <w:name w:val="PBSTable text Char"/>
    <w:basedOn w:val="DefaultParagraphFont"/>
    <w:link w:val="PBSTabletext"/>
    <w:rsid w:val="007713B1"/>
    <w:rPr>
      <w:rFonts w:ascii="Arial" w:eastAsia="Times New Roman" w:hAnsi="Arial" w:cs="Arial"/>
      <w:sz w:val="16"/>
      <w:szCs w:val="16"/>
      <w:lang w:eastAsia="en-AU"/>
    </w:rPr>
  </w:style>
  <w:style w:type="paragraph" w:customStyle="1" w:styleId="PBSTabletext">
    <w:name w:val="PBSTable text"/>
    <w:basedOn w:val="Normal0"/>
    <w:link w:val="PBSTabletextChar"/>
    <w:qFormat/>
    <w:rsid w:val="007713B1"/>
    <w:pPr>
      <w:keepLines/>
      <w:tabs>
        <w:tab w:val="left" w:pos="709"/>
      </w:tabs>
      <w:spacing w:after="60" w:line="240" w:lineRule="auto"/>
    </w:pPr>
    <w:rPr>
      <w:rFonts w:ascii="Arial" w:eastAsia="Times New Roman" w:hAnsi="Arial" w:cs="Arial"/>
      <w:sz w:val="16"/>
      <w:szCs w:val="16"/>
      <w:lang w:eastAsia="en-AU"/>
    </w:rPr>
  </w:style>
  <w:style w:type="paragraph" w:customStyle="1" w:styleId="PBSbullet">
    <w:name w:val="PBSbullet"/>
    <w:basedOn w:val="Normal"/>
    <w:link w:val="PBSbulletChar"/>
    <w:qFormat/>
    <w:rsid w:val="007713B1"/>
    <w:pPr>
      <w:keepLines/>
      <w:numPr>
        <w:numId w:val="12"/>
      </w:numPr>
      <w:spacing w:before="60" w:after="60" w:line="240" w:lineRule="auto"/>
      <w:contextualSpacing/>
    </w:pPr>
    <w:rPr>
      <w:rFonts w:eastAsiaTheme="minorHAnsi" w:cs="Arial"/>
      <w:iCs/>
      <w:spacing w:val="0"/>
      <w:sz w:val="16"/>
      <w:szCs w:val="16"/>
      <w:lang w:eastAsia="en-US"/>
    </w:rPr>
  </w:style>
  <w:style w:type="character" w:customStyle="1" w:styleId="PBSbulletChar">
    <w:name w:val="PBSbullet Char"/>
    <w:basedOn w:val="DefaultParagraphFont"/>
    <w:link w:val="PBSbullet"/>
    <w:rsid w:val="007713B1"/>
    <w:rPr>
      <w:rFonts w:ascii="Arial" w:hAnsi="Arial" w:cs="Arial"/>
      <w:iCs/>
      <w:sz w:val="16"/>
      <w:szCs w:val="16"/>
    </w:rPr>
  </w:style>
  <w:style w:type="character" w:customStyle="1" w:styleId="PBSTabletextChar0">
    <w:name w:val="PBS Tabletext Char"/>
    <w:basedOn w:val="DefaultParagraphFont"/>
    <w:link w:val="PBSTabletext0"/>
    <w:rsid w:val="007713B1"/>
    <w:rPr>
      <w:rFonts w:ascii="Arial" w:eastAsia="Times New Roman" w:hAnsi="Arial" w:cs="Arial"/>
      <w:sz w:val="16"/>
      <w:szCs w:val="16"/>
      <w:lang w:eastAsia="en-AU"/>
    </w:rPr>
  </w:style>
  <w:style w:type="paragraph" w:customStyle="1" w:styleId="PBSTabletext0">
    <w:name w:val="PBS Tabletext"/>
    <w:basedOn w:val="Normal0"/>
    <w:link w:val="PBSTabletextChar0"/>
    <w:qFormat/>
    <w:rsid w:val="007713B1"/>
    <w:pPr>
      <w:keepLines/>
      <w:tabs>
        <w:tab w:val="left" w:pos="709"/>
      </w:tabs>
      <w:spacing w:after="60" w:line="240" w:lineRule="auto"/>
    </w:pPr>
    <w:rPr>
      <w:rFonts w:ascii="Arial" w:eastAsia="Times New Roman" w:hAnsi="Arial" w:cs="Arial"/>
      <w:sz w:val="16"/>
      <w:szCs w:val="16"/>
      <w:lang w:eastAsia="en-AU"/>
    </w:rPr>
  </w:style>
  <w:style w:type="paragraph" w:customStyle="1" w:styleId="PBSTaabullet">
    <w:name w:val="PBS Taabullet"/>
    <w:basedOn w:val="ListParagraph"/>
    <w:link w:val="PBSTaabulletChar"/>
    <w:qFormat/>
    <w:rsid w:val="007713B1"/>
    <w:pPr>
      <w:numPr>
        <w:numId w:val="11"/>
      </w:numPr>
      <w:tabs>
        <w:tab w:val="left" w:pos="709"/>
      </w:tabs>
      <w:spacing w:before="60" w:after="60" w:line="240" w:lineRule="auto"/>
    </w:pPr>
    <w:rPr>
      <w:rFonts w:cs="Arial"/>
      <w:sz w:val="16"/>
      <w:szCs w:val="16"/>
    </w:rPr>
  </w:style>
  <w:style w:type="character" w:customStyle="1" w:styleId="PBSTaabulletChar">
    <w:name w:val="PBS Taabullet Char"/>
    <w:basedOn w:val="ListParagraphChar"/>
    <w:link w:val="PBSTaabullet"/>
    <w:rsid w:val="007713B1"/>
    <w:rPr>
      <w:rFonts w:ascii="Arial" w:eastAsia="Times New Roman" w:hAnsi="Arial" w:cs="Arial"/>
      <w:spacing w:val="4"/>
      <w:sz w:val="16"/>
      <w:szCs w:val="16"/>
      <w:lang w:eastAsia="en-AU"/>
    </w:rPr>
  </w:style>
  <w:style w:type="paragraph" w:customStyle="1" w:styleId="PBSTextbullet">
    <w:name w:val="PBSText bullet"/>
    <w:basedOn w:val="ListParagraph"/>
    <w:link w:val="PBSTextbulletChar"/>
    <w:qFormat/>
    <w:rsid w:val="007713B1"/>
    <w:pPr>
      <w:numPr>
        <w:numId w:val="13"/>
      </w:numPr>
      <w:tabs>
        <w:tab w:val="left" w:pos="709"/>
      </w:tabs>
      <w:spacing w:before="60" w:after="60" w:line="240" w:lineRule="auto"/>
    </w:pPr>
    <w:rPr>
      <w:rFonts w:cs="Arial"/>
      <w:color w:val="000000" w:themeColor="text1"/>
      <w:sz w:val="16"/>
      <w:szCs w:val="16"/>
    </w:rPr>
  </w:style>
  <w:style w:type="character" w:customStyle="1" w:styleId="PBSTextbulletChar">
    <w:name w:val="PBSText bullet Char"/>
    <w:basedOn w:val="ListParagraphChar"/>
    <w:link w:val="PBSTextbullet"/>
    <w:rsid w:val="007713B1"/>
    <w:rPr>
      <w:rFonts w:ascii="Arial" w:eastAsia="Times New Roman" w:hAnsi="Arial" w:cs="Arial"/>
      <w:color w:val="000000" w:themeColor="text1"/>
      <w:spacing w:val="4"/>
      <w:sz w:val="16"/>
      <w:szCs w:val="16"/>
      <w:lang w:eastAsia="en-AU"/>
    </w:rPr>
  </w:style>
  <w:style w:type="paragraph" w:customStyle="1" w:styleId="PBSbullet0">
    <w:name w:val="PBS bullet"/>
    <w:basedOn w:val="Normalmorespace"/>
    <w:link w:val="PBSbulletChar0"/>
    <w:qFormat/>
    <w:rsid w:val="007713B1"/>
    <w:pPr>
      <w:numPr>
        <w:numId w:val="10"/>
      </w:numPr>
      <w:tabs>
        <w:tab w:val="left" w:pos="709"/>
      </w:tabs>
      <w:spacing w:before="60" w:after="60" w:line="240" w:lineRule="auto"/>
    </w:pPr>
    <w:rPr>
      <w:rFonts w:cs="Arial"/>
      <w:color w:val="000000"/>
      <w:sz w:val="16"/>
      <w:szCs w:val="16"/>
      <w:bdr w:val="none" w:sz="0" w:space="0" w:color="auto" w:frame="1"/>
      <w:lang w:val="en-US"/>
    </w:rPr>
  </w:style>
  <w:style w:type="character" w:customStyle="1" w:styleId="PBSbulletChar0">
    <w:name w:val="PBS bullet Char"/>
    <w:basedOn w:val="NormalmorespaceChar"/>
    <w:link w:val="PBSbullet0"/>
    <w:rsid w:val="007713B1"/>
    <w:rPr>
      <w:rFonts w:ascii="Arial" w:eastAsia="Times New Roman" w:hAnsi="Arial" w:cs="Arial"/>
      <w:color w:val="000000"/>
      <w:sz w:val="16"/>
      <w:szCs w:val="16"/>
      <w:bdr w:val="none" w:sz="0" w:space="0" w:color="auto" w:frame="1"/>
      <w:lang w:val="en-US" w:eastAsia="en-AU"/>
    </w:rPr>
  </w:style>
  <w:style w:type="paragraph" w:styleId="FootnoteText">
    <w:name w:val="footnote text"/>
    <w:basedOn w:val="Normal"/>
    <w:link w:val="FootnoteTextChar"/>
    <w:uiPriority w:val="99"/>
    <w:unhideWhenUsed/>
    <w:qFormat/>
    <w:rsid w:val="007713B1"/>
    <w:pPr>
      <w:suppressAutoHyphens/>
      <w:spacing w:before="60" w:after="0" w:line="240" w:lineRule="auto"/>
      <w:ind w:left="284" w:hanging="284"/>
    </w:pPr>
    <w:rPr>
      <w:rFonts w:eastAsiaTheme="minorHAnsi" w:cstheme="minorBidi"/>
      <w:spacing w:val="0"/>
      <w:sz w:val="14"/>
      <w:szCs w:val="20"/>
      <w:lang w:eastAsia="en-US"/>
    </w:rPr>
  </w:style>
  <w:style w:type="character" w:customStyle="1" w:styleId="FootnoteTextChar">
    <w:name w:val="Footnote Text Char"/>
    <w:basedOn w:val="DefaultParagraphFont"/>
    <w:link w:val="FootnoteText"/>
    <w:uiPriority w:val="99"/>
    <w:rsid w:val="007713B1"/>
    <w:rPr>
      <w:rFonts w:ascii="Arial" w:hAnsi="Arial"/>
      <w:sz w:val="14"/>
      <w:szCs w:val="20"/>
    </w:rPr>
  </w:style>
  <w:style w:type="character" w:styleId="FootnoteReference">
    <w:name w:val="footnote reference"/>
    <w:basedOn w:val="DefaultParagraphFont"/>
    <w:uiPriority w:val="99"/>
    <w:semiHidden/>
    <w:unhideWhenUsed/>
    <w:rsid w:val="007713B1"/>
    <w:rPr>
      <w:sz w:val="14"/>
      <w:vertAlign w:val="superscript"/>
    </w:rPr>
  </w:style>
  <w:style w:type="table" w:styleId="GridTable5Dark-Accent1">
    <w:name w:val="Grid Table 5 Dark Accent 1"/>
    <w:basedOn w:val="TableNormal"/>
    <w:uiPriority w:val="50"/>
    <w:rsid w:val="007713B1"/>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E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7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7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7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70" w:themeFill="accent1"/>
      </w:tcPr>
    </w:tblStylePr>
    <w:tblStylePr w:type="band1Vert">
      <w:tblPr/>
      <w:tcPr>
        <w:shd w:val="clear" w:color="auto" w:fill="5FDFFF" w:themeFill="accent1" w:themeFillTint="66"/>
      </w:tcPr>
    </w:tblStylePr>
    <w:tblStylePr w:type="band1Horz">
      <w:tblPr/>
      <w:tcPr>
        <w:shd w:val="clear" w:color="auto" w:fill="5FDFFF" w:themeFill="accent1" w:themeFillTint="66"/>
      </w:tcPr>
    </w:tblStylePr>
  </w:style>
  <w:style w:type="table" w:customStyle="1" w:styleId="TableGrid39">
    <w:name w:val="Table Grid39"/>
    <w:basedOn w:val="TableNormal"/>
    <w:next w:val="TableGrid"/>
    <w:uiPriority w:val="39"/>
    <w:rsid w:val="007713B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13B1"/>
    <w:pPr>
      <w:spacing w:after="0" w:line="240" w:lineRule="auto"/>
    </w:pPr>
    <w:rPr>
      <w:rFonts w:eastAsiaTheme="minorEastAsia"/>
    </w:rPr>
  </w:style>
  <w:style w:type="table" w:styleId="GridTable5Dark-Accent5">
    <w:name w:val="Grid Table 5 Dark Accent 5"/>
    <w:basedOn w:val="TableNormal"/>
    <w:uiPriority w:val="50"/>
    <w:rsid w:val="007713B1"/>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B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B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B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B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B9" w:themeFill="accent5"/>
      </w:tcPr>
    </w:tblStylePr>
    <w:tblStylePr w:type="band1Vert">
      <w:tblPr/>
      <w:tcPr>
        <w:shd w:val="clear" w:color="auto" w:fill="7DF8FF" w:themeFill="accent5" w:themeFillTint="66"/>
      </w:tcPr>
    </w:tblStylePr>
    <w:tblStylePr w:type="band1Horz">
      <w:tblPr/>
      <w:tcPr>
        <w:shd w:val="clear" w:color="auto" w:fill="7DF8FF" w:themeFill="accent5" w:themeFillTint="66"/>
      </w:tcPr>
    </w:tblStylePr>
  </w:style>
  <w:style w:type="paragraph" w:customStyle="1" w:styleId="TABLEH3">
    <w:name w:val="TABLE H3"/>
    <w:basedOn w:val="Normal"/>
    <w:qFormat/>
    <w:rsid w:val="007713B1"/>
    <w:pPr>
      <w:tabs>
        <w:tab w:val="left" w:pos="709"/>
      </w:tabs>
      <w:spacing w:before="60" w:after="60" w:line="259" w:lineRule="auto"/>
    </w:pPr>
    <w:rPr>
      <w:rFonts w:eastAsiaTheme="minorEastAsia" w:cs="Arial"/>
      <w:caps/>
      <w:spacing w:val="0"/>
      <w:sz w:val="18"/>
      <w:szCs w:val="18"/>
      <w:u w:val="single"/>
      <w:bdr w:val="none" w:sz="0" w:space="0" w:color="auto" w:frame="1"/>
      <w:lang w:val="en-US" w:eastAsia="en-US"/>
    </w:rPr>
  </w:style>
  <w:style w:type="character" w:customStyle="1" w:styleId="TABLEBodyitalic">
    <w:name w:val="TABLE Body italic"/>
    <w:basedOn w:val="BodytextITALIC"/>
    <w:uiPriority w:val="1"/>
    <w:qFormat/>
    <w:rsid w:val="007713B1"/>
    <w:rPr>
      <w:rFonts w:ascii="Arial" w:hAnsi="Arial" w:cstheme="minorHAnsi"/>
      <w:i/>
      <w:color w:val="000000"/>
      <w:sz w:val="18"/>
    </w:rPr>
  </w:style>
  <w:style w:type="paragraph" w:customStyle="1" w:styleId="TABLEnumberedlist">
    <w:name w:val="TABLE numbered list"/>
    <w:basedOn w:val="TABLEBullets"/>
    <w:qFormat/>
    <w:rsid w:val="007713B1"/>
    <w:pPr>
      <w:numPr>
        <w:numId w:val="15"/>
      </w:numPr>
      <w:suppressAutoHyphens/>
    </w:pPr>
  </w:style>
  <w:style w:type="paragraph" w:customStyle="1" w:styleId="TABLESUBBullets">
    <w:name w:val="TABLE SUB Bullets"/>
    <w:basedOn w:val="TABLEBullets"/>
    <w:qFormat/>
    <w:rsid w:val="007713B1"/>
    <w:pPr>
      <w:numPr>
        <w:numId w:val="16"/>
      </w:numPr>
      <w:suppressAutoHyphens/>
    </w:pPr>
  </w:style>
  <w:style w:type="paragraph" w:customStyle="1" w:styleId="Heading2-NP">
    <w:name w:val="Heading 2 - NP"/>
    <w:basedOn w:val="Heading2"/>
    <w:qFormat/>
    <w:rsid w:val="007713B1"/>
    <w:pPr>
      <w:keepNext/>
      <w:pageBreakBefore/>
    </w:pPr>
    <w:rPr>
      <w:bCs w:val="0"/>
      <w:color w:val="275D38"/>
      <w:spacing w:val="0"/>
      <w:szCs w:val="32"/>
      <w:lang w:eastAsia="en-US"/>
    </w:rPr>
  </w:style>
  <w:style w:type="table" w:customStyle="1" w:styleId="Numericaltable1">
    <w:name w:val="Numerical table1"/>
    <w:basedOn w:val="TableNormal"/>
    <w:next w:val="TableGrid"/>
    <w:uiPriority w:val="39"/>
    <w:rsid w:val="007713B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39"/>
    <w:rsid w:val="007713B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39"/>
    <w:rsid w:val="007713B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
    <w:name w:val="Table Grid393"/>
    <w:basedOn w:val="TableNormal"/>
    <w:next w:val="TableGrid"/>
    <w:uiPriority w:val="39"/>
    <w:rsid w:val="007713B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4">
    <w:name w:val="Table Grid394"/>
    <w:basedOn w:val="TableNormal"/>
    <w:next w:val="TableGrid"/>
    <w:uiPriority w:val="39"/>
    <w:rsid w:val="007713B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5">
    <w:name w:val="Table Grid395"/>
    <w:basedOn w:val="TableNormal"/>
    <w:next w:val="TableGrid"/>
    <w:uiPriority w:val="39"/>
    <w:rsid w:val="007713B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6">
    <w:name w:val="Table Grid396"/>
    <w:basedOn w:val="TableNormal"/>
    <w:next w:val="TableGrid"/>
    <w:uiPriority w:val="39"/>
    <w:rsid w:val="007713B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7">
    <w:name w:val="Table Grid397"/>
    <w:basedOn w:val="TableNormal"/>
    <w:next w:val="TableGrid"/>
    <w:uiPriority w:val="39"/>
    <w:rsid w:val="007713B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next w:val="GridTable4-Accent3"/>
    <w:uiPriority w:val="49"/>
    <w:rsid w:val="007713B1"/>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0EEEE"/>
        <w:left w:val="single" w:sz="4" w:space="0" w:color="D0EEEE"/>
        <w:bottom w:val="single" w:sz="4" w:space="0" w:color="D0EEEE"/>
        <w:right w:val="single" w:sz="4" w:space="0" w:color="D0EEEE"/>
        <w:insideH w:val="single" w:sz="4" w:space="0" w:color="D0EEEE"/>
        <w:insideV w:val="single" w:sz="4" w:space="0" w:color="D0EEEE"/>
      </w:tblBorders>
    </w:tblPr>
    <w:tblStylePr w:type="firstRow">
      <w:rPr>
        <w:b/>
        <w:bCs/>
        <w:color w:val="FFFFFF"/>
      </w:rPr>
      <w:tblPr/>
      <w:tcPr>
        <w:tcBorders>
          <w:top w:val="single" w:sz="4" w:space="0" w:color="B1E4E3"/>
          <w:left w:val="single" w:sz="4" w:space="0" w:color="B1E4E3"/>
          <w:bottom w:val="single" w:sz="4" w:space="0" w:color="B1E4E3"/>
          <w:right w:val="single" w:sz="4" w:space="0" w:color="B1E4E3"/>
          <w:insideH w:val="nil"/>
          <w:insideV w:val="nil"/>
        </w:tcBorders>
        <w:shd w:val="clear" w:color="auto" w:fill="B1E4E3"/>
      </w:tcPr>
    </w:tblStylePr>
    <w:tblStylePr w:type="lastRow">
      <w:rPr>
        <w:b/>
        <w:bCs/>
      </w:rPr>
      <w:tblPr/>
      <w:tcPr>
        <w:tcBorders>
          <w:top w:val="double" w:sz="4" w:space="0" w:color="B1E4E3"/>
        </w:tcBorders>
      </w:tcPr>
    </w:tblStylePr>
    <w:tblStylePr w:type="firstCol">
      <w:rPr>
        <w:b/>
        <w:bCs/>
      </w:rPr>
    </w:tblStylePr>
    <w:tblStylePr w:type="lastCol">
      <w:rPr>
        <w:b/>
        <w:bCs/>
      </w:rPr>
    </w:tblStylePr>
    <w:tblStylePr w:type="band1Vert">
      <w:tblPr/>
      <w:tcPr>
        <w:shd w:val="clear" w:color="auto" w:fill="EFF9F9"/>
      </w:tcPr>
    </w:tblStylePr>
    <w:tblStylePr w:type="band1Horz">
      <w:tblPr/>
      <w:tcPr>
        <w:shd w:val="clear" w:color="auto" w:fill="EFF9F9"/>
      </w:tcPr>
    </w:tblStylePr>
  </w:style>
  <w:style w:type="table" w:styleId="GridTable4-Accent3">
    <w:name w:val="Grid Table 4 Accent 3"/>
    <w:basedOn w:val="TableNormal"/>
    <w:uiPriority w:val="49"/>
    <w:rsid w:val="007713B1"/>
    <w:pPr>
      <w:spacing w:after="0" w:line="240" w:lineRule="auto"/>
    </w:pPr>
    <w:rPr>
      <w:rFonts w:eastAsiaTheme="minorEastAsia"/>
    </w:rPr>
    <w:tblPr>
      <w:tblStyleRowBandSize w:val="1"/>
      <w:tblStyleColBandSize w:val="1"/>
      <w:tblBorders>
        <w:top w:val="single" w:sz="4" w:space="0" w:color="D0EEEE" w:themeColor="accent3" w:themeTint="99"/>
        <w:left w:val="single" w:sz="4" w:space="0" w:color="D0EEEE" w:themeColor="accent3" w:themeTint="99"/>
        <w:bottom w:val="single" w:sz="4" w:space="0" w:color="D0EEEE" w:themeColor="accent3" w:themeTint="99"/>
        <w:right w:val="single" w:sz="4" w:space="0" w:color="D0EEEE" w:themeColor="accent3" w:themeTint="99"/>
        <w:insideH w:val="single" w:sz="4" w:space="0" w:color="D0EEEE" w:themeColor="accent3" w:themeTint="99"/>
        <w:insideV w:val="single" w:sz="4" w:space="0" w:color="D0EEEE" w:themeColor="accent3" w:themeTint="99"/>
      </w:tblBorders>
    </w:tblPr>
    <w:tblStylePr w:type="firstRow">
      <w:rPr>
        <w:b/>
        <w:bCs/>
        <w:color w:val="FFFFFF" w:themeColor="background1"/>
      </w:rPr>
      <w:tblPr/>
      <w:tcPr>
        <w:tcBorders>
          <w:top w:val="single" w:sz="4" w:space="0" w:color="B1E4E3" w:themeColor="accent3"/>
          <w:left w:val="single" w:sz="4" w:space="0" w:color="B1E4E3" w:themeColor="accent3"/>
          <w:bottom w:val="single" w:sz="4" w:space="0" w:color="B1E4E3" w:themeColor="accent3"/>
          <w:right w:val="single" w:sz="4" w:space="0" w:color="B1E4E3" w:themeColor="accent3"/>
          <w:insideH w:val="nil"/>
          <w:insideV w:val="nil"/>
        </w:tcBorders>
        <w:shd w:val="clear" w:color="auto" w:fill="B1E4E3" w:themeFill="accent3"/>
      </w:tcPr>
    </w:tblStylePr>
    <w:tblStylePr w:type="lastRow">
      <w:rPr>
        <w:b/>
        <w:bCs/>
      </w:rPr>
      <w:tblPr/>
      <w:tcPr>
        <w:tcBorders>
          <w:top w:val="double" w:sz="4" w:space="0" w:color="B1E4E3" w:themeColor="accent3"/>
        </w:tcBorders>
      </w:tcPr>
    </w:tblStylePr>
    <w:tblStylePr w:type="firstCol">
      <w:rPr>
        <w:b/>
        <w:bCs/>
      </w:rPr>
    </w:tblStylePr>
    <w:tblStylePr w:type="lastCol">
      <w:rPr>
        <w:b/>
        <w:bCs/>
      </w:rPr>
    </w:tblStylePr>
    <w:tblStylePr w:type="band1Vert">
      <w:tblPr/>
      <w:tcPr>
        <w:shd w:val="clear" w:color="auto" w:fill="EFF9F9" w:themeFill="accent3" w:themeFillTint="33"/>
      </w:tcPr>
    </w:tblStylePr>
    <w:tblStylePr w:type="band1Horz">
      <w:tblPr/>
      <w:tcPr>
        <w:shd w:val="clear" w:color="auto" w:fill="EFF9F9"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8830">
      <w:bodyDiv w:val="1"/>
      <w:marLeft w:val="0"/>
      <w:marRight w:val="0"/>
      <w:marTop w:val="0"/>
      <w:marBottom w:val="0"/>
      <w:divBdr>
        <w:top w:val="none" w:sz="0" w:space="0" w:color="auto"/>
        <w:left w:val="none" w:sz="0" w:space="0" w:color="auto"/>
        <w:bottom w:val="none" w:sz="0" w:space="0" w:color="auto"/>
        <w:right w:val="none" w:sz="0" w:space="0" w:color="auto"/>
      </w:divBdr>
      <w:divsChild>
        <w:div w:id="1756003453">
          <w:marLeft w:val="547"/>
          <w:marRight w:val="0"/>
          <w:marTop w:val="0"/>
          <w:marBottom w:val="0"/>
          <w:divBdr>
            <w:top w:val="none" w:sz="0" w:space="0" w:color="auto"/>
            <w:left w:val="none" w:sz="0" w:space="0" w:color="auto"/>
            <w:bottom w:val="none" w:sz="0" w:space="0" w:color="auto"/>
            <w:right w:val="none" w:sz="0" w:space="0" w:color="auto"/>
          </w:divBdr>
        </w:div>
        <w:div w:id="974337618">
          <w:marLeft w:val="547"/>
          <w:marRight w:val="0"/>
          <w:marTop w:val="0"/>
          <w:marBottom w:val="0"/>
          <w:divBdr>
            <w:top w:val="none" w:sz="0" w:space="0" w:color="auto"/>
            <w:left w:val="none" w:sz="0" w:space="0" w:color="auto"/>
            <w:bottom w:val="none" w:sz="0" w:space="0" w:color="auto"/>
            <w:right w:val="none" w:sz="0" w:space="0" w:color="auto"/>
          </w:divBdr>
        </w:div>
      </w:divsChild>
    </w:div>
    <w:div w:id="95560491">
      <w:bodyDiv w:val="1"/>
      <w:marLeft w:val="0"/>
      <w:marRight w:val="0"/>
      <w:marTop w:val="0"/>
      <w:marBottom w:val="0"/>
      <w:divBdr>
        <w:top w:val="none" w:sz="0" w:space="0" w:color="auto"/>
        <w:left w:val="none" w:sz="0" w:space="0" w:color="auto"/>
        <w:bottom w:val="none" w:sz="0" w:space="0" w:color="auto"/>
        <w:right w:val="none" w:sz="0" w:space="0" w:color="auto"/>
      </w:divBdr>
      <w:divsChild>
        <w:div w:id="111558023">
          <w:marLeft w:val="547"/>
          <w:marRight w:val="0"/>
          <w:marTop w:val="0"/>
          <w:marBottom w:val="0"/>
          <w:divBdr>
            <w:top w:val="none" w:sz="0" w:space="0" w:color="auto"/>
            <w:left w:val="none" w:sz="0" w:space="0" w:color="auto"/>
            <w:bottom w:val="none" w:sz="0" w:space="0" w:color="auto"/>
            <w:right w:val="none" w:sz="0" w:space="0" w:color="auto"/>
          </w:divBdr>
        </w:div>
        <w:div w:id="274823804">
          <w:marLeft w:val="547"/>
          <w:marRight w:val="0"/>
          <w:marTop w:val="0"/>
          <w:marBottom w:val="0"/>
          <w:divBdr>
            <w:top w:val="none" w:sz="0" w:space="0" w:color="auto"/>
            <w:left w:val="none" w:sz="0" w:space="0" w:color="auto"/>
            <w:bottom w:val="none" w:sz="0" w:space="0" w:color="auto"/>
            <w:right w:val="none" w:sz="0" w:space="0" w:color="auto"/>
          </w:divBdr>
        </w:div>
      </w:divsChild>
    </w:div>
    <w:div w:id="152532566">
      <w:bodyDiv w:val="1"/>
      <w:marLeft w:val="0"/>
      <w:marRight w:val="0"/>
      <w:marTop w:val="0"/>
      <w:marBottom w:val="0"/>
      <w:divBdr>
        <w:top w:val="none" w:sz="0" w:space="0" w:color="auto"/>
        <w:left w:val="none" w:sz="0" w:space="0" w:color="auto"/>
        <w:bottom w:val="none" w:sz="0" w:space="0" w:color="auto"/>
        <w:right w:val="none" w:sz="0" w:space="0" w:color="auto"/>
      </w:divBdr>
    </w:div>
    <w:div w:id="266275402">
      <w:bodyDiv w:val="1"/>
      <w:marLeft w:val="0"/>
      <w:marRight w:val="0"/>
      <w:marTop w:val="0"/>
      <w:marBottom w:val="0"/>
      <w:divBdr>
        <w:top w:val="none" w:sz="0" w:space="0" w:color="auto"/>
        <w:left w:val="none" w:sz="0" w:space="0" w:color="auto"/>
        <w:bottom w:val="none" w:sz="0" w:space="0" w:color="auto"/>
        <w:right w:val="none" w:sz="0" w:space="0" w:color="auto"/>
      </w:divBdr>
      <w:divsChild>
        <w:div w:id="1271086487">
          <w:marLeft w:val="547"/>
          <w:marRight w:val="0"/>
          <w:marTop w:val="0"/>
          <w:marBottom w:val="0"/>
          <w:divBdr>
            <w:top w:val="none" w:sz="0" w:space="0" w:color="auto"/>
            <w:left w:val="none" w:sz="0" w:space="0" w:color="auto"/>
            <w:bottom w:val="none" w:sz="0" w:space="0" w:color="auto"/>
            <w:right w:val="none" w:sz="0" w:space="0" w:color="auto"/>
          </w:divBdr>
        </w:div>
        <w:div w:id="587734298">
          <w:marLeft w:val="547"/>
          <w:marRight w:val="0"/>
          <w:marTop w:val="0"/>
          <w:marBottom w:val="0"/>
          <w:divBdr>
            <w:top w:val="none" w:sz="0" w:space="0" w:color="auto"/>
            <w:left w:val="none" w:sz="0" w:space="0" w:color="auto"/>
            <w:bottom w:val="none" w:sz="0" w:space="0" w:color="auto"/>
            <w:right w:val="none" w:sz="0" w:space="0" w:color="auto"/>
          </w:divBdr>
        </w:div>
      </w:divsChild>
    </w:div>
    <w:div w:id="373233193">
      <w:bodyDiv w:val="1"/>
      <w:marLeft w:val="0"/>
      <w:marRight w:val="0"/>
      <w:marTop w:val="0"/>
      <w:marBottom w:val="0"/>
      <w:divBdr>
        <w:top w:val="none" w:sz="0" w:space="0" w:color="auto"/>
        <w:left w:val="none" w:sz="0" w:space="0" w:color="auto"/>
        <w:bottom w:val="none" w:sz="0" w:space="0" w:color="auto"/>
        <w:right w:val="none" w:sz="0" w:space="0" w:color="auto"/>
      </w:divBdr>
    </w:div>
    <w:div w:id="413168732">
      <w:bodyDiv w:val="1"/>
      <w:marLeft w:val="0"/>
      <w:marRight w:val="0"/>
      <w:marTop w:val="0"/>
      <w:marBottom w:val="0"/>
      <w:divBdr>
        <w:top w:val="none" w:sz="0" w:space="0" w:color="auto"/>
        <w:left w:val="none" w:sz="0" w:space="0" w:color="auto"/>
        <w:bottom w:val="none" w:sz="0" w:space="0" w:color="auto"/>
        <w:right w:val="none" w:sz="0" w:space="0" w:color="auto"/>
      </w:divBdr>
      <w:divsChild>
        <w:div w:id="408506149">
          <w:marLeft w:val="547"/>
          <w:marRight w:val="0"/>
          <w:marTop w:val="0"/>
          <w:marBottom w:val="0"/>
          <w:divBdr>
            <w:top w:val="none" w:sz="0" w:space="0" w:color="auto"/>
            <w:left w:val="none" w:sz="0" w:space="0" w:color="auto"/>
            <w:bottom w:val="none" w:sz="0" w:space="0" w:color="auto"/>
            <w:right w:val="none" w:sz="0" w:space="0" w:color="auto"/>
          </w:divBdr>
        </w:div>
        <w:div w:id="1856772565">
          <w:marLeft w:val="547"/>
          <w:marRight w:val="0"/>
          <w:marTop w:val="0"/>
          <w:marBottom w:val="0"/>
          <w:divBdr>
            <w:top w:val="none" w:sz="0" w:space="0" w:color="auto"/>
            <w:left w:val="none" w:sz="0" w:space="0" w:color="auto"/>
            <w:bottom w:val="none" w:sz="0" w:space="0" w:color="auto"/>
            <w:right w:val="none" w:sz="0" w:space="0" w:color="auto"/>
          </w:divBdr>
        </w:div>
      </w:divsChild>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43373891">
      <w:bodyDiv w:val="1"/>
      <w:marLeft w:val="0"/>
      <w:marRight w:val="0"/>
      <w:marTop w:val="0"/>
      <w:marBottom w:val="0"/>
      <w:divBdr>
        <w:top w:val="none" w:sz="0" w:space="0" w:color="auto"/>
        <w:left w:val="none" w:sz="0" w:space="0" w:color="auto"/>
        <w:bottom w:val="none" w:sz="0" w:space="0" w:color="auto"/>
        <w:right w:val="none" w:sz="0" w:space="0" w:color="auto"/>
      </w:divBdr>
      <w:divsChild>
        <w:div w:id="79568600">
          <w:marLeft w:val="547"/>
          <w:marRight w:val="0"/>
          <w:marTop w:val="0"/>
          <w:marBottom w:val="0"/>
          <w:divBdr>
            <w:top w:val="none" w:sz="0" w:space="0" w:color="auto"/>
            <w:left w:val="none" w:sz="0" w:space="0" w:color="auto"/>
            <w:bottom w:val="none" w:sz="0" w:space="0" w:color="auto"/>
            <w:right w:val="none" w:sz="0" w:space="0" w:color="auto"/>
          </w:divBdr>
        </w:div>
        <w:div w:id="1636328356">
          <w:marLeft w:val="547"/>
          <w:marRight w:val="0"/>
          <w:marTop w:val="0"/>
          <w:marBottom w:val="0"/>
          <w:divBdr>
            <w:top w:val="none" w:sz="0" w:space="0" w:color="auto"/>
            <w:left w:val="none" w:sz="0" w:space="0" w:color="auto"/>
            <w:bottom w:val="none" w:sz="0" w:space="0" w:color="auto"/>
            <w:right w:val="none" w:sz="0" w:space="0" w:color="auto"/>
          </w:divBdr>
        </w:div>
      </w:divsChild>
    </w:div>
    <w:div w:id="599097278">
      <w:bodyDiv w:val="1"/>
      <w:marLeft w:val="0"/>
      <w:marRight w:val="0"/>
      <w:marTop w:val="0"/>
      <w:marBottom w:val="0"/>
      <w:divBdr>
        <w:top w:val="none" w:sz="0" w:space="0" w:color="auto"/>
        <w:left w:val="none" w:sz="0" w:space="0" w:color="auto"/>
        <w:bottom w:val="none" w:sz="0" w:space="0" w:color="auto"/>
        <w:right w:val="none" w:sz="0" w:space="0" w:color="auto"/>
      </w:divBdr>
    </w:div>
    <w:div w:id="599604918">
      <w:bodyDiv w:val="1"/>
      <w:marLeft w:val="0"/>
      <w:marRight w:val="0"/>
      <w:marTop w:val="0"/>
      <w:marBottom w:val="0"/>
      <w:divBdr>
        <w:top w:val="none" w:sz="0" w:space="0" w:color="auto"/>
        <w:left w:val="none" w:sz="0" w:space="0" w:color="auto"/>
        <w:bottom w:val="none" w:sz="0" w:space="0" w:color="auto"/>
        <w:right w:val="none" w:sz="0" w:space="0" w:color="auto"/>
      </w:divBdr>
      <w:divsChild>
        <w:div w:id="420879286">
          <w:marLeft w:val="547"/>
          <w:marRight w:val="0"/>
          <w:marTop w:val="0"/>
          <w:marBottom w:val="0"/>
          <w:divBdr>
            <w:top w:val="none" w:sz="0" w:space="0" w:color="auto"/>
            <w:left w:val="none" w:sz="0" w:space="0" w:color="auto"/>
            <w:bottom w:val="none" w:sz="0" w:space="0" w:color="auto"/>
            <w:right w:val="none" w:sz="0" w:space="0" w:color="auto"/>
          </w:divBdr>
        </w:div>
        <w:div w:id="455762611">
          <w:marLeft w:val="547"/>
          <w:marRight w:val="0"/>
          <w:marTop w:val="0"/>
          <w:marBottom w:val="0"/>
          <w:divBdr>
            <w:top w:val="none" w:sz="0" w:space="0" w:color="auto"/>
            <w:left w:val="none" w:sz="0" w:space="0" w:color="auto"/>
            <w:bottom w:val="none" w:sz="0" w:space="0" w:color="auto"/>
            <w:right w:val="none" w:sz="0" w:space="0" w:color="auto"/>
          </w:divBdr>
        </w:div>
      </w:divsChild>
    </w:div>
    <w:div w:id="673607455">
      <w:bodyDiv w:val="1"/>
      <w:marLeft w:val="0"/>
      <w:marRight w:val="0"/>
      <w:marTop w:val="0"/>
      <w:marBottom w:val="0"/>
      <w:divBdr>
        <w:top w:val="none" w:sz="0" w:space="0" w:color="auto"/>
        <w:left w:val="none" w:sz="0" w:space="0" w:color="auto"/>
        <w:bottom w:val="none" w:sz="0" w:space="0" w:color="auto"/>
        <w:right w:val="none" w:sz="0" w:space="0" w:color="auto"/>
      </w:divBdr>
    </w:div>
    <w:div w:id="684600485">
      <w:bodyDiv w:val="1"/>
      <w:marLeft w:val="0"/>
      <w:marRight w:val="0"/>
      <w:marTop w:val="0"/>
      <w:marBottom w:val="0"/>
      <w:divBdr>
        <w:top w:val="none" w:sz="0" w:space="0" w:color="auto"/>
        <w:left w:val="none" w:sz="0" w:space="0" w:color="auto"/>
        <w:bottom w:val="none" w:sz="0" w:space="0" w:color="auto"/>
        <w:right w:val="none" w:sz="0" w:space="0" w:color="auto"/>
      </w:divBdr>
      <w:divsChild>
        <w:div w:id="665288383">
          <w:marLeft w:val="547"/>
          <w:marRight w:val="0"/>
          <w:marTop w:val="0"/>
          <w:marBottom w:val="0"/>
          <w:divBdr>
            <w:top w:val="none" w:sz="0" w:space="0" w:color="auto"/>
            <w:left w:val="none" w:sz="0" w:space="0" w:color="auto"/>
            <w:bottom w:val="none" w:sz="0" w:space="0" w:color="auto"/>
            <w:right w:val="none" w:sz="0" w:space="0" w:color="auto"/>
          </w:divBdr>
        </w:div>
        <w:div w:id="159126797">
          <w:marLeft w:val="547"/>
          <w:marRight w:val="0"/>
          <w:marTop w:val="0"/>
          <w:marBottom w:val="0"/>
          <w:divBdr>
            <w:top w:val="none" w:sz="0" w:space="0" w:color="auto"/>
            <w:left w:val="none" w:sz="0" w:space="0" w:color="auto"/>
            <w:bottom w:val="none" w:sz="0" w:space="0" w:color="auto"/>
            <w:right w:val="none" w:sz="0" w:space="0" w:color="auto"/>
          </w:divBdr>
        </w:div>
      </w:divsChild>
    </w:div>
    <w:div w:id="869798154">
      <w:bodyDiv w:val="1"/>
      <w:marLeft w:val="0"/>
      <w:marRight w:val="0"/>
      <w:marTop w:val="0"/>
      <w:marBottom w:val="0"/>
      <w:divBdr>
        <w:top w:val="none" w:sz="0" w:space="0" w:color="auto"/>
        <w:left w:val="none" w:sz="0" w:space="0" w:color="auto"/>
        <w:bottom w:val="none" w:sz="0" w:space="0" w:color="auto"/>
        <w:right w:val="none" w:sz="0" w:space="0" w:color="auto"/>
      </w:divBdr>
    </w:div>
    <w:div w:id="1016734247">
      <w:bodyDiv w:val="1"/>
      <w:marLeft w:val="0"/>
      <w:marRight w:val="0"/>
      <w:marTop w:val="0"/>
      <w:marBottom w:val="0"/>
      <w:divBdr>
        <w:top w:val="none" w:sz="0" w:space="0" w:color="auto"/>
        <w:left w:val="none" w:sz="0" w:space="0" w:color="auto"/>
        <w:bottom w:val="none" w:sz="0" w:space="0" w:color="auto"/>
        <w:right w:val="none" w:sz="0" w:space="0" w:color="auto"/>
      </w:divBdr>
    </w:div>
    <w:div w:id="1531988321">
      <w:bodyDiv w:val="1"/>
      <w:marLeft w:val="0"/>
      <w:marRight w:val="0"/>
      <w:marTop w:val="0"/>
      <w:marBottom w:val="0"/>
      <w:divBdr>
        <w:top w:val="none" w:sz="0" w:space="0" w:color="auto"/>
        <w:left w:val="none" w:sz="0" w:space="0" w:color="auto"/>
        <w:bottom w:val="none" w:sz="0" w:space="0" w:color="auto"/>
        <w:right w:val="none" w:sz="0" w:space="0" w:color="auto"/>
      </w:divBdr>
    </w:div>
    <w:div w:id="1578514635">
      <w:bodyDiv w:val="1"/>
      <w:marLeft w:val="0"/>
      <w:marRight w:val="0"/>
      <w:marTop w:val="0"/>
      <w:marBottom w:val="0"/>
      <w:divBdr>
        <w:top w:val="none" w:sz="0" w:space="0" w:color="auto"/>
        <w:left w:val="none" w:sz="0" w:space="0" w:color="auto"/>
        <w:bottom w:val="none" w:sz="0" w:space="0" w:color="auto"/>
        <w:right w:val="none" w:sz="0" w:space="0" w:color="auto"/>
      </w:divBdr>
      <w:divsChild>
        <w:div w:id="1699694625">
          <w:marLeft w:val="547"/>
          <w:marRight w:val="0"/>
          <w:marTop w:val="0"/>
          <w:marBottom w:val="0"/>
          <w:divBdr>
            <w:top w:val="none" w:sz="0" w:space="0" w:color="auto"/>
            <w:left w:val="none" w:sz="0" w:space="0" w:color="auto"/>
            <w:bottom w:val="none" w:sz="0" w:space="0" w:color="auto"/>
            <w:right w:val="none" w:sz="0" w:space="0" w:color="auto"/>
          </w:divBdr>
        </w:div>
        <w:div w:id="1231380222">
          <w:marLeft w:val="547"/>
          <w:marRight w:val="0"/>
          <w:marTop w:val="0"/>
          <w:marBottom w:val="0"/>
          <w:divBdr>
            <w:top w:val="none" w:sz="0" w:space="0" w:color="auto"/>
            <w:left w:val="none" w:sz="0" w:space="0" w:color="auto"/>
            <w:bottom w:val="none" w:sz="0" w:space="0" w:color="auto"/>
            <w:right w:val="none" w:sz="0" w:space="0" w:color="auto"/>
          </w:divBdr>
        </w:div>
      </w:divsChild>
    </w:div>
    <w:div w:id="1648121066">
      <w:bodyDiv w:val="1"/>
      <w:marLeft w:val="0"/>
      <w:marRight w:val="0"/>
      <w:marTop w:val="0"/>
      <w:marBottom w:val="0"/>
      <w:divBdr>
        <w:top w:val="none" w:sz="0" w:space="0" w:color="auto"/>
        <w:left w:val="none" w:sz="0" w:space="0" w:color="auto"/>
        <w:bottom w:val="none" w:sz="0" w:space="0" w:color="auto"/>
        <w:right w:val="none" w:sz="0" w:space="0" w:color="auto"/>
      </w:divBdr>
    </w:div>
    <w:div w:id="1657495348">
      <w:bodyDiv w:val="1"/>
      <w:marLeft w:val="0"/>
      <w:marRight w:val="0"/>
      <w:marTop w:val="0"/>
      <w:marBottom w:val="0"/>
      <w:divBdr>
        <w:top w:val="none" w:sz="0" w:space="0" w:color="auto"/>
        <w:left w:val="none" w:sz="0" w:space="0" w:color="auto"/>
        <w:bottom w:val="none" w:sz="0" w:space="0" w:color="auto"/>
        <w:right w:val="none" w:sz="0" w:space="0" w:color="auto"/>
      </w:divBdr>
      <w:divsChild>
        <w:div w:id="307591126">
          <w:marLeft w:val="547"/>
          <w:marRight w:val="0"/>
          <w:marTop w:val="0"/>
          <w:marBottom w:val="0"/>
          <w:divBdr>
            <w:top w:val="none" w:sz="0" w:space="0" w:color="auto"/>
            <w:left w:val="none" w:sz="0" w:space="0" w:color="auto"/>
            <w:bottom w:val="none" w:sz="0" w:space="0" w:color="auto"/>
            <w:right w:val="none" w:sz="0" w:space="0" w:color="auto"/>
          </w:divBdr>
        </w:div>
        <w:div w:id="473379089">
          <w:marLeft w:val="547"/>
          <w:marRight w:val="0"/>
          <w:marTop w:val="0"/>
          <w:marBottom w:val="0"/>
          <w:divBdr>
            <w:top w:val="none" w:sz="0" w:space="0" w:color="auto"/>
            <w:left w:val="none" w:sz="0" w:space="0" w:color="auto"/>
            <w:bottom w:val="none" w:sz="0" w:space="0" w:color="auto"/>
            <w:right w:val="none" w:sz="0" w:space="0" w:color="auto"/>
          </w:divBdr>
        </w:div>
      </w:divsChild>
    </w:div>
    <w:div w:id="19190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ommunications.gov.au/what-we-do/phone/services-people-disability/accesshub/national-relay-service"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tsanhonour.gov.au/coat-arms/index.cfm" TargetMode="External"/><Relationship Id="rId25" Type="http://schemas.openxmlformats.org/officeDocument/2006/relationships/image" Target="media/image8.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ommunications@dss.gov.au" TargetMode="External"/><Relationship Id="rId20" Type="http://schemas.openxmlformats.org/officeDocument/2006/relationships/image" Target="media/image4.jpeg"/><Relationship Id="rId29" Type="http://schemas.openxmlformats.org/officeDocument/2006/relationships/hyperlink" Target="https://www.dss.gov.au/sites/default/files/documents/11_2022/national_plan_to_end_violence_against_women_and_children_2022-203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https://www.dss.gov.au/sites/default/files/documents/08_2023/np-activities.pdf" TargetMode="External"/><Relationship Id="rId5" Type="http://schemas.openxmlformats.org/officeDocument/2006/relationships/numbering" Target="numbering.xml"/><Relationship Id="rId15" Type="http://schemas.openxmlformats.org/officeDocument/2006/relationships/hyperlink" Target="http://www.dss.gov.au" TargetMode="External"/><Relationship Id="rId23" Type="http://schemas.openxmlformats.org/officeDocument/2006/relationships/hyperlink" Target="http://www.disabilitygateway.gov.au/ads" TargetMode="External"/><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www.dss.gov.au/sites/default/files/documents/08_2023/np-atsi-ac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hyperlink" Target="https://www.dss.gov.au/sites/default/files/documents/08_2023/np-first-action-plan.pdf"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Long%20Report%20Template%20Blue.dotx" TargetMode="External"/></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8B1FD180853A54091C58BEFA1DDA377" ma:contentTypeVersion="" ma:contentTypeDescription="PDMS Document Site Content Type" ma:contentTypeScope="" ma:versionID="95cd5266bebfd45f6a928b5a5724b18d">
  <xsd:schema xmlns:xsd="http://www.w3.org/2001/XMLSchema" xmlns:xs="http://www.w3.org/2001/XMLSchema" xmlns:p="http://schemas.microsoft.com/office/2006/metadata/properties" xmlns:ns2="7A9E0824-0AAD-4A46-833E-62DBCFD4F8ED" targetNamespace="http://schemas.microsoft.com/office/2006/metadata/properties" ma:root="true" ma:fieldsID="6d63cc70ce0f771e90d7969847749a94" ns2:_="">
    <xsd:import namespace="7A9E0824-0AAD-4A46-833E-62DBCFD4F8E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E0824-0AAD-4A46-833E-62DBCFD4F8E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A9E0824-0AAD-4A46-833E-62DBCFD4F8E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DC628-C3D4-4FC3-98E0-EF70B8B00431}">
  <ds:schemaRefs>
    <ds:schemaRef ds:uri="http://schemas.microsoft.com/sharepoint/v3/contenttype/forms"/>
  </ds:schemaRefs>
</ds:datastoreItem>
</file>

<file path=customXml/itemProps2.xml><?xml version="1.0" encoding="utf-8"?>
<ds:datastoreItem xmlns:ds="http://schemas.openxmlformats.org/officeDocument/2006/customXml" ds:itemID="{7A37252E-112B-4334-9104-AEB41341D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E0824-0AAD-4A46-833E-62DBCFD4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FB8B2-9125-461B-80E2-1AF37F3889D2}">
  <ds:schemaRefs>
    <ds:schemaRef ds:uri="http://purl.org/dc/elements/1.1/"/>
    <ds:schemaRef ds:uri="7A9E0824-0AAD-4A46-833E-62DBCFD4F8ED"/>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12BB0AD-19EE-4482-9227-FDE1E297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Long Report Template Blue</Template>
  <TotalTime>1</TotalTime>
  <Pages>77</Pages>
  <Words>21753</Words>
  <Characters>125982</Characters>
  <Application>Microsoft Office Word</Application>
  <DocSecurity>0</DocSecurity>
  <Lines>2924</Lines>
  <Paragraphs>1400</Paragraphs>
  <ScaleCrop>false</ScaleCrop>
  <HeadingPairs>
    <vt:vector size="2" baseType="variant">
      <vt:variant>
        <vt:lpstr>Title</vt:lpstr>
      </vt:variant>
      <vt:variant>
        <vt:i4>1</vt:i4>
      </vt:variant>
    </vt:vector>
  </HeadingPairs>
  <TitlesOfParts>
    <vt:vector size="1" baseType="lpstr">
      <vt:lpstr>Insert title</vt:lpstr>
    </vt:vector>
  </TitlesOfParts>
  <Company>Department of Social Services</Company>
  <LinksUpToDate>false</LinksUpToDate>
  <CharactersWithSpaces>146758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
  <dc:creator>HONG, Susan</dc:creator>
  <cp:keywords>[SEC=OFFICIAL]</cp:keywords>
  <dc:description/>
  <cp:lastModifiedBy>DONLAN, Karen</cp:lastModifiedBy>
  <cp:revision>3</cp:revision>
  <cp:lastPrinted>2023-08-31T07:54:00Z</cp:lastPrinted>
  <dcterms:created xsi:type="dcterms:W3CDTF">2023-08-31T07:54:00Z</dcterms:created>
  <dcterms:modified xsi:type="dcterms:W3CDTF">2023-08-31T07:55:00Z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954F51376AEA4630BE40909C9EDDC4CD</vt:lpwstr>
  </property>
  <property fmtid="{D5CDD505-2E9C-101B-9397-08002B2CF9AE}" pid="9" name="PM_ProtectiveMarkingValue_Footer">
    <vt:lpwstr>OFFICIAL</vt:lpwstr>
  </property>
  <property fmtid="{D5CDD505-2E9C-101B-9397-08002B2CF9AE}" pid="10" name="PM_Originator_Hash_SHA1">
    <vt:lpwstr>1E910D2641656154B4986C9CEACA9EFF4401C764</vt:lpwstr>
  </property>
  <property fmtid="{D5CDD505-2E9C-101B-9397-08002B2CF9AE}" pid="11" name="PM_OriginationTimeStamp">
    <vt:lpwstr>2023-08-31T07:55:13Z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EF15EC8C616AA6A0EE269B8829CA886A</vt:lpwstr>
  </property>
  <property fmtid="{D5CDD505-2E9C-101B-9397-08002B2CF9AE}" pid="21" name="PM_Hash_Salt">
    <vt:lpwstr>8D2127F7B16F3F1381B84F41CFE951B1</vt:lpwstr>
  </property>
  <property fmtid="{D5CDD505-2E9C-101B-9397-08002B2CF9AE}" pid="22" name="PM_Hash_SHA1">
    <vt:lpwstr>1618FE43C33628EDEAA603A87AB75BD1AF7F9A9A</vt:lpwstr>
  </property>
  <property fmtid="{D5CDD505-2E9C-101B-9397-08002B2CF9AE}" pid="23" name="PM_OriginatorUserAccountName_SHA256">
    <vt:lpwstr>D228FDACA575BAA1FFEFC640ED42EA491BCA0B4F44949B605A0222FD609FDCA8</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0x010100266966F133664895A6EE3632470D45F50038B1FD180853A54091C58BEFA1DDA377</vt:lpwstr>
  </property>
</Properties>
</file>