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CEB67" w14:textId="309D967A" w:rsidR="00C96FF3" w:rsidRPr="00843A16" w:rsidRDefault="0053142B" w:rsidP="007D35F2">
      <w:pPr>
        <w:pStyle w:val="ReportTitle"/>
      </w:pPr>
      <w:r w:rsidRPr="00843A16">
        <w:t>National Consumer Protection Framework for Online Wagering Evaluation</w:t>
      </w:r>
      <w:r w:rsidR="00CC331D" w:rsidRPr="00843A16">
        <w:t>: Phase 1</w:t>
      </w:r>
    </w:p>
    <w:p w14:paraId="132F9707" w14:textId="21FD3C04" w:rsidR="00D718FB" w:rsidRPr="00843A16" w:rsidRDefault="000B7BF8" w:rsidP="00CF2487">
      <w:pPr>
        <w:pStyle w:val="ReportSubtitle"/>
        <w:jc w:val="left"/>
        <w:rPr>
          <w:color w:val="62136D" w:themeColor="accent2"/>
        </w:rPr>
      </w:pPr>
      <w:r w:rsidRPr="00843A16">
        <w:rPr>
          <w:color w:val="62136D" w:themeColor="accent2"/>
        </w:rPr>
        <w:t xml:space="preserve">Post-Implementation </w:t>
      </w:r>
      <w:r w:rsidR="00FC3C37" w:rsidRPr="00843A16">
        <w:rPr>
          <w:color w:val="62136D" w:themeColor="accent2"/>
        </w:rPr>
        <w:t xml:space="preserve">review and process evaluation – </w:t>
      </w:r>
      <w:r w:rsidR="00FE51EC">
        <w:rPr>
          <w:color w:val="62136D" w:themeColor="accent2"/>
        </w:rPr>
        <w:t>final</w:t>
      </w:r>
      <w:r w:rsidR="00FC3C37" w:rsidRPr="00843A16">
        <w:rPr>
          <w:color w:val="62136D" w:themeColor="accent2"/>
        </w:rPr>
        <w:t xml:space="preserve"> report</w:t>
      </w:r>
    </w:p>
    <w:p w14:paraId="227A665B" w14:textId="054C7996" w:rsidR="00966DAC" w:rsidRPr="00843A16" w:rsidRDefault="00966DAC" w:rsidP="00D16AEE">
      <w:pPr>
        <w:pStyle w:val="Reportauthors"/>
      </w:pPr>
      <w:r w:rsidRPr="00843A16">
        <w:t>Australian Gambling Research Centre</w:t>
      </w:r>
    </w:p>
    <w:p w14:paraId="330715A0" w14:textId="661722D5" w:rsidR="0006109E" w:rsidRPr="00843A16" w:rsidRDefault="007D35F2" w:rsidP="00D249F4">
      <w:pPr>
        <w:pStyle w:val="PlaceholderImage"/>
        <w:spacing w:line="240" w:lineRule="auto"/>
      </w:pPr>
      <w:r w:rsidRPr="00F27439">
        <w:rPr>
          <w:noProof/>
        </w:rPr>
        <w:drawing>
          <wp:inline distT="0" distB="0" distL="0" distR="0" wp14:anchorId="1391E26B" wp14:editId="5EA7DA04">
            <wp:extent cx="2671957" cy="3598315"/>
            <wp:effectExtent l="0" t="0" r="0" b="2540"/>
            <wp:docPr id="135665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57001" name="Picture 1"/>
                    <pic:cNvPicPr/>
                  </pic:nvPicPr>
                  <pic:blipFill>
                    <a:blip r:embed="rId8"/>
                    <a:stretch>
                      <a:fillRect/>
                    </a:stretch>
                  </pic:blipFill>
                  <pic:spPr>
                    <a:xfrm>
                      <a:off x="0" y="0"/>
                      <a:ext cx="2671957" cy="3598315"/>
                    </a:xfrm>
                    <a:prstGeom prst="rect">
                      <a:avLst/>
                    </a:prstGeom>
                  </pic:spPr>
                </pic:pic>
              </a:graphicData>
            </a:graphic>
          </wp:inline>
        </w:drawing>
      </w:r>
    </w:p>
    <w:p w14:paraId="31D5732B" w14:textId="77777777" w:rsidR="003A2FE4" w:rsidRPr="00843A16" w:rsidRDefault="003A2FE4" w:rsidP="00BF156A">
      <w:pPr>
        <w:pStyle w:val="BodyText"/>
        <w:sectPr w:rsidR="003A2FE4" w:rsidRPr="00843A16" w:rsidSect="001A2AF8">
          <w:headerReference w:type="even" r:id="rId9"/>
          <w:headerReference w:type="default" r:id="rId10"/>
          <w:footerReference w:type="even" r:id="rId11"/>
          <w:footerReference w:type="default" r:id="rId12"/>
          <w:headerReference w:type="first" r:id="rId13"/>
          <w:pgSz w:w="11901" w:h="16840"/>
          <w:pgMar w:top="1418" w:right="1701" w:bottom="1418" w:left="1701" w:header="1701" w:footer="680" w:gutter="0"/>
          <w:cols w:space="708"/>
          <w:noEndnote/>
          <w:titlePg/>
        </w:sectPr>
      </w:pPr>
    </w:p>
    <w:p w14:paraId="39AB42BF" w14:textId="2131275F" w:rsidR="00585986" w:rsidRPr="00843A16" w:rsidRDefault="00585986" w:rsidP="00585986">
      <w:pPr>
        <w:pStyle w:val="BoxHeading1"/>
        <w:spacing w:before="120" w:after="0" w:line="280" w:lineRule="atLeast"/>
      </w:pPr>
      <w:r w:rsidRPr="00843A16">
        <w:lastRenderedPageBreak/>
        <w:t xml:space="preserve">Sensitive </w:t>
      </w:r>
      <w:r w:rsidR="00FC3C37" w:rsidRPr="00843A16">
        <w:t>content warning</w:t>
      </w:r>
    </w:p>
    <w:p w14:paraId="49A6F491" w14:textId="6326FB22" w:rsidR="00585986" w:rsidRPr="00843A16" w:rsidRDefault="00585986" w:rsidP="00E444C4">
      <w:pPr>
        <w:pStyle w:val="BoxText"/>
        <w:rPr>
          <w:rFonts w:cs="Arial"/>
        </w:rPr>
      </w:pPr>
      <w:r w:rsidRPr="00843A16">
        <w:rPr>
          <w:rFonts w:cs="Arial"/>
        </w:rPr>
        <w:t>This content discusses gambling harm, if you or someone you know is experiencing gambling-related issues</w:t>
      </w:r>
      <w:r w:rsidR="00FC3C37">
        <w:rPr>
          <w:rFonts w:cs="Arial"/>
        </w:rPr>
        <w:t>,</w:t>
      </w:r>
      <w:r w:rsidRPr="00843A16">
        <w:rPr>
          <w:rFonts w:cs="Arial"/>
        </w:rPr>
        <w:t xml:space="preserve"> call Gambling Help on 1800 858 858 or visit the </w:t>
      </w:r>
      <w:hyperlink r:id="rId14" w:history="1">
        <w:r w:rsidRPr="00843A16">
          <w:rPr>
            <w:rStyle w:val="Hyperlink"/>
            <w:rFonts w:cs="Arial"/>
          </w:rPr>
          <w:t>website</w:t>
        </w:r>
      </w:hyperlink>
      <w:r w:rsidRPr="00843A16">
        <w:rPr>
          <w:rFonts w:cs="Arial"/>
        </w:rPr>
        <w:t> to chat with a trained professional online.</w:t>
      </w:r>
    </w:p>
    <w:p w14:paraId="6BDD8CDA" w14:textId="0A80C8C2" w:rsidR="00D6037A" w:rsidRPr="00843A16" w:rsidRDefault="00D6037A" w:rsidP="00657BAA">
      <w:pPr>
        <w:pStyle w:val="PrelimHeading1"/>
        <w:pageBreakBefore w:val="0"/>
      </w:pPr>
      <w:bookmarkStart w:id="0" w:name="_Toc233643265"/>
      <w:r w:rsidRPr="00843A16">
        <w:t>Acknowledgements</w:t>
      </w:r>
      <w:bookmarkEnd w:id="0"/>
    </w:p>
    <w:p w14:paraId="2D7183E1" w14:textId="77777777" w:rsidR="00D6037A" w:rsidRPr="00843A16" w:rsidRDefault="00D6037A" w:rsidP="00D6037A">
      <w:pPr>
        <w:pStyle w:val="BodyText"/>
        <w:keepNext/>
        <w:keepLines/>
      </w:pPr>
      <w:r w:rsidRPr="00843A16">
        <w:t>This report was commissioned and funded by the Department of Social Services (DSS).</w:t>
      </w:r>
    </w:p>
    <w:p w14:paraId="76DD0BCD" w14:textId="0046BB96" w:rsidR="00D6037A" w:rsidRPr="00843A16" w:rsidRDefault="00D6037A" w:rsidP="00D6037A">
      <w:pPr>
        <w:pStyle w:val="BodyText"/>
        <w:keepNext/>
        <w:keepLines/>
      </w:pPr>
      <w:r w:rsidRPr="00843A16">
        <w:t>The authors would like to thank the support and assistance provided by members of the N</w:t>
      </w:r>
      <w:r w:rsidR="0052514E">
        <w:t xml:space="preserve">ational </w:t>
      </w:r>
      <w:r w:rsidRPr="00843A16">
        <w:t>C</w:t>
      </w:r>
      <w:r w:rsidR="0052514E">
        <w:t xml:space="preserve">onsumer </w:t>
      </w:r>
      <w:r w:rsidRPr="00843A16">
        <w:t>P</w:t>
      </w:r>
      <w:r w:rsidR="0052514E">
        <w:t xml:space="preserve">rotection </w:t>
      </w:r>
      <w:r w:rsidRPr="00843A16">
        <w:t>F</w:t>
      </w:r>
      <w:r w:rsidR="0052514E">
        <w:t>ramework</w:t>
      </w:r>
      <w:r w:rsidRPr="00843A16">
        <w:t xml:space="preserve"> Evaluation Working Group (EWG), key stakeholders from the Commonwealth and </w:t>
      </w:r>
      <w:r w:rsidR="009A13AF">
        <w:t>s</w:t>
      </w:r>
      <w:r w:rsidRPr="00843A16">
        <w:t xml:space="preserve">tate and </w:t>
      </w:r>
      <w:r w:rsidR="009A13AF">
        <w:t>t</w:t>
      </w:r>
      <w:r w:rsidRPr="00843A16">
        <w:t xml:space="preserve">erritory </w:t>
      </w:r>
      <w:r w:rsidR="009A13AF">
        <w:t>government</w:t>
      </w:r>
      <w:r w:rsidRPr="00843A16">
        <w:t>s, wagering operators and peak bodies, academics, support service</w:t>
      </w:r>
      <w:r w:rsidR="00C52636">
        <w:t>s and advocacy groups</w:t>
      </w:r>
      <w:r w:rsidRPr="00843A16">
        <w:t xml:space="preserve"> </w:t>
      </w:r>
      <w:r w:rsidR="00037252">
        <w:t>as well as</w:t>
      </w:r>
      <w:r w:rsidR="00037252" w:rsidRPr="00843A16">
        <w:t xml:space="preserve"> </w:t>
      </w:r>
      <w:r w:rsidRPr="00843A16">
        <w:t>online wagerers surveyed and interviewed for sharing their lived experiences.</w:t>
      </w:r>
    </w:p>
    <w:p w14:paraId="60193EE2" w14:textId="77777777" w:rsidR="00A860CE" w:rsidRPr="00843A16" w:rsidRDefault="00D6037A" w:rsidP="00D6037A">
      <w:pPr>
        <w:pStyle w:val="BodyText"/>
        <w:keepNext/>
        <w:keepLines/>
      </w:pPr>
      <w:r w:rsidRPr="00843A16">
        <w:t xml:space="preserve">The Australian Gambling Research Centre (AGRC) was established under the Commonwealth </w:t>
      </w:r>
      <w:r w:rsidRPr="00843A16">
        <w:rPr>
          <w:i/>
          <w:iCs/>
        </w:rPr>
        <w:t>Gambling Measures Act 2012</w:t>
      </w:r>
      <w:r w:rsidRPr="00843A16">
        <w:t xml:space="preserve">. Our gambling research program reflects the Act, embodies a national perspective and has a strong family focus. Our work forms part of the functions of the Australian Institute of Family Studies (AIFS). </w:t>
      </w:r>
    </w:p>
    <w:p w14:paraId="191AB91A" w14:textId="57E3FACC" w:rsidR="00D6037A" w:rsidRPr="00843A16" w:rsidRDefault="00D6037A" w:rsidP="00D6037A">
      <w:pPr>
        <w:pStyle w:val="BodyText"/>
        <w:keepNext/>
        <w:keepLines/>
      </w:pPr>
      <w:r w:rsidRPr="00843A16">
        <w:t>This manuscript was refined with the assistance of Microsoft Copilot, an AI-powered tool that supported language and clarity improvements throughout the drafting process.</w:t>
      </w:r>
    </w:p>
    <w:p w14:paraId="1893BDCC" w14:textId="77777777" w:rsidR="00D6037A" w:rsidRPr="00843A16" w:rsidRDefault="00D6037A" w:rsidP="00585986">
      <w:pPr>
        <w:suppressAutoHyphens w:val="0"/>
        <w:spacing w:before="0" w:line="240" w:lineRule="auto"/>
        <w:jc w:val="left"/>
      </w:pPr>
    </w:p>
    <w:p w14:paraId="50EAD7E1" w14:textId="77777777" w:rsidR="00657BAA" w:rsidRPr="00843A16" w:rsidRDefault="00657BAA" w:rsidP="00585986">
      <w:pPr>
        <w:suppressAutoHyphens w:val="0"/>
        <w:spacing w:before="0" w:line="240" w:lineRule="auto"/>
        <w:jc w:val="left"/>
      </w:pPr>
    </w:p>
    <w:p w14:paraId="0DEAB5DC" w14:textId="77777777" w:rsidR="00532210" w:rsidRDefault="00532210" w:rsidP="00585986">
      <w:pPr>
        <w:suppressAutoHyphens w:val="0"/>
        <w:spacing w:before="0" w:line="240" w:lineRule="auto"/>
        <w:jc w:val="left"/>
      </w:pPr>
    </w:p>
    <w:p w14:paraId="2422B8FB" w14:textId="77777777" w:rsidR="004A07B8" w:rsidRPr="00843A16" w:rsidRDefault="004A07B8" w:rsidP="00585986">
      <w:pPr>
        <w:suppressAutoHyphens w:val="0"/>
        <w:spacing w:before="0" w:line="240" w:lineRule="auto"/>
        <w:jc w:val="left"/>
      </w:pPr>
    </w:p>
    <w:p w14:paraId="4309B7E7" w14:textId="77777777" w:rsidR="00D4090E" w:rsidRPr="00843A16" w:rsidRDefault="00D4090E" w:rsidP="00585986">
      <w:pPr>
        <w:suppressAutoHyphens w:val="0"/>
        <w:spacing w:before="0" w:line="240" w:lineRule="auto"/>
        <w:jc w:val="left"/>
      </w:pPr>
    </w:p>
    <w:p w14:paraId="0C380746" w14:textId="77777777" w:rsidR="00D4090E" w:rsidRPr="00843A16" w:rsidRDefault="00D4090E" w:rsidP="00585986">
      <w:pPr>
        <w:suppressAutoHyphens w:val="0"/>
        <w:spacing w:before="0" w:line="240" w:lineRule="auto"/>
        <w:jc w:val="left"/>
      </w:pPr>
    </w:p>
    <w:p w14:paraId="3DFCBD36" w14:textId="77777777" w:rsidR="00D4090E" w:rsidRPr="00843A16" w:rsidRDefault="00D4090E" w:rsidP="00585986">
      <w:pPr>
        <w:suppressAutoHyphens w:val="0"/>
        <w:spacing w:before="0" w:line="240" w:lineRule="auto"/>
        <w:jc w:val="left"/>
      </w:pPr>
    </w:p>
    <w:p w14:paraId="577FEC34" w14:textId="77777777" w:rsidR="00D4090E" w:rsidRPr="00843A16" w:rsidRDefault="00D4090E" w:rsidP="00585986">
      <w:pPr>
        <w:suppressAutoHyphens w:val="0"/>
        <w:spacing w:before="0" w:line="240" w:lineRule="auto"/>
        <w:jc w:val="left"/>
      </w:pPr>
    </w:p>
    <w:p w14:paraId="3D061485" w14:textId="77777777" w:rsidR="00D4090E" w:rsidRPr="00843A16" w:rsidRDefault="00D4090E" w:rsidP="00585986">
      <w:pPr>
        <w:suppressAutoHyphens w:val="0"/>
        <w:spacing w:before="0" w:line="240" w:lineRule="auto"/>
        <w:jc w:val="left"/>
      </w:pPr>
    </w:p>
    <w:p w14:paraId="32700DD8" w14:textId="77777777" w:rsidR="00D4090E" w:rsidRPr="00843A16" w:rsidRDefault="00D4090E" w:rsidP="00585986">
      <w:pPr>
        <w:suppressAutoHyphens w:val="0"/>
        <w:spacing w:before="0" w:line="240" w:lineRule="auto"/>
        <w:jc w:val="left"/>
      </w:pPr>
    </w:p>
    <w:p w14:paraId="3C750245" w14:textId="77777777" w:rsidR="00D4090E" w:rsidRPr="00843A16" w:rsidRDefault="00D4090E" w:rsidP="00585986">
      <w:pPr>
        <w:suppressAutoHyphens w:val="0"/>
        <w:spacing w:before="0" w:line="240" w:lineRule="auto"/>
        <w:jc w:val="left"/>
      </w:pPr>
    </w:p>
    <w:p w14:paraId="4B5E647C" w14:textId="77777777" w:rsidR="00D4090E" w:rsidRPr="00843A16" w:rsidRDefault="00D4090E" w:rsidP="00585986">
      <w:pPr>
        <w:suppressAutoHyphens w:val="0"/>
        <w:spacing w:before="0" w:line="240" w:lineRule="auto"/>
        <w:jc w:val="left"/>
      </w:pPr>
    </w:p>
    <w:p w14:paraId="3057AA68" w14:textId="77777777" w:rsidR="00D4090E" w:rsidRPr="00843A16" w:rsidRDefault="00D4090E" w:rsidP="00585986">
      <w:pPr>
        <w:suppressAutoHyphens w:val="0"/>
        <w:spacing w:before="0" w:line="240" w:lineRule="auto"/>
        <w:jc w:val="left"/>
      </w:pPr>
    </w:p>
    <w:p w14:paraId="19081301" w14:textId="77777777" w:rsidR="00D4090E" w:rsidRPr="00843A16" w:rsidRDefault="00D4090E" w:rsidP="00585986">
      <w:pPr>
        <w:suppressAutoHyphens w:val="0"/>
        <w:spacing w:before="0" w:line="240" w:lineRule="auto"/>
        <w:jc w:val="left"/>
      </w:pPr>
    </w:p>
    <w:p w14:paraId="0D108828" w14:textId="77777777" w:rsidR="00D4090E" w:rsidRPr="00843A16" w:rsidRDefault="00D4090E" w:rsidP="00585986">
      <w:pPr>
        <w:suppressAutoHyphens w:val="0"/>
        <w:spacing w:before="0" w:line="240" w:lineRule="auto"/>
        <w:jc w:val="left"/>
      </w:pPr>
    </w:p>
    <w:p w14:paraId="417F0BAA" w14:textId="77777777" w:rsidR="00D4090E" w:rsidRPr="00843A16" w:rsidRDefault="00D4090E" w:rsidP="00585986">
      <w:pPr>
        <w:suppressAutoHyphens w:val="0"/>
        <w:spacing w:before="0" w:line="240" w:lineRule="auto"/>
        <w:jc w:val="left"/>
      </w:pPr>
    </w:p>
    <w:p w14:paraId="3BDA3C71" w14:textId="77777777" w:rsidR="00D4090E" w:rsidRPr="00843A16" w:rsidRDefault="00D4090E" w:rsidP="00585986">
      <w:pPr>
        <w:suppressAutoHyphens w:val="0"/>
        <w:spacing w:before="0" w:line="240" w:lineRule="auto"/>
        <w:jc w:val="left"/>
      </w:pPr>
    </w:p>
    <w:p w14:paraId="145E2AFF" w14:textId="77777777" w:rsidR="00D4090E" w:rsidRPr="00843A16" w:rsidRDefault="00D4090E" w:rsidP="00585986">
      <w:pPr>
        <w:suppressAutoHyphens w:val="0"/>
        <w:spacing w:before="0" w:line="240" w:lineRule="auto"/>
        <w:jc w:val="left"/>
      </w:pPr>
    </w:p>
    <w:p w14:paraId="419F14CF" w14:textId="77777777" w:rsidR="00532210" w:rsidRPr="00843A16" w:rsidRDefault="00532210" w:rsidP="00585986">
      <w:pPr>
        <w:suppressAutoHyphens w:val="0"/>
        <w:spacing w:before="0" w:line="240" w:lineRule="auto"/>
        <w:jc w:val="left"/>
      </w:pPr>
    </w:p>
    <w:p w14:paraId="67D1A195" w14:textId="77777777" w:rsidR="00140067" w:rsidRPr="00843A16" w:rsidRDefault="00140067" w:rsidP="00585986">
      <w:pPr>
        <w:suppressAutoHyphens w:val="0"/>
        <w:spacing w:before="0" w:line="240" w:lineRule="auto"/>
        <w:jc w:val="left"/>
      </w:pPr>
    </w:p>
    <w:p w14:paraId="3F26F78F" w14:textId="4FFA743D" w:rsidR="00CA5A4D" w:rsidRPr="00843A16" w:rsidRDefault="00C308B2" w:rsidP="00CA5A4D">
      <w:pPr>
        <w:rPr>
          <w:lang w:bidi="en-US"/>
        </w:rPr>
        <w:sectPr w:rsidR="00CA5A4D" w:rsidRPr="00843A16" w:rsidSect="001A2AF8">
          <w:headerReference w:type="first" r:id="rId15"/>
          <w:footerReference w:type="first" r:id="rId16"/>
          <w:pgSz w:w="11901" w:h="16840"/>
          <w:pgMar w:top="1418" w:right="1701" w:bottom="1418" w:left="1701" w:header="1701" w:footer="680" w:gutter="0"/>
          <w:cols w:space="708"/>
          <w:noEndnote/>
          <w:titlePg/>
          <w:docGrid w:linePitch="272"/>
        </w:sectPr>
      </w:pPr>
      <w:r w:rsidRPr="00F27439">
        <w:rPr>
          <w:noProof/>
        </w:rPr>
        <w:drawing>
          <wp:inline distT="0" distB="0" distL="0" distR="0" wp14:anchorId="2F78E13C" wp14:editId="2DC9EF74">
            <wp:extent cx="5396865" cy="808355"/>
            <wp:effectExtent l="0" t="0" r="0" b="0"/>
            <wp:docPr id="838020900" name="Picture 1" descr="A close-up of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0900" name="Picture 1" descr="A close-up of a white paper&#10;&#10;AI-generated content may be incorrect."/>
                    <pic:cNvPicPr/>
                  </pic:nvPicPr>
                  <pic:blipFill>
                    <a:blip r:embed="rId17"/>
                    <a:stretch>
                      <a:fillRect/>
                    </a:stretch>
                  </pic:blipFill>
                  <pic:spPr>
                    <a:xfrm>
                      <a:off x="0" y="0"/>
                      <a:ext cx="5396865" cy="808355"/>
                    </a:xfrm>
                    <a:prstGeom prst="rect">
                      <a:avLst/>
                    </a:prstGeom>
                  </pic:spPr>
                </pic:pic>
              </a:graphicData>
            </a:graphic>
          </wp:inline>
        </w:drawing>
      </w:r>
    </w:p>
    <w:p w14:paraId="54F3FC7E" w14:textId="6718C560" w:rsidR="008128E5" w:rsidRPr="00843A16" w:rsidRDefault="008128E5" w:rsidP="00D16AEE">
      <w:pPr>
        <w:pStyle w:val="ContentsHeading"/>
        <w:tabs>
          <w:tab w:val="center" w:pos="4249"/>
        </w:tabs>
      </w:pPr>
      <w:r w:rsidRPr="00843A16">
        <w:lastRenderedPageBreak/>
        <w:t>Contents</w:t>
      </w:r>
    </w:p>
    <w:sdt>
      <w:sdtPr>
        <w:rPr>
          <w:szCs w:val="20"/>
        </w:rPr>
        <w:id w:val="-1614508945"/>
        <w:docPartObj>
          <w:docPartGallery w:val="Table of Contents"/>
          <w:docPartUnique/>
        </w:docPartObj>
      </w:sdtPr>
      <w:sdtEndPr>
        <w:rPr>
          <w:b/>
          <w:bCs/>
        </w:rPr>
      </w:sdtEndPr>
      <w:sdtContent>
        <w:p w14:paraId="52CADB83" w14:textId="63B4E53E" w:rsidR="00D565DA" w:rsidRPr="00FC3C37" w:rsidRDefault="00D565DA" w:rsidP="00D16AEE"/>
        <w:p w14:paraId="6BA88F0C" w14:textId="0F57375C" w:rsidR="00AA271E" w:rsidRDefault="00D565DA">
          <w:pPr>
            <w:pStyle w:val="TOC1"/>
            <w:rPr>
              <w:rFonts w:asciiTheme="minorHAnsi" w:hAnsiTheme="minorHAnsi" w:cstheme="minorBidi"/>
              <w:bCs w:val="0"/>
              <w:noProof/>
              <w:color w:val="auto"/>
              <w:kern w:val="2"/>
              <w:sz w:val="24"/>
              <w:szCs w:val="24"/>
              <w:lang w:eastAsia="en-AU"/>
              <w14:ligatures w14:val="standardContextual"/>
            </w:rPr>
          </w:pPr>
          <w:r w:rsidRPr="00FF7BBF">
            <w:fldChar w:fldCharType="begin"/>
          </w:r>
          <w:r w:rsidRPr="00843A16">
            <w:instrText xml:space="preserve"> TOC \o "1-3" \h \z \u </w:instrText>
          </w:r>
          <w:r w:rsidRPr="00FF7BBF">
            <w:fldChar w:fldCharType="separate"/>
          </w:r>
          <w:hyperlink w:anchor="_Toc233643265" w:history="1">
            <w:r w:rsidR="00AA271E" w:rsidRPr="002E472E">
              <w:rPr>
                <w:rStyle w:val="Hyperlink"/>
                <w:noProof/>
              </w:rPr>
              <w:t>Acknowledgements</w:t>
            </w:r>
            <w:r w:rsidR="00AA271E">
              <w:rPr>
                <w:noProof/>
                <w:webHidden/>
              </w:rPr>
              <w:tab/>
            </w:r>
            <w:r w:rsidR="00AA271E">
              <w:rPr>
                <w:noProof/>
                <w:webHidden/>
              </w:rPr>
              <w:fldChar w:fldCharType="begin"/>
            </w:r>
            <w:r w:rsidR="00AA271E">
              <w:rPr>
                <w:noProof/>
                <w:webHidden/>
              </w:rPr>
              <w:instrText xml:space="preserve"> PAGEREF _Toc233643265 \h </w:instrText>
            </w:r>
            <w:r w:rsidR="00AA271E">
              <w:rPr>
                <w:noProof/>
                <w:webHidden/>
              </w:rPr>
            </w:r>
            <w:r w:rsidR="00AA271E">
              <w:rPr>
                <w:noProof/>
                <w:webHidden/>
              </w:rPr>
              <w:fldChar w:fldCharType="separate"/>
            </w:r>
            <w:r w:rsidR="00AA271E">
              <w:rPr>
                <w:noProof/>
                <w:webHidden/>
              </w:rPr>
              <w:t>2</w:t>
            </w:r>
            <w:r w:rsidR="00AA271E">
              <w:rPr>
                <w:noProof/>
                <w:webHidden/>
              </w:rPr>
              <w:fldChar w:fldCharType="end"/>
            </w:r>
          </w:hyperlink>
        </w:p>
        <w:p w14:paraId="3C84A3B0" w14:textId="5C902A1A"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266" w:history="1">
            <w:r w:rsidRPr="002E472E">
              <w:rPr>
                <w:rStyle w:val="Hyperlink"/>
                <w:noProof/>
              </w:rPr>
              <w:t>Abbreviations and key terms</w:t>
            </w:r>
            <w:r>
              <w:rPr>
                <w:noProof/>
                <w:webHidden/>
              </w:rPr>
              <w:tab/>
            </w:r>
            <w:r>
              <w:rPr>
                <w:noProof/>
                <w:webHidden/>
              </w:rPr>
              <w:fldChar w:fldCharType="begin"/>
            </w:r>
            <w:r>
              <w:rPr>
                <w:noProof/>
                <w:webHidden/>
              </w:rPr>
              <w:instrText xml:space="preserve"> PAGEREF _Toc233643266 \h </w:instrText>
            </w:r>
            <w:r>
              <w:rPr>
                <w:noProof/>
                <w:webHidden/>
              </w:rPr>
            </w:r>
            <w:r>
              <w:rPr>
                <w:noProof/>
                <w:webHidden/>
              </w:rPr>
              <w:fldChar w:fldCharType="separate"/>
            </w:r>
            <w:r>
              <w:rPr>
                <w:noProof/>
                <w:webHidden/>
              </w:rPr>
              <w:t>5</w:t>
            </w:r>
            <w:r>
              <w:rPr>
                <w:noProof/>
                <w:webHidden/>
              </w:rPr>
              <w:fldChar w:fldCharType="end"/>
            </w:r>
          </w:hyperlink>
        </w:p>
        <w:p w14:paraId="4788792B" w14:textId="60638C0D"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267" w:history="1">
            <w:r w:rsidRPr="002E472E">
              <w:rPr>
                <w:rStyle w:val="Hyperlink"/>
                <w:noProof/>
              </w:rPr>
              <w:t>Executive summary</w:t>
            </w:r>
            <w:r>
              <w:rPr>
                <w:noProof/>
                <w:webHidden/>
              </w:rPr>
              <w:tab/>
            </w:r>
            <w:r>
              <w:rPr>
                <w:noProof/>
                <w:webHidden/>
              </w:rPr>
              <w:fldChar w:fldCharType="begin"/>
            </w:r>
            <w:r>
              <w:rPr>
                <w:noProof/>
                <w:webHidden/>
              </w:rPr>
              <w:instrText xml:space="preserve"> PAGEREF _Toc233643267 \h </w:instrText>
            </w:r>
            <w:r>
              <w:rPr>
                <w:noProof/>
                <w:webHidden/>
              </w:rPr>
            </w:r>
            <w:r>
              <w:rPr>
                <w:noProof/>
                <w:webHidden/>
              </w:rPr>
              <w:fldChar w:fldCharType="separate"/>
            </w:r>
            <w:r>
              <w:rPr>
                <w:noProof/>
                <w:webHidden/>
              </w:rPr>
              <w:t>7</w:t>
            </w:r>
            <w:r>
              <w:rPr>
                <w:noProof/>
                <w:webHidden/>
              </w:rPr>
              <w:fldChar w:fldCharType="end"/>
            </w:r>
          </w:hyperlink>
        </w:p>
        <w:p w14:paraId="599D457B" w14:textId="42D3A809"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68" w:history="1">
            <w:r w:rsidRPr="002E472E">
              <w:rPr>
                <w:rStyle w:val="Hyperlink"/>
                <w:noProof/>
              </w:rPr>
              <w:t>Key findings and recommendations</w:t>
            </w:r>
            <w:r>
              <w:rPr>
                <w:noProof/>
                <w:webHidden/>
              </w:rPr>
              <w:tab/>
            </w:r>
            <w:r>
              <w:rPr>
                <w:noProof/>
                <w:webHidden/>
              </w:rPr>
              <w:fldChar w:fldCharType="begin"/>
            </w:r>
            <w:r>
              <w:rPr>
                <w:noProof/>
                <w:webHidden/>
              </w:rPr>
              <w:instrText xml:space="preserve"> PAGEREF _Toc233643268 \h </w:instrText>
            </w:r>
            <w:r>
              <w:rPr>
                <w:noProof/>
                <w:webHidden/>
              </w:rPr>
            </w:r>
            <w:r>
              <w:rPr>
                <w:noProof/>
                <w:webHidden/>
              </w:rPr>
              <w:fldChar w:fldCharType="separate"/>
            </w:r>
            <w:r>
              <w:rPr>
                <w:noProof/>
                <w:webHidden/>
              </w:rPr>
              <w:t>9</w:t>
            </w:r>
            <w:r>
              <w:rPr>
                <w:noProof/>
                <w:webHidden/>
              </w:rPr>
              <w:fldChar w:fldCharType="end"/>
            </w:r>
          </w:hyperlink>
        </w:p>
        <w:p w14:paraId="017F57E1" w14:textId="1E476FBE"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69" w:history="1">
            <w:r w:rsidRPr="002E472E">
              <w:rPr>
                <w:rStyle w:val="Hyperlink"/>
                <w:noProof/>
              </w:rPr>
              <w:t>Implementation and timeliness</w:t>
            </w:r>
            <w:r>
              <w:rPr>
                <w:noProof/>
                <w:webHidden/>
              </w:rPr>
              <w:tab/>
            </w:r>
            <w:r>
              <w:rPr>
                <w:noProof/>
                <w:webHidden/>
              </w:rPr>
              <w:fldChar w:fldCharType="begin"/>
            </w:r>
            <w:r>
              <w:rPr>
                <w:noProof/>
                <w:webHidden/>
              </w:rPr>
              <w:instrText xml:space="preserve"> PAGEREF _Toc233643269 \h </w:instrText>
            </w:r>
            <w:r>
              <w:rPr>
                <w:noProof/>
                <w:webHidden/>
              </w:rPr>
            </w:r>
            <w:r>
              <w:rPr>
                <w:noProof/>
                <w:webHidden/>
              </w:rPr>
              <w:fldChar w:fldCharType="separate"/>
            </w:r>
            <w:r>
              <w:rPr>
                <w:noProof/>
                <w:webHidden/>
              </w:rPr>
              <w:t>9</w:t>
            </w:r>
            <w:r>
              <w:rPr>
                <w:noProof/>
                <w:webHidden/>
              </w:rPr>
              <w:fldChar w:fldCharType="end"/>
            </w:r>
          </w:hyperlink>
        </w:p>
        <w:p w14:paraId="0D5AFE33" w14:textId="6C01C803"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70" w:history="1">
            <w:r w:rsidRPr="002E472E">
              <w:rPr>
                <w:rStyle w:val="Hyperlink"/>
                <w:noProof/>
              </w:rPr>
              <w:t>Promotion, education, awareness and uptake</w:t>
            </w:r>
            <w:r>
              <w:rPr>
                <w:noProof/>
                <w:webHidden/>
              </w:rPr>
              <w:tab/>
            </w:r>
            <w:r>
              <w:rPr>
                <w:noProof/>
                <w:webHidden/>
              </w:rPr>
              <w:fldChar w:fldCharType="begin"/>
            </w:r>
            <w:r>
              <w:rPr>
                <w:noProof/>
                <w:webHidden/>
              </w:rPr>
              <w:instrText xml:space="preserve"> PAGEREF _Toc233643270 \h </w:instrText>
            </w:r>
            <w:r>
              <w:rPr>
                <w:noProof/>
                <w:webHidden/>
              </w:rPr>
            </w:r>
            <w:r>
              <w:rPr>
                <w:noProof/>
                <w:webHidden/>
              </w:rPr>
              <w:fldChar w:fldCharType="separate"/>
            </w:r>
            <w:r>
              <w:rPr>
                <w:noProof/>
                <w:webHidden/>
              </w:rPr>
              <w:t>9</w:t>
            </w:r>
            <w:r>
              <w:rPr>
                <w:noProof/>
                <w:webHidden/>
              </w:rPr>
              <w:fldChar w:fldCharType="end"/>
            </w:r>
          </w:hyperlink>
        </w:p>
        <w:p w14:paraId="76D6AB7D" w14:textId="40D383C2"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71" w:history="1">
            <w:r w:rsidRPr="002E472E">
              <w:rPr>
                <w:rStyle w:val="Hyperlink"/>
                <w:noProof/>
              </w:rPr>
              <w:t>Compliance and enforcement</w:t>
            </w:r>
            <w:r>
              <w:rPr>
                <w:noProof/>
                <w:webHidden/>
              </w:rPr>
              <w:tab/>
            </w:r>
            <w:r>
              <w:rPr>
                <w:noProof/>
                <w:webHidden/>
              </w:rPr>
              <w:fldChar w:fldCharType="begin"/>
            </w:r>
            <w:r>
              <w:rPr>
                <w:noProof/>
                <w:webHidden/>
              </w:rPr>
              <w:instrText xml:space="preserve"> PAGEREF _Toc233643271 \h </w:instrText>
            </w:r>
            <w:r>
              <w:rPr>
                <w:noProof/>
                <w:webHidden/>
              </w:rPr>
            </w:r>
            <w:r>
              <w:rPr>
                <w:noProof/>
                <w:webHidden/>
              </w:rPr>
              <w:fldChar w:fldCharType="separate"/>
            </w:r>
            <w:r>
              <w:rPr>
                <w:noProof/>
                <w:webHidden/>
              </w:rPr>
              <w:t>10</w:t>
            </w:r>
            <w:r>
              <w:rPr>
                <w:noProof/>
                <w:webHidden/>
              </w:rPr>
              <w:fldChar w:fldCharType="end"/>
            </w:r>
          </w:hyperlink>
        </w:p>
        <w:p w14:paraId="247DD243" w14:textId="7A7B4ABF"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72" w:history="1">
            <w:r w:rsidRPr="002E472E">
              <w:rPr>
                <w:rStyle w:val="Hyperlink"/>
                <w:noProof/>
              </w:rPr>
              <w:t>Measure protection and consistency</w:t>
            </w:r>
            <w:r>
              <w:rPr>
                <w:noProof/>
                <w:webHidden/>
              </w:rPr>
              <w:tab/>
            </w:r>
            <w:r>
              <w:rPr>
                <w:noProof/>
                <w:webHidden/>
              </w:rPr>
              <w:fldChar w:fldCharType="begin"/>
            </w:r>
            <w:r>
              <w:rPr>
                <w:noProof/>
                <w:webHidden/>
              </w:rPr>
              <w:instrText xml:space="preserve"> PAGEREF _Toc233643272 \h </w:instrText>
            </w:r>
            <w:r>
              <w:rPr>
                <w:noProof/>
                <w:webHidden/>
              </w:rPr>
            </w:r>
            <w:r>
              <w:rPr>
                <w:noProof/>
                <w:webHidden/>
              </w:rPr>
              <w:fldChar w:fldCharType="separate"/>
            </w:r>
            <w:r>
              <w:rPr>
                <w:noProof/>
                <w:webHidden/>
              </w:rPr>
              <w:t>11</w:t>
            </w:r>
            <w:r>
              <w:rPr>
                <w:noProof/>
                <w:webHidden/>
              </w:rPr>
              <w:fldChar w:fldCharType="end"/>
            </w:r>
          </w:hyperlink>
        </w:p>
        <w:p w14:paraId="09F8092B" w14:textId="0A1DD421"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73" w:history="1">
            <w:r w:rsidRPr="002E472E">
              <w:rPr>
                <w:rStyle w:val="Hyperlink"/>
                <w:noProof/>
              </w:rPr>
              <w:t>Conclusions and next steps</w:t>
            </w:r>
            <w:r>
              <w:rPr>
                <w:noProof/>
                <w:webHidden/>
              </w:rPr>
              <w:tab/>
            </w:r>
            <w:r>
              <w:rPr>
                <w:noProof/>
                <w:webHidden/>
              </w:rPr>
              <w:fldChar w:fldCharType="begin"/>
            </w:r>
            <w:r>
              <w:rPr>
                <w:noProof/>
                <w:webHidden/>
              </w:rPr>
              <w:instrText xml:space="preserve"> PAGEREF _Toc233643273 \h </w:instrText>
            </w:r>
            <w:r>
              <w:rPr>
                <w:noProof/>
                <w:webHidden/>
              </w:rPr>
            </w:r>
            <w:r>
              <w:rPr>
                <w:noProof/>
                <w:webHidden/>
              </w:rPr>
              <w:fldChar w:fldCharType="separate"/>
            </w:r>
            <w:r>
              <w:rPr>
                <w:noProof/>
                <w:webHidden/>
              </w:rPr>
              <w:t>14</w:t>
            </w:r>
            <w:r>
              <w:rPr>
                <w:noProof/>
                <w:webHidden/>
              </w:rPr>
              <w:fldChar w:fldCharType="end"/>
            </w:r>
          </w:hyperlink>
        </w:p>
        <w:p w14:paraId="0B846C46" w14:textId="3431122B" w:rsidR="00AA271E" w:rsidRDefault="00AA271E">
          <w:pPr>
            <w:pStyle w:val="TOC1"/>
            <w:tabs>
              <w:tab w:val="left" w:pos="600"/>
            </w:tabs>
            <w:rPr>
              <w:rFonts w:asciiTheme="minorHAnsi" w:hAnsiTheme="minorHAnsi" w:cstheme="minorBidi"/>
              <w:bCs w:val="0"/>
              <w:noProof/>
              <w:color w:val="auto"/>
              <w:kern w:val="2"/>
              <w:sz w:val="24"/>
              <w:szCs w:val="24"/>
              <w:lang w:eastAsia="en-AU"/>
              <w14:ligatures w14:val="standardContextual"/>
            </w:rPr>
          </w:pPr>
          <w:hyperlink w:anchor="_Toc233643274" w:history="1">
            <w:r w:rsidRPr="002E472E">
              <w:rPr>
                <w:rStyle w:val="Hyperlink"/>
                <w:noProof/>
              </w:rPr>
              <w:t>1.</w:t>
            </w:r>
            <w:r>
              <w:rPr>
                <w:rFonts w:asciiTheme="minorHAnsi" w:hAnsiTheme="minorHAnsi" w:cstheme="minorBidi"/>
                <w:bCs w:val="0"/>
                <w:noProof/>
                <w:color w:val="auto"/>
                <w:kern w:val="2"/>
                <w:sz w:val="24"/>
                <w:szCs w:val="24"/>
                <w:lang w:eastAsia="en-AU"/>
                <w14:ligatures w14:val="standardContextual"/>
              </w:rPr>
              <w:tab/>
            </w:r>
            <w:r w:rsidRPr="002E472E">
              <w:rPr>
                <w:rStyle w:val="Hyperlink"/>
                <w:noProof/>
              </w:rPr>
              <w:t>Introduction</w:t>
            </w:r>
            <w:r>
              <w:rPr>
                <w:noProof/>
                <w:webHidden/>
              </w:rPr>
              <w:tab/>
            </w:r>
            <w:r>
              <w:rPr>
                <w:noProof/>
                <w:webHidden/>
              </w:rPr>
              <w:fldChar w:fldCharType="begin"/>
            </w:r>
            <w:r>
              <w:rPr>
                <w:noProof/>
                <w:webHidden/>
              </w:rPr>
              <w:instrText xml:space="preserve"> PAGEREF _Toc233643274 \h </w:instrText>
            </w:r>
            <w:r>
              <w:rPr>
                <w:noProof/>
                <w:webHidden/>
              </w:rPr>
            </w:r>
            <w:r>
              <w:rPr>
                <w:noProof/>
                <w:webHidden/>
              </w:rPr>
              <w:fldChar w:fldCharType="separate"/>
            </w:r>
            <w:r>
              <w:rPr>
                <w:noProof/>
                <w:webHidden/>
              </w:rPr>
              <w:t>15</w:t>
            </w:r>
            <w:r>
              <w:rPr>
                <w:noProof/>
                <w:webHidden/>
              </w:rPr>
              <w:fldChar w:fldCharType="end"/>
            </w:r>
          </w:hyperlink>
        </w:p>
        <w:p w14:paraId="723A6F00" w14:textId="6ED7DB46"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75" w:history="1">
            <w:r w:rsidRPr="002E472E">
              <w:rPr>
                <w:rStyle w:val="Hyperlink"/>
                <w:noProof/>
              </w:rPr>
              <w:t>Purpose and scope of the evaluation</w:t>
            </w:r>
            <w:r>
              <w:rPr>
                <w:noProof/>
                <w:webHidden/>
              </w:rPr>
              <w:tab/>
            </w:r>
            <w:r>
              <w:rPr>
                <w:noProof/>
                <w:webHidden/>
              </w:rPr>
              <w:fldChar w:fldCharType="begin"/>
            </w:r>
            <w:r>
              <w:rPr>
                <w:noProof/>
                <w:webHidden/>
              </w:rPr>
              <w:instrText xml:space="preserve"> PAGEREF _Toc233643275 \h </w:instrText>
            </w:r>
            <w:r>
              <w:rPr>
                <w:noProof/>
                <w:webHidden/>
              </w:rPr>
            </w:r>
            <w:r>
              <w:rPr>
                <w:noProof/>
                <w:webHidden/>
              </w:rPr>
              <w:fldChar w:fldCharType="separate"/>
            </w:r>
            <w:r>
              <w:rPr>
                <w:noProof/>
                <w:webHidden/>
              </w:rPr>
              <w:t>15</w:t>
            </w:r>
            <w:r>
              <w:rPr>
                <w:noProof/>
                <w:webHidden/>
              </w:rPr>
              <w:fldChar w:fldCharType="end"/>
            </w:r>
          </w:hyperlink>
        </w:p>
        <w:p w14:paraId="46C14E55" w14:textId="34BF3EB5"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76" w:history="1">
            <w:r w:rsidRPr="002E472E">
              <w:rPr>
                <w:rStyle w:val="Hyperlink"/>
                <w:noProof/>
              </w:rPr>
              <w:t>Structure of this report</w:t>
            </w:r>
            <w:r>
              <w:rPr>
                <w:noProof/>
                <w:webHidden/>
              </w:rPr>
              <w:tab/>
            </w:r>
            <w:r>
              <w:rPr>
                <w:noProof/>
                <w:webHidden/>
              </w:rPr>
              <w:fldChar w:fldCharType="begin"/>
            </w:r>
            <w:r>
              <w:rPr>
                <w:noProof/>
                <w:webHidden/>
              </w:rPr>
              <w:instrText xml:space="preserve"> PAGEREF _Toc233643276 \h </w:instrText>
            </w:r>
            <w:r>
              <w:rPr>
                <w:noProof/>
                <w:webHidden/>
              </w:rPr>
            </w:r>
            <w:r>
              <w:rPr>
                <w:noProof/>
                <w:webHidden/>
              </w:rPr>
              <w:fldChar w:fldCharType="separate"/>
            </w:r>
            <w:r>
              <w:rPr>
                <w:noProof/>
                <w:webHidden/>
              </w:rPr>
              <w:t>16</w:t>
            </w:r>
            <w:r>
              <w:rPr>
                <w:noProof/>
                <w:webHidden/>
              </w:rPr>
              <w:fldChar w:fldCharType="end"/>
            </w:r>
          </w:hyperlink>
        </w:p>
        <w:p w14:paraId="00E6EC1F" w14:textId="40510CA6" w:rsidR="00AA271E" w:rsidRDefault="00AA271E">
          <w:pPr>
            <w:pStyle w:val="TOC1"/>
            <w:tabs>
              <w:tab w:val="left" w:pos="600"/>
            </w:tabs>
            <w:rPr>
              <w:rFonts w:asciiTheme="minorHAnsi" w:hAnsiTheme="minorHAnsi" w:cstheme="minorBidi"/>
              <w:bCs w:val="0"/>
              <w:noProof/>
              <w:color w:val="auto"/>
              <w:kern w:val="2"/>
              <w:sz w:val="24"/>
              <w:szCs w:val="24"/>
              <w:lang w:eastAsia="en-AU"/>
              <w14:ligatures w14:val="standardContextual"/>
            </w:rPr>
          </w:pPr>
          <w:hyperlink w:anchor="_Toc233643277" w:history="1">
            <w:r w:rsidRPr="002E472E">
              <w:rPr>
                <w:rStyle w:val="Hyperlink"/>
                <w:noProof/>
              </w:rPr>
              <w:t>2.</w:t>
            </w:r>
            <w:r>
              <w:rPr>
                <w:rFonts w:asciiTheme="minorHAnsi" w:hAnsiTheme="minorHAnsi" w:cstheme="minorBidi"/>
                <w:bCs w:val="0"/>
                <w:noProof/>
                <w:color w:val="auto"/>
                <w:kern w:val="2"/>
                <w:sz w:val="24"/>
                <w:szCs w:val="24"/>
                <w:lang w:eastAsia="en-AU"/>
                <w14:ligatures w14:val="standardContextual"/>
              </w:rPr>
              <w:tab/>
            </w:r>
            <w:r w:rsidRPr="002E472E">
              <w:rPr>
                <w:rStyle w:val="Hyperlink"/>
                <w:noProof/>
              </w:rPr>
              <w:t>Background</w:t>
            </w:r>
            <w:r>
              <w:rPr>
                <w:noProof/>
                <w:webHidden/>
              </w:rPr>
              <w:tab/>
            </w:r>
            <w:r>
              <w:rPr>
                <w:noProof/>
                <w:webHidden/>
              </w:rPr>
              <w:fldChar w:fldCharType="begin"/>
            </w:r>
            <w:r>
              <w:rPr>
                <w:noProof/>
                <w:webHidden/>
              </w:rPr>
              <w:instrText xml:space="preserve"> PAGEREF _Toc233643277 \h </w:instrText>
            </w:r>
            <w:r>
              <w:rPr>
                <w:noProof/>
                <w:webHidden/>
              </w:rPr>
            </w:r>
            <w:r>
              <w:rPr>
                <w:noProof/>
                <w:webHidden/>
              </w:rPr>
              <w:fldChar w:fldCharType="separate"/>
            </w:r>
            <w:r>
              <w:rPr>
                <w:noProof/>
                <w:webHidden/>
              </w:rPr>
              <w:t>17</w:t>
            </w:r>
            <w:r>
              <w:rPr>
                <w:noProof/>
                <w:webHidden/>
              </w:rPr>
              <w:fldChar w:fldCharType="end"/>
            </w:r>
          </w:hyperlink>
        </w:p>
        <w:p w14:paraId="35FD218D" w14:textId="57ED5D20"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78" w:history="1">
            <w:r w:rsidRPr="002E472E">
              <w:rPr>
                <w:rStyle w:val="Hyperlink"/>
                <w:noProof/>
              </w:rPr>
              <w:t>Online gambling and harm</w:t>
            </w:r>
            <w:r>
              <w:rPr>
                <w:noProof/>
                <w:webHidden/>
              </w:rPr>
              <w:tab/>
            </w:r>
            <w:r>
              <w:rPr>
                <w:noProof/>
                <w:webHidden/>
              </w:rPr>
              <w:fldChar w:fldCharType="begin"/>
            </w:r>
            <w:r>
              <w:rPr>
                <w:noProof/>
                <w:webHidden/>
              </w:rPr>
              <w:instrText xml:space="preserve"> PAGEREF _Toc233643278 \h </w:instrText>
            </w:r>
            <w:r>
              <w:rPr>
                <w:noProof/>
                <w:webHidden/>
              </w:rPr>
            </w:r>
            <w:r>
              <w:rPr>
                <w:noProof/>
                <w:webHidden/>
              </w:rPr>
              <w:fldChar w:fldCharType="separate"/>
            </w:r>
            <w:r>
              <w:rPr>
                <w:noProof/>
                <w:webHidden/>
              </w:rPr>
              <w:t>17</w:t>
            </w:r>
            <w:r>
              <w:rPr>
                <w:noProof/>
                <w:webHidden/>
              </w:rPr>
              <w:fldChar w:fldCharType="end"/>
            </w:r>
          </w:hyperlink>
        </w:p>
        <w:p w14:paraId="4AFCF238" w14:textId="3A6E3B62"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79" w:history="1">
            <w:r w:rsidRPr="002E472E">
              <w:rPr>
                <w:rStyle w:val="Hyperlink"/>
                <w:noProof/>
              </w:rPr>
              <w:t>The National Consumer Protection Framework for Online Wagering</w:t>
            </w:r>
            <w:r>
              <w:rPr>
                <w:noProof/>
                <w:webHidden/>
              </w:rPr>
              <w:tab/>
            </w:r>
            <w:r>
              <w:rPr>
                <w:noProof/>
                <w:webHidden/>
              </w:rPr>
              <w:fldChar w:fldCharType="begin"/>
            </w:r>
            <w:r>
              <w:rPr>
                <w:noProof/>
                <w:webHidden/>
              </w:rPr>
              <w:instrText xml:space="preserve"> PAGEREF _Toc233643279 \h </w:instrText>
            </w:r>
            <w:r>
              <w:rPr>
                <w:noProof/>
                <w:webHidden/>
              </w:rPr>
            </w:r>
            <w:r>
              <w:rPr>
                <w:noProof/>
                <w:webHidden/>
              </w:rPr>
              <w:fldChar w:fldCharType="separate"/>
            </w:r>
            <w:r>
              <w:rPr>
                <w:noProof/>
                <w:webHidden/>
              </w:rPr>
              <w:t>18</w:t>
            </w:r>
            <w:r>
              <w:rPr>
                <w:noProof/>
                <w:webHidden/>
              </w:rPr>
              <w:fldChar w:fldCharType="end"/>
            </w:r>
          </w:hyperlink>
        </w:p>
        <w:p w14:paraId="64E52509" w14:textId="4F8D4FDF" w:rsidR="00AA271E" w:rsidRDefault="00AA271E">
          <w:pPr>
            <w:pStyle w:val="TOC1"/>
            <w:tabs>
              <w:tab w:val="left" w:pos="600"/>
            </w:tabs>
            <w:rPr>
              <w:rFonts w:asciiTheme="minorHAnsi" w:hAnsiTheme="minorHAnsi" w:cstheme="minorBidi"/>
              <w:bCs w:val="0"/>
              <w:noProof/>
              <w:color w:val="auto"/>
              <w:kern w:val="2"/>
              <w:sz w:val="24"/>
              <w:szCs w:val="24"/>
              <w:lang w:eastAsia="en-AU"/>
              <w14:ligatures w14:val="standardContextual"/>
            </w:rPr>
          </w:pPr>
          <w:hyperlink w:anchor="_Toc233643280" w:history="1">
            <w:r w:rsidRPr="002E472E">
              <w:rPr>
                <w:rStyle w:val="Hyperlink"/>
                <w:noProof/>
              </w:rPr>
              <w:t>3.</w:t>
            </w:r>
            <w:r>
              <w:rPr>
                <w:rFonts w:asciiTheme="minorHAnsi" w:hAnsiTheme="minorHAnsi" w:cstheme="minorBidi"/>
                <w:bCs w:val="0"/>
                <w:noProof/>
                <w:color w:val="auto"/>
                <w:kern w:val="2"/>
                <w:sz w:val="24"/>
                <w:szCs w:val="24"/>
                <w:lang w:eastAsia="en-AU"/>
                <w14:ligatures w14:val="standardContextual"/>
              </w:rPr>
              <w:tab/>
            </w:r>
            <w:r w:rsidRPr="002E472E">
              <w:rPr>
                <w:rStyle w:val="Hyperlink"/>
                <w:noProof/>
              </w:rPr>
              <w:t>Methodology</w:t>
            </w:r>
            <w:r>
              <w:rPr>
                <w:noProof/>
                <w:webHidden/>
              </w:rPr>
              <w:tab/>
            </w:r>
            <w:r>
              <w:rPr>
                <w:noProof/>
                <w:webHidden/>
              </w:rPr>
              <w:fldChar w:fldCharType="begin"/>
            </w:r>
            <w:r>
              <w:rPr>
                <w:noProof/>
                <w:webHidden/>
              </w:rPr>
              <w:instrText xml:space="preserve"> PAGEREF _Toc233643280 \h </w:instrText>
            </w:r>
            <w:r>
              <w:rPr>
                <w:noProof/>
                <w:webHidden/>
              </w:rPr>
            </w:r>
            <w:r>
              <w:rPr>
                <w:noProof/>
                <w:webHidden/>
              </w:rPr>
              <w:fldChar w:fldCharType="separate"/>
            </w:r>
            <w:r>
              <w:rPr>
                <w:noProof/>
                <w:webHidden/>
              </w:rPr>
              <w:t>21</w:t>
            </w:r>
            <w:r>
              <w:rPr>
                <w:noProof/>
                <w:webHidden/>
              </w:rPr>
              <w:fldChar w:fldCharType="end"/>
            </w:r>
          </w:hyperlink>
        </w:p>
        <w:p w14:paraId="45CAAA2D" w14:textId="14994984"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81" w:history="1">
            <w:r w:rsidRPr="002E472E">
              <w:rPr>
                <w:rStyle w:val="Hyperlink"/>
                <w:noProof/>
              </w:rPr>
              <w:t>NCPF Evaluation Design</w:t>
            </w:r>
            <w:r>
              <w:rPr>
                <w:noProof/>
                <w:webHidden/>
              </w:rPr>
              <w:tab/>
            </w:r>
            <w:r>
              <w:rPr>
                <w:noProof/>
                <w:webHidden/>
              </w:rPr>
              <w:fldChar w:fldCharType="begin"/>
            </w:r>
            <w:r>
              <w:rPr>
                <w:noProof/>
                <w:webHidden/>
              </w:rPr>
              <w:instrText xml:space="preserve"> PAGEREF _Toc233643281 \h </w:instrText>
            </w:r>
            <w:r>
              <w:rPr>
                <w:noProof/>
                <w:webHidden/>
              </w:rPr>
            </w:r>
            <w:r>
              <w:rPr>
                <w:noProof/>
                <w:webHidden/>
              </w:rPr>
              <w:fldChar w:fldCharType="separate"/>
            </w:r>
            <w:r>
              <w:rPr>
                <w:noProof/>
                <w:webHidden/>
              </w:rPr>
              <w:t>21</w:t>
            </w:r>
            <w:r>
              <w:rPr>
                <w:noProof/>
                <w:webHidden/>
              </w:rPr>
              <w:fldChar w:fldCharType="end"/>
            </w:r>
          </w:hyperlink>
        </w:p>
        <w:p w14:paraId="0AEF6D5F" w14:textId="16CD093D"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2" w:history="1">
            <w:r w:rsidRPr="002E472E">
              <w:rPr>
                <w:rStyle w:val="Hyperlink"/>
                <w:noProof/>
              </w:rPr>
              <w:t>Prior evaluation design work, 2018-2023</w:t>
            </w:r>
            <w:r>
              <w:rPr>
                <w:noProof/>
                <w:webHidden/>
              </w:rPr>
              <w:tab/>
            </w:r>
            <w:r>
              <w:rPr>
                <w:noProof/>
                <w:webHidden/>
              </w:rPr>
              <w:fldChar w:fldCharType="begin"/>
            </w:r>
            <w:r>
              <w:rPr>
                <w:noProof/>
                <w:webHidden/>
              </w:rPr>
              <w:instrText xml:space="preserve"> PAGEREF _Toc233643282 \h </w:instrText>
            </w:r>
            <w:r>
              <w:rPr>
                <w:noProof/>
                <w:webHidden/>
              </w:rPr>
            </w:r>
            <w:r>
              <w:rPr>
                <w:noProof/>
                <w:webHidden/>
              </w:rPr>
              <w:fldChar w:fldCharType="separate"/>
            </w:r>
            <w:r>
              <w:rPr>
                <w:noProof/>
                <w:webHidden/>
              </w:rPr>
              <w:t>21</w:t>
            </w:r>
            <w:r>
              <w:rPr>
                <w:noProof/>
                <w:webHidden/>
              </w:rPr>
              <w:fldChar w:fldCharType="end"/>
            </w:r>
          </w:hyperlink>
        </w:p>
        <w:p w14:paraId="1E439401" w14:textId="2F8DD4A5"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3" w:history="1">
            <w:r w:rsidRPr="002E472E">
              <w:rPr>
                <w:rStyle w:val="Hyperlink"/>
                <w:noProof/>
              </w:rPr>
              <w:t>Phase 1 evaluation</w:t>
            </w:r>
            <w:r>
              <w:rPr>
                <w:noProof/>
                <w:webHidden/>
              </w:rPr>
              <w:tab/>
            </w:r>
            <w:r>
              <w:rPr>
                <w:noProof/>
                <w:webHidden/>
              </w:rPr>
              <w:fldChar w:fldCharType="begin"/>
            </w:r>
            <w:r>
              <w:rPr>
                <w:noProof/>
                <w:webHidden/>
              </w:rPr>
              <w:instrText xml:space="preserve"> PAGEREF _Toc233643283 \h </w:instrText>
            </w:r>
            <w:r>
              <w:rPr>
                <w:noProof/>
                <w:webHidden/>
              </w:rPr>
            </w:r>
            <w:r>
              <w:rPr>
                <w:noProof/>
                <w:webHidden/>
              </w:rPr>
              <w:fldChar w:fldCharType="separate"/>
            </w:r>
            <w:r>
              <w:rPr>
                <w:noProof/>
                <w:webHidden/>
              </w:rPr>
              <w:t>21</w:t>
            </w:r>
            <w:r>
              <w:rPr>
                <w:noProof/>
                <w:webHidden/>
              </w:rPr>
              <w:fldChar w:fldCharType="end"/>
            </w:r>
          </w:hyperlink>
        </w:p>
        <w:p w14:paraId="2191B093" w14:textId="40B405A9"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4" w:history="1">
            <w:r w:rsidRPr="002E472E">
              <w:rPr>
                <w:rStyle w:val="Hyperlink"/>
                <w:noProof/>
              </w:rPr>
              <w:t>Phase 2 overview</w:t>
            </w:r>
            <w:r>
              <w:rPr>
                <w:noProof/>
                <w:webHidden/>
              </w:rPr>
              <w:tab/>
            </w:r>
            <w:r>
              <w:rPr>
                <w:noProof/>
                <w:webHidden/>
              </w:rPr>
              <w:fldChar w:fldCharType="begin"/>
            </w:r>
            <w:r>
              <w:rPr>
                <w:noProof/>
                <w:webHidden/>
              </w:rPr>
              <w:instrText xml:space="preserve"> PAGEREF _Toc233643284 \h </w:instrText>
            </w:r>
            <w:r>
              <w:rPr>
                <w:noProof/>
                <w:webHidden/>
              </w:rPr>
            </w:r>
            <w:r>
              <w:rPr>
                <w:noProof/>
                <w:webHidden/>
              </w:rPr>
              <w:fldChar w:fldCharType="separate"/>
            </w:r>
            <w:r>
              <w:rPr>
                <w:noProof/>
                <w:webHidden/>
              </w:rPr>
              <w:t>21</w:t>
            </w:r>
            <w:r>
              <w:rPr>
                <w:noProof/>
                <w:webHidden/>
              </w:rPr>
              <w:fldChar w:fldCharType="end"/>
            </w:r>
          </w:hyperlink>
        </w:p>
        <w:p w14:paraId="6D2FB272" w14:textId="11C51FD1"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5" w:history="1">
            <w:r w:rsidRPr="002E472E">
              <w:rPr>
                <w:rStyle w:val="Hyperlink"/>
                <w:noProof/>
              </w:rPr>
              <w:t>Phase 1 evaluation methodology</w:t>
            </w:r>
            <w:r>
              <w:rPr>
                <w:noProof/>
                <w:webHidden/>
              </w:rPr>
              <w:tab/>
            </w:r>
            <w:r>
              <w:rPr>
                <w:noProof/>
                <w:webHidden/>
              </w:rPr>
              <w:fldChar w:fldCharType="begin"/>
            </w:r>
            <w:r>
              <w:rPr>
                <w:noProof/>
                <w:webHidden/>
              </w:rPr>
              <w:instrText xml:space="preserve"> PAGEREF _Toc233643285 \h </w:instrText>
            </w:r>
            <w:r>
              <w:rPr>
                <w:noProof/>
                <w:webHidden/>
              </w:rPr>
            </w:r>
            <w:r>
              <w:rPr>
                <w:noProof/>
                <w:webHidden/>
              </w:rPr>
              <w:fldChar w:fldCharType="separate"/>
            </w:r>
            <w:r>
              <w:rPr>
                <w:noProof/>
                <w:webHidden/>
              </w:rPr>
              <w:t>22</w:t>
            </w:r>
            <w:r>
              <w:rPr>
                <w:noProof/>
                <w:webHidden/>
              </w:rPr>
              <w:fldChar w:fldCharType="end"/>
            </w:r>
          </w:hyperlink>
        </w:p>
        <w:p w14:paraId="59DD9E59" w14:textId="22D9028E" w:rsidR="00AA271E" w:rsidRDefault="00AA271E">
          <w:pPr>
            <w:pStyle w:val="TOC1"/>
            <w:tabs>
              <w:tab w:val="left" w:pos="600"/>
            </w:tabs>
            <w:rPr>
              <w:rFonts w:asciiTheme="minorHAnsi" w:hAnsiTheme="minorHAnsi" w:cstheme="minorBidi"/>
              <w:bCs w:val="0"/>
              <w:noProof/>
              <w:color w:val="auto"/>
              <w:kern w:val="2"/>
              <w:sz w:val="24"/>
              <w:szCs w:val="24"/>
              <w:lang w:eastAsia="en-AU"/>
              <w14:ligatures w14:val="standardContextual"/>
            </w:rPr>
          </w:pPr>
          <w:hyperlink w:anchor="_Toc233643286" w:history="1">
            <w:r w:rsidRPr="002E472E">
              <w:rPr>
                <w:rStyle w:val="Hyperlink"/>
                <w:noProof/>
              </w:rPr>
              <w:t>4.</w:t>
            </w:r>
            <w:r>
              <w:rPr>
                <w:rFonts w:asciiTheme="minorHAnsi" w:hAnsiTheme="minorHAnsi" w:cstheme="minorBidi"/>
                <w:bCs w:val="0"/>
                <w:noProof/>
                <w:color w:val="auto"/>
                <w:kern w:val="2"/>
                <w:sz w:val="24"/>
                <w:szCs w:val="24"/>
                <w:lang w:eastAsia="en-AU"/>
                <w14:ligatures w14:val="standardContextual"/>
              </w:rPr>
              <w:tab/>
            </w:r>
            <w:r w:rsidRPr="002E472E">
              <w:rPr>
                <w:rStyle w:val="Hyperlink"/>
                <w:noProof/>
              </w:rPr>
              <w:t>Evaluation findings</w:t>
            </w:r>
            <w:r>
              <w:rPr>
                <w:noProof/>
                <w:webHidden/>
              </w:rPr>
              <w:tab/>
            </w:r>
            <w:r>
              <w:rPr>
                <w:noProof/>
                <w:webHidden/>
              </w:rPr>
              <w:fldChar w:fldCharType="begin"/>
            </w:r>
            <w:r>
              <w:rPr>
                <w:noProof/>
                <w:webHidden/>
              </w:rPr>
              <w:instrText xml:space="preserve"> PAGEREF _Toc233643286 \h </w:instrText>
            </w:r>
            <w:r>
              <w:rPr>
                <w:noProof/>
                <w:webHidden/>
              </w:rPr>
            </w:r>
            <w:r>
              <w:rPr>
                <w:noProof/>
                <w:webHidden/>
              </w:rPr>
              <w:fldChar w:fldCharType="separate"/>
            </w:r>
            <w:r>
              <w:rPr>
                <w:noProof/>
                <w:webHidden/>
              </w:rPr>
              <w:t>24</w:t>
            </w:r>
            <w:r>
              <w:rPr>
                <w:noProof/>
                <w:webHidden/>
              </w:rPr>
              <w:fldChar w:fldCharType="end"/>
            </w:r>
          </w:hyperlink>
        </w:p>
        <w:p w14:paraId="26109B91" w14:textId="12637A0A"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87" w:history="1">
            <w:r w:rsidRPr="002E472E">
              <w:rPr>
                <w:rStyle w:val="Hyperlink"/>
                <w:noProof/>
              </w:rPr>
              <w:t>Has the National Framework been implemented as intended?</w:t>
            </w:r>
            <w:r>
              <w:rPr>
                <w:noProof/>
                <w:webHidden/>
              </w:rPr>
              <w:tab/>
            </w:r>
            <w:r>
              <w:rPr>
                <w:noProof/>
                <w:webHidden/>
              </w:rPr>
              <w:fldChar w:fldCharType="begin"/>
            </w:r>
            <w:r>
              <w:rPr>
                <w:noProof/>
                <w:webHidden/>
              </w:rPr>
              <w:instrText xml:space="preserve"> PAGEREF _Toc233643287 \h </w:instrText>
            </w:r>
            <w:r>
              <w:rPr>
                <w:noProof/>
                <w:webHidden/>
              </w:rPr>
            </w:r>
            <w:r>
              <w:rPr>
                <w:noProof/>
                <w:webHidden/>
              </w:rPr>
              <w:fldChar w:fldCharType="separate"/>
            </w:r>
            <w:r>
              <w:rPr>
                <w:noProof/>
                <w:webHidden/>
              </w:rPr>
              <w:t>24</w:t>
            </w:r>
            <w:r>
              <w:rPr>
                <w:noProof/>
                <w:webHidden/>
              </w:rPr>
              <w:fldChar w:fldCharType="end"/>
            </w:r>
          </w:hyperlink>
        </w:p>
        <w:p w14:paraId="662CDE58" w14:textId="73964238"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8" w:history="1">
            <w:r w:rsidRPr="002E472E">
              <w:rPr>
                <w:rStyle w:val="Hyperlink"/>
                <w:noProof/>
              </w:rPr>
              <w:t>Full implementation</w:t>
            </w:r>
            <w:r>
              <w:rPr>
                <w:noProof/>
                <w:webHidden/>
              </w:rPr>
              <w:tab/>
            </w:r>
            <w:r>
              <w:rPr>
                <w:noProof/>
                <w:webHidden/>
              </w:rPr>
              <w:fldChar w:fldCharType="begin"/>
            </w:r>
            <w:r>
              <w:rPr>
                <w:noProof/>
                <w:webHidden/>
              </w:rPr>
              <w:instrText xml:space="preserve"> PAGEREF _Toc233643288 \h </w:instrText>
            </w:r>
            <w:r>
              <w:rPr>
                <w:noProof/>
                <w:webHidden/>
              </w:rPr>
            </w:r>
            <w:r>
              <w:rPr>
                <w:noProof/>
                <w:webHidden/>
              </w:rPr>
              <w:fldChar w:fldCharType="separate"/>
            </w:r>
            <w:r>
              <w:rPr>
                <w:noProof/>
                <w:webHidden/>
              </w:rPr>
              <w:t>24</w:t>
            </w:r>
            <w:r>
              <w:rPr>
                <w:noProof/>
                <w:webHidden/>
              </w:rPr>
              <w:fldChar w:fldCharType="end"/>
            </w:r>
          </w:hyperlink>
        </w:p>
        <w:p w14:paraId="625AB98C" w14:textId="09AFD26D"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89" w:history="1">
            <w:r w:rsidRPr="002E472E">
              <w:rPr>
                <w:rStyle w:val="Hyperlink"/>
                <w:noProof/>
              </w:rPr>
              <w:t>Timeliness of implementation</w:t>
            </w:r>
            <w:r>
              <w:rPr>
                <w:noProof/>
                <w:webHidden/>
              </w:rPr>
              <w:tab/>
            </w:r>
            <w:r>
              <w:rPr>
                <w:noProof/>
                <w:webHidden/>
              </w:rPr>
              <w:fldChar w:fldCharType="begin"/>
            </w:r>
            <w:r>
              <w:rPr>
                <w:noProof/>
                <w:webHidden/>
              </w:rPr>
              <w:instrText xml:space="preserve"> PAGEREF _Toc233643289 \h </w:instrText>
            </w:r>
            <w:r>
              <w:rPr>
                <w:noProof/>
                <w:webHidden/>
              </w:rPr>
            </w:r>
            <w:r>
              <w:rPr>
                <w:noProof/>
                <w:webHidden/>
              </w:rPr>
              <w:fldChar w:fldCharType="separate"/>
            </w:r>
            <w:r>
              <w:rPr>
                <w:noProof/>
                <w:webHidden/>
              </w:rPr>
              <w:t>25</w:t>
            </w:r>
            <w:r>
              <w:rPr>
                <w:noProof/>
                <w:webHidden/>
              </w:rPr>
              <w:fldChar w:fldCharType="end"/>
            </w:r>
          </w:hyperlink>
        </w:p>
        <w:p w14:paraId="4D8D190F" w14:textId="58B4CC58"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0" w:history="1">
            <w:r w:rsidRPr="002E472E">
              <w:rPr>
                <w:rStyle w:val="Hyperlink"/>
                <w:noProof/>
              </w:rPr>
              <w:t>Governance mechanisms</w:t>
            </w:r>
            <w:r>
              <w:rPr>
                <w:noProof/>
                <w:webHidden/>
              </w:rPr>
              <w:tab/>
            </w:r>
            <w:r>
              <w:rPr>
                <w:noProof/>
                <w:webHidden/>
              </w:rPr>
              <w:fldChar w:fldCharType="begin"/>
            </w:r>
            <w:r>
              <w:rPr>
                <w:noProof/>
                <w:webHidden/>
              </w:rPr>
              <w:instrText xml:space="preserve"> PAGEREF _Toc233643290 \h </w:instrText>
            </w:r>
            <w:r>
              <w:rPr>
                <w:noProof/>
                <w:webHidden/>
              </w:rPr>
            </w:r>
            <w:r>
              <w:rPr>
                <w:noProof/>
                <w:webHidden/>
              </w:rPr>
              <w:fldChar w:fldCharType="separate"/>
            </w:r>
            <w:r>
              <w:rPr>
                <w:noProof/>
                <w:webHidden/>
              </w:rPr>
              <w:t>25</w:t>
            </w:r>
            <w:r>
              <w:rPr>
                <w:noProof/>
                <w:webHidden/>
              </w:rPr>
              <w:fldChar w:fldCharType="end"/>
            </w:r>
          </w:hyperlink>
        </w:p>
        <w:p w14:paraId="39072F30" w14:textId="26D1D900"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1" w:history="1">
            <w:r w:rsidRPr="002E472E">
              <w:rPr>
                <w:rStyle w:val="Hyperlink"/>
                <w:noProof/>
              </w:rPr>
              <w:t>Resourcing for implementation</w:t>
            </w:r>
            <w:r>
              <w:rPr>
                <w:noProof/>
                <w:webHidden/>
              </w:rPr>
              <w:tab/>
            </w:r>
            <w:r>
              <w:rPr>
                <w:noProof/>
                <w:webHidden/>
              </w:rPr>
              <w:fldChar w:fldCharType="begin"/>
            </w:r>
            <w:r>
              <w:rPr>
                <w:noProof/>
                <w:webHidden/>
              </w:rPr>
              <w:instrText xml:space="preserve"> PAGEREF _Toc233643291 \h </w:instrText>
            </w:r>
            <w:r>
              <w:rPr>
                <w:noProof/>
                <w:webHidden/>
              </w:rPr>
            </w:r>
            <w:r>
              <w:rPr>
                <w:noProof/>
                <w:webHidden/>
              </w:rPr>
              <w:fldChar w:fldCharType="separate"/>
            </w:r>
            <w:r>
              <w:rPr>
                <w:noProof/>
                <w:webHidden/>
              </w:rPr>
              <w:t>27</w:t>
            </w:r>
            <w:r>
              <w:rPr>
                <w:noProof/>
                <w:webHidden/>
              </w:rPr>
              <w:fldChar w:fldCharType="end"/>
            </w:r>
          </w:hyperlink>
        </w:p>
        <w:p w14:paraId="63AA1D00" w14:textId="23ECB7F7"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2" w:history="1">
            <w:r w:rsidRPr="002E472E">
              <w:rPr>
                <w:rStyle w:val="Hyperlink"/>
                <w:noProof/>
              </w:rPr>
              <w:t>Review and update of measures</w:t>
            </w:r>
            <w:r>
              <w:rPr>
                <w:noProof/>
                <w:webHidden/>
              </w:rPr>
              <w:tab/>
            </w:r>
            <w:r>
              <w:rPr>
                <w:noProof/>
                <w:webHidden/>
              </w:rPr>
              <w:fldChar w:fldCharType="begin"/>
            </w:r>
            <w:r>
              <w:rPr>
                <w:noProof/>
                <w:webHidden/>
              </w:rPr>
              <w:instrText xml:space="preserve"> PAGEREF _Toc233643292 \h </w:instrText>
            </w:r>
            <w:r>
              <w:rPr>
                <w:noProof/>
                <w:webHidden/>
              </w:rPr>
            </w:r>
            <w:r>
              <w:rPr>
                <w:noProof/>
                <w:webHidden/>
              </w:rPr>
              <w:fldChar w:fldCharType="separate"/>
            </w:r>
            <w:r>
              <w:rPr>
                <w:noProof/>
                <w:webHidden/>
              </w:rPr>
              <w:t>27</w:t>
            </w:r>
            <w:r>
              <w:rPr>
                <w:noProof/>
                <w:webHidden/>
              </w:rPr>
              <w:fldChar w:fldCharType="end"/>
            </w:r>
          </w:hyperlink>
        </w:p>
        <w:p w14:paraId="10277DAB" w14:textId="5EB507E1"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93" w:history="1">
            <w:r w:rsidRPr="002E472E">
              <w:rPr>
                <w:rStyle w:val="Hyperlink"/>
                <w:noProof/>
              </w:rPr>
              <w:t>Were the measures promoted consistently and what has been the level of awareness and uptake?</w:t>
            </w:r>
            <w:r>
              <w:rPr>
                <w:noProof/>
                <w:webHidden/>
              </w:rPr>
              <w:tab/>
            </w:r>
            <w:r>
              <w:rPr>
                <w:noProof/>
                <w:webHidden/>
              </w:rPr>
              <w:fldChar w:fldCharType="begin"/>
            </w:r>
            <w:r>
              <w:rPr>
                <w:noProof/>
                <w:webHidden/>
              </w:rPr>
              <w:instrText xml:space="preserve"> PAGEREF _Toc233643293 \h </w:instrText>
            </w:r>
            <w:r>
              <w:rPr>
                <w:noProof/>
                <w:webHidden/>
              </w:rPr>
            </w:r>
            <w:r>
              <w:rPr>
                <w:noProof/>
                <w:webHidden/>
              </w:rPr>
              <w:fldChar w:fldCharType="separate"/>
            </w:r>
            <w:r>
              <w:rPr>
                <w:noProof/>
                <w:webHidden/>
              </w:rPr>
              <w:t>28</w:t>
            </w:r>
            <w:r>
              <w:rPr>
                <w:noProof/>
                <w:webHidden/>
              </w:rPr>
              <w:fldChar w:fldCharType="end"/>
            </w:r>
          </w:hyperlink>
        </w:p>
        <w:p w14:paraId="560CB57A" w14:textId="2478D68C"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4" w:history="1">
            <w:r w:rsidRPr="002E472E">
              <w:rPr>
                <w:rStyle w:val="Hyperlink"/>
                <w:noProof/>
              </w:rPr>
              <w:t>Has there been consistent promotion, education and communication of the National Framework across jurisdictions?</w:t>
            </w:r>
            <w:r>
              <w:rPr>
                <w:noProof/>
                <w:webHidden/>
              </w:rPr>
              <w:tab/>
            </w:r>
            <w:r>
              <w:rPr>
                <w:noProof/>
                <w:webHidden/>
              </w:rPr>
              <w:fldChar w:fldCharType="begin"/>
            </w:r>
            <w:r>
              <w:rPr>
                <w:noProof/>
                <w:webHidden/>
              </w:rPr>
              <w:instrText xml:space="preserve"> PAGEREF _Toc233643294 \h </w:instrText>
            </w:r>
            <w:r>
              <w:rPr>
                <w:noProof/>
                <w:webHidden/>
              </w:rPr>
            </w:r>
            <w:r>
              <w:rPr>
                <w:noProof/>
                <w:webHidden/>
              </w:rPr>
              <w:fldChar w:fldCharType="separate"/>
            </w:r>
            <w:r>
              <w:rPr>
                <w:noProof/>
                <w:webHidden/>
              </w:rPr>
              <w:t>29</w:t>
            </w:r>
            <w:r>
              <w:rPr>
                <w:noProof/>
                <w:webHidden/>
              </w:rPr>
              <w:fldChar w:fldCharType="end"/>
            </w:r>
          </w:hyperlink>
        </w:p>
        <w:p w14:paraId="409AF78A" w14:textId="79558D6B"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5" w:history="1">
            <w:r w:rsidRPr="002E472E">
              <w:rPr>
                <w:rStyle w:val="Hyperlink"/>
                <w:noProof/>
              </w:rPr>
              <w:t>What is the level of awareness of the NCPF measures by consumers?</w:t>
            </w:r>
            <w:r>
              <w:rPr>
                <w:noProof/>
                <w:webHidden/>
              </w:rPr>
              <w:tab/>
            </w:r>
            <w:r>
              <w:rPr>
                <w:noProof/>
                <w:webHidden/>
              </w:rPr>
              <w:fldChar w:fldCharType="begin"/>
            </w:r>
            <w:r>
              <w:rPr>
                <w:noProof/>
                <w:webHidden/>
              </w:rPr>
              <w:instrText xml:space="preserve"> PAGEREF _Toc233643295 \h </w:instrText>
            </w:r>
            <w:r>
              <w:rPr>
                <w:noProof/>
                <w:webHidden/>
              </w:rPr>
            </w:r>
            <w:r>
              <w:rPr>
                <w:noProof/>
                <w:webHidden/>
              </w:rPr>
              <w:fldChar w:fldCharType="separate"/>
            </w:r>
            <w:r>
              <w:rPr>
                <w:noProof/>
                <w:webHidden/>
              </w:rPr>
              <w:t>31</w:t>
            </w:r>
            <w:r>
              <w:rPr>
                <w:noProof/>
                <w:webHidden/>
              </w:rPr>
              <w:fldChar w:fldCharType="end"/>
            </w:r>
          </w:hyperlink>
        </w:p>
        <w:p w14:paraId="14174A65" w14:textId="64B7FEC1"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6" w:history="1">
            <w:r w:rsidRPr="002E472E">
              <w:rPr>
                <w:rStyle w:val="Hyperlink"/>
                <w:noProof/>
              </w:rPr>
              <w:t>What is the level of consumer uptake of the NCPF measures?</w:t>
            </w:r>
            <w:r>
              <w:rPr>
                <w:noProof/>
                <w:webHidden/>
              </w:rPr>
              <w:tab/>
            </w:r>
            <w:r>
              <w:rPr>
                <w:noProof/>
                <w:webHidden/>
              </w:rPr>
              <w:fldChar w:fldCharType="begin"/>
            </w:r>
            <w:r>
              <w:rPr>
                <w:noProof/>
                <w:webHidden/>
              </w:rPr>
              <w:instrText xml:space="preserve"> PAGEREF _Toc233643296 \h </w:instrText>
            </w:r>
            <w:r>
              <w:rPr>
                <w:noProof/>
                <w:webHidden/>
              </w:rPr>
            </w:r>
            <w:r>
              <w:rPr>
                <w:noProof/>
                <w:webHidden/>
              </w:rPr>
              <w:fldChar w:fldCharType="separate"/>
            </w:r>
            <w:r>
              <w:rPr>
                <w:noProof/>
                <w:webHidden/>
              </w:rPr>
              <w:t>34</w:t>
            </w:r>
            <w:r>
              <w:rPr>
                <w:noProof/>
                <w:webHidden/>
              </w:rPr>
              <w:fldChar w:fldCharType="end"/>
            </w:r>
          </w:hyperlink>
        </w:p>
        <w:p w14:paraId="5C8DAF53" w14:textId="1A7B7719"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297" w:history="1">
            <w:r w:rsidRPr="002E472E">
              <w:rPr>
                <w:rStyle w:val="Hyperlink"/>
                <w:noProof/>
              </w:rPr>
              <w:t>How effectively have regulators been monitoring and enforcing operator compliance with the National Framework?</w:t>
            </w:r>
            <w:r>
              <w:rPr>
                <w:noProof/>
                <w:webHidden/>
              </w:rPr>
              <w:tab/>
            </w:r>
            <w:r>
              <w:rPr>
                <w:noProof/>
                <w:webHidden/>
              </w:rPr>
              <w:fldChar w:fldCharType="begin"/>
            </w:r>
            <w:r>
              <w:rPr>
                <w:noProof/>
                <w:webHidden/>
              </w:rPr>
              <w:instrText xml:space="preserve"> PAGEREF _Toc233643297 \h </w:instrText>
            </w:r>
            <w:r>
              <w:rPr>
                <w:noProof/>
                <w:webHidden/>
              </w:rPr>
            </w:r>
            <w:r>
              <w:rPr>
                <w:noProof/>
                <w:webHidden/>
              </w:rPr>
              <w:fldChar w:fldCharType="separate"/>
            </w:r>
            <w:r>
              <w:rPr>
                <w:noProof/>
                <w:webHidden/>
              </w:rPr>
              <w:t>36</w:t>
            </w:r>
            <w:r>
              <w:rPr>
                <w:noProof/>
                <w:webHidden/>
              </w:rPr>
              <w:fldChar w:fldCharType="end"/>
            </w:r>
          </w:hyperlink>
        </w:p>
        <w:p w14:paraId="428BEA8E" w14:textId="1EB5EE64"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8" w:history="1">
            <w:r w:rsidRPr="002E472E">
              <w:rPr>
                <w:rStyle w:val="Hyperlink"/>
                <w:noProof/>
              </w:rPr>
              <w:t>Regulators’ compliance approaches</w:t>
            </w:r>
            <w:r>
              <w:rPr>
                <w:noProof/>
                <w:webHidden/>
              </w:rPr>
              <w:tab/>
            </w:r>
            <w:r>
              <w:rPr>
                <w:noProof/>
                <w:webHidden/>
              </w:rPr>
              <w:fldChar w:fldCharType="begin"/>
            </w:r>
            <w:r>
              <w:rPr>
                <w:noProof/>
                <w:webHidden/>
              </w:rPr>
              <w:instrText xml:space="preserve"> PAGEREF _Toc233643298 \h </w:instrText>
            </w:r>
            <w:r>
              <w:rPr>
                <w:noProof/>
                <w:webHidden/>
              </w:rPr>
            </w:r>
            <w:r>
              <w:rPr>
                <w:noProof/>
                <w:webHidden/>
              </w:rPr>
              <w:fldChar w:fldCharType="separate"/>
            </w:r>
            <w:r>
              <w:rPr>
                <w:noProof/>
                <w:webHidden/>
              </w:rPr>
              <w:t>37</w:t>
            </w:r>
            <w:r>
              <w:rPr>
                <w:noProof/>
                <w:webHidden/>
              </w:rPr>
              <w:fldChar w:fldCharType="end"/>
            </w:r>
          </w:hyperlink>
        </w:p>
        <w:p w14:paraId="0CB2168A" w14:textId="1096D7F1"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299" w:history="1">
            <w:r w:rsidRPr="002E472E">
              <w:rPr>
                <w:rStyle w:val="Hyperlink"/>
                <w:noProof/>
              </w:rPr>
              <w:t>WSP compliance</w:t>
            </w:r>
            <w:r>
              <w:rPr>
                <w:noProof/>
                <w:webHidden/>
              </w:rPr>
              <w:tab/>
            </w:r>
            <w:r>
              <w:rPr>
                <w:noProof/>
                <w:webHidden/>
              </w:rPr>
              <w:fldChar w:fldCharType="begin"/>
            </w:r>
            <w:r>
              <w:rPr>
                <w:noProof/>
                <w:webHidden/>
              </w:rPr>
              <w:instrText xml:space="preserve"> PAGEREF _Toc233643299 \h </w:instrText>
            </w:r>
            <w:r>
              <w:rPr>
                <w:noProof/>
                <w:webHidden/>
              </w:rPr>
            </w:r>
            <w:r>
              <w:rPr>
                <w:noProof/>
                <w:webHidden/>
              </w:rPr>
              <w:fldChar w:fldCharType="separate"/>
            </w:r>
            <w:r>
              <w:rPr>
                <w:noProof/>
                <w:webHidden/>
              </w:rPr>
              <w:t>41</w:t>
            </w:r>
            <w:r>
              <w:rPr>
                <w:noProof/>
                <w:webHidden/>
              </w:rPr>
              <w:fldChar w:fldCharType="end"/>
            </w:r>
          </w:hyperlink>
        </w:p>
        <w:p w14:paraId="27177484" w14:textId="073317A2"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0" w:history="1">
            <w:r w:rsidRPr="002E472E">
              <w:rPr>
                <w:rStyle w:val="Hyperlink"/>
                <w:noProof/>
              </w:rPr>
              <w:t>Consumer experiences of non-compliance</w:t>
            </w:r>
            <w:r>
              <w:rPr>
                <w:noProof/>
                <w:webHidden/>
              </w:rPr>
              <w:tab/>
            </w:r>
            <w:r>
              <w:rPr>
                <w:noProof/>
                <w:webHidden/>
              </w:rPr>
              <w:fldChar w:fldCharType="begin"/>
            </w:r>
            <w:r>
              <w:rPr>
                <w:noProof/>
                <w:webHidden/>
              </w:rPr>
              <w:instrText xml:space="preserve"> PAGEREF _Toc233643300 \h </w:instrText>
            </w:r>
            <w:r>
              <w:rPr>
                <w:noProof/>
                <w:webHidden/>
              </w:rPr>
            </w:r>
            <w:r>
              <w:rPr>
                <w:noProof/>
                <w:webHidden/>
              </w:rPr>
              <w:fldChar w:fldCharType="separate"/>
            </w:r>
            <w:r>
              <w:rPr>
                <w:noProof/>
                <w:webHidden/>
              </w:rPr>
              <w:t>42</w:t>
            </w:r>
            <w:r>
              <w:rPr>
                <w:noProof/>
                <w:webHidden/>
              </w:rPr>
              <w:fldChar w:fldCharType="end"/>
            </w:r>
          </w:hyperlink>
        </w:p>
        <w:p w14:paraId="49DDB143" w14:textId="7BD093CA"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01" w:history="1">
            <w:r w:rsidRPr="002E472E">
              <w:rPr>
                <w:rStyle w:val="Hyperlink"/>
                <w:noProof/>
              </w:rPr>
              <w:t>Were the measures implemented consistently across jurisdictions?</w:t>
            </w:r>
            <w:r>
              <w:rPr>
                <w:noProof/>
                <w:webHidden/>
              </w:rPr>
              <w:tab/>
            </w:r>
            <w:r>
              <w:rPr>
                <w:noProof/>
                <w:webHidden/>
              </w:rPr>
              <w:fldChar w:fldCharType="begin"/>
            </w:r>
            <w:r>
              <w:rPr>
                <w:noProof/>
                <w:webHidden/>
              </w:rPr>
              <w:instrText xml:space="preserve"> PAGEREF _Toc233643301 \h </w:instrText>
            </w:r>
            <w:r>
              <w:rPr>
                <w:noProof/>
                <w:webHidden/>
              </w:rPr>
            </w:r>
            <w:r>
              <w:rPr>
                <w:noProof/>
                <w:webHidden/>
              </w:rPr>
              <w:fldChar w:fldCharType="separate"/>
            </w:r>
            <w:r>
              <w:rPr>
                <w:noProof/>
                <w:webHidden/>
              </w:rPr>
              <w:t>43</w:t>
            </w:r>
            <w:r>
              <w:rPr>
                <w:noProof/>
                <w:webHidden/>
              </w:rPr>
              <w:fldChar w:fldCharType="end"/>
            </w:r>
          </w:hyperlink>
        </w:p>
        <w:p w14:paraId="58E631DA" w14:textId="4538D5B0"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2" w:history="1">
            <w:r w:rsidRPr="002E472E">
              <w:rPr>
                <w:rStyle w:val="Hyperlink"/>
                <w:noProof/>
              </w:rPr>
              <w:t>Restrictions on inducements</w:t>
            </w:r>
            <w:r>
              <w:rPr>
                <w:noProof/>
                <w:webHidden/>
              </w:rPr>
              <w:tab/>
            </w:r>
            <w:r>
              <w:rPr>
                <w:noProof/>
                <w:webHidden/>
              </w:rPr>
              <w:fldChar w:fldCharType="begin"/>
            </w:r>
            <w:r>
              <w:rPr>
                <w:noProof/>
                <w:webHidden/>
              </w:rPr>
              <w:instrText xml:space="preserve"> PAGEREF _Toc233643302 \h </w:instrText>
            </w:r>
            <w:r>
              <w:rPr>
                <w:noProof/>
                <w:webHidden/>
              </w:rPr>
            </w:r>
            <w:r>
              <w:rPr>
                <w:noProof/>
                <w:webHidden/>
              </w:rPr>
              <w:fldChar w:fldCharType="separate"/>
            </w:r>
            <w:r>
              <w:rPr>
                <w:noProof/>
                <w:webHidden/>
              </w:rPr>
              <w:t>45</w:t>
            </w:r>
            <w:r>
              <w:rPr>
                <w:noProof/>
                <w:webHidden/>
              </w:rPr>
              <w:fldChar w:fldCharType="end"/>
            </w:r>
          </w:hyperlink>
        </w:p>
        <w:p w14:paraId="12136239" w14:textId="06B79F56"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3" w:history="1">
            <w:r w:rsidRPr="002E472E">
              <w:rPr>
                <w:rStyle w:val="Hyperlink"/>
                <w:noProof/>
              </w:rPr>
              <w:t>Account closure</w:t>
            </w:r>
            <w:r>
              <w:rPr>
                <w:noProof/>
                <w:webHidden/>
              </w:rPr>
              <w:tab/>
            </w:r>
            <w:r>
              <w:rPr>
                <w:noProof/>
                <w:webHidden/>
              </w:rPr>
              <w:fldChar w:fldCharType="begin"/>
            </w:r>
            <w:r>
              <w:rPr>
                <w:noProof/>
                <w:webHidden/>
              </w:rPr>
              <w:instrText xml:space="preserve"> PAGEREF _Toc233643303 \h </w:instrText>
            </w:r>
            <w:r>
              <w:rPr>
                <w:noProof/>
                <w:webHidden/>
              </w:rPr>
            </w:r>
            <w:r>
              <w:rPr>
                <w:noProof/>
                <w:webHidden/>
              </w:rPr>
              <w:fldChar w:fldCharType="separate"/>
            </w:r>
            <w:r>
              <w:rPr>
                <w:noProof/>
                <w:webHidden/>
              </w:rPr>
              <w:t>49</w:t>
            </w:r>
            <w:r>
              <w:rPr>
                <w:noProof/>
                <w:webHidden/>
              </w:rPr>
              <w:fldChar w:fldCharType="end"/>
            </w:r>
          </w:hyperlink>
        </w:p>
        <w:p w14:paraId="0CABD903" w14:textId="385D8CF9"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4" w:history="1">
            <w:r w:rsidRPr="002E472E">
              <w:rPr>
                <w:rStyle w:val="Hyperlink"/>
                <w:noProof/>
              </w:rPr>
              <w:t>Deposit limits</w:t>
            </w:r>
            <w:r>
              <w:rPr>
                <w:noProof/>
                <w:webHidden/>
              </w:rPr>
              <w:tab/>
            </w:r>
            <w:r>
              <w:rPr>
                <w:noProof/>
                <w:webHidden/>
              </w:rPr>
              <w:fldChar w:fldCharType="begin"/>
            </w:r>
            <w:r>
              <w:rPr>
                <w:noProof/>
                <w:webHidden/>
              </w:rPr>
              <w:instrText xml:space="preserve"> PAGEREF _Toc233643304 \h </w:instrText>
            </w:r>
            <w:r>
              <w:rPr>
                <w:noProof/>
                <w:webHidden/>
              </w:rPr>
            </w:r>
            <w:r>
              <w:rPr>
                <w:noProof/>
                <w:webHidden/>
              </w:rPr>
              <w:fldChar w:fldCharType="separate"/>
            </w:r>
            <w:r>
              <w:rPr>
                <w:noProof/>
                <w:webHidden/>
              </w:rPr>
              <w:t>50</w:t>
            </w:r>
            <w:r>
              <w:rPr>
                <w:noProof/>
                <w:webHidden/>
              </w:rPr>
              <w:fldChar w:fldCharType="end"/>
            </w:r>
          </w:hyperlink>
        </w:p>
        <w:p w14:paraId="37B0F353" w14:textId="31E11FDD"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5" w:history="1">
            <w:r w:rsidRPr="002E472E">
              <w:rPr>
                <w:rStyle w:val="Hyperlink"/>
                <w:noProof/>
              </w:rPr>
              <w:t>Activity statements</w:t>
            </w:r>
            <w:r>
              <w:rPr>
                <w:noProof/>
                <w:webHidden/>
              </w:rPr>
              <w:tab/>
            </w:r>
            <w:r>
              <w:rPr>
                <w:noProof/>
                <w:webHidden/>
              </w:rPr>
              <w:fldChar w:fldCharType="begin"/>
            </w:r>
            <w:r>
              <w:rPr>
                <w:noProof/>
                <w:webHidden/>
              </w:rPr>
              <w:instrText xml:space="preserve"> PAGEREF _Toc233643305 \h </w:instrText>
            </w:r>
            <w:r>
              <w:rPr>
                <w:noProof/>
                <w:webHidden/>
              </w:rPr>
            </w:r>
            <w:r>
              <w:rPr>
                <w:noProof/>
                <w:webHidden/>
              </w:rPr>
              <w:fldChar w:fldCharType="separate"/>
            </w:r>
            <w:r>
              <w:rPr>
                <w:noProof/>
                <w:webHidden/>
              </w:rPr>
              <w:t>52</w:t>
            </w:r>
            <w:r>
              <w:rPr>
                <w:noProof/>
                <w:webHidden/>
              </w:rPr>
              <w:fldChar w:fldCharType="end"/>
            </w:r>
          </w:hyperlink>
        </w:p>
        <w:p w14:paraId="1A738993" w14:textId="4AAC5E25"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6" w:history="1">
            <w:r w:rsidRPr="002E472E">
              <w:rPr>
                <w:rStyle w:val="Hyperlink"/>
                <w:noProof/>
              </w:rPr>
              <w:t>Consistent gambling messaging</w:t>
            </w:r>
            <w:r>
              <w:rPr>
                <w:noProof/>
                <w:webHidden/>
              </w:rPr>
              <w:tab/>
            </w:r>
            <w:r>
              <w:rPr>
                <w:noProof/>
                <w:webHidden/>
              </w:rPr>
              <w:fldChar w:fldCharType="begin"/>
            </w:r>
            <w:r>
              <w:rPr>
                <w:noProof/>
                <w:webHidden/>
              </w:rPr>
              <w:instrText xml:space="preserve"> PAGEREF _Toc233643306 \h </w:instrText>
            </w:r>
            <w:r>
              <w:rPr>
                <w:noProof/>
                <w:webHidden/>
              </w:rPr>
            </w:r>
            <w:r>
              <w:rPr>
                <w:noProof/>
                <w:webHidden/>
              </w:rPr>
              <w:fldChar w:fldCharType="separate"/>
            </w:r>
            <w:r>
              <w:rPr>
                <w:noProof/>
                <w:webHidden/>
              </w:rPr>
              <w:t>54</w:t>
            </w:r>
            <w:r>
              <w:rPr>
                <w:noProof/>
                <w:webHidden/>
              </w:rPr>
              <w:fldChar w:fldCharType="end"/>
            </w:r>
          </w:hyperlink>
        </w:p>
        <w:p w14:paraId="5D719EBF" w14:textId="2F6C273F"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07" w:history="1">
            <w:r w:rsidRPr="002E472E">
              <w:rPr>
                <w:rStyle w:val="Hyperlink"/>
                <w:noProof/>
              </w:rPr>
              <w:t>Unintended consequences</w:t>
            </w:r>
            <w:r>
              <w:rPr>
                <w:noProof/>
                <w:webHidden/>
              </w:rPr>
              <w:tab/>
            </w:r>
            <w:r>
              <w:rPr>
                <w:noProof/>
                <w:webHidden/>
              </w:rPr>
              <w:fldChar w:fldCharType="begin"/>
            </w:r>
            <w:r>
              <w:rPr>
                <w:noProof/>
                <w:webHidden/>
              </w:rPr>
              <w:instrText xml:space="preserve"> PAGEREF _Toc233643307 \h </w:instrText>
            </w:r>
            <w:r>
              <w:rPr>
                <w:noProof/>
                <w:webHidden/>
              </w:rPr>
            </w:r>
            <w:r>
              <w:rPr>
                <w:noProof/>
                <w:webHidden/>
              </w:rPr>
              <w:fldChar w:fldCharType="separate"/>
            </w:r>
            <w:r>
              <w:rPr>
                <w:noProof/>
                <w:webHidden/>
              </w:rPr>
              <w:t>57</w:t>
            </w:r>
            <w:r>
              <w:rPr>
                <w:noProof/>
                <w:webHidden/>
              </w:rPr>
              <w:fldChar w:fldCharType="end"/>
            </w:r>
          </w:hyperlink>
        </w:p>
        <w:p w14:paraId="6AE3F720" w14:textId="6AEE208A"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08" w:history="1">
            <w:r w:rsidRPr="002E472E">
              <w:rPr>
                <w:rStyle w:val="Hyperlink"/>
                <w:noProof/>
              </w:rPr>
              <w:t>Gambling with illegal offshore WSPs</w:t>
            </w:r>
            <w:r>
              <w:rPr>
                <w:noProof/>
                <w:webHidden/>
              </w:rPr>
              <w:tab/>
            </w:r>
            <w:r>
              <w:rPr>
                <w:noProof/>
                <w:webHidden/>
              </w:rPr>
              <w:fldChar w:fldCharType="begin"/>
            </w:r>
            <w:r>
              <w:rPr>
                <w:noProof/>
                <w:webHidden/>
              </w:rPr>
              <w:instrText xml:space="preserve"> PAGEREF _Toc233643308 \h </w:instrText>
            </w:r>
            <w:r>
              <w:rPr>
                <w:noProof/>
                <w:webHidden/>
              </w:rPr>
            </w:r>
            <w:r>
              <w:rPr>
                <w:noProof/>
                <w:webHidden/>
              </w:rPr>
              <w:fldChar w:fldCharType="separate"/>
            </w:r>
            <w:r>
              <w:rPr>
                <w:noProof/>
                <w:webHidden/>
              </w:rPr>
              <w:t>57</w:t>
            </w:r>
            <w:r>
              <w:rPr>
                <w:noProof/>
                <w:webHidden/>
              </w:rPr>
              <w:fldChar w:fldCharType="end"/>
            </w:r>
          </w:hyperlink>
        </w:p>
        <w:p w14:paraId="468C7C7D" w14:textId="1590AFB8" w:rsidR="00AA271E" w:rsidRDefault="00AA271E">
          <w:pPr>
            <w:pStyle w:val="TOC1"/>
            <w:tabs>
              <w:tab w:val="left" w:pos="600"/>
            </w:tabs>
            <w:rPr>
              <w:rFonts w:asciiTheme="minorHAnsi" w:hAnsiTheme="minorHAnsi" w:cstheme="minorBidi"/>
              <w:bCs w:val="0"/>
              <w:noProof/>
              <w:color w:val="auto"/>
              <w:kern w:val="2"/>
              <w:sz w:val="24"/>
              <w:szCs w:val="24"/>
              <w:lang w:eastAsia="en-AU"/>
              <w14:ligatures w14:val="standardContextual"/>
            </w:rPr>
          </w:pPr>
          <w:hyperlink w:anchor="_Toc233643309" w:history="1">
            <w:r w:rsidRPr="002E472E">
              <w:rPr>
                <w:rStyle w:val="Hyperlink"/>
                <w:noProof/>
              </w:rPr>
              <w:t>5.</w:t>
            </w:r>
            <w:r>
              <w:rPr>
                <w:rFonts w:asciiTheme="minorHAnsi" w:hAnsiTheme="minorHAnsi" w:cstheme="minorBidi"/>
                <w:bCs w:val="0"/>
                <w:noProof/>
                <w:color w:val="auto"/>
                <w:kern w:val="2"/>
                <w:sz w:val="24"/>
                <w:szCs w:val="24"/>
                <w:lang w:eastAsia="en-AU"/>
                <w14:ligatures w14:val="standardContextual"/>
              </w:rPr>
              <w:tab/>
            </w:r>
            <w:r w:rsidRPr="002E472E">
              <w:rPr>
                <w:rStyle w:val="Hyperlink"/>
                <w:noProof/>
              </w:rPr>
              <w:t>Conclusion and next steps</w:t>
            </w:r>
            <w:r>
              <w:rPr>
                <w:noProof/>
                <w:webHidden/>
              </w:rPr>
              <w:tab/>
            </w:r>
            <w:r>
              <w:rPr>
                <w:noProof/>
                <w:webHidden/>
              </w:rPr>
              <w:fldChar w:fldCharType="begin"/>
            </w:r>
            <w:r>
              <w:rPr>
                <w:noProof/>
                <w:webHidden/>
              </w:rPr>
              <w:instrText xml:space="preserve"> PAGEREF _Toc233643309 \h </w:instrText>
            </w:r>
            <w:r>
              <w:rPr>
                <w:noProof/>
                <w:webHidden/>
              </w:rPr>
            </w:r>
            <w:r>
              <w:rPr>
                <w:noProof/>
                <w:webHidden/>
              </w:rPr>
              <w:fldChar w:fldCharType="separate"/>
            </w:r>
            <w:r>
              <w:rPr>
                <w:noProof/>
                <w:webHidden/>
              </w:rPr>
              <w:t>58</w:t>
            </w:r>
            <w:r>
              <w:rPr>
                <w:noProof/>
                <w:webHidden/>
              </w:rPr>
              <w:fldChar w:fldCharType="end"/>
            </w:r>
          </w:hyperlink>
        </w:p>
        <w:p w14:paraId="1690969D" w14:textId="47D06396"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10" w:history="1">
            <w:r w:rsidRPr="002E472E">
              <w:rPr>
                <w:rStyle w:val="Hyperlink"/>
                <w:noProof/>
              </w:rPr>
              <w:t>Phase 2 evaluation</w:t>
            </w:r>
            <w:r>
              <w:rPr>
                <w:noProof/>
                <w:webHidden/>
              </w:rPr>
              <w:tab/>
            </w:r>
            <w:r>
              <w:rPr>
                <w:noProof/>
                <w:webHidden/>
              </w:rPr>
              <w:fldChar w:fldCharType="begin"/>
            </w:r>
            <w:r>
              <w:rPr>
                <w:noProof/>
                <w:webHidden/>
              </w:rPr>
              <w:instrText xml:space="preserve"> PAGEREF _Toc233643310 \h </w:instrText>
            </w:r>
            <w:r>
              <w:rPr>
                <w:noProof/>
                <w:webHidden/>
              </w:rPr>
            </w:r>
            <w:r>
              <w:rPr>
                <w:noProof/>
                <w:webHidden/>
              </w:rPr>
              <w:fldChar w:fldCharType="separate"/>
            </w:r>
            <w:r>
              <w:rPr>
                <w:noProof/>
                <w:webHidden/>
              </w:rPr>
              <w:t>58</w:t>
            </w:r>
            <w:r>
              <w:rPr>
                <w:noProof/>
                <w:webHidden/>
              </w:rPr>
              <w:fldChar w:fldCharType="end"/>
            </w:r>
          </w:hyperlink>
        </w:p>
        <w:p w14:paraId="43EEB849" w14:textId="4C754090"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11" w:history="1">
            <w:r w:rsidRPr="002E472E">
              <w:rPr>
                <w:rStyle w:val="Hyperlink"/>
                <w:noProof/>
                <w:lang w:eastAsia="en-AU"/>
              </w:rPr>
              <w:t>Next steps</w:t>
            </w:r>
            <w:r>
              <w:rPr>
                <w:noProof/>
                <w:webHidden/>
              </w:rPr>
              <w:tab/>
            </w:r>
            <w:r>
              <w:rPr>
                <w:noProof/>
                <w:webHidden/>
              </w:rPr>
              <w:fldChar w:fldCharType="begin"/>
            </w:r>
            <w:r>
              <w:rPr>
                <w:noProof/>
                <w:webHidden/>
              </w:rPr>
              <w:instrText xml:space="preserve"> PAGEREF _Toc233643311 \h </w:instrText>
            </w:r>
            <w:r>
              <w:rPr>
                <w:noProof/>
                <w:webHidden/>
              </w:rPr>
            </w:r>
            <w:r>
              <w:rPr>
                <w:noProof/>
                <w:webHidden/>
              </w:rPr>
              <w:fldChar w:fldCharType="separate"/>
            </w:r>
            <w:r>
              <w:rPr>
                <w:noProof/>
                <w:webHidden/>
              </w:rPr>
              <w:t>59</w:t>
            </w:r>
            <w:r>
              <w:rPr>
                <w:noProof/>
                <w:webHidden/>
              </w:rPr>
              <w:fldChar w:fldCharType="end"/>
            </w:r>
          </w:hyperlink>
        </w:p>
        <w:p w14:paraId="3820ABA7" w14:textId="69F30E74"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12" w:history="1">
            <w:r w:rsidRPr="002E472E">
              <w:rPr>
                <w:rStyle w:val="Hyperlink"/>
                <w:noProof/>
              </w:rPr>
              <w:t>References</w:t>
            </w:r>
            <w:r>
              <w:rPr>
                <w:noProof/>
                <w:webHidden/>
              </w:rPr>
              <w:tab/>
            </w:r>
            <w:r>
              <w:rPr>
                <w:noProof/>
                <w:webHidden/>
              </w:rPr>
              <w:fldChar w:fldCharType="begin"/>
            </w:r>
            <w:r>
              <w:rPr>
                <w:noProof/>
                <w:webHidden/>
              </w:rPr>
              <w:instrText xml:space="preserve"> PAGEREF _Toc233643312 \h </w:instrText>
            </w:r>
            <w:r>
              <w:rPr>
                <w:noProof/>
                <w:webHidden/>
              </w:rPr>
            </w:r>
            <w:r>
              <w:rPr>
                <w:noProof/>
                <w:webHidden/>
              </w:rPr>
              <w:fldChar w:fldCharType="separate"/>
            </w:r>
            <w:r>
              <w:rPr>
                <w:noProof/>
                <w:webHidden/>
              </w:rPr>
              <w:t>61</w:t>
            </w:r>
            <w:r>
              <w:rPr>
                <w:noProof/>
                <w:webHidden/>
              </w:rPr>
              <w:fldChar w:fldCharType="end"/>
            </w:r>
          </w:hyperlink>
        </w:p>
        <w:p w14:paraId="5865E50E" w14:textId="05D6B374"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13" w:history="1">
            <w:r w:rsidRPr="002E472E">
              <w:rPr>
                <w:rStyle w:val="Hyperlink"/>
                <w:noProof/>
              </w:rPr>
              <w:t>Legislation and regulatory codes</w:t>
            </w:r>
            <w:r>
              <w:rPr>
                <w:noProof/>
                <w:webHidden/>
              </w:rPr>
              <w:tab/>
            </w:r>
            <w:r>
              <w:rPr>
                <w:noProof/>
                <w:webHidden/>
              </w:rPr>
              <w:fldChar w:fldCharType="begin"/>
            </w:r>
            <w:r>
              <w:rPr>
                <w:noProof/>
                <w:webHidden/>
              </w:rPr>
              <w:instrText xml:space="preserve"> PAGEREF _Toc233643313 \h </w:instrText>
            </w:r>
            <w:r>
              <w:rPr>
                <w:noProof/>
                <w:webHidden/>
              </w:rPr>
            </w:r>
            <w:r>
              <w:rPr>
                <w:noProof/>
                <w:webHidden/>
              </w:rPr>
              <w:fldChar w:fldCharType="separate"/>
            </w:r>
            <w:r>
              <w:rPr>
                <w:noProof/>
                <w:webHidden/>
              </w:rPr>
              <w:t>61</w:t>
            </w:r>
            <w:r>
              <w:rPr>
                <w:noProof/>
                <w:webHidden/>
              </w:rPr>
              <w:fldChar w:fldCharType="end"/>
            </w:r>
          </w:hyperlink>
        </w:p>
        <w:p w14:paraId="58113D8D" w14:textId="10F24AAF"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14" w:history="1">
            <w:r w:rsidRPr="002E472E">
              <w:rPr>
                <w:rStyle w:val="Hyperlink"/>
                <w:noProof/>
              </w:rPr>
              <w:t>Other references</w:t>
            </w:r>
            <w:r>
              <w:rPr>
                <w:noProof/>
                <w:webHidden/>
              </w:rPr>
              <w:tab/>
            </w:r>
            <w:r>
              <w:rPr>
                <w:noProof/>
                <w:webHidden/>
              </w:rPr>
              <w:fldChar w:fldCharType="begin"/>
            </w:r>
            <w:r>
              <w:rPr>
                <w:noProof/>
                <w:webHidden/>
              </w:rPr>
              <w:instrText xml:space="preserve"> PAGEREF _Toc233643314 \h </w:instrText>
            </w:r>
            <w:r>
              <w:rPr>
                <w:noProof/>
                <w:webHidden/>
              </w:rPr>
            </w:r>
            <w:r>
              <w:rPr>
                <w:noProof/>
                <w:webHidden/>
              </w:rPr>
              <w:fldChar w:fldCharType="separate"/>
            </w:r>
            <w:r>
              <w:rPr>
                <w:noProof/>
                <w:webHidden/>
              </w:rPr>
              <w:t>61</w:t>
            </w:r>
            <w:r>
              <w:rPr>
                <w:noProof/>
                <w:webHidden/>
              </w:rPr>
              <w:fldChar w:fldCharType="end"/>
            </w:r>
          </w:hyperlink>
        </w:p>
        <w:p w14:paraId="2873208B" w14:textId="28132B4C"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15" w:history="1">
            <w:r w:rsidRPr="002E472E">
              <w:rPr>
                <w:rStyle w:val="Hyperlink"/>
                <w:noProof/>
              </w:rPr>
              <w:t>Appendix A</w:t>
            </w:r>
            <w:r>
              <w:rPr>
                <w:noProof/>
                <w:webHidden/>
              </w:rPr>
              <w:tab/>
            </w:r>
            <w:r>
              <w:rPr>
                <w:noProof/>
                <w:webHidden/>
              </w:rPr>
              <w:fldChar w:fldCharType="begin"/>
            </w:r>
            <w:r>
              <w:rPr>
                <w:noProof/>
                <w:webHidden/>
              </w:rPr>
              <w:instrText xml:space="preserve"> PAGEREF _Toc233643315 \h </w:instrText>
            </w:r>
            <w:r>
              <w:rPr>
                <w:noProof/>
                <w:webHidden/>
              </w:rPr>
            </w:r>
            <w:r>
              <w:rPr>
                <w:noProof/>
                <w:webHidden/>
              </w:rPr>
              <w:fldChar w:fldCharType="separate"/>
            </w:r>
            <w:r>
              <w:rPr>
                <w:noProof/>
                <w:webHidden/>
              </w:rPr>
              <w:t>65</w:t>
            </w:r>
            <w:r>
              <w:rPr>
                <w:noProof/>
                <w:webHidden/>
              </w:rPr>
              <w:fldChar w:fldCharType="end"/>
            </w:r>
          </w:hyperlink>
        </w:p>
        <w:p w14:paraId="63B43190" w14:textId="3B1443FF"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16" w:history="1">
            <w:r w:rsidRPr="002E472E">
              <w:rPr>
                <w:rStyle w:val="Hyperlink"/>
                <w:noProof/>
              </w:rPr>
              <w:t>Numbered Principles of the NPS (DSS, 2018)</w:t>
            </w:r>
            <w:r>
              <w:rPr>
                <w:noProof/>
                <w:webHidden/>
              </w:rPr>
              <w:tab/>
            </w:r>
            <w:r>
              <w:rPr>
                <w:noProof/>
                <w:webHidden/>
              </w:rPr>
              <w:fldChar w:fldCharType="begin"/>
            </w:r>
            <w:r>
              <w:rPr>
                <w:noProof/>
                <w:webHidden/>
              </w:rPr>
              <w:instrText xml:space="preserve"> PAGEREF _Toc233643316 \h </w:instrText>
            </w:r>
            <w:r>
              <w:rPr>
                <w:noProof/>
                <w:webHidden/>
              </w:rPr>
            </w:r>
            <w:r>
              <w:rPr>
                <w:noProof/>
                <w:webHidden/>
              </w:rPr>
              <w:fldChar w:fldCharType="separate"/>
            </w:r>
            <w:r>
              <w:rPr>
                <w:noProof/>
                <w:webHidden/>
              </w:rPr>
              <w:t>65</w:t>
            </w:r>
            <w:r>
              <w:rPr>
                <w:noProof/>
                <w:webHidden/>
              </w:rPr>
              <w:fldChar w:fldCharType="end"/>
            </w:r>
          </w:hyperlink>
        </w:p>
        <w:p w14:paraId="12DE3C94" w14:textId="68516623"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17" w:history="1">
            <w:r w:rsidRPr="002E472E">
              <w:rPr>
                <w:rStyle w:val="Hyperlink"/>
                <w:noProof/>
              </w:rPr>
              <w:t>Prohibition of lines of credit – 3 principles (fully implemented)</w:t>
            </w:r>
            <w:r>
              <w:rPr>
                <w:noProof/>
                <w:webHidden/>
              </w:rPr>
              <w:tab/>
            </w:r>
            <w:r>
              <w:rPr>
                <w:noProof/>
                <w:webHidden/>
              </w:rPr>
              <w:fldChar w:fldCharType="begin"/>
            </w:r>
            <w:r>
              <w:rPr>
                <w:noProof/>
                <w:webHidden/>
              </w:rPr>
              <w:instrText xml:space="preserve"> PAGEREF _Toc233643317 \h </w:instrText>
            </w:r>
            <w:r>
              <w:rPr>
                <w:noProof/>
                <w:webHidden/>
              </w:rPr>
            </w:r>
            <w:r>
              <w:rPr>
                <w:noProof/>
                <w:webHidden/>
              </w:rPr>
              <w:fldChar w:fldCharType="separate"/>
            </w:r>
            <w:r>
              <w:rPr>
                <w:noProof/>
                <w:webHidden/>
              </w:rPr>
              <w:t>65</w:t>
            </w:r>
            <w:r>
              <w:rPr>
                <w:noProof/>
                <w:webHidden/>
              </w:rPr>
              <w:fldChar w:fldCharType="end"/>
            </w:r>
          </w:hyperlink>
        </w:p>
        <w:p w14:paraId="72C6B661" w14:textId="3DEB7FAF"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18" w:history="1">
            <w:r w:rsidRPr="002E472E">
              <w:rPr>
                <w:rStyle w:val="Hyperlink"/>
                <w:noProof/>
              </w:rPr>
              <w:t>Payday lenders – 4 principles (fully implemented)</w:t>
            </w:r>
            <w:r>
              <w:rPr>
                <w:noProof/>
                <w:webHidden/>
              </w:rPr>
              <w:tab/>
            </w:r>
            <w:r>
              <w:rPr>
                <w:noProof/>
                <w:webHidden/>
              </w:rPr>
              <w:fldChar w:fldCharType="begin"/>
            </w:r>
            <w:r>
              <w:rPr>
                <w:noProof/>
                <w:webHidden/>
              </w:rPr>
              <w:instrText xml:space="preserve"> PAGEREF _Toc233643318 \h </w:instrText>
            </w:r>
            <w:r>
              <w:rPr>
                <w:noProof/>
                <w:webHidden/>
              </w:rPr>
            </w:r>
            <w:r>
              <w:rPr>
                <w:noProof/>
                <w:webHidden/>
              </w:rPr>
              <w:fldChar w:fldCharType="separate"/>
            </w:r>
            <w:r>
              <w:rPr>
                <w:noProof/>
                <w:webHidden/>
              </w:rPr>
              <w:t>65</w:t>
            </w:r>
            <w:r>
              <w:rPr>
                <w:noProof/>
                <w:webHidden/>
              </w:rPr>
              <w:fldChar w:fldCharType="end"/>
            </w:r>
          </w:hyperlink>
        </w:p>
        <w:p w14:paraId="4C4FA56B" w14:textId="0176CA6D"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19" w:history="1">
            <w:r w:rsidRPr="002E472E">
              <w:rPr>
                <w:rStyle w:val="Hyperlink"/>
                <w:noProof/>
              </w:rPr>
              <w:t>Customer verification – 4 principles (fully implemented)</w:t>
            </w:r>
            <w:r>
              <w:rPr>
                <w:noProof/>
                <w:webHidden/>
              </w:rPr>
              <w:tab/>
            </w:r>
            <w:r>
              <w:rPr>
                <w:noProof/>
                <w:webHidden/>
              </w:rPr>
              <w:fldChar w:fldCharType="begin"/>
            </w:r>
            <w:r>
              <w:rPr>
                <w:noProof/>
                <w:webHidden/>
              </w:rPr>
              <w:instrText xml:space="preserve"> PAGEREF _Toc233643319 \h </w:instrText>
            </w:r>
            <w:r>
              <w:rPr>
                <w:noProof/>
                <w:webHidden/>
              </w:rPr>
            </w:r>
            <w:r>
              <w:rPr>
                <w:noProof/>
                <w:webHidden/>
              </w:rPr>
              <w:fldChar w:fldCharType="separate"/>
            </w:r>
            <w:r>
              <w:rPr>
                <w:noProof/>
                <w:webHidden/>
              </w:rPr>
              <w:t>65</w:t>
            </w:r>
            <w:r>
              <w:rPr>
                <w:noProof/>
                <w:webHidden/>
              </w:rPr>
              <w:fldChar w:fldCharType="end"/>
            </w:r>
          </w:hyperlink>
        </w:p>
        <w:p w14:paraId="2689CF37" w14:textId="50B7E7D6"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0" w:history="1">
            <w:r w:rsidRPr="002E472E">
              <w:rPr>
                <w:rStyle w:val="Hyperlink"/>
                <w:noProof/>
              </w:rPr>
              <w:t>Restrictions on inducements – 7 principles (5/7 fully implemented)</w:t>
            </w:r>
            <w:r>
              <w:rPr>
                <w:noProof/>
                <w:webHidden/>
              </w:rPr>
              <w:tab/>
            </w:r>
            <w:r>
              <w:rPr>
                <w:noProof/>
                <w:webHidden/>
              </w:rPr>
              <w:fldChar w:fldCharType="begin"/>
            </w:r>
            <w:r>
              <w:rPr>
                <w:noProof/>
                <w:webHidden/>
              </w:rPr>
              <w:instrText xml:space="preserve"> PAGEREF _Toc233643320 \h </w:instrText>
            </w:r>
            <w:r>
              <w:rPr>
                <w:noProof/>
                <w:webHidden/>
              </w:rPr>
            </w:r>
            <w:r>
              <w:rPr>
                <w:noProof/>
                <w:webHidden/>
              </w:rPr>
              <w:fldChar w:fldCharType="separate"/>
            </w:r>
            <w:r>
              <w:rPr>
                <w:noProof/>
                <w:webHidden/>
              </w:rPr>
              <w:t>65</w:t>
            </w:r>
            <w:r>
              <w:rPr>
                <w:noProof/>
                <w:webHidden/>
              </w:rPr>
              <w:fldChar w:fldCharType="end"/>
            </w:r>
          </w:hyperlink>
        </w:p>
        <w:p w14:paraId="0FDF468D" w14:textId="26B5A7BD"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1" w:history="1">
            <w:r w:rsidRPr="002E472E">
              <w:rPr>
                <w:rStyle w:val="Hyperlink"/>
                <w:noProof/>
              </w:rPr>
              <w:t>Account closure – 6 principles (5/6 fully implemented)</w:t>
            </w:r>
            <w:r>
              <w:rPr>
                <w:noProof/>
                <w:webHidden/>
              </w:rPr>
              <w:tab/>
            </w:r>
            <w:r>
              <w:rPr>
                <w:noProof/>
                <w:webHidden/>
              </w:rPr>
              <w:fldChar w:fldCharType="begin"/>
            </w:r>
            <w:r>
              <w:rPr>
                <w:noProof/>
                <w:webHidden/>
              </w:rPr>
              <w:instrText xml:space="preserve"> PAGEREF _Toc233643321 \h </w:instrText>
            </w:r>
            <w:r>
              <w:rPr>
                <w:noProof/>
                <w:webHidden/>
              </w:rPr>
            </w:r>
            <w:r>
              <w:rPr>
                <w:noProof/>
                <w:webHidden/>
              </w:rPr>
              <w:fldChar w:fldCharType="separate"/>
            </w:r>
            <w:r>
              <w:rPr>
                <w:noProof/>
                <w:webHidden/>
              </w:rPr>
              <w:t>66</w:t>
            </w:r>
            <w:r>
              <w:rPr>
                <w:noProof/>
                <w:webHidden/>
              </w:rPr>
              <w:fldChar w:fldCharType="end"/>
            </w:r>
          </w:hyperlink>
        </w:p>
        <w:p w14:paraId="03A25356" w14:textId="2DADD083"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2" w:history="1">
            <w:r w:rsidRPr="002E472E">
              <w:rPr>
                <w:rStyle w:val="Hyperlink"/>
                <w:noProof/>
              </w:rPr>
              <w:t>Voluntary opt-out pre-commitment scheme – 14 principles (12/14 fully implemented)</w:t>
            </w:r>
            <w:r>
              <w:rPr>
                <w:noProof/>
                <w:webHidden/>
              </w:rPr>
              <w:tab/>
            </w:r>
            <w:r>
              <w:rPr>
                <w:noProof/>
                <w:webHidden/>
              </w:rPr>
              <w:fldChar w:fldCharType="begin"/>
            </w:r>
            <w:r>
              <w:rPr>
                <w:noProof/>
                <w:webHidden/>
              </w:rPr>
              <w:instrText xml:space="preserve"> PAGEREF _Toc233643322 \h </w:instrText>
            </w:r>
            <w:r>
              <w:rPr>
                <w:noProof/>
                <w:webHidden/>
              </w:rPr>
            </w:r>
            <w:r>
              <w:rPr>
                <w:noProof/>
                <w:webHidden/>
              </w:rPr>
              <w:fldChar w:fldCharType="separate"/>
            </w:r>
            <w:r>
              <w:rPr>
                <w:noProof/>
                <w:webHidden/>
              </w:rPr>
              <w:t>66</w:t>
            </w:r>
            <w:r>
              <w:rPr>
                <w:noProof/>
                <w:webHidden/>
              </w:rPr>
              <w:fldChar w:fldCharType="end"/>
            </w:r>
          </w:hyperlink>
        </w:p>
        <w:p w14:paraId="0563C1FE" w14:textId="268DBFA5"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3" w:history="1">
            <w:r w:rsidRPr="002E472E">
              <w:rPr>
                <w:rStyle w:val="Hyperlink"/>
                <w:noProof/>
              </w:rPr>
              <w:t>Activity statements – 10 principles (9/10 fully implemented)</w:t>
            </w:r>
            <w:r>
              <w:rPr>
                <w:noProof/>
                <w:webHidden/>
              </w:rPr>
              <w:tab/>
            </w:r>
            <w:r>
              <w:rPr>
                <w:noProof/>
                <w:webHidden/>
              </w:rPr>
              <w:fldChar w:fldCharType="begin"/>
            </w:r>
            <w:r>
              <w:rPr>
                <w:noProof/>
                <w:webHidden/>
              </w:rPr>
              <w:instrText xml:space="preserve"> PAGEREF _Toc233643323 \h </w:instrText>
            </w:r>
            <w:r>
              <w:rPr>
                <w:noProof/>
                <w:webHidden/>
              </w:rPr>
            </w:r>
            <w:r>
              <w:rPr>
                <w:noProof/>
                <w:webHidden/>
              </w:rPr>
              <w:fldChar w:fldCharType="separate"/>
            </w:r>
            <w:r>
              <w:rPr>
                <w:noProof/>
                <w:webHidden/>
              </w:rPr>
              <w:t>67</w:t>
            </w:r>
            <w:r>
              <w:rPr>
                <w:noProof/>
                <w:webHidden/>
              </w:rPr>
              <w:fldChar w:fldCharType="end"/>
            </w:r>
          </w:hyperlink>
        </w:p>
        <w:p w14:paraId="5F15E624" w14:textId="76AC6553"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4" w:history="1">
            <w:r w:rsidRPr="002E472E">
              <w:rPr>
                <w:rStyle w:val="Hyperlink"/>
                <w:noProof/>
              </w:rPr>
              <w:t>Consistent gambling messaging – 4 principles (fully implemented)</w:t>
            </w:r>
            <w:r>
              <w:rPr>
                <w:noProof/>
                <w:webHidden/>
              </w:rPr>
              <w:tab/>
            </w:r>
            <w:r>
              <w:rPr>
                <w:noProof/>
                <w:webHidden/>
              </w:rPr>
              <w:fldChar w:fldCharType="begin"/>
            </w:r>
            <w:r>
              <w:rPr>
                <w:noProof/>
                <w:webHidden/>
              </w:rPr>
              <w:instrText xml:space="preserve"> PAGEREF _Toc233643324 \h </w:instrText>
            </w:r>
            <w:r>
              <w:rPr>
                <w:noProof/>
                <w:webHidden/>
              </w:rPr>
            </w:r>
            <w:r>
              <w:rPr>
                <w:noProof/>
                <w:webHidden/>
              </w:rPr>
              <w:fldChar w:fldCharType="separate"/>
            </w:r>
            <w:r>
              <w:rPr>
                <w:noProof/>
                <w:webHidden/>
              </w:rPr>
              <w:t>68</w:t>
            </w:r>
            <w:r>
              <w:rPr>
                <w:noProof/>
                <w:webHidden/>
              </w:rPr>
              <w:fldChar w:fldCharType="end"/>
            </w:r>
          </w:hyperlink>
        </w:p>
        <w:p w14:paraId="662AEE1C" w14:textId="08E7519B"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5" w:history="1">
            <w:r w:rsidRPr="002E472E">
              <w:rPr>
                <w:rStyle w:val="Hyperlink"/>
                <w:noProof/>
              </w:rPr>
              <w:t>Staff training – 4 principles (fully implemented)</w:t>
            </w:r>
            <w:r>
              <w:rPr>
                <w:noProof/>
                <w:webHidden/>
              </w:rPr>
              <w:tab/>
            </w:r>
            <w:r>
              <w:rPr>
                <w:noProof/>
                <w:webHidden/>
              </w:rPr>
              <w:fldChar w:fldCharType="begin"/>
            </w:r>
            <w:r>
              <w:rPr>
                <w:noProof/>
                <w:webHidden/>
              </w:rPr>
              <w:instrText xml:space="preserve"> PAGEREF _Toc233643325 \h </w:instrText>
            </w:r>
            <w:r>
              <w:rPr>
                <w:noProof/>
                <w:webHidden/>
              </w:rPr>
            </w:r>
            <w:r>
              <w:rPr>
                <w:noProof/>
                <w:webHidden/>
              </w:rPr>
              <w:fldChar w:fldCharType="separate"/>
            </w:r>
            <w:r>
              <w:rPr>
                <w:noProof/>
                <w:webHidden/>
              </w:rPr>
              <w:t>68</w:t>
            </w:r>
            <w:r>
              <w:rPr>
                <w:noProof/>
                <w:webHidden/>
              </w:rPr>
              <w:fldChar w:fldCharType="end"/>
            </w:r>
          </w:hyperlink>
        </w:p>
        <w:p w14:paraId="17FD8BC1" w14:textId="7F224A94" w:rsidR="00AA271E" w:rsidRDefault="00AA271E">
          <w:pPr>
            <w:pStyle w:val="TOC3"/>
            <w:tabs>
              <w:tab w:val="right" w:leader="dot" w:pos="8489"/>
            </w:tabs>
            <w:rPr>
              <w:rFonts w:asciiTheme="minorHAnsi" w:hAnsiTheme="minorHAnsi" w:cstheme="minorBidi"/>
              <w:noProof/>
              <w:color w:val="auto"/>
              <w:kern w:val="2"/>
              <w:sz w:val="24"/>
              <w:szCs w:val="24"/>
              <w:lang w:eastAsia="en-AU"/>
              <w14:ligatures w14:val="standardContextual"/>
            </w:rPr>
          </w:pPr>
          <w:hyperlink w:anchor="_Toc233643326" w:history="1">
            <w:r w:rsidRPr="002E472E">
              <w:rPr>
                <w:rStyle w:val="Hyperlink"/>
                <w:noProof/>
              </w:rPr>
              <w:t>NSER – BetStop – 15 principles (fully implemented)</w:t>
            </w:r>
            <w:r>
              <w:rPr>
                <w:noProof/>
                <w:webHidden/>
              </w:rPr>
              <w:tab/>
            </w:r>
            <w:r>
              <w:rPr>
                <w:noProof/>
                <w:webHidden/>
              </w:rPr>
              <w:fldChar w:fldCharType="begin"/>
            </w:r>
            <w:r>
              <w:rPr>
                <w:noProof/>
                <w:webHidden/>
              </w:rPr>
              <w:instrText xml:space="preserve"> PAGEREF _Toc233643326 \h </w:instrText>
            </w:r>
            <w:r>
              <w:rPr>
                <w:noProof/>
                <w:webHidden/>
              </w:rPr>
            </w:r>
            <w:r>
              <w:rPr>
                <w:noProof/>
                <w:webHidden/>
              </w:rPr>
              <w:fldChar w:fldCharType="separate"/>
            </w:r>
            <w:r>
              <w:rPr>
                <w:noProof/>
                <w:webHidden/>
              </w:rPr>
              <w:t>69</w:t>
            </w:r>
            <w:r>
              <w:rPr>
                <w:noProof/>
                <w:webHidden/>
              </w:rPr>
              <w:fldChar w:fldCharType="end"/>
            </w:r>
          </w:hyperlink>
        </w:p>
        <w:p w14:paraId="74E72DF2" w14:textId="0591ED29"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27" w:history="1">
            <w:r w:rsidRPr="002E472E">
              <w:rPr>
                <w:rStyle w:val="Hyperlink"/>
                <w:noProof/>
              </w:rPr>
              <w:t>Appendix B: Program logic model and theory of change</w:t>
            </w:r>
            <w:r>
              <w:rPr>
                <w:noProof/>
                <w:webHidden/>
              </w:rPr>
              <w:tab/>
            </w:r>
            <w:r>
              <w:rPr>
                <w:noProof/>
                <w:webHidden/>
              </w:rPr>
              <w:fldChar w:fldCharType="begin"/>
            </w:r>
            <w:r>
              <w:rPr>
                <w:noProof/>
                <w:webHidden/>
              </w:rPr>
              <w:instrText xml:space="preserve"> PAGEREF _Toc233643327 \h </w:instrText>
            </w:r>
            <w:r>
              <w:rPr>
                <w:noProof/>
                <w:webHidden/>
              </w:rPr>
            </w:r>
            <w:r>
              <w:rPr>
                <w:noProof/>
                <w:webHidden/>
              </w:rPr>
              <w:fldChar w:fldCharType="separate"/>
            </w:r>
            <w:r>
              <w:rPr>
                <w:noProof/>
                <w:webHidden/>
              </w:rPr>
              <w:t>70</w:t>
            </w:r>
            <w:r>
              <w:rPr>
                <w:noProof/>
                <w:webHidden/>
              </w:rPr>
              <w:fldChar w:fldCharType="end"/>
            </w:r>
          </w:hyperlink>
        </w:p>
        <w:p w14:paraId="63DA9E03" w14:textId="2CE5ABCC"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28" w:history="1">
            <w:r w:rsidRPr="002E472E">
              <w:rPr>
                <w:rStyle w:val="Hyperlink"/>
                <w:rFonts w:cs="Arial"/>
                <w:noProof/>
                <w:kern w:val="32"/>
              </w:rPr>
              <w:t>Appendix C: Phase 1 evaluation matrix</w:t>
            </w:r>
            <w:r>
              <w:rPr>
                <w:noProof/>
                <w:webHidden/>
              </w:rPr>
              <w:tab/>
            </w:r>
            <w:r>
              <w:rPr>
                <w:noProof/>
                <w:webHidden/>
              </w:rPr>
              <w:fldChar w:fldCharType="begin"/>
            </w:r>
            <w:r>
              <w:rPr>
                <w:noProof/>
                <w:webHidden/>
              </w:rPr>
              <w:instrText xml:space="preserve"> PAGEREF _Toc233643328 \h </w:instrText>
            </w:r>
            <w:r>
              <w:rPr>
                <w:noProof/>
                <w:webHidden/>
              </w:rPr>
            </w:r>
            <w:r>
              <w:rPr>
                <w:noProof/>
                <w:webHidden/>
              </w:rPr>
              <w:fldChar w:fldCharType="separate"/>
            </w:r>
            <w:r>
              <w:rPr>
                <w:noProof/>
                <w:webHidden/>
              </w:rPr>
              <w:t>72</w:t>
            </w:r>
            <w:r>
              <w:rPr>
                <w:noProof/>
                <w:webHidden/>
              </w:rPr>
              <w:fldChar w:fldCharType="end"/>
            </w:r>
          </w:hyperlink>
        </w:p>
        <w:p w14:paraId="54ECD818" w14:textId="4BD97296"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29" w:history="1">
            <w:r w:rsidRPr="002E472E">
              <w:rPr>
                <w:rStyle w:val="Hyperlink"/>
                <w:noProof/>
              </w:rPr>
              <w:t>Appendix D: Consumer experiences of NCPF measure non-compliance</w:t>
            </w:r>
            <w:r>
              <w:rPr>
                <w:noProof/>
                <w:webHidden/>
              </w:rPr>
              <w:tab/>
            </w:r>
            <w:r>
              <w:rPr>
                <w:noProof/>
                <w:webHidden/>
              </w:rPr>
              <w:fldChar w:fldCharType="begin"/>
            </w:r>
            <w:r>
              <w:rPr>
                <w:noProof/>
                <w:webHidden/>
              </w:rPr>
              <w:instrText xml:space="preserve"> PAGEREF _Toc233643329 \h </w:instrText>
            </w:r>
            <w:r>
              <w:rPr>
                <w:noProof/>
                <w:webHidden/>
              </w:rPr>
            </w:r>
            <w:r>
              <w:rPr>
                <w:noProof/>
                <w:webHidden/>
              </w:rPr>
              <w:fldChar w:fldCharType="separate"/>
            </w:r>
            <w:r>
              <w:rPr>
                <w:noProof/>
                <w:webHidden/>
              </w:rPr>
              <w:t>74</w:t>
            </w:r>
            <w:r>
              <w:rPr>
                <w:noProof/>
                <w:webHidden/>
              </w:rPr>
              <w:fldChar w:fldCharType="end"/>
            </w:r>
          </w:hyperlink>
        </w:p>
        <w:p w14:paraId="1D2AE5FD" w14:textId="589F5ED2"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0" w:history="1">
            <w:r w:rsidRPr="002E472E">
              <w:rPr>
                <w:rStyle w:val="Hyperlink"/>
                <w:rFonts w:cs="Arial"/>
                <w:noProof/>
                <w:kern w:val="32"/>
              </w:rPr>
              <w:t>Measure 4. Restrictions on inducements and Measure 5. Account closure</w:t>
            </w:r>
            <w:r>
              <w:rPr>
                <w:noProof/>
                <w:webHidden/>
              </w:rPr>
              <w:tab/>
            </w:r>
            <w:r>
              <w:rPr>
                <w:noProof/>
                <w:webHidden/>
              </w:rPr>
              <w:fldChar w:fldCharType="begin"/>
            </w:r>
            <w:r>
              <w:rPr>
                <w:noProof/>
                <w:webHidden/>
              </w:rPr>
              <w:instrText xml:space="preserve"> PAGEREF _Toc233643330 \h </w:instrText>
            </w:r>
            <w:r>
              <w:rPr>
                <w:noProof/>
                <w:webHidden/>
              </w:rPr>
            </w:r>
            <w:r>
              <w:rPr>
                <w:noProof/>
                <w:webHidden/>
              </w:rPr>
              <w:fldChar w:fldCharType="separate"/>
            </w:r>
            <w:r>
              <w:rPr>
                <w:noProof/>
                <w:webHidden/>
              </w:rPr>
              <w:t>76</w:t>
            </w:r>
            <w:r>
              <w:rPr>
                <w:noProof/>
                <w:webHidden/>
              </w:rPr>
              <w:fldChar w:fldCharType="end"/>
            </w:r>
          </w:hyperlink>
        </w:p>
        <w:p w14:paraId="11C5E983" w14:textId="7239A97B"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1" w:history="1">
            <w:r w:rsidRPr="002E472E">
              <w:rPr>
                <w:rStyle w:val="Hyperlink"/>
                <w:rFonts w:cs="Arial"/>
                <w:noProof/>
                <w:kern w:val="32"/>
              </w:rPr>
              <w:t>Measure 6. Voluntary opt-out pre-commitment scheme (deposit limits)</w:t>
            </w:r>
            <w:r>
              <w:rPr>
                <w:noProof/>
                <w:webHidden/>
              </w:rPr>
              <w:tab/>
            </w:r>
            <w:r>
              <w:rPr>
                <w:noProof/>
                <w:webHidden/>
              </w:rPr>
              <w:fldChar w:fldCharType="begin"/>
            </w:r>
            <w:r>
              <w:rPr>
                <w:noProof/>
                <w:webHidden/>
              </w:rPr>
              <w:instrText xml:space="preserve"> PAGEREF _Toc233643331 \h </w:instrText>
            </w:r>
            <w:r>
              <w:rPr>
                <w:noProof/>
                <w:webHidden/>
              </w:rPr>
            </w:r>
            <w:r>
              <w:rPr>
                <w:noProof/>
                <w:webHidden/>
              </w:rPr>
              <w:fldChar w:fldCharType="separate"/>
            </w:r>
            <w:r>
              <w:rPr>
                <w:noProof/>
                <w:webHidden/>
              </w:rPr>
              <w:t>77</w:t>
            </w:r>
            <w:r>
              <w:rPr>
                <w:noProof/>
                <w:webHidden/>
              </w:rPr>
              <w:fldChar w:fldCharType="end"/>
            </w:r>
          </w:hyperlink>
        </w:p>
        <w:p w14:paraId="709C0ED1" w14:textId="7404AABB"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2" w:history="1">
            <w:r w:rsidRPr="002E472E">
              <w:rPr>
                <w:rStyle w:val="Hyperlink"/>
                <w:noProof/>
              </w:rPr>
              <w:t>Measure 7. Activity statements</w:t>
            </w:r>
            <w:r>
              <w:rPr>
                <w:noProof/>
                <w:webHidden/>
              </w:rPr>
              <w:tab/>
            </w:r>
            <w:r>
              <w:rPr>
                <w:noProof/>
                <w:webHidden/>
              </w:rPr>
              <w:fldChar w:fldCharType="begin"/>
            </w:r>
            <w:r>
              <w:rPr>
                <w:noProof/>
                <w:webHidden/>
              </w:rPr>
              <w:instrText xml:space="preserve"> PAGEREF _Toc233643332 \h </w:instrText>
            </w:r>
            <w:r>
              <w:rPr>
                <w:noProof/>
                <w:webHidden/>
              </w:rPr>
            </w:r>
            <w:r>
              <w:rPr>
                <w:noProof/>
                <w:webHidden/>
              </w:rPr>
              <w:fldChar w:fldCharType="separate"/>
            </w:r>
            <w:r>
              <w:rPr>
                <w:noProof/>
                <w:webHidden/>
              </w:rPr>
              <w:t>78</w:t>
            </w:r>
            <w:r>
              <w:rPr>
                <w:noProof/>
                <w:webHidden/>
              </w:rPr>
              <w:fldChar w:fldCharType="end"/>
            </w:r>
          </w:hyperlink>
        </w:p>
        <w:p w14:paraId="2DF16C07" w14:textId="6EEED9B3"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33" w:history="1">
            <w:r w:rsidRPr="002E472E">
              <w:rPr>
                <w:rStyle w:val="Hyperlink"/>
                <w:noProof/>
              </w:rPr>
              <w:t>Appendix F: Legislation and guidance for each NCPF measure</w:t>
            </w:r>
            <w:r>
              <w:rPr>
                <w:noProof/>
                <w:webHidden/>
              </w:rPr>
              <w:tab/>
            </w:r>
            <w:r>
              <w:rPr>
                <w:noProof/>
                <w:webHidden/>
              </w:rPr>
              <w:fldChar w:fldCharType="begin"/>
            </w:r>
            <w:r>
              <w:rPr>
                <w:noProof/>
                <w:webHidden/>
              </w:rPr>
              <w:instrText xml:space="preserve"> PAGEREF _Toc233643333 \h </w:instrText>
            </w:r>
            <w:r>
              <w:rPr>
                <w:noProof/>
                <w:webHidden/>
              </w:rPr>
            </w:r>
            <w:r>
              <w:rPr>
                <w:noProof/>
                <w:webHidden/>
              </w:rPr>
              <w:fldChar w:fldCharType="separate"/>
            </w:r>
            <w:r>
              <w:rPr>
                <w:noProof/>
                <w:webHidden/>
              </w:rPr>
              <w:t>80</w:t>
            </w:r>
            <w:r>
              <w:rPr>
                <w:noProof/>
                <w:webHidden/>
              </w:rPr>
              <w:fldChar w:fldCharType="end"/>
            </w:r>
          </w:hyperlink>
        </w:p>
        <w:p w14:paraId="21CA0503" w14:textId="34B45E30" w:rsidR="00AA271E" w:rsidRDefault="00AA271E">
          <w:pPr>
            <w:pStyle w:val="TOC1"/>
            <w:rPr>
              <w:rFonts w:asciiTheme="minorHAnsi" w:hAnsiTheme="minorHAnsi" w:cstheme="minorBidi"/>
              <w:bCs w:val="0"/>
              <w:noProof/>
              <w:color w:val="auto"/>
              <w:kern w:val="2"/>
              <w:sz w:val="24"/>
              <w:szCs w:val="24"/>
              <w:lang w:eastAsia="en-AU"/>
              <w14:ligatures w14:val="standardContextual"/>
            </w:rPr>
          </w:pPr>
          <w:hyperlink w:anchor="_Toc233643334" w:history="1">
            <w:r w:rsidRPr="002E472E">
              <w:rPr>
                <w:rStyle w:val="Hyperlink"/>
                <w:noProof/>
              </w:rPr>
              <w:t>Appendix G: Environmental scan criteria for meeting minimum CGM requirements on websites and apps</w:t>
            </w:r>
            <w:r>
              <w:rPr>
                <w:noProof/>
                <w:webHidden/>
              </w:rPr>
              <w:tab/>
            </w:r>
            <w:r>
              <w:rPr>
                <w:noProof/>
                <w:webHidden/>
              </w:rPr>
              <w:fldChar w:fldCharType="begin"/>
            </w:r>
            <w:r>
              <w:rPr>
                <w:noProof/>
                <w:webHidden/>
              </w:rPr>
              <w:instrText xml:space="preserve"> PAGEREF _Toc233643334 \h </w:instrText>
            </w:r>
            <w:r>
              <w:rPr>
                <w:noProof/>
                <w:webHidden/>
              </w:rPr>
            </w:r>
            <w:r>
              <w:rPr>
                <w:noProof/>
                <w:webHidden/>
              </w:rPr>
              <w:fldChar w:fldCharType="separate"/>
            </w:r>
            <w:r>
              <w:rPr>
                <w:noProof/>
                <w:webHidden/>
              </w:rPr>
              <w:t>81</w:t>
            </w:r>
            <w:r>
              <w:rPr>
                <w:noProof/>
                <w:webHidden/>
              </w:rPr>
              <w:fldChar w:fldCharType="end"/>
            </w:r>
          </w:hyperlink>
        </w:p>
        <w:p w14:paraId="5E2F0DF8" w14:textId="15730015"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5" w:history="1">
            <w:r w:rsidRPr="002E472E">
              <w:rPr>
                <w:rStyle w:val="Hyperlink"/>
                <w:noProof/>
                <w:lang w:eastAsia="en-AU"/>
              </w:rPr>
              <w:t>Sample</w:t>
            </w:r>
            <w:r>
              <w:rPr>
                <w:noProof/>
                <w:webHidden/>
              </w:rPr>
              <w:tab/>
            </w:r>
            <w:r>
              <w:rPr>
                <w:noProof/>
                <w:webHidden/>
              </w:rPr>
              <w:fldChar w:fldCharType="begin"/>
            </w:r>
            <w:r>
              <w:rPr>
                <w:noProof/>
                <w:webHidden/>
              </w:rPr>
              <w:instrText xml:space="preserve"> PAGEREF _Toc233643335 \h </w:instrText>
            </w:r>
            <w:r>
              <w:rPr>
                <w:noProof/>
                <w:webHidden/>
              </w:rPr>
            </w:r>
            <w:r>
              <w:rPr>
                <w:noProof/>
                <w:webHidden/>
              </w:rPr>
              <w:fldChar w:fldCharType="separate"/>
            </w:r>
            <w:r>
              <w:rPr>
                <w:noProof/>
                <w:webHidden/>
              </w:rPr>
              <w:t>81</w:t>
            </w:r>
            <w:r>
              <w:rPr>
                <w:noProof/>
                <w:webHidden/>
              </w:rPr>
              <w:fldChar w:fldCharType="end"/>
            </w:r>
          </w:hyperlink>
        </w:p>
        <w:p w14:paraId="4E37C0AE" w14:textId="0BB4EB8F"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6" w:history="1">
            <w:r w:rsidRPr="002E472E">
              <w:rPr>
                <w:rStyle w:val="Hyperlink"/>
                <w:noProof/>
              </w:rPr>
              <w:t>Criteria</w:t>
            </w:r>
            <w:r>
              <w:rPr>
                <w:noProof/>
                <w:webHidden/>
              </w:rPr>
              <w:tab/>
            </w:r>
            <w:r>
              <w:rPr>
                <w:noProof/>
                <w:webHidden/>
              </w:rPr>
              <w:fldChar w:fldCharType="begin"/>
            </w:r>
            <w:r>
              <w:rPr>
                <w:noProof/>
                <w:webHidden/>
              </w:rPr>
              <w:instrText xml:space="preserve"> PAGEREF _Toc233643336 \h </w:instrText>
            </w:r>
            <w:r>
              <w:rPr>
                <w:noProof/>
                <w:webHidden/>
              </w:rPr>
            </w:r>
            <w:r>
              <w:rPr>
                <w:noProof/>
                <w:webHidden/>
              </w:rPr>
              <w:fldChar w:fldCharType="separate"/>
            </w:r>
            <w:r>
              <w:rPr>
                <w:noProof/>
                <w:webHidden/>
              </w:rPr>
              <w:t>81</w:t>
            </w:r>
            <w:r>
              <w:rPr>
                <w:noProof/>
                <w:webHidden/>
              </w:rPr>
              <w:fldChar w:fldCharType="end"/>
            </w:r>
          </w:hyperlink>
        </w:p>
        <w:p w14:paraId="4BE7A808" w14:textId="1CFABE09" w:rsidR="00AA271E" w:rsidRDefault="00AA271E">
          <w:pPr>
            <w:pStyle w:val="TOC2"/>
            <w:tabs>
              <w:tab w:val="right" w:leader="dot" w:pos="8489"/>
            </w:tabs>
            <w:rPr>
              <w:rFonts w:asciiTheme="minorHAnsi" w:hAnsiTheme="minorHAnsi" w:cstheme="minorBidi"/>
              <w:iCs w:val="0"/>
              <w:noProof/>
              <w:color w:val="auto"/>
              <w:kern w:val="2"/>
              <w:sz w:val="24"/>
              <w:szCs w:val="24"/>
              <w:lang w:eastAsia="en-AU"/>
              <w14:ligatures w14:val="standardContextual"/>
            </w:rPr>
          </w:pPr>
          <w:hyperlink w:anchor="_Toc233643337" w:history="1">
            <w:r w:rsidRPr="002E472E">
              <w:rPr>
                <w:rStyle w:val="Hyperlink"/>
                <w:noProof/>
              </w:rPr>
              <w:t>Detailed findings</w:t>
            </w:r>
            <w:r>
              <w:rPr>
                <w:noProof/>
                <w:webHidden/>
              </w:rPr>
              <w:tab/>
            </w:r>
            <w:r>
              <w:rPr>
                <w:noProof/>
                <w:webHidden/>
              </w:rPr>
              <w:fldChar w:fldCharType="begin"/>
            </w:r>
            <w:r>
              <w:rPr>
                <w:noProof/>
                <w:webHidden/>
              </w:rPr>
              <w:instrText xml:space="preserve"> PAGEREF _Toc233643337 \h </w:instrText>
            </w:r>
            <w:r>
              <w:rPr>
                <w:noProof/>
                <w:webHidden/>
              </w:rPr>
            </w:r>
            <w:r>
              <w:rPr>
                <w:noProof/>
                <w:webHidden/>
              </w:rPr>
              <w:fldChar w:fldCharType="separate"/>
            </w:r>
            <w:r>
              <w:rPr>
                <w:noProof/>
                <w:webHidden/>
              </w:rPr>
              <w:t>82</w:t>
            </w:r>
            <w:r>
              <w:rPr>
                <w:noProof/>
                <w:webHidden/>
              </w:rPr>
              <w:fldChar w:fldCharType="end"/>
            </w:r>
          </w:hyperlink>
        </w:p>
        <w:p w14:paraId="0474F92D" w14:textId="11260610" w:rsidR="008128E5" w:rsidRPr="00843A16" w:rsidRDefault="00D565DA" w:rsidP="00E571F3">
          <w:pPr>
            <w:keepNext/>
            <w:keepLines/>
          </w:pPr>
          <w:r w:rsidRPr="00FF7BBF">
            <w:rPr>
              <w:b/>
            </w:rPr>
            <w:fldChar w:fldCharType="end"/>
          </w:r>
        </w:p>
      </w:sdtContent>
    </w:sdt>
    <w:p w14:paraId="12B44CDF" w14:textId="380FF4F4" w:rsidR="000F494D" w:rsidRPr="00843A16" w:rsidRDefault="008A77F1" w:rsidP="000F494D">
      <w:pPr>
        <w:pStyle w:val="PrelimHeading1"/>
      </w:pPr>
      <w:bookmarkStart w:id="1" w:name="_Toc213763485"/>
      <w:bookmarkStart w:id="2" w:name="_Toc233643266"/>
      <w:bookmarkStart w:id="3" w:name="_Toc213763487"/>
      <w:r w:rsidRPr="00843A16">
        <w:lastRenderedPageBreak/>
        <w:t>Abbreviations and key</w:t>
      </w:r>
      <w:r w:rsidR="000F494D" w:rsidRPr="00843A16">
        <w:t xml:space="preserve"> terms</w:t>
      </w:r>
      <w:bookmarkEnd w:id="1"/>
      <w:bookmarkEnd w:id="2"/>
    </w:p>
    <w:tbl>
      <w:tblPr>
        <w:tblStyle w:val="TableGrid1"/>
        <w:tblW w:w="8652" w:type="dxa"/>
        <w:tblLook w:val="04A0" w:firstRow="1" w:lastRow="0" w:firstColumn="1" w:lastColumn="0" w:noHBand="0" w:noVBand="1"/>
      </w:tblPr>
      <w:tblGrid>
        <w:gridCol w:w="2131"/>
        <w:gridCol w:w="6521"/>
      </w:tblGrid>
      <w:tr w:rsidR="003E4BD4" w:rsidRPr="00843A16" w14:paraId="15372AB7" w14:textId="77777777" w:rsidTr="009512C5">
        <w:trPr>
          <w:cnfStyle w:val="100000000000" w:firstRow="1" w:lastRow="0" w:firstColumn="0" w:lastColumn="0" w:oddVBand="0" w:evenVBand="0" w:oddHBand="0" w:evenHBand="0" w:firstRowFirstColumn="0" w:firstRowLastColumn="0" w:lastRowFirstColumn="0" w:lastRowLastColumn="0"/>
          <w:trHeight w:val="300"/>
          <w:tblHeader/>
        </w:trPr>
        <w:tc>
          <w:tcPr>
            <w:tcW w:w="2288" w:type="dxa"/>
            <w:shd w:val="clear" w:color="auto" w:fill="62136D" w:themeFill="accent2"/>
          </w:tcPr>
          <w:p w14:paraId="29F5C4FB" w14:textId="77777777" w:rsidR="000F494D" w:rsidRPr="0098631A" w:rsidRDefault="000F494D" w:rsidP="001863AC">
            <w:pPr>
              <w:pStyle w:val="TableColHeadLeft"/>
              <w:keepNext w:val="0"/>
              <w:rPr>
                <w:b/>
                <w:bCs/>
                <w:lang w:val="en-AU"/>
              </w:rPr>
            </w:pPr>
            <w:r w:rsidRPr="0098631A">
              <w:rPr>
                <w:b/>
                <w:bCs/>
                <w:lang w:val="en-AU"/>
              </w:rPr>
              <w:t>Term/acronym</w:t>
            </w:r>
          </w:p>
        </w:tc>
        <w:tc>
          <w:tcPr>
            <w:tcW w:w="7497" w:type="dxa"/>
            <w:shd w:val="clear" w:color="auto" w:fill="62136D" w:themeFill="accent2"/>
          </w:tcPr>
          <w:p w14:paraId="54928CFA" w14:textId="77777777" w:rsidR="000F494D" w:rsidRPr="0098631A" w:rsidRDefault="000F494D" w:rsidP="001863AC">
            <w:pPr>
              <w:pStyle w:val="TableColHeadLeft"/>
              <w:keepNext w:val="0"/>
              <w:rPr>
                <w:b/>
                <w:bCs/>
                <w:lang w:val="en-AU"/>
              </w:rPr>
            </w:pPr>
            <w:r w:rsidRPr="0098631A">
              <w:rPr>
                <w:b/>
                <w:bCs/>
                <w:lang w:val="en-AU"/>
              </w:rPr>
              <w:t>Description</w:t>
            </w:r>
          </w:p>
        </w:tc>
      </w:tr>
      <w:tr w:rsidR="003E4BD4" w:rsidRPr="00843A16" w14:paraId="116B1EE4" w14:textId="77777777" w:rsidTr="009512C5">
        <w:trPr>
          <w:trHeight w:val="300"/>
        </w:trPr>
        <w:tc>
          <w:tcPr>
            <w:tcW w:w="2288" w:type="dxa"/>
          </w:tcPr>
          <w:p w14:paraId="3AA1EF94" w14:textId="77777777" w:rsidR="000F494D" w:rsidRPr="00843A16" w:rsidRDefault="000F494D" w:rsidP="001863AC">
            <w:pPr>
              <w:pStyle w:val="TableText"/>
              <w:keepNext w:val="0"/>
              <w:rPr>
                <w:b/>
                <w:bCs/>
              </w:rPr>
            </w:pPr>
            <w:r w:rsidRPr="00843A16">
              <w:rPr>
                <w:b/>
                <w:bCs/>
              </w:rPr>
              <w:t>ACMA</w:t>
            </w:r>
          </w:p>
        </w:tc>
        <w:tc>
          <w:tcPr>
            <w:tcW w:w="7497" w:type="dxa"/>
          </w:tcPr>
          <w:p w14:paraId="7170DA14" w14:textId="77777777" w:rsidR="000F494D" w:rsidRPr="00843A16" w:rsidRDefault="000F494D" w:rsidP="001863AC">
            <w:pPr>
              <w:pStyle w:val="TableText"/>
              <w:keepNext w:val="0"/>
            </w:pPr>
            <w:r w:rsidRPr="00843A16">
              <w:t>Australian Communications and Media Authority</w:t>
            </w:r>
          </w:p>
        </w:tc>
      </w:tr>
      <w:tr w:rsidR="003E4BD4" w:rsidRPr="00843A16" w14:paraId="57207990" w14:textId="77777777" w:rsidTr="009512C5">
        <w:trPr>
          <w:trHeight w:val="300"/>
        </w:trPr>
        <w:tc>
          <w:tcPr>
            <w:tcW w:w="2288" w:type="dxa"/>
          </w:tcPr>
          <w:p w14:paraId="3C3AA65C" w14:textId="77777777" w:rsidR="000F494D" w:rsidRPr="00843A16" w:rsidRDefault="000F494D" w:rsidP="001863AC">
            <w:pPr>
              <w:pStyle w:val="TableText"/>
              <w:keepNext w:val="0"/>
              <w:rPr>
                <w:b/>
                <w:bCs/>
              </w:rPr>
            </w:pPr>
            <w:r w:rsidRPr="00843A16">
              <w:rPr>
                <w:b/>
                <w:bCs/>
              </w:rPr>
              <w:t>AGRC</w:t>
            </w:r>
          </w:p>
        </w:tc>
        <w:tc>
          <w:tcPr>
            <w:tcW w:w="7497" w:type="dxa"/>
          </w:tcPr>
          <w:p w14:paraId="310CE7AC" w14:textId="77777777" w:rsidR="000F494D" w:rsidRPr="00843A16" w:rsidRDefault="000F494D" w:rsidP="001863AC">
            <w:pPr>
              <w:pStyle w:val="TableText"/>
              <w:keepNext w:val="0"/>
            </w:pPr>
            <w:r w:rsidRPr="00843A16">
              <w:t>Australian Gambling Research Centre</w:t>
            </w:r>
          </w:p>
        </w:tc>
      </w:tr>
      <w:tr w:rsidR="003E4BD4" w:rsidRPr="00843A16" w14:paraId="226B8C2B" w14:textId="77777777" w:rsidTr="009512C5">
        <w:trPr>
          <w:trHeight w:val="300"/>
        </w:trPr>
        <w:tc>
          <w:tcPr>
            <w:tcW w:w="2288" w:type="dxa"/>
          </w:tcPr>
          <w:p w14:paraId="13E47F7A" w14:textId="77777777" w:rsidR="000F494D" w:rsidRPr="00843A16" w:rsidRDefault="000F494D" w:rsidP="001863AC">
            <w:pPr>
              <w:pStyle w:val="TableText"/>
              <w:keepNext w:val="0"/>
              <w:rPr>
                <w:rFonts w:cs="Arial"/>
                <w:b/>
                <w:bCs/>
              </w:rPr>
            </w:pPr>
            <w:r w:rsidRPr="00843A16">
              <w:rPr>
                <w:b/>
                <w:bCs/>
              </w:rPr>
              <w:t>AIFS</w:t>
            </w:r>
          </w:p>
        </w:tc>
        <w:tc>
          <w:tcPr>
            <w:tcW w:w="7497" w:type="dxa"/>
          </w:tcPr>
          <w:p w14:paraId="3FFB2FF4" w14:textId="52F4C887" w:rsidR="000F494D" w:rsidRPr="00843A16" w:rsidRDefault="000F494D" w:rsidP="001863AC">
            <w:pPr>
              <w:pStyle w:val="TableText"/>
              <w:keepNext w:val="0"/>
              <w:rPr>
                <w:rFonts w:cs="Arial"/>
              </w:rPr>
            </w:pPr>
            <w:r w:rsidRPr="00843A16">
              <w:t xml:space="preserve">Australian Institute </w:t>
            </w:r>
            <w:r w:rsidR="009F11A1">
              <w:t>of</w:t>
            </w:r>
            <w:r w:rsidR="009F11A1" w:rsidRPr="00843A16">
              <w:t xml:space="preserve"> </w:t>
            </w:r>
            <w:r w:rsidRPr="00843A16">
              <w:t>Family Studies</w:t>
            </w:r>
          </w:p>
        </w:tc>
      </w:tr>
      <w:tr w:rsidR="003E4BD4" w:rsidRPr="00843A16" w14:paraId="331D2EBF" w14:textId="77777777" w:rsidTr="009512C5">
        <w:trPr>
          <w:trHeight w:val="300"/>
        </w:trPr>
        <w:tc>
          <w:tcPr>
            <w:tcW w:w="2288" w:type="dxa"/>
          </w:tcPr>
          <w:p w14:paraId="12ED1003" w14:textId="77777777" w:rsidR="000F494D" w:rsidRPr="00843A16" w:rsidRDefault="000F494D" w:rsidP="001863AC">
            <w:pPr>
              <w:pStyle w:val="TableText"/>
              <w:keepNext w:val="0"/>
              <w:rPr>
                <w:b/>
                <w:bCs/>
              </w:rPr>
            </w:pPr>
            <w:r w:rsidRPr="00843A16">
              <w:rPr>
                <w:b/>
                <w:bCs/>
              </w:rPr>
              <w:t>AML/CTF Act</w:t>
            </w:r>
          </w:p>
        </w:tc>
        <w:tc>
          <w:tcPr>
            <w:tcW w:w="7497" w:type="dxa"/>
          </w:tcPr>
          <w:p w14:paraId="2B8BF405" w14:textId="77777777" w:rsidR="000F494D" w:rsidRPr="00843A16" w:rsidRDefault="000F494D" w:rsidP="001863AC">
            <w:pPr>
              <w:pStyle w:val="TableText"/>
              <w:keepNext w:val="0"/>
            </w:pPr>
            <w:r w:rsidRPr="00843A16">
              <w:t>Anti-Money Laundering and Counter-Terrorism Financing Act</w:t>
            </w:r>
          </w:p>
        </w:tc>
      </w:tr>
      <w:tr w:rsidR="003E4BD4" w:rsidRPr="00843A16" w14:paraId="4F105788" w14:textId="77777777" w:rsidTr="009512C5">
        <w:trPr>
          <w:trHeight w:val="300"/>
        </w:trPr>
        <w:tc>
          <w:tcPr>
            <w:tcW w:w="2288" w:type="dxa"/>
          </w:tcPr>
          <w:p w14:paraId="01972171" w14:textId="77777777" w:rsidR="000F494D" w:rsidRPr="00843A16" w:rsidRDefault="000F494D" w:rsidP="001863AC">
            <w:pPr>
              <w:pStyle w:val="TableText"/>
              <w:keepNext w:val="0"/>
              <w:rPr>
                <w:b/>
                <w:bCs/>
              </w:rPr>
            </w:pPr>
            <w:r w:rsidRPr="00843A16">
              <w:rPr>
                <w:rFonts w:cs="Arial"/>
                <w:b/>
              </w:rPr>
              <w:t>AUSTRAC</w:t>
            </w:r>
          </w:p>
        </w:tc>
        <w:tc>
          <w:tcPr>
            <w:tcW w:w="7497" w:type="dxa"/>
          </w:tcPr>
          <w:p w14:paraId="1DEAAD8A" w14:textId="77777777" w:rsidR="000F494D" w:rsidRPr="00843A16" w:rsidRDefault="000F494D" w:rsidP="001863AC">
            <w:pPr>
              <w:pStyle w:val="TableText"/>
              <w:keepNext w:val="0"/>
            </w:pPr>
            <w:r w:rsidRPr="00843A16">
              <w:rPr>
                <w:rFonts w:cs="Arial"/>
              </w:rPr>
              <w:t>Australian Transaction Reports and Analysis Centre</w:t>
            </w:r>
          </w:p>
        </w:tc>
      </w:tr>
      <w:tr w:rsidR="003E4BD4" w:rsidRPr="00843A16" w14:paraId="46243D32" w14:textId="77777777" w:rsidTr="009512C5">
        <w:trPr>
          <w:trHeight w:val="300"/>
        </w:trPr>
        <w:tc>
          <w:tcPr>
            <w:tcW w:w="2288" w:type="dxa"/>
          </w:tcPr>
          <w:p w14:paraId="40FADDED" w14:textId="77777777" w:rsidR="000F494D" w:rsidRPr="00843A16" w:rsidRDefault="000F494D" w:rsidP="001863AC">
            <w:pPr>
              <w:pStyle w:val="TableText"/>
              <w:keepNext w:val="0"/>
              <w:rPr>
                <w:rFonts w:cs="Arial"/>
                <w:b/>
              </w:rPr>
            </w:pPr>
            <w:r w:rsidRPr="00843A16">
              <w:rPr>
                <w:rFonts w:cs="Arial"/>
                <w:b/>
              </w:rPr>
              <w:t>BETA</w:t>
            </w:r>
          </w:p>
        </w:tc>
        <w:tc>
          <w:tcPr>
            <w:tcW w:w="7497" w:type="dxa"/>
          </w:tcPr>
          <w:p w14:paraId="7320A343" w14:textId="1672BB27" w:rsidR="000F494D" w:rsidRPr="00843A16" w:rsidRDefault="000F494D" w:rsidP="001863AC">
            <w:pPr>
              <w:pStyle w:val="TableText"/>
              <w:keepNext w:val="0"/>
              <w:rPr>
                <w:rFonts w:cs="Arial"/>
              </w:rPr>
            </w:pPr>
            <w:r w:rsidRPr="00843A16">
              <w:rPr>
                <w:rFonts w:cs="Arial"/>
              </w:rPr>
              <w:t xml:space="preserve">The Behavioural Economics Team of the Australian </w:t>
            </w:r>
            <w:r w:rsidR="009A13AF">
              <w:rPr>
                <w:rFonts w:cs="Arial"/>
              </w:rPr>
              <w:t>Government</w:t>
            </w:r>
          </w:p>
        </w:tc>
      </w:tr>
      <w:tr w:rsidR="003E4BD4" w:rsidRPr="00843A16" w14:paraId="318818D8" w14:textId="77777777" w:rsidTr="009512C5">
        <w:trPr>
          <w:trHeight w:val="300"/>
        </w:trPr>
        <w:tc>
          <w:tcPr>
            <w:tcW w:w="2288" w:type="dxa"/>
          </w:tcPr>
          <w:p w14:paraId="7C0842FA" w14:textId="77777777" w:rsidR="000F494D" w:rsidRPr="00843A16" w:rsidRDefault="000F494D" w:rsidP="001863AC">
            <w:pPr>
              <w:pStyle w:val="TableText"/>
              <w:keepNext w:val="0"/>
              <w:rPr>
                <w:rFonts w:cs="Arial"/>
                <w:b/>
              </w:rPr>
            </w:pPr>
            <w:r w:rsidRPr="00843A16">
              <w:rPr>
                <w:rFonts w:cs="Arial"/>
                <w:b/>
              </w:rPr>
              <w:t xml:space="preserve">CGM </w:t>
            </w:r>
          </w:p>
        </w:tc>
        <w:tc>
          <w:tcPr>
            <w:tcW w:w="7497" w:type="dxa"/>
          </w:tcPr>
          <w:p w14:paraId="63FE657B" w14:textId="5D7D829F" w:rsidR="000F494D" w:rsidRPr="00843A16" w:rsidRDefault="000F494D" w:rsidP="001863AC">
            <w:pPr>
              <w:pStyle w:val="TableText"/>
              <w:keepNext w:val="0"/>
              <w:rPr>
                <w:rFonts w:cs="Arial"/>
              </w:rPr>
            </w:pPr>
            <w:r w:rsidRPr="00843A16">
              <w:rPr>
                <w:rFonts w:cs="Arial"/>
              </w:rPr>
              <w:t xml:space="preserve">Consistent </w:t>
            </w:r>
            <w:r w:rsidR="00CD1BF5" w:rsidRPr="00843A16">
              <w:rPr>
                <w:rFonts w:cs="Arial"/>
              </w:rPr>
              <w:t>gambling messaging</w:t>
            </w:r>
          </w:p>
        </w:tc>
      </w:tr>
      <w:tr w:rsidR="003E4BD4" w:rsidRPr="00843A16" w14:paraId="5CD2BFF9" w14:textId="77777777" w:rsidTr="009512C5">
        <w:trPr>
          <w:trHeight w:val="300"/>
        </w:trPr>
        <w:tc>
          <w:tcPr>
            <w:tcW w:w="2288" w:type="dxa"/>
          </w:tcPr>
          <w:p w14:paraId="4D2DE54B" w14:textId="125311E5" w:rsidR="000F494D" w:rsidRPr="00843A16" w:rsidRDefault="000F494D" w:rsidP="001863AC">
            <w:pPr>
              <w:pStyle w:val="TableText"/>
              <w:keepNext w:val="0"/>
              <w:rPr>
                <w:b/>
                <w:bCs/>
              </w:rPr>
            </w:pPr>
            <w:r w:rsidRPr="00843A16">
              <w:rPr>
                <w:b/>
              </w:rPr>
              <w:t>DITRDC</w:t>
            </w:r>
            <w:r w:rsidR="000E1BCF">
              <w:rPr>
                <w:b/>
              </w:rPr>
              <w:t>S</w:t>
            </w:r>
            <w:r w:rsidRPr="00843A16">
              <w:rPr>
                <w:b/>
              </w:rPr>
              <w:t>A</w:t>
            </w:r>
          </w:p>
        </w:tc>
        <w:tc>
          <w:tcPr>
            <w:tcW w:w="7497" w:type="dxa"/>
          </w:tcPr>
          <w:p w14:paraId="74C24B61" w14:textId="6C3F9923" w:rsidR="000F494D" w:rsidRPr="00843A16" w:rsidRDefault="000F494D" w:rsidP="001863AC">
            <w:pPr>
              <w:pStyle w:val="TableText"/>
              <w:keepNext w:val="0"/>
            </w:pPr>
            <w:r w:rsidRPr="00843A16">
              <w:t>Department of Infrastructure, Transport, Regional Development, Communications</w:t>
            </w:r>
            <w:r w:rsidR="000E1BCF">
              <w:t>, Sport</w:t>
            </w:r>
            <w:r w:rsidRPr="00843A16">
              <w:t xml:space="preserve"> and the Arts</w:t>
            </w:r>
          </w:p>
        </w:tc>
      </w:tr>
      <w:tr w:rsidR="003E4BD4" w:rsidRPr="00843A16" w14:paraId="3BE3DAAD" w14:textId="77777777" w:rsidTr="009512C5">
        <w:trPr>
          <w:trHeight w:val="300"/>
        </w:trPr>
        <w:tc>
          <w:tcPr>
            <w:tcW w:w="2288" w:type="dxa"/>
          </w:tcPr>
          <w:p w14:paraId="1C1B977D" w14:textId="77777777" w:rsidR="000F494D" w:rsidRPr="00843A16" w:rsidRDefault="000F494D" w:rsidP="001863AC">
            <w:pPr>
              <w:pStyle w:val="TableText"/>
              <w:keepNext w:val="0"/>
              <w:rPr>
                <w:rFonts w:cs="Arial"/>
                <w:b/>
                <w:bCs/>
              </w:rPr>
            </w:pPr>
            <w:r w:rsidRPr="00843A16">
              <w:rPr>
                <w:b/>
                <w:bCs/>
              </w:rPr>
              <w:t>DSS</w:t>
            </w:r>
          </w:p>
        </w:tc>
        <w:tc>
          <w:tcPr>
            <w:tcW w:w="7497" w:type="dxa"/>
          </w:tcPr>
          <w:p w14:paraId="698F5CB1" w14:textId="0DD27926" w:rsidR="000F494D" w:rsidRPr="00843A16" w:rsidRDefault="000F494D" w:rsidP="001863AC">
            <w:pPr>
              <w:pStyle w:val="TableText"/>
              <w:keepNext w:val="0"/>
              <w:rPr>
                <w:rFonts w:cs="Arial"/>
              </w:rPr>
            </w:pPr>
            <w:r w:rsidRPr="00843A16">
              <w:t xml:space="preserve">Australian </w:t>
            </w:r>
            <w:r w:rsidR="009A13AF">
              <w:t>Government</w:t>
            </w:r>
            <w:r w:rsidRPr="00843A16">
              <w:t xml:space="preserve"> Department of Social Services</w:t>
            </w:r>
          </w:p>
        </w:tc>
      </w:tr>
      <w:tr w:rsidR="003E4BD4" w:rsidRPr="00843A16" w14:paraId="6A9D1FA3" w14:textId="77777777" w:rsidTr="009512C5">
        <w:trPr>
          <w:trHeight w:val="300"/>
        </w:trPr>
        <w:tc>
          <w:tcPr>
            <w:tcW w:w="2288" w:type="dxa"/>
          </w:tcPr>
          <w:p w14:paraId="2F48F9A9" w14:textId="77777777" w:rsidR="000F494D" w:rsidRPr="00843A16" w:rsidRDefault="000F494D" w:rsidP="001863AC">
            <w:pPr>
              <w:pStyle w:val="TableText"/>
              <w:keepNext w:val="0"/>
              <w:rPr>
                <w:b/>
                <w:bCs/>
              </w:rPr>
            </w:pPr>
            <w:r w:rsidRPr="00843A16">
              <w:rPr>
                <w:b/>
                <w:bCs/>
              </w:rPr>
              <w:t xml:space="preserve">EWG </w:t>
            </w:r>
          </w:p>
        </w:tc>
        <w:tc>
          <w:tcPr>
            <w:tcW w:w="7497" w:type="dxa"/>
          </w:tcPr>
          <w:p w14:paraId="1D9EA7EE" w14:textId="71D97A87" w:rsidR="000F494D" w:rsidRPr="00843A16" w:rsidRDefault="002E23AA" w:rsidP="001863AC">
            <w:pPr>
              <w:pStyle w:val="TableText"/>
              <w:keepNext w:val="0"/>
            </w:pPr>
            <w:r w:rsidRPr="00843A16">
              <w:t xml:space="preserve">NCPF </w:t>
            </w:r>
            <w:r w:rsidR="000F494D" w:rsidRPr="00843A16">
              <w:t>E</w:t>
            </w:r>
            <w:r w:rsidRPr="00843A16">
              <w:t>valuation</w:t>
            </w:r>
            <w:r w:rsidR="000F494D" w:rsidRPr="00843A16">
              <w:t xml:space="preserve"> Working Group</w:t>
            </w:r>
          </w:p>
        </w:tc>
      </w:tr>
      <w:tr w:rsidR="003E4BD4" w:rsidRPr="00843A16" w14:paraId="1F5CD5BA" w14:textId="77777777" w:rsidTr="009512C5">
        <w:trPr>
          <w:trHeight w:val="300"/>
        </w:trPr>
        <w:tc>
          <w:tcPr>
            <w:tcW w:w="2288" w:type="dxa"/>
          </w:tcPr>
          <w:p w14:paraId="28D3A9AD" w14:textId="77777777" w:rsidR="000F494D" w:rsidRPr="00843A16" w:rsidRDefault="000F494D" w:rsidP="001863AC">
            <w:pPr>
              <w:pStyle w:val="TableText"/>
              <w:keepNext w:val="0"/>
              <w:rPr>
                <w:b/>
                <w:bCs/>
              </w:rPr>
            </w:pPr>
            <w:r w:rsidRPr="00843A16">
              <w:rPr>
                <w:b/>
                <w:bCs/>
              </w:rPr>
              <w:t xml:space="preserve">FCA </w:t>
            </w:r>
          </w:p>
        </w:tc>
        <w:tc>
          <w:tcPr>
            <w:tcW w:w="7497" w:type="dxa"/>
          </w:tcPr>
          <w:p w14:paraId="5B21162E" w14:textId="77777777" w:rsidR="000F494D" w:rsidRPr="00843A16" w:rsidRDefault="000F494D" w:rsidP="001863AC">
            <w:pPr>
              <w:pStyle w:val="TableText"/>
              <w:keepNext w:val="0"/>
            </w:pPr>
            <w:r w:rsidRPr="00843A16">
              <w:t>Financial Counselling Australia</w:t>
            </w:r>
          </w:p>
        </w:tc>
      </w:tr>
      <w:tr w:rsidR="003E4BD4" w:rsidRPr="00843A16" w14:paraId="7B78FA86" w14:textId="77777777" w:rsidTr="009512C5">
        <w:trPr>
          <w:trHeight w:val="300"/>
        </w:trPr>
        <w:tc>
          <w:tcPr>
            <w:tcW w:w="2288" w:type="dxa"/>
          </w:tcPr>
          <w:p w14:paraId="625F51CC" w14:textId="69746B52" w:rsidR="003E1CF9" w:rsidRPr="00843A16" w:rsidRDefault="003E1CF9" w:rsidP="001863AC">
            <w:pPr>
              <w:pStyle w:val="TableText"/>
              <w:keepNext w:val="0"/>
              <w:rPr>
                <w:b/>
                <w:bCs/>
              </w:rPr>
            </w:pPr>
            <w:r w:rsidRPr="00843A16">
              <w:rPr>
                <w:b/>
                <w:bCs/>
              </w:rPr>
              <w:t>Gambling</w:t>
            </w:r>
          </w:p>
        </w:tc>
        <w:tc>
          <w:tcPr>
            <w:tcW w:w="7497" w:type="dxa"/>
          </w:tcPr>
          <w:p w14:paraId="7DD1FA37" w14:textId="7015B6FE" w:rsidR="003E1CF9" w:rsidRPr="00843A16" w:rsidRDefault="00FE3B50" w:rsidP="001863AC">
            <w:pPr>
              <w:pStyle w:val="TableText"/>
              <w:keepNext w:val="0"/>
            </w:pPr>
            <w:r w:rsidRPr="00843A16">
              <w:t>Gambling covers both wagering and gaming</w:t>
            </w:r>
          </w:p>
        </w:tc>
      </w:tr>
      <w:tr w:rsidR="003E4BD4" w:rsidRPr="00843A16" w14:paraId="75F9F2B3" w14:textId="77777777" w:rsidTr="009512C5">
        <w:trPr>
          <w:trHeight w:val="300"/>
        </w:trPr>
        <w:tc>
          <w:tcPr>
            <w:tcW w:w="2288" w:type="dxa"/>
          </w:tcPr>
          <w:p w14:paraId="434D4D38" w14:textId="3D776A07" w:rsidR="00CE5B6F" w:rsidRPr="00843A16" w:rsidRDefault="00CE5B6F" w:rsidP="001863AC">
            <w:pPr>
              <w:pStyle w:val="TableText"/>
              <w:keepNext w:val="0"/>
              <w:rPr>
                <w:b/>
                <w:bCs/>
              </w:rPr>
            </w:pPr>
            <w:r w:rsidRPr="00843A16">
              <w:rPr>
                <w:b/>
                <w:bCs/>
              </w:rPr>
              <w:t>Gaming</w:t>
            </w:r>
          </w:p>
        </w:tc>
        <w:tc>
          <w:tcPr>
            <w:tcW w:w="7497" w:type="dxa"/>
          </w:tcPr>
          <w:p w14:paraId="07983A1C" w14:textId="67C74807" w:rsidR="00CE5B6F" w:rsidRPr="00843A16" w:rsidRDefault="00CE5B6F" w:rsidP="001863AC">
            <w:pPr>
              <w:pStyle w:val="TableText"/>
              <w:keepNext w:val="0"/>
            </w:pPr>
            <w:r w:rsidRPr="00843A16">
              <w:t>Gaming is focused on playing games of chance for money or something else of value</w:t>
            </w:r>
          </w:p>
        </w:tc>
      </w:tr>
      <w:tr w:rsidR="003E4BD4" w:rsidRPr="00843A16" w14:paraId="3EAB567C" w14:textId="77777777" w:rsidTr="009512C5">
        <w:trPr>
          <w:trHeight w:val="300"/>
        </w:trPr>
        <w:tc>
          <w:tcPr>
            <w:tcW w:w="2288" w:type="dxa"/>
          </w:tcPr>
          <w:p w14:paraId="47801371" w14:textId="77777777" w:rsidR="000F494D" w:rsidRPr="00843A16" w:rsidRDefault="000F494D" w:rsidP="001863AC">
            <w:pPr>
              <w:pStyle w:val="TableText"/>
              <w:keepNext w:val="0"/>
              <w:rPr>
                <w:b/>
                <w:bCs/>
              </w:rPr>
            </w:pPr>
            <w:r w:rsidRPr="00843A16">
              <w:rPr>
                <w:b/>
                <w:bCs/>
              </w:rPr>
              <w:t xml:space="preserve">HREC </w:t>
            </w:r>
          </w:p>
        </w:tc>
        <w:tc>
          <w:tcPr>
            <w:tcW w:w="7497" w:type="dxa"/>
          </w:tcPr>
          <w:p w14:paraId="1776ABD9" w14:textId="77777777" w:rsidR="000F494D" w:rsidRPr="00843A16" w:rsidRDefault="000F494D" w:rsidP="001863AC">
            <w:pPr>
              <w:pStyle w:val="TableText"/>
              <w:keepNext w:val="0"/>
              <w:rPr>
                <w:b/>
              </w:rPr>
            </w:pPr>
            <w:r w:rsidRPr="00843A16">
              <w:t>Human Research Ethics Committee</w:t>
            </w:r>
          </w:p>
        </w:tc>
      </w:tr>
      <w:tr w:rsidR="003E4BD4" w:rsidRPr="00843A16" w14:paraId="17F4F5F4" w14:textId="77777777" w:rsidTr="009512C5">
        <w:trPr>
          <w:trHeight w:val="300"/>
        </w:trPr>
        <w:tc>
          <w:tcPr>
            <w:tcW w:w="2288" w:type="dxa"/>
          </w:tcPr>
          <w:p w14:paraId="7F0E9702" w14:textId="724DEF10" w:rsidR="00ED445E" w:rsidRPr="00843A16" w:rsidRDefault="00ED445E" w:rsidP="001863AC">
            <w:pPr>
              <w:pStyle w:val="TableText"/>
              <w:keepNext w:val="0"/>
              <w:rPr>
                <w:b/>
                <w:bCs/>
              </w:rPr>
            </w:pPr>
            <w:r w:rsidRPr="00843A16">
              <w:rPr>
                <w:b/>
                <w:bCs/>
              </w:rPr>
              <w:t>GHO</w:t>
            </w:r>
          </w:p>
        </w:tc>
        <w:tc>
          <w:tcPr>
            <w:tcW w:w="7497" w:type="dxa"/>
          </w:tcPr>
          <w:p w14:paraId="6DC41F62" w14:textId="266FACD9" w:rsidR="00ED445E" w:rsidRPr="00843A16" w:rsidRDefault="00ED445E" w:rsidP="001863AC">
            <w:pPr>
              <w:pStyle w:val="TableText"/>
              <w:keepNext w:val="0"/>
            </w:pPr>
            <w:r w:rsidRPr="00843A16">
              <w:t xml:space="preserve">Gambling Help Online </w:t>
            </w:r>
          </w:p>
        </w:tc>
      </w:tr>
      <w:tr w:rsidR="003E4BD4" w:rsidRPr="00843A16" w14:paraId="719135E9" w14:textId="77777777" w:rsidTr="009512C5">
        <w:trPr>
          <w:trHeight w:val="300"/>
        </w:trPr>
        <w:tc>
          <w:tcPr>
            <w:tcW w:w="2288" w:type="dxa"/>
          </w:tcPr>
          <w:p w14:paraId="4E21A4CB" w14:textId="77777777" w:rsidR="000F494D" w:rsidRPr="00843A16" w:rsidRDefault="000F494D" w:rsidP="001863AC">
            <w:pPr>
              <w:pStyle w:val="TableText"/>
              <w:keepNext w:val="0"/>
              <w:rPr>
                <w:b/>
                <w:bCs/>
              </w:rPr>
            </w:pPr>
            <w:r w:rsidRPr="00843A16">
              <w:rPr>
                <w:b/>
                <w:bCs/>
              </w:rPr>
              <w:t xml:space="preserve">IGA </w:t>
            </w:r>
          </w:p>
        </w:tc>
        <w:tc>
          <w:tcPr>
            <w:tcW w:w="7497" w:type="dxa"/>
          </w:tcPr>
          <w:p w14:paraId="7BBBE01A" w14:textId="77777777" w:rsidR="000F494D" w:rsidRPr="00843A16" w:rsidRDefault="000F494D" w:rsidP="001863AC">
            <w:pPr>
              <w:pStyle w:val="TableText"/>
              <w:keepNext w:val="0"/>
            </w:pPr>
            <w:r w:rsidRPr="00843A16">
              <w:t>Interactive Gambling Act</w:t>
            </w:r>
          </w:p>
        </w:tc>
      </w:tr>
      <w:tr w:rsidR="003E4BD4" w:rsidRPr="00843A16" w14:paraId="75EEC718" w14:textId="77777777" w:rsidTr="009512C5">
        <w:trPr>
          <w:trHeight w:val="300"/>
        </w:trPr>
        <w:tc>
          <w:tcPr>
            <w:tcW w:w="2288" w:type="dxa"/>
          </w:tcPr>
          <w:p w14:paraId="6ACE1E35" w14:textId="77777777" w:rsidR="000F494D" w:rsidRPr="00843A16" w:rsidRDefault="000F494D" w:rsidP="001863AC">
            <w:pPr>
              <w:pStyle w:val="TableText"/>
              <w:keepNext w:val="0"/>
              <w:rPr>
                <w:b/>
                <w:bCs/>
              </w:rPr>
            </w:pPr>
            <w:r w:rsidRPr="00843A16">
              <w:rPr>
                <w:b/>
                <w:bCs/>
              </w:rPr>
              <w:t>IGC</w:t>
            </w:r>
          </w:p>
        </w:tc>
        <w:tc>
          <w:tcPr>
            <w:tcW w:w="7497" w:type="dxa"/>
          </w:tcPr>
          <w:p w14:paraId="0069CD1F" w14:textId="77777777" w:rsidR="000F494D" w:rsidRPr="00843A16" w:rsidRDefault="000F494D" w:rsidP="001863AC">
            <w:pPr>
              <w:pStyle w:val="TableText"/>
              <w:keepNext w:val="0"/>
            </w:pPr>
            <w:r w:rsidRPr="00843A16">
              <w:t>Implementation Governance Committee</w:t>
            </w:r>
          </w:p>
        </w:tc>
      </w:tr>
      <w:tr w:rsidR="003E4BD4" w:rsidRPr="00843A16" w14:paraId="204D66AC" w14:textId="77777777" w:rsidTr="009512C5">
        <w:trPr>
          <w:trHeight w:val="300"/>
        </w:trPr>
        <w:tc>
          <w:tcPr>
            <w:tcW w:w="2288" w:type="dxa"/>
          </w:tcPr>
          <w:p w14:paraId="6458E3B2" w14:textId="77777777" w:rsidR="000F494D" w:rsidRPr="00843A16" w:rsidRDefault="000F494D" w:rsidP="001863AC">
            <w:pPr>
              <w:pStyle w:val="TableText"/>
              <w:keepNext w:val="0"/>
              <w:rPr>
                <w:b/>
                <w:bCs/>
              </w:rPr>
            </w:pPr>
            <w:r w:rsidRPr="00843A16">
              <w:rPr>
                <w:b/>
                <w:bCs/>
              </w:rPr>
              <w:t>Illegal offshore wagering</w:t>
            </w:r>
          </w:p>
        </w:tc>
        <w:tc>
          <w:tcPr>
            <w:tcW w:w="7497" w:type="dxa"/>
          </w:tcPr>
          <w:p w14:paraId="4124152E" w14:textId="77777777" w:rsidR="000F494D" w:rsidRPr="00843A16" w:rsidRDefault="000F494D" w:rsidP="001863AC">
            <w:pPr>
              <w:pStyle w:val="TableText"/>
              <w:keepNext w:val="0"/>
            </w:pPr>
            <w:r w:rsidRPr="00843A16">
              <w:t>Refers to the provision of illegal wagering services by operators based in overseas jurisdictions to Australian residents. Illegal wagering services can include prohibited services under the IGA (such as interactive gaming or in-play betting) or services prohibited under state and territory laws. (Department of Social Services, 2017)</w:t>
            </w:r>
          </w:p>
        </w:tc>
      </w:tr>
      <w:tr w:rsidR="003E4BD4" w:rsidRPr="00843A16" w14:paraId="57002383" w14:textId="77777777" w:rsidTr="009512C5">
        <w:trPr>
          <w:trHeight w:val="300"/>
        </w:trPr>
        <w:tc>
          <w:tcPr>
            <w:tcW w:w="2288" w:type="dxa"/>
          </w:tcPr>
          <w:p w14:paraId="4AF7F5EB" w14:textId="201D66FF" w:rsidR="00D54C07" w:rsidRPr="00843A16" w:rsidRDefault="00D54C07" w:rsidP="001863AC">
            <w:pPr>
              <w:pStyle w:val="TableText"/>
              <w:keepNext w:val="0"/>
              <w:rPr>
                <w:b/>
                <w:bCs/>
              </w:rPr>
            </w:pPr>
            <w:r w:rsidRPr="00843A16">
              <w:rPr>
                <w:b/>
                <w:bCs/>
              </w:rPr>
              <w:t>IT</w:t>
            </w:r>
          </w:p>
        </w:tc>
        <w:tc>
          <w:tcPr>
            <w:tcW w:w="7497" w:type="dxa"/>
          </w:tcPr>
          <w:p w14:paraId="25A21B5A" w14:textId="666DEBF8" w:rsidR="00D54C07" w:rsidRPr="00843A16" w:rsidRDefault="00D54C07" w:rsidP="001863AC">
            <w:pPr>
              <w:pStyle w:val="TableText"/>
              <w:keepNext w:val="0"/>
            </w:pPr>
            <w:r w:rsidRPr="00843A16">
              <w:t xml:space="preserve">Information </w:t>
            </w:r>
            <w:r w:rsidR="00CD1BF5" w:rsidRPr="00843A16">
              <w:t>tech</w:t>
            </w:r>
            <w:r w:rsidRPr="00843A16">
              <w:t>nology</w:t>
            </w:r>
          </w:p>
        </w:tc>
      </w:tr>
      <w:tr w:rsidR="007522E3" w:rsidRPr="00843A16" w14:paraId="38D2CF3D" w14:textId="77777777" w:rsidTr="009512C5">
        <w:trPr>
          <w:trHeight w:val="300"/>
        </w:trPr>
        <w:tc>
          <w:tcPr>
            <w:tcW w:w="2288" w:type="dxa"/>
          </w:tcPr>
          <w:p w14:paraId="5713E99A" w14:textId="7A0D1C8A" w:rsidR="007522E3" w:rsidRPr="00843A16" w:rsidRDefault="007522E3" w:rsidP="001863AC">
            <w:pPr>
              <w:pStyle w:val="TableText"/>
              <w:keepNext w:val="0"/>
              <w:rPr>
                <w:b/>
                <w:bCs/>
              </w:rPr>
            </w:pPr>
            <w:r w:rsidRPr="00843A16">
              <w:rPr>
                <w:rFonts w:cs="Arial"/>
                <w:b/>
                <w:bCs/>
              </w:rPr>
              <w:t>NCPF</w:t>
            </w:r>
          </w:p>
        </w:tc>
        <w:tc>
          <w:tcPr>
            <w:tcW w:w="7497" w:type="dxa"/>
          </w:tcPr>
          <w:p w14:paraId="31F5ABF6" w14:textId="686FCF5D" w:rsidR="007522E3" w:rsidRPr="00843A16" w:rsidRDefault="007522E3" w:rsidP="001863AC">
            <w:pPr>
              <w:pStyle w:val="TableText"/>
              <w:keepNext w:val="0"/>
            </w:pPr>
            <w:r w:rsidRPr="00843A16">
              <w:rPr>
                <w:rFonts w:cs="Arial"/>
              </w:rPr>
              <w:t>National Consumer Protection Framework for Online Wagering in Australia</w:t>
            </w:r>
          </w:p>
        </w:tc>
      </w:tr>
      <w:tr w:rsidR="007522E3" w:rsidRPr="00843A16" w14:paraId="00DF049F" w14:textId="77777777" w:rsidTr="009512C5">
        <w:trPr>
          <w:trHeight w:val="300"/>
        </w:trPr>
        <w:tc>
          <w:tcPr>
            <w:tcW w:w="2288" w:type="dxa"/>
          </w:tcPr>
          <w:p w14:paraId="5468899C" w14:textId="569AA7F6" w:rsidR="007522E3" w:rsidRPr="00843A16" w:rsidRDefault="007522E3" w:rsidP="001863AC">
            <w:pPr>
              <w:pStyle w:val="TableText"/>
              <w:keepNext w:val="0"/>
              <w:rPr>
                <w:rFonts w:cs="Arial"/>
                <w:b/>
                <w:bCs/>
              </w:rPr>
            </w:pPr>
            <w:r w:rsidRPr="00843A16">
              <w:rPr>
                <w:rFonts w:cs="Arial"/>
                <w:b/>
                <w:bCs/>
              </w:rPr>
              <w:t>NPS</w:t>
            </w:r>
          </w:p>
        </w:tc>
        <w:tc>
          <w:tcPr>
            <w:tcW w:w="7497" w:type="dxa"/>
          </w:tcPr>
          <w:p w14:paraId="4973F732" w14:textId="24201041" w:rsidR="007522E3" w:rsidRPr="00843A16" w:rsidRDefault="007522E3" w:rsidP="001863AC">
            <w:pPr>
              <w:pStyle w:val="TableText"/>
              <w:keepNext w:val="0"/>
              <w:rPr>
                <w:rFonts w:cs="Arial"/>
              </w:rPr>
            </w:pPr>
            <w:r w:rsidRPr="00843A16">
              <w:rPr>
                <w:rFonts w:cs="Arial"/>
              </w:rPr>
              <w:t>National Policy Statement</w:t>
            </w:r>
          </w:p>
        </w:tc>
      </w:tr>
      <w:tr w:rsidR="007522E3" w:rsidRPr="00843A16" w14:paraId="5DF84730" w14:textId="77777777" w:rsidTr="009512C5">
        <w:trPr>
          <w:trHeight w:val="300"/>
        </w:trPr>
        <w:tc>
          <w:tcPr>
            <w:tcW w:w="2288" w:type="dxa"/>
          </w:tcPr>
          <w:p w14:paraId="06C0F7DF" w14:textId="42A04282" w:rsidR="007522E3" w:rsidRPr="00843A16" w:rsidRDefault="007522E3" w:rsidP="001863AC">
            <w:pPr>
              <w:pStyle w:val="TableText"/>
              <w:keepNext w:val="0"/>
              <w:rPr>
                <w:rFonts w:cs="Arial"/>
                <w:b/>
                <w:bCs/>
              </w:rPr>
            </w:pPr>
            <w:r w:rsidRPr="00843A16">
              <w:rPr>
                <w:b/>
                <w:bCs/>
              </w:rPr>
              <w:t>N</w:t>
            </w:r>
            <w:r w:rsidRPr="00843A16">
              <w:rPr>
                <w:b/>
              </w:rPr>
              <w:t>SER</w:t>
            </w:r>
          </w:p>
        </w:tc>
        <w:tc>
          <w:tcPr>
            <w:tcW w:w="7497" w:type="dxa"/>
          </w:tcPr>
          <w:p w14:paraId="33F1CAA7" w14:textId="1EE928A5" w:rsidR="007522E3" w:rsidRPr="00843A16" w:rsidRDefault="007522E3" w:rsidP="001863AC">
            <w:pPr>
              <w:pStyle w:val="TableText"/>
              <w:keepNext w:val="0"/>
              <w:rPr>
                <w:rFonts w:cs="Arial"/>
              </w:rPr>
            </w:pPr>
            <w:r w:rsidRPr="00843A16">
              <w:t xml:space="preserve">The National Self Exclusion Register </w:t>
            </w:r>
            <w:r w:rsidRPr="00843A16">
              <w:rPr>
                <w:bCs/>
              </w:rPr>
              <w:t>(</w:t>
            </w:r>
            <w:r w:rsidRPr="00843A16">
              <w:t>BetStop</w:t>
            </w:r>
            <w:r w:rsidRPr="00843A16">
              <w:rPr>
                <w:bCs/>
              </w:rPr>
              <w:t>)</w:t>
            </w:r>
          </w:p>
        </w:tc>
      </w:tr>
      <w:tr w:rsidR="007522E3" w:rsidRPr="00843A16" w14:paraId="17451CC0" w14:textId="77777777" w:rsidTr="009512C5">
        <w:trPr>
          <w:trHeight w:val="300"/>
        </w:trPr>
        <w:tc>
          <w:tcPr>
            <w:tcW w:w="2288" w:type="dxa"/>
          </w:tcPr>
          <w:p w14:paraId="18CFEED1" w14:textId="49D1699F" w:rsidR="007522E3" w:rsidRPr="00843A16" w:rsidRDefault="007522E3" w:rsidP="001863AC">
            <w:pPr>
              <w:pStyle w:val="TableText"/>
              <w:keepNext w:val="0"/>
              <w:rPr>
                <w:rFonts w:cs="Arial"/>
                <w:b/>
                <w:bCs/>
              </w:rPr>
            </w:pPr>
            <w:r w:rsidRPr="00843A16">
              <w:rPr>
                <w:b/>
                <w:bCs/>
              </w:rPr>
              <w:t>NTRWC</w:t>
            </w:r>
          </w:p>
        </w:tc>
        <w:tc>
          <w:tcPr>
            <w:tcW w:w="7497" w:type="dxa"/>
          </w:tcPr>
          <w:p w14:paraId="7C099925" w14:textId="53178CF5" w:rsidR="007522E3" w:rsidRPr="00843A16" w:rsidRDefault="007522E3" w:rsidP="001863AC">
            <w:pPr>
              <w:pStyle w:val="TableText"/>
              <w:keepNext w:val="0"/>
            </w:pPr>
            <w:r w:rsidRPr="00843A16">
              <w:t>Northern Territory Racing and Wagering Commission</w:t>
            </w:r>
          </w:p>
        </w:tc>
      </w:tr>
      <w:tr w:rsidR="001E2601" w:rsidRPr="00843A16" w14:paraId="0A3CBEC1" w14:textId="77777777" w:rsidTr="009512C5">
        <w:trPr>
          <w:trHeight w:val="300"/>
        </w:trPr>
        <w:tc>
          <w:tcPr>
            <w:tcW w:w="2288" w:type="dxa"/>
          </w:tcPr>
          <w:p w14:paraId="231647D3" w14:textId="3DF04C48" w:rsidR="001E2601" w:rsidRPr="00843A16" w:rsidRDefault="001E2601" w:rsidP="001863AC">
            <w:pPr>
              <w:pStyle w:val="TableText"/>
              <w:keepNext w:val="0"/>
              <w:rPr>
                <w:b/>
                <w:bCs/>
              </w:rPr>
            </w:pPr>
            <w:r>
              <w:rPr>
                <w:b/>
                <w:bCs/>
              </w:rPr>
              <w:t>OLGR</w:t>
            </w:r>
          </w:p>
        </w:tc>
        <w:tc>
          <w:tcPr>
            <w:tcW w:w="7497" w:type="dxa"/>
          </w:tcPr>
          <w:p w14:paraId="28CE37BB" w14:textId="37635F3F" w:rsidR="001E2601" w:rsidRPr="00843A16" w:rsidRDefault="003E4713" w:rsidP="001863AC">
            <w:pPr>
              <w:pStyle w:val="TableText"/>
              <w:keepNext w:val="0"/>
            </w:pPr>
            <w:r>
              <w:t>Office of Liquor and Gaming Regulation, Queensland</w:t>
            </w:r>
          </w:p>
        </w:tc>
      </w:tr>
      <w:tr w:rsidR="007522E3" w:rsidRPr="00843A16" w14:paraId="5601834F" w14:textId="77777777" w:rsidTr="009512C5">
        <w:trPr>
          <w:trHeight w:val="300"/>
        </w:trPr>
        <w:tc>
          <w:tcPr>
            <w:tcW w:w="2288" w:type="dxa"/>
          </w:tcPr>
          <w:p w14:paraId="79A6E96B" w14:textId="6C8CB5F3" w:rsidR="007522E3" w:rsidRPr="00843A16" w:rsidRDefault="007522E3" w:rsidP="001863AC">
            <w:pPr>
              <w:pStyle w:val="TableText"/>
              <w:keepNext w:val="0"/>
              <w:rPr>
                <w:b/>
                <w:bCs/>
              </w:rPr>
            </w:pPr>
            <w:r w:rsidRPr="00843A16">
              <w:rPr>
                <w:b/>
                <w:bCs/>
              </w:rPr>
              <w:t>Platform</w:t>
            </w:r>
          </w:p>
        </w:tc>
        <w:tc>
          <w:tcPr>
            <w:tcW w:w="7497" w:type="dxa"/>
          </w:tcPr>
          <w:p w14:paraId="135599FF" w14:textId="697D223D" w:rsidR="007522E3" w:rsidRPr="00843A16" w:rsidRDefault="007522E3" w:rsidP="001863AC">
            <w:pPr>
              <w:pStyle w:val="TableText"/>
              <w:keepNext w:val="0"/>
            </w:pPr>
            <w:r w:rsidRPr="00843A16">
              <w:t>The mechanism (such as an app or website) where wagering operators enable users to place bets and interact with their accounts</w:t>
            </w:r>
          </w:p>
        </w:tc>
      </w:tr>
      <w:tr w:rsidR="007522E3" w:rsidRPr="00843A16" w14:paraId="5BDB0ABA" w14:textId="77777777" w:rsidTr="009512C5">
        <w:trPr>
          <w:trHeight w:val="300"/>
        </w:trPr>
        <w:tc>
          <w:tcPr>
            <w:tcW w:w="2288" w:type="dxa"/>
          </w:tcPr>
          <w:p w14:paraId="0F00DD0A" w14:textId="607CDF89" w:rsidR="007522E3" w:rsidRPr="00843A16" w:rsidRDefault="007522E3" w:rsidP="001863AC">
            <w:pPr>
              <w:pStyle w:val="TableText"/>
              <w:keepNext w:val="0"/>
              <w:rPr>
                <w:b/>
                <w:bCs/>
              </w:rPr>
            </w:pPr>
            <w:r w:rsidRPr="00843A16">
              <w:rPr>
                <w:b/>
                <w:bCs/>
              </w:rPr>
              <w:t>PIR</w:t>
            </w:r>
          </w:p>
        </w:tc>
        <w:tc>
          <w:tcPr>
            <w:tcW w:w="7497" w:type="dxa"/>
          </w:tcPr>
          <w:p w14:paraId="2F2C919D" w14:textId="23C47E49" w:rsidR="007522E3" w:rsidRPr="00843A16" w:rsidRDefault="007522E3" w:rsidP="001863AC">
            <w:pPr>
              <w:pStyle w:val="TableText"/>
              <w:keepNext w:val="0"/>
            </w:pPr>
            <w:r w:rsidRPr="00843A16">
              <w:t>Post-</w:t>
            </w:r>
            <w:r w:rsidR="000C15B8" w:rsidRPr="00843A16">
              <w:t>implementation review</w:t>
            </w:r>
          </w:p>
        </w:tc>
      </w:tr>
      <w:tr w:rsidR="007522E3" w:rsidRPr="00843A16" w14:paraId="29665889" w14:textId="77777777" w:rsidTr="009512C5">
        <w:trPr>
          <w:trHeight w:val="300"/>
        </w:trPr>
        <w:tc>
          <w:tcPr>
            <w:tcW w:w="2288" w:type="dxa"/>
          </w:tcPr>
          <w:p w14:paraId="7D37617A" w14:textId="2B526128" w:rsidR="007522E3" w:rsidRPr="00843A16" w:rsidRDefault="007522E3" w:rsidP="001863AC">
            <w:pPr>
              <w:pStyle w:val="TableText"/>
              <w:keepNext w:val="0"/>
              <w:rPr>
                <w:b/>
                <w:bCs/>
              </w:rPr>
            </w:pPr>
            <w:r w:rsidRPr="00843A16">
              <w:rPr>
                <w:b/>
                <w:bCs/>
              </w:rPr>
              <w:t>PoC</w:t>
            </w:r>
          </w:p>
        </w:tc>
        <w:tc>
          <w:tcPr>
            <w:tcW w:w="7497" w:type="dxa"/>
          </w:tcPr>
          <w:p w14:paraId="50A37257" w14:textId="009764AB" w:rsidR="007522E3" w:rsidRPr="00843A16" w:rsidRDefault="007522E3" w:rsidP="001863AC">
            <w:pPr>
              <w:pStyle w:val="TableText"/>
              <w:keepNext w:val="0"/>
            </w:pPr>
            <w:r w:rsidRPr="00843A16">
              <w:t xml:space="preserve">Point of </w:t>
            </w:r>
            <w:r w:rsidR="0002061F">
              <w:t>C</w:t>
            </w:r>
            <w:r w:rsidRPr="00843A16">
              <w:t>onsumption</w:t>
            </w:r>
            <w:r>
              <w:t xml:space="preserve">: </w:t>
            </w:r>
            <w:r w:rsidRPr="00843A16">
              <w:t xml:space="preserve">a regulatory system where </w:t>
            </w:r>
            <w:r w:rsidRPr="00843A16">
              <w:rPr>
                <w:rFonts w:eastAsia="Arial"/>
                <w:color w:val="auto"/>
              </w:rPr>
              <w:t>a jurisdiction applies regulations to all WSPs offering services to residents of the jurisdiction</w:t>
            </w:r>
          </w:p>
        </w:tc>
      </w:tr>
      <w:tr w:rsidR="007522E3" w:rsidRPr="00843A16" w14:paraId="26C22CD7" w14:textId="77777777" w:rsidTr="009512C5">
        <w:trPr>
          <w:trHeight w:val="300"/>
        </w:trPr>
        <w:tc>
          <w:tcPr>
            <w:tcW w:w="2288" w:type="dxa"/>
          </w:tcPr>
          <w:p w14:paraId="565F4CF2" w14:textId="7FC95719" w:rsidR="007522E3" w:rsidRPr="00843A16" w:rsidRDefault="007522E3" w:rsidP="001863AC">
            <w:pPr>
              <w:pStyle w:val="TableText"/>
              <w:keepNext w:val="0"/>
              <w:rPr>
                <w:b/>
                <w:bCs/>
              </w:rPr>
            </w:pPr>
            <w:proofErr w:type="spellStart"/>
            <w:r w:rsidRPr="00843A16">
              <w:rPr>
                <w:b/>
                <w:bCs/>
              </w:rPr>
              <w:t>PoS</w:t>
            </w:r>
            <w:proofErr w:type="spellEnd"/>
            <w:r w:rsidRPr="00843A16">
              <w:rPr>
                <w:b/>
                <w:bCs/>
              </w:rPr>
              <w:t xml:space="preserve"> </w:t>
            </w:r>
          </w:p>
        </w:tc>
        <w:tc>
          <w:tcPr>
            <w:tcW w:w="7497" w:type="dxa"/>
          </w:tcPr>
          <w:p w14:paraId="2117BD34" w14:textId="4AFD93D1" w:rsidR="007522E3" w:rsidRPr="00843A16" w:rsidRDefault="007522E3" w:rsidP="001863AC">
            <w:pPr>
              <w:pStyle w:val="TableText"/>
              <w:keepNext w:val="0"/>
            </w:pPr>
            <w:r w:rsidRPr="00843A16">
              <w:t xml:space="preserve">Point of </w:t>
            </w:r>
            <w:r>
              <w:t>S</w:t>
            </w:r>
            <w:r w:rsidRPr="00843A16">
              <w:t>upply</w:t>
            </w:r>
            <w:r>
              <w:t xml:space="preserve">: </w:t>
            </w:r>
            <w:r w:rsidRPr="00843A16">
              <w:t xml:space="preserve">a regulatory system where a </w:t>
            </w:r>
            <w:r w:rsidRPr="00843A16">
              <w:rPr>
                <w:rFonts w:eastAsia="Arial"/>
                <w:color w:val="auto"/>
              </w:rPr>
              <w:t>jurisdiction applies regulations only to the wagering service providers licen</w:t>
            </w:r>
            <w:r w:rsidR="0047785B">
              <w:rPr>
                <w:rFonts w:eastAsia="Arial"/>
                <w:color w:val="auto"/>
              </w:rPr>
              <w:t>s</w:t>
            </w:r>
            <w:r w:rsidRPr="00843A16">
              <w:rPr>
                <w:rFonts w:eastAsia="Arial"/>
                <w:color w:val="auto"/>
              </w:rPr>
              <w:t>ed by that jurisdiction</w:t>
            </w:r>
          </w:p>
        </w:tc>
      </w:tr>
      <w:tr w:rsidR="007522E3" w:rsidRPr="00843A16" w14:paraId="11F64F3E" w14:textId="77777777" w:rsidTr="009512C5">
        <w:trPr>
          <w:trHeight w:val="300"/>
        </w:trPr>
        <w:tc>
          <w:tcPr>
            <w:tcW w:w="2288" w:type="dxa"/>
          </w:tcPr>
          <w:p w14:paraId="023EE962" w14:textId="143DAAFA" w:rsidR="007522E3" w:rsidRPr="00843A16" w:rsidRDefault="007522E3" w:rsidP="001863AC">
            <w:pPr>
              <w:pStyle w:val="TableText"/>
              <w:keepNext w:val="0"/>
              <w:rPr>
                <w:b/>
                <w:bCs/>
              </w:rPr>
            </w:pPr>
            <w:r w:rsidRPr="00843A16">
              <w:rPr>
                <w:b/>
                <w:bCs/>
              </w:rPr>
              <w:t>P</w:t>
            </w:r>
            <w:r w:rsidRPr="00843A16">
              <w:rPr>
                <w:b/>
              </w:rPr>
              <w:t>RES</w:t>
            </w:r>
          </w:p>
        </w:tc>
        <w:tc>
          <w:tcPr>
            <w:tcW w:w="7497" w:type="dxa"/>
          </w:tcPr>
          <w:p w14:paraId="428C0DB2" w14:textId="7B54ED5A" w:rsidR="007522E3" w:rsidRPr="00843A16" w:rsidRDefault="007522E3" w:rsidP="001863AC">
            <w:pPr>
              <w:pStyle w:val="TableText"/>
              <w:keepNext w:val="0"/>
            </w:pPr>
            <w:r w:rsidRPr="00843A16">
              <w:t>Performance, Review and Evaluation Strategy</w:t>
            </w:r>
          </w:p>
        </w:tc>
      </w:tr>
      <w:tr w:rsidR="009031DB" w:rsidRPr="00843A16" w14:paraId="2AA6C319" w14:textId="77777777" w:rsidTr="009512C5">
        <w:trPr>
          <w:trHeight w:val="300"/>
        </w:trPr>
        <w:tc>
          <w:tcPr>
            <w:tcW w:w="2288" w:type="dxa"/>
          </w:tcPr>
          <w:p w14:paraId="39853F39" w14:textId="1E991769" w:rsidR="009031DB" w:rsidRPr="00843A16" w:rsidRDefault="009031DB" w:rsidP="001863AC">
            <w:pPr>
              <w:pStyle w:val="TableText"/>
              <w:keepNext w:val="0"/>
              <w:rPr>
                <w:b/>
                <w:bCs/>
              </w:rPr>
            </w:pPr>
            <w:r>
              <w:rPr>
                <w:b/>
                <w:bCs/>
              </w:rPr>
              <w:t>QGSO</w:t>
            </w:r>
          </w:p>
        </w:tc>
        <w:tc>
          <w:tcPr>
            <w:tcW w:w="7497" w:type="dxa"/>
          </w:tcPr>
          <w:p w14:paraId="47D75362" w14:textId="70A361CE" w:rsidR="009031DB" w:rsidRPr="00843A16" w:rsidRDefault="009031DB" w:rsidP="001863AC">
            <w:pPr>
              <w:pStyle w:val="TableText"/>
              <w:keepNext w:val="0"/>
            </w:pPr>
            <w:r>
              <w:t>Queensland Government Statistician</w:t>
            </w:r>
            <w:r w:rsidR="00B146DE">
              <w:t>’s Office</w:t>
            </w:r>
          </w:p>
        </w:tc>
      </w:tr>
      <w:tr w:rsidR="007522E3" w:rsidRPr="00843A16" w14:paraId="67F70822" w14:textId="77777777" w:rsidTr="009512C5">
        <w:trPr>
          <w:trHeight w:val="300"/>
        </w:trPr>
        <w:tc>
          <w:tcPr>
            <w:tcW w:w="2288" w:type="dxa"/>
          </w:tcPr>
          <w:p w14:paraId="314AC562" w14:textId="01B7DFFC" w:rsidR="007522E3" w:rsidRPr="00843A16" w:rsidRDefault="007522E3" w:rsidP="001863AC">
            <w:pPr>
              <w:pStyle w:val="TableText"/>
              <w:keepNext w:val="0"/>
              <w:rPr>
                <w:b/>
              </w:rPr>
            </w:pPr>
            <w:r w:rsidRPr="00843A16">
              <w:rPr>
                <w:b/>
                <w:bCs/>
              </w:rPr>
              <w:t>RIS</w:t>
            </w:r>
          </w:p>
        </w:tc>
        <w:tc>
          <w:tcPr>
            <w:tcW w:w="7497" w:type="dxa"/>
          </w:tcPr>
          <w:p w14:paraId="1C82FB7F" w14:textId="220D6C36" w:rsidR="007522E3" w:rsidRPr="00843A16" w:rsidRDefault="007522E3" w:rsidP="001863AC">
            <w:pPr>
              <w:pStyle w:val="TableText"/>
              <w:keepNext w:val="0"/>
              <w:rPr>
                <w:b/>
              </w:rPr>
            </w:pPr>
            <w:r w:rsidRPr="00843A16">
              <w:t xml:space="preserve">Regulatory </w:t>
            </w:r>
            <w:r w:rsidR="0052540B" w:rsidRPr="00843A16">
              <w:t>impact statement</w:t>
            </w:r>
          </w:p>
        </w:tc>
      </w:tr>
      <w:tr w:rsidR="007522E3" w:rsidRPr="00843A16" w14:paraId="5F103E6F" w14:textId="77777777" w:rsidTr="009512C5">
        <w:trPr>
          <w:trHeight w:val="300"/>
        </w:trPr>
        <w:tc>
          <w:tcPr>
            <w:tcW w:w="2288" w:type="dxa"/>
          </w:tcPr>
          <w:p w14:paraId="66FA7B41" w14:textId="39DA1776" w:rsidR="007522E3" w:rsidRPr="00843A16" w:rsidRDefault="007522E3" w:rsidP="001863AC">
            <w:pPr>
              <w:pStyle w:val="TableText"/>
              <w:keepNext w:val="0"/>
              <w:rPr>
                <w:b/>
                <w:bCs/>
              </w:rPr>
            </w:pPr>
            <w:r w:rsidRPr="00843A16">
              <w:rPr>
                <w:b/>
                <w:bCs/>
              </w:rPr>
              <w:t>SACC</w:t>
            </w:r>
          </w:p>
        </w:tc>
        <w:tc>
          <w:tcPr>
            <w:tcW w:w="7497" w:type="dxa"/>
          </w:tcPr>
          <w:p w14:paraId="32576D7E" w14:textId="2137E2D9" w:rsidR="007522E3" w:rsidRPr="00843A16" w:rsidRDefault="007522E3" w:rsidP="001863AC">
            <w:pPr>
              <w:pStyle w:val="TableText"/>
              <w:keepNext w:val="0"/>
            </w:pPr>
            <w:r w:rsidRPr="00843A16">
              <w:t xml:space="preserve">Small </w:t>
            </w:r>
            <w:r w:rsidR="0052540B" w:rsidRPr="00843A16">
              <w:t>amount credit contract</w:t>
            </w:r>
          </w:p>
        </w:tc>
      </w:tr>
      <w:tr w:rsidR="007522E3" w:rsidRPr="00843A16" w14:paraId="3CC3CEA6" w14:textId="77777777" w:rsidTr="009512C5">
        <w:trPr>
          <w:trHeight w:val="300"/>
        </w:trPr>
        <w:tc>
          <w:tcPr>
            <w:tcW w:w="2288" w:type="dxa"/>
          </w:tcPr>
          <w:p w14:paraId="0D3802FE" w14:textId="27A8DCE2" w:rsidR="007522E3" w:rsidRPr="00843A16" w:rsidRDefault="007522E3" w:rsidP="001863AC">
            <w:pPr>
              <w:pStyle w:val="TableText"/>
              <w:keepNext w:val="0"/>
              <w:rPr>
                <w:b/>
                <w:bCs/>
              </w:rPr>
            </w:pPr>
            <w:r w:rsidRPr="00843A16">
              <w:rPr>
                <w:b/>
                <w:bCs/>
              </w:rPr>
              <w:t>SOWG</w:t>
            </w:r>
          </w:p>
        </w:tc>
        <w:tc>
          <w:tcPr>
            <w:tcW w:w="7497" w:type="dxa"/>
          </w:tcPr>
          <w:p w14:paraId="38D77582" w14:textId="5A5A3CFC" w:rsidR="007522E3" w:rsidRPr="00843A16" w:rsidRDefault="007522E3" w:rsidP="001863AC">
            <w:pPr>
              <w:pStyle w:val="TableText"/>
              <w:keepNext w:val="0"/>
            </w:pPr>
            <w:r w:rsidRPr="00843A16">
              <w:t>Senior Officials Working Group</w:t>
            </w:r>
          </w:p>
        </w:tc>
      </w:tr>
      <w:tr w:rsidR="006328A5" w:rsidRPr="00843A16" w14:paraId="64BEE383" w14:textId="77777777" w:rsidTr="009512C5">
        <w:trPr>
          <w:trHeight w:val="300"/>
        </w:trPr>
        <w:tc>
          <w:tcPr>
            <w:tcW w:w="2288" w:type="dxa"/>
          </w:tcPr>
          <w:p w14:paraId="5591DBD5" w14:textId="4529C403" w:rsidR="006328A5" w:rsidRPr="00843A16" w:rsidRDefault="006328A5" w:rsidP="001863AC">
            <w:pPr>
              <w:pStyle w:val="TableText"/>
              <w:keepNext w:val="0"/>
              <w:rPr>
                <w:b/>
                <w:bCs/>
              </w:rPr>
            </w:pPr>
            <w:r>
              <w:rPr>
                <w:b/>
                <w:bCs/>
              </w:rPr>
              <w:t>TAB</w:t>
            </w:r>
          </w:p>
        </w:tc>
        <w:tc>
          <w:tcPr>
            <w:tcW w:w="7497" w:type="dxa"/>
          </w:tcPr>
          <w:p w14:paraId="57AB6141" w14:textId="204F2ADD" w:rsidR="006328A5" w:rsidRPr="00843A16" w:rsidRDefault="001F257E" w:rsidP="001863AC">
            <w:pPr>
              <w:pStyle w:val="TableText"/>
              <w:keepNext w:val="0"/>
            </w:pPr>
            <w:r>
              <w:t xml:space="preserve">Totalisator Agency </w:t>
            </w:r>
            <w:r w:rsidR="00535420">
              <w:t>Board</w:t>
            </w:r>
          </w:p>
        </w:tc>
      </w:tr>
      <w:tr w:rsidR="007522E3" w:rsidRPr="00843A16" w14:paraId="7ABDADDB" w14:textId="77777777" w:rsidTr="009512C5">
        <w:trPr>
          <w:trHeight w:val="300"/>
        </w:trPr>
        <w:tc>
          <w:tcPr>
            <w:tcW w:w="2288" w:type="dxa"/>
          </w:tcPr>
          <w:p w14:paraId="3EDB88A7" w14:textId="5256939F" w:rsidR="007522E3" w:rsidRPr="00843A16" w:rsidRDefault="007522E3" w:rsidP="001863AC">
            <w:pPr>
              <w:pStyle w:val="TableText"/>
              <w:keepNext w:val="0"/>
              <w:rPr>
                <w:b/>
                <w:bCs/>
              </w:rPr>
            </w:pPr>
            <w:proofErr w:type="spellStart"/>
            <w:r w:rsidRPr="00843A16">
              <w:rPr>
                <w:b/>
                <w:bCs/>
              </w:rPr>
              <w:t>ToC</w:t>
            </w:r>
            <w:proofErr w:type="spellEnd"/>
          </w:p>
        </w:tc>
        <w:tc>
          <w:tcPr>
            <w:tcW w:w="7497" w:type="dxa"/>
          </w:tcPr>
          <w:p w14:paraId="07163A0D" w14:textId="35731132" w:rsidR="007522E3" w:rsidRPr="00843A16" w:rsidRDefault="007522E3" w:rsidP="001863AC">
            <w:pPr>
              <w:pStyle w:val="TableText"/>
              <w:keepNext w:val="0"/>
            </w:pPr>
            <w:r w:rsidRPr="00843A16">
              <w:t xml:space="preserve">Theory of </w:t>
            </w:r>
            <w:r w:rsidR="0052540B" w:rsidRPr="00843A16">
              <w:t>ch</w:t>
            </w:r>
            <w:r w:rsidRPr="00843A16">
              <w:t>ange</w:t>
            </w:r>
          </w:p>
        </w:tc>
      </w:tr>
      <w:tr w:rsidR="00E00559" w:rsidRPr="00843A16" w14:paraId="5CD45566" w14:textId="77777777" w:rsidTr="009512C5">
        <w:trPr>
          <w:trHeight w:val="300"/>
        </w:trPr>
        <w:tc>
          <w:tcPr>
            <w:tcW w:w="2288" w:type="dxa"/>
          </w:tcPr>
          <w:p w14:paraId="15864F71" w14:textId="66A715B2" w:rsidR="00E00559" w:rsidRPr="00843A16" w:rsidRDefault="00E00559" w:rsidP="001863AC">
            <w:pPr>
              <w:pStyle w:val="TableText"/>
              <w:keepNext w:val="0"/>
              <w:rPr>
                <w:b/>
                <w:bCs/>
              </w:rPr>
            </w:pPr>
            <w:r>
              <w:rPr>
                <w:b/>
                <w:bCs/>
              </w:rPr>
              <w:t>UKGC</w:t>
            </w:r>
          </w:p>
        </w:tc>
        <w:tc>
          <w:tcPr>
            <w:tcW w:w="7497" w:type="dxa"/>
          </w:tcPr>
          <w:p w14:paraId="5CA2639D" w14:textId="20003D5F" w:rsidR="00E00559" w:rsidRPr="00843A16" w:rsidRDefault="00E00559" w:rsidP="001863AC">
            <w:pPr>
              <w:pStyle w:val="TableText"/>
              <w:keepNext w:val="0"/>
            </w:pPr>
            <w:r>
              <w:t>United Kingdom Gambling Commission</w:t>
            </w:r>
          </w:p>
        </w:tc>
      </w:tr>
      <w:tr w:rsidR="3E25ED00" w14:paraId="21976354" w14:textId="77777777" w:rsidTr="009512C5">
        <w:trPr>
          <w:trHeight w:val="300"/>
        </w:trPr>
        <w:tc>
          <w:tcPr>
            <w:tcW w:w="2288" w:type="dxa"/>
          </w:tcPr>
          <w:p w14:paraId="1AE9BADC" w14:textId="0BEFCFD6" w:rsidR="3E25ED00" w:rsidRDefault="52F282CD" w:rsidP="002B46E6">
            <w:pPr>
              <w:pStyle w:val="TableText"/>
              <w:rPr>
                <w:rFonts w:cs="Arial"/>
                <w:b/>
                <w:bCs/>
              </w:rPr>
            </w:pPr>
            <w:r w:rsidRPr="39939F20">
              <w:rPr>
                <w:rFonts w:cs="Arial"/>
                <w:b/>
                <w:bCs/>
              </w:rPr>
              <w:t>VGCCC</w:t>
            </w:r>
          </w:p>
        </w:tc>
        <w:tc>
          <w:tcPr>
            <w:tcW w:w="7497" w:type="dxa"/>
          </w:tcPr>
          <w:p w14:paraId="3D292706" w14:textId="119AB6AA" w:rsidR="3E25ED00" w:rsidRDefault="52F282CD" w:rsidP="002B46E6">
            <w:pPr>
              <w:pStyle w:val="TableText"/>
              <w:rPr>
                <w:rFonts w:cs="Arial"/>
              </w:rPr>
            </w:pPr>
            <w:r w:rsidRPr="017D3F87">
              <w:rPr>
                <w:rFonts w:cs="Arial"/>
              </w:rPr>
              <w:t xml:space="preserve">Victorian Gambling </w:t>
            </w:r>
            <w:r w:rsidRPr="67AB4B29">
              <w:rPr>
                <w:rFonts w:cs="Arial"/>
              </w:rPr>
              <w:t xml:space="preserve">and Casino </w:t>
            </w:r>
            <w:r w:rsidRPr="36420C9E">
              <w:rPr>
                <w:rFonts w:cs="Arial"/>
              </w:rPr>
              <w:t>Control Commission</w:t>
            </w:r>
          </w:p>
        </w:tc>
      </w:tr>
      <w:tr w:rsidR="007522E3" w:rsidRPr="00843A16" w14:paraId="4B52DFE9" w14:textId="77777777" w:rsidTr="009512C5">
        <w:trPr>
          <w:trHeight w:val="300"/>
        </w:trPr>
        <w:tc>
          <w:tcPr>
            <w:tcW w:w="2288" w:type="dxa"/>
          </w:tcPr>
          <w:p w14:paraId="7F801C69" w14:textId="5D141CB5" w:rsidR="007522E3" w:rsidRPr="00843A16" w:rsidRDefault="007522E3" w:rsidP="001863AC">
            <w:pPr>
              <w:pStyle w:val="TableText"/>
              <w:keepNext w:val="0"/>
              <w:rPr>
                <w:b/>
                <w:bCs/>
              </w:rPr>
            </w:pPr>
            <w:r w:rsidRPr="00843A16">
              <w:rPr>
                <w:rFonts w:cs="Arial"/>
                <w:b/>
                <w:bCs/>
              </w:rPr>
              <w:t>Wagering</w:t>
            </w:r>
          </w:p>
        </w:tc>
        <w:tc>
          <w:tcPr>
            <w:tcW w:w="7497" w:type="dxa"/>
          </w:tcPr>
          <w:p w14:paraId="70CEDF21" w14:textId="3C39E5AE" w:rsidR="007522E3" w:rsidRPr="00843A16" w:rsidRDefault="007522E3" w:rsidP="001863AC">
            <w:pPr>
              <w:pStyle w:val="TableText"/>
              <w:keepNext w:val="0"/>
            </w:pPr>
            <w:r w:rsidRPr="00843A16">
              <w:rPr>
                <w:rFonts w:cs="Arial"/>
              </w:rPr>
              <w:t>Wagering is focused on a bet on an event or contingency. In a wager, the bettor usually does not participate in the actual event or contingency.</w:t>
            </w:r>
          </w:p>
        </w:tc>
      </w:tr>
      <w:tr w:rsidR="007522E3" w:rsidRPr="00843A16" w14:paraId="773E69B8" w14:textId="77777777" w:rsidTr="009512C5">
        <w:trPr>
          <w:trHeight w:val="300"/>
        </w:trPr>
        <w:tc>
          <w:tcPr>
            <w:tcW w:w="2288" w:type="dxa"/>
          </w:tcPr>
          <w:p w14:paraId="06B94B74" w14:textId="21627058" w:rsidR="007522E3" w:rsidRPr="00843A16" w:rsidRDefault="007522E3" w:rsidP="001863AC">
            <w:pPr>
              <w:pStyle w:val="TableText"/>
              <w:keepNext w:val="0"/>
              <w:rPr>
                <w:rFonts w:cs="Arial"/>
                <w:b/>
                <w:bCs/>
              </w:rPr>
            </w:pPr>
            <w:r w:rsidRPr="00843A16">
              <w:rPr>
                <w:rFonts w:cs="Arial"/>
                <w:b/>
                <w:bCs/>
              </w:rPr>
              <w:lastRenderedPageBreak/>
              <w:t>WSPs</w:t>
            </w:r>
          </w:p>
        </w:tc>
        <w:tc>
          <w:tcPr>
            <w:tcW w:w="7497" w:type="dxa"/>
          </w:tcPr>
          <w:p w14:paraId="0D90634E" w14:textId="43899087" w:rsidR="007522E3" w:rsidRPr="00843A16" w:rsidRDefault="007522E3" w:rsidP="001863AC">
            <w:pPr>
              <w:pStyle w:val="TableText"/>
              <w:keepNext w:val="0"/>
              <w:rPr>
                <w:rFonts w:cs="Arial"/>
              </w:rPr>
            </w:pPr>
            <w:r w:rsidRPr="00843A16">
              <w:rPr>
                <w:rFonts w:cs="Arial"/>
              </w:rPr>
              <w:t>Wagering Service Providers</w:t>
            </w:r>
          </w:p>
        </w:tc>
      </w:tr>
    </w:tbl>
    <w:p w14:paraId="722A0FBB" w14:textId="77777777" w:rsidR="002E5A8B" w:rsidRDefault="002E5A8B" w:rsidP="002E5A8B">
      <w:pPr>
        <w:pStyle w:val="BodyText"/>
        <w:rPr>
          <w:rFonts w:eastAsia="Arial"/>
        </w:rPr>
      </w:pPr>
    </w:p>
    <w:p w14:paraId="4F508C7A" w14:textId="03312C38" w:rsidR="002E5A8B" w:rsidRDefault="002E5A8B">
      <w:pPr>
        <w:suppressAutoHyphens w:val="0"/>
        <w:spacing w:before="0" w:line="240" w:lineRule="auto"/>
        <w:jc w:val="left"/>
        <w:rPr>
          <w:rFonts w:eastAsia="Times New Roman"/>
          <w:lang w:bidi="en-US"/>
        </w:rPr>
      </w:pPr>
      <w:r>
        <w:br w:type="page"/>
      </w:r>
    </w:p>
    <w:p w14:paraId="556CDB54" w14:textId="2D19BC10" w:rsidR="00D45CE1" w:rsidRDefault="00D45CE1" w:rsidP="00F80665">
      <w:pPr>
        <w:pStyle w:val="Heading1"/>
      </w:pPr>
      <w:bookmarkStart w:id="4" w:name="_Toc233643267"/>
      <w:r w:rsidRPr="00843A16">
        <w:lastRenderedPageBreak/>
        <w:t>Executive summary</w:t>
      </w:r>
      <w:bookmarkEnd w:id="3"/>
      <w:bookmarkEnd w:id="4"/>
    </w:p>
    <w:p w14:paraId="1D725FDC" w14:textId="7C2D0B72" w:rsidR="000C3423" w:rsidRDefault="000C3423" w:rsidP="000C3423">
      <w:pPr>
        <w:pStyle w:val="BodyText"/>
        <w:keepNext/>
        <w:keepLines/>
      </w:pPr>
      <w:r w:rsidRPr="00843A16">
        <w:t xml:space="preserve">The National Consumer Protection Framework </w:t>
      </w:r>
      <w:r>
        <w:t>(</w:t>
      </w:r>
      <w:r w:rsidRPr="00843A16">
        <w:t>NCPF</w:t>
      </w:r>
      <w:r>
        <w:t>)</w:t>
      </w:r>
      <w:r w:rsidRPr="00843A16">
        <w:t xml:space="preserve"> </w:t>
      </w:r>
      <w:r>
        <w:t>aims to</w:t>
      </w:r>
      <w:r w:rsidRPr="00843A16">
        <w:t xml:space="preserve"> establish</w:t>
      </w:r>
      <w:r>
        <w:t xml:space="preserve"> n</w:t>
      </w:r>
      <w:r w:rsidRPr="00843A16">
        <w:t xml:space="preserve">ationally consistent minimum protections for online wagerers. </w:t>
      </w:r>
      <w:r>
        <w:t xml:space="preserve">Ministers from all Australian jurisdictions committed to the </w:t>
      </w:r>
      <w:r w:rsidR="00C75571">
        <w:t xml:space="preserve">NCPF </w:t>
      </w:r>
      <w:r>
        <w:t xml:space="preserve">in November 2018. The </w:t>
      </w:r>
      <w:r w:rsidR="00C75571">
        <w:t>NCPF</w:t>
      </w:r>
      <w:r w:rsidR="00C32F93">
        <w:t xml:space="preserve"> </w:t>
      </w:r>
      <w:r>
        <w:t>play</w:t>
      </w:r>
      <w:r w:rsidR="002C0439">
        <w:t>s</w:t>
      </w:r>
      <w:r>
        <w:t xml:space="preserve"> a critical role in preventing and minimising harm from online gambling and is an important first step in inter-jurisdictional cooperation. Australian governments, community organisations, individuals affected by gambling harm and the online wagering service industry have contributed significant effort and resources toward</w:t>
      </w:r>
      <w:r w:rsidR="00CE4A5B">
        <w:t>s the</w:t>
      </w:r>
      <w:r>
        <w:t xml:space="preserve"> implementation of the </w:t>
      </w:r>
      <w:r w:rsidR="00CE4A5B">
        <w:t>NCPF</w:t>
      </w:r>
      <w:r>
        <w:t>.</w:t>
      </w:r>
    </w:p>
    <w:p w14:paraId="695BCA69" w14:textId="77777777" w:rsidR="006261A9" w:rsidRDefault="00A36867" w:rsidP="00345121">
      <w:pPr>
        <w:pStyle w:val="BodyText"/>
        <w:keepNext/>
        <w:keepLines/>
      </w:pPr>
      <w:r>
        <w:t>O</w:t>
      </w:r>
      <w:r w:rsidR="00345121">
        <w:t xml:space="preserve">n behalf of all governments, the </w:t>
      </w:r>
      <w:r w:rsidR="00A353ED">
        <w:t>Department of Social Services (</w:t>
      </w:r>
      <w:r w:rsidR="00BC46FF">
        <w:t>DSS</w:t>
      </w:r>
      <w:r w:rsidR="00A353ED">
        <w:t>)</w:t>
      </w:r>
      <w:r w:rsidR="001D02AB">
        <w:t xml:space="preserve"> </w:t>
      </w:r>
      <w:r w:rsidR="00345121">
        <w:t xml:space="preserve">commissioned the </w:t>
      </w:r>
      <w:r w:rsidR="00A16B94">
        <w:t>Australian Institute of Family Studies (</w:t>
      </w:r>
      <w:r w:rsidR="00345121">
        <w:t>AIFS</w:t>
      </w:r>
      <w:r w:rsidR="00A16B94">
        <w:t>)</w:t>
      </w:r>
      <w:r w:rsidR="00345121">
        <w:t xml:space="preserve"> to undertake an evaluation of the NCPF. The purpose of the evaluation is to: </w:t>
      </w:r>
    </w:p>
    <w:p w14:paraId="685C484B" w14:textId="38C6F059" w:rsidR="006261A9" w:rsidRDefault="00345121" w:rsidP="00DF47C1">
      <w:pPr>
        <w:pStyle w:val="ListNumber"/>
      </w:pPr>
      <w:r>
        <w:t xml:space="preserve">assess the effectiveness of the measures in achieving outcomes </w:t>
      </w:r>
    </w:p>
    <w:p w14:paraId="172F1C17" w14:textId="42FF6664" w:rsidR="006261A9" w:rsidRDefault="00345121" w:rsidP="00DF47C1">
      <w:pPr>
        <w:pStyle w:val="ListNumber"/>
      </w:pPr>
      <w:r>
        <w:t xml:space="preserve">detect unintended consequences </w:t>
      </w:r>
    </w:p>
    <w:p w14:paraId="56274F6B" w14:textId="7164D138" w:rsidR="006261A9" w:rsidRDefault="00345121" w:rsidP="006261A9">
      <w:pPr>
        <w:pStyle w:val="ListNumber"/>
      </w:pPr>
      <w:r>
        <w:t xml:space="preserve">identify weakness in the regulatory framework </w:t>
      </w:r>
    </w:p>
    <w:p w14:paraId="31AB2DA0" w14:textId="7E44DFF5" w:rsidR="00345121" w:rsidRDefault="00345121" w:rsidP="00DF47C1">
      <w:pPr>
        <w:pStyle w:val="ListNumber"/>
      </w:pPr>
      <w:r>
        <w:t xml:space="preserve">inform ongoing refinements to the measures.  </w:t>
      </w:r>
    </w:p>
    <w:p w14:paraId="5C0DCC32" w14:textId="3D97127D" w:rsidR="00345121" w:rsidRDefault="00345121" w:rsidP="00345121">
      <w:pPr>
        <w:pStyle w:val="BodyText"/>
        <w:keepNext/>
        <w:keepLines/>
      </w:pPr>
      <w:r>
        <w:t xml:space="preserve">The evaluation is being undertaken in </w:t>
      </w:r>
      <w:r w:rsidR="00D07DF8">
        <w:t xml:space="preserve">2 </w:t>
      </w:r>
      <w:r>
        <w:t xml:space="preserve">parts: Phase 1 </w:t>
      </w:r>
      <w:r w:rsidR="00FF1022">
        <w:t xml:space="preserve">is </w:t>
      </w:r>
      <w:r>
        <w:t>a post</w:t>
      </w:r>
      <w:r w:rsidR="00CC28E1">
        <w:t>-</w:t>
      </w:r>
      <w:r>
        <w:t>implementation review and process evaluation to assess whether the measures were implemented as intended, and Phase</w:t>
      </w:r>
      <w:r w:rsidR="006F6316">
        <w:t> </w:t>
      </w:r>
      <w:r>
        <w:t xml:space="preserve">2 </w:t>
      </w:r>
      <w:r w:rsidR="00FF1022">
        <w:t xml:space="preserve">is </w:t>
      </w:r>
      <w:r>
        <w:t xml:space="preserve">an evaluation of the impacts of </w:t>
      </w:r>
      <w:r w:rsidR="00F87C56">
        <w:t xml:space="preserve">the NCPF </w:t>
      </w:r>
      <w:r>
        <w:t xml:space="preserve">in achieving </w:t>
      </w:r>
      <w:r w:rsidR="00B85B4A">
        <w:t xml:space="preserve">its </w:t>
      </w:r>
      <w:r>
        <w:t xml:space="preserve">intended outcomes. This report presents the findings of Phase 1. Phase 2 has commenced and is due to be completed by June 2027. </w:t>
      </w:r>
    </w:p>
    <w:p w14:paraId="1E32C403" w14:textId="10CC96D9" w:rsidR="00D03B55" w:rsidRDefault="00D03B55" w:rsidP="00D03B55">
      <w:pPr>
        <w:pStyle w:val="BodyText"/>
      </w:pPr>
      <w:r>
        <w:t xml:space="preserve">The </w:t>
      </w:r>
      <w:r w:rsidRPr="00EB3B3B">
        <w:t xml:space="preserve">Phase 1 </w:t>
      </w:r>
      <w:r>
        <w:t xml:space="preserve">evaluation of the NPCF </w:t>
      </w:r>
      <w:r w:rsidR="00C24CA6">
        <w:t>found</w:t>
      </w:r>
      <w:r w:rsidRPr="00EB3B3B">
        <w:t xml:space="preserve"> </w:t>
      </w:r>
      <w:r>
        <w:t>that:</w:t>
      </w:r>
    </w:p>
    <w:p w14:paraId="1AE0E87B" w14:textId="77777777" w:rsidR="00EE5C70" w:rsidRDefault="00EE5C70" w:rsidP="00EE5C70">
      <w:pPr>
        <w:pStyle w:val="ListBullet"/>
      </w:pPr>
      <w:r>
        <w:t>The measures were mostly implemented as intended and offered generally consistent protection across jurisdictions.</w:t>
      </w:r>
    </w:p>
    <w:p w14:paraId="7866A6F1" w14:textId="7B3D1948" w:rsidR="00EA59A8" w:rsidRDefault="006261A9" w:rsidP="00EA59A8">
      <w:pPr>
        <w:pStyle w:val="ListBullet"/>
      </w:pPr>
      <w:r>
        <w:t>I</w:t>
      </w:r>
      <w:r w:rsidR="007E17E1">
        <w:t xml:space="preserve">t </w:t>
      </w:r>
      <w:r w:rsidR="00EA59A8">
        <w:t xml:space="preserve">took nearly 6 years for all measures in the NCPF to be implemented, rather than the planned 18 months, </w:t>
      </w:r>
      <w:r w:rsidR="00E15C90">
        <w:t xml:space="preserve">with </w:t>
      </w:r>
      <w:r w:rsidR="00EA59A8">
        <w:t xml:space="preserve">the original implementation time frame found to be not realistic. </w:t>
      </w:r>
    </w:p>
    <w:p w14:paraId="4D819B0C" w14:textId="13C3164A" w:rsidR="001E0911" w:rsidRDefault="00F63113" w:rsidP="00EA59A8">
      <w:pPr>
        <w:pStyle w:val="ListBullet"/>
      </w:pPr>
      <w:r>
        <w:t xml:space="preserve">The reasons for delays included </w:t>
      </w:r>
      <w:r w:rsidR="009D3D1D">
        <w:t>COVID-19 disruptions</w:t>
      </w:r>
      <w:r w:rsidR="00784779">
        <w:t xml:space="preserve">, </w:t>
      </w:r>
      <w:r w:rsidR="000A2E4C" w:rsidRPr="00FE069C">
        <w:t xml:space="preserve">the </w:t>
      </w:r>
      <w:r w:rsidR="000A2E4C">
        <w:t xml:space="preserve">former </w:t>
      </w:r>
      <w:r w:rsidR="000A2E4C" w:rsidRPr="00FE069C">
        <w:t xml:space="preserve">provider for the </w:t>
      </w:r>
      <w:r w:rsidR="000A2E4C">
        <w:t>National Self-Exclusion Register</w:t>
      </w:r>
      <w:r w:rsidR="000A2E4C" w:rsidRPr="00FE069C">
        <w:t xml:space="preserve"> </w:t>
      </w:r>
      <w:r w:rsidR="000A2E4C">
        <w:t>(</w:t>
      </w:r>
      <w:r w:rsidR="000A2E4C" w:rsidRPr="00FE069C">
        <w:t>NSER</w:t>
      </w:r>
      <w:r w:rsidR="000A2E4C">
        <w:t>)</w:t>
      </w:r>
      <w:r w:rsidR="000A2E4C" w:rsidRPr="00FE069C">
        <w:t xml:space="preserve"> going into voluntary administration</w:t>
      </w:r>
      <w:r w:rsidR="00304149">
        <w:t xml:space="preserve"> and </w:t>
      </w:r>
      <w:r w:rsidR="00D20E59">
        <w:t xml:space="preserve">the </w:t>
      </w:r>
      <w:r w:rsidR="000B1755">
        <w:t xml:space="preserve">need to </w:t>
      </w:r>
      <w:r w:rsidR="00A066A8">
        <w:t>develop</w:t>
      </w:r>
      <w:r w:rsidR="00784779">
        <w:t xml:space="preserve"> and </w:t>
      </w:r>
      <w:r w:rsidR="003B4AA4">
        <w:t>pass</w:t>
      </w:r>
      <w:r w:rsidR="000B1755">
        <w:t xml:space="preserve"> new </w:t>
      </w:r>
      <w:r w:rsidR="003B4AA4">
        <w:t xml:space="preserve">legislation in </w:t>
      </w:r>
      <w:r w:rsidR="000710F4">
        <w:t>some</w:t>
      </w:r>
      <w:r w:rsidR="003B4AA4">
        <w:t xml:space="preserve"> jurisdiction</w:t>
      </w:r>
      <w:r w:rsidR="000710F4">
        <w:t>s</w:t>
      </w:r>
      <w:r w:rsidR="009F2015">
        <w:t>.</w:t>
      </w:r>
      <w:r w:rsidR="00A066A8">
        <w:t xml:space="preserve"> </w:t>
      </w:r>
      <w:r w:rsidR="000B1755">
        <w:t>Addit</w:t>
      </w:r>
      <w:r w:rsidR="004D3FAB">
        <w:t>i</w:t>
      </w:r>
      <w:r w:rsidR="000B1755">
        <w:t>onally</w:t>
      </w:r>
      <w:r w:rsidR="004D3FAB">
        <w:t>, s</w:t>
      </w:r>
      <w:r w:rsidR="00A066A8">
        <w:t>ome measures were complex</w:t>
      </w:r>
      <w:r w:rsidR="00CB3A22">
        <w:t xml:space="preserve"> </w:t>
      </w:r>
      <w:r w:rsidR="009911C5">
        <w:t>and</w:t>
      </w:r>
      <w:r w:rsidR="00CB3A22">
        <w:t xml:space="preserve"> need</w:t>
      </w:r>
      <w:r w:rsidR="009911C5">
        <w:t>ed</w:t>
      </w:r>
      <w:r w:rsidR="00CB3A22">
        <w:t xml:space="preserve"> </w:t>
      </w:r>
      <w:r w:rsidR="001E0911">
        <w:t>trialling</w:t>
      </w:r>
      <w:r w:rsidR="00FB5556">
        <w:t xml:space="preserve"> and</w:t>
      </w:r>
      <w:r w:rsidR="00357BA7">
        <w:t xml:space="preserve"> </w:t>
      </w:r>
      <w:r w:rsidR="001E0911">
        <w:t>testing</w:t>
      </w:r>
      <w:r w:rsidR="00EA2E7B">
        <w:t xml:space="preserve"> </w:t>
      </w:r>
      <w:r w:rsidR="00C80966">
        <w:t xml:space="preserve">of their designs </w:t>
      </w:r>
      <w:r w:rsidR="00357BA7">
        <w:t xml:space="preserve">and </w:t>
      </w:r>
      <w:r w:rsidR="009911C5">
        <w:t xml:space="preserve">the development of </w:t>
      </w:r>
      <w:r w:rsidR="000B1755">
        <w:t>information technology</w:t>
      </w:r>
      <w:r w:rsidR="00357BA7">
        <w:t xml:space="preserve"> (IT) </w:t>
      </w:r>
      <w:r w:rsidR="009911C5">
        <w:t>to</w:t>
      </w:r>
      <w:r w:rsidR="00DC2CCB">
        <w:t xml:space="preserve"> be </w:t>
      </w:r>
      <w:r w:rsidR="000D19B8">
        <w:t>operationalised</w:t>
      </w:r>
      <w:r w:rsidR="00CB3A22">
        <w:t xml:space="preserve">. </w:t>
      </w:r>
    </w:p>
    <w:p w14:paraId="6E431BF4" w14:textId="61451686" w:rsidR="00E12583" w:rsidRDefault="00E12583" w:rsidP="00DF211B">
      <w:pPr>
        <w:pStyle w:val="BodyText"/>
      </w:pPr>
      <w:r>
        <w:t>The evaluation has also found that:</w:t>
      </w:r>
    </w:p>
    <w:p w14:paraId="3919187B" w14:textId="7687A070" w:rsidR="00574029" w:rsidRPr="00574029" w:rsidRDefault="00574029" w:rsidP="00D03B55">
      <w:pPr>
        <w:pStyle w:val="ListBullet"/>
      </w:pPr>
      <w:r>
        <w:rPr>
          <w:rFonts w:eastAsia="Arial"/>
        </w:rPr>
        <w:t xml:space="preserve">Policies in some jurisdictions </w:t>
      </w:r>
      <w:r w:rsidR="00D0596F">
        <w:rPr>
          <w:rFonts w:eastAsia="Arial"/>
        </w:rPr>
        <w:t xml:space="preserve">relating to 5 measures </w:t>
      </w:r>
      <w:r w:rsidR="00C218F1">
        <w:rPr>
          <w:rFonts w:eastAsia="Arial"/>
        </w:rPr>
        <w:t>need to</w:t>
      </w:r>
      <w:r>
        <w:rPr>
          <w:rFonts w:eastAsia="Arial"/>
        </w:rPr>
        <w:t xml:space="preserve"> be adjusted where they deviate from the NCPF principles.</w:t>
      </w:r>
      <w:r w:rsidR="00D0596F">
        <w:rPr>
          <w:rFonts w:eastAsia="Arial"/>
        </w:rPr>
        <w:t xml:space="preserve"> </w:t>
      </w:r>
      <w:r w:rsidR="005D5740">
        <w:rPr>
          <w:rFonts w:eastAsia="Arial"/>
        </w:rPr>
        <w:t xml:space="preserve">These measures are </w:t>
      </w:r>
      <w:r w:rsidR="005D5740" w:rsidRPr="00CC2A93">
        <w:t>restrictions on inducements, account closure, deposit limits, activity statements and consistent gambling messaging</w:t>
      </w:r>
      <w:r w:rsidR="00F74030">
        <w:t xml:space="preserve"> (CGM)</w:t>
      </w:r>
      <w:r w:rsidR="005D5740">
        <w:t>.</w:t>
      </w:r>
    </w:p>
    <w:p w14:paraId="1C965D31" w14:textId="357087DE" w:rsidR="00D03B55" w:rsidRDefault="00D03B55" w:rsidP="00D03B55">
      <w:pPr>
        <w:pStyle w:val="ListBullet"/>
      </w:pPr>
      <w:r>
        <w:t>The NCPF can be promoted more to encourage uptake of its protective measures.</w:t>
      </w:r>
    </w:p>
    <w:p w14:paraId="438E2FE5" w14:textId="758237F6" w:rsidR="00D03B55" w:rsidRDefault="00D03B55" w:rsidP="00574029">
      <w:pPr>
        <w:pStyle w:val="ListBullet"/>
      </w:pPr>
      <w:r>
        <w:rPr>
          <w:rFonts w:eastAsia="Arial"/>
        </w:rPr>
        <w:t>R</w:t>
      </w:r>
      <w:r w:rsidRPr="00843A16">
        <w:rPr>
          <w:rFonts w:eastAsia="Arial"/>
        </w:rPr>
        <w:t xml:space="preserve">egular, coordinated and proactive </w:t>
      </w:r>
      <w:r>
        <w:rPr>
          <w:rFonts w:eastAsia="Arial"/>
        </w:rPr>
        <w:t xml:space="preserve">activities supported by penalties that deter non-compliant behaviour are needed and should be </w:t>
      </w:r>
      <w:r>
        <w:t>adequately resourced.</w:t>
      </w:r>
    </w:p>
    <w:p w14:paraId="2457F4C3" w14:textId="01F6B15A" w:rsidR="00C26EE5" w:rsidRDefault="00D03B55" w:rsidP="00C26EE5">
      <w:pPr>
        <w:pStyle w:val="BodyText"/>
        <w:keepNext/>
        <w:keepLines/>
      </w:pPr>
      <w:r w:rsidRPr="00AE2E0E">
        <w:lastRenderedPageBreak/>
        <w:t xml:space="preserve">Phase 2 will conduct an impact evaluation of the 10 measures, assessing changes in online wagering </w:t>
      </w:r>
      <w:r w:rsidRPr="005425EE">
        <w:t>behaviour</w:t>
      </w:r>
      <w:r w:rsidRPr="00AE2E0E">
        <w:t xml:space="preserve"> and related harm attributable to the </w:t>
      </w:r>
      <w:r>
        <w:t>NCPF.</w:t>
      </w:r>
      <w:r w:rsidRPr="00AE2E0E">
        <w:t xml:space="preserve"> </w:t>
      </w:r>
      <w:r>
        <w:t>It</w:t>
      </w:r>
      <w:r w:rsidRPr="00AE2E0E">
        <w:t xml:space="preserve"> will </w:t>
      </w:r>
      <w:r>
        <w:t xml:space="preserve">also </w:t>
      </w:r>
      <w:r w:rsidRPr="00AE2E0E">
        <w:t>provide further recommendations to refine and improve the measures.</w:t>
      </w:r>
      <w:r w:rsidR="000F22C4">
        <w:t xml:space="preserve"> </w:t>
      </w:r>
      <w:r w:rsidR="00C26EE5" w:rsidRPr="000F7185">
        <w:t>Given the extended and uneven implementation of NCPF measures and limited baseline data, Phase 2 will adopt a cautious, contribution</w:t>
      </w:r>
      <w:r w:rsidR="00C26EE5" w:rsidRPr="000F7185">
        <w:rPr>
          <w:rFonts w:ascii="Cambria Math" w:hAnsi="Cambria Math" w:cs="Cambria Math"/>
        </w:rPr>
        <w:t>‑</w:t>
      </w:r>
      <w:r w:rsidR="00C26EE5" w:rsidRPr="000F7185">
        <w:t>based approach to assessing change, drawing on multiple data sources and</w:t>
      </w:r>
      <w:r w:rsidR="00C26EE5">
        <w:t xml:space="preserve"> a</w:t>
      </w:r>
      <w:r w:rsidR="00C26EE5" w:rsidRPr="000F7185">
        <w:t xml:space="preserve"> longer time series.</w:t>
      </w:r>
    </w:p>
    <w:p w14:paraId="5B7097E4" w14:textId="7B5874FF" w:rsidR="002F710B" w:rsidRDefault="002F710B" w:rsidP="002F710B">
      <w:pPr>
        <w:pStyle w:val="BodyText"/>
      </w:pPr>
      <w:r>
        <w:t xml:space="preserve">The recommendations in this </w:t>
      </w:r>
      <w:r w:rsidR="0022135C">
        <w:t xml:space="preserve">Phase 1 </w:t>
      </w:r>
      <w:r>
        <w:t>report can enhance the national consumer protections for online wagering. Timely action on these recommendations will further build the protective capacity of the NCPF and support a safer online wagering environment for Australians.</w:t>
      </w:r>
    </w:p>
    <w:p w14:paraId="34EC3A91" w14:textId="7E4D9624" w:rsidR="00271BAB" w:rsidRDefault="00271BAB" w:rsidP="00271BAB">
      <w:pPr>
        <w:pStyle w:val="BodyText"/>
        <w:keepNext/>
        <w:keepLines/>
      </w:pPr>
      <w:r>
        <w:t xml:space="preserve">Australian governments are encouraged to </w:t>
      </w:r>
      <w:r w:rsidR="00DE36BA">
        <w:t xml:space="preserve">quickly convene and </w:t>
      </w:r>
      <w:r w:rsidR="00151904">
        <w:t xml:space="preserve">consider </w:t>
      </w:r>
      <w:r>
        <w:t>the recommendations</w:t>
      </w:r>
      <w:r w:rsidR="00A8289F">
        <w:t xml:space="preserve"> of </w:t>
      </w:r>
      <w:r w:rsidR="0058139A">
        <w:t>the Phase 1 evaluation report</w:t>
      </w:r>
      <w:r>
        <w:t xml:space="preserve">. As with the initial implementation of the NCPF, refining the measures and the </w:t>
      </w:r>
      <w:r w:rsidR="00C225ED">
        <w:t xml:space="preserve">framework </w:t>
      </w:r>
      <w:r>
        <w:t xml:space="preserve">will take effort and resources from all jurisdictions.  </w:t>
      </w:r>
    </w:p>
    <w:p w14:paraId="25423978" w14:textId="77777777" w:rsidR="00367A70" w:rsidRDefault="00367A70">
      <w:pPr>
        <w:suppressAutoHyphens w:val="0"/>
        <w:spacing w:before="0" w:line="240" w:lineRule="auto"/>
        <w:jc w:val="left"/>
        <w:rPr>
          <w:rFonts w:cs="Arial"/>
          <w:color w:val="671565"/>
          <w:kern w:val="32"/>
          <w:sz w:val="38"/>
          <w:szCs w:val="38"/>
        </w:rPr>
      </w:pPr>
      <w:r>
        <w:br w:type="page"/>
      </w:r>
    </w:p>
    <w:p w14:paraId="255BCFBE" w14:textId="4F5FB226" w:rsidR="0020545A" w:rsidRDefault="00743A71" w:rsidP="00D16AEE">
      <w:pPr>
        <w:pStyle w:val="Heading2"/>
      </w:pPr>
      <w:bookmarkStart w:id="5" w:name="_Toc233643268"/>
      <w:r w:rsidRPr="00843A16">
        <w:lastRenderedPageBreak/>
        <w:t xml:space="preserve">Key </w:t>
      </w:r>
      <w:r w:rsidR="002A55B8">
        <w:t>f</w:t>
      </w:r>
      <w:r w:rsidR="005D49B2" w:rsidRPr="00843A16">
        <w:t>indings</w:t>
      </w:r>
      <w:r w:rsidR="0020545A" w:rsidRPr="00843A16">
        <w:t xml:space="preserve"> </w:t>
      </w:r>
      <w:r w:rsidR="00E62EDC" w:rsidRPr="00843A16">
        <w:t xml:space="preserve">and </w:t>
      </w:r>
      <w:r w:rsidR="002A55B8">
        <w:t>r</w:t>
      </w:r>
      <w:r w:rsidR="00E62EDC" w:rsidRPr="00843A16">
        <w:t>ecommendations</w:t>
      </w:r>
      <w:bookmarkEnd w:id="5"/>
      <w:r w:rsidR="00AD4B46">
        <w:t xml:space="preserve"> </w:t>
      </w:r>
    </w:p>
    <w:p w14:paraId="2F8567DF" w14:textId="6505F358" w:rsidR="00B0191B" w:rsidRDefault="00B62285" w:rsidP="00D16AEE">
      <w:pPr>
        <w:pStyle w:val="BoxText"/>
        <w:rPr>
          <w:rFonts w:eastAsia="Arial"/>
        </w:rPr>
      </w:pPr>
      <w:r>
        <w:rPr>
          <w:rFonts w:eastAsia="Arial"/>
        </w:rPr>
        <w:t xml:space="preserve">Recommendations have been </w:t>
      </w:r>
      <w:proofErr w:type="gramStart"/>
      <w:r>
        <w:rPr>
          <w:rFonts w:eastAsia="Arial"/>
        </w:rPr>
        <w:t>colour</w:t>
      </w:r>
      <w:proofErr w:type="gramEnd"/>
      <w:r>
        <w:rPr>
          <w:rFonts w:eastAsia="Arial"/>
        </w:rPr>
        <w:t xml:space="preserve"> coded</w:t>
      </w:r>
      <w:r w:rsidR="00031AC5">
        <w:rPr>
          <w:rFonts w:eastAsia="Arial"/>
        </w:rPr>
        <w:t xml:space="preserve"> and initialled</w:t>
      </w:r>
      <w:r>
        <w:rPr>
          <w:rFonts w:eastAsia="Arial"/>
        </w:rPr>
        <w:t xml:space="preserve"> to indicate </w:t>
      </w:r>
      <w:r w:rsidR="007144A8">
        <w:rPr>
          <w:rFonts w:eastAsia="Arial"/>
        </w:rPr>
        <w:t>those recommendations that relate to:</w:t>
      </w:r>
    </w:p>
    <w:p w14:paraId="347F1FC9" w14:textId="2DB07995" w:rsidR="00475B32" w:rsidRPr="00741FEB" w:rsidRDefault="00AC4E6D" w:rsidP="00D16AEE">
      <w:pPr>
        <w:pStyle w:val="BoxBulletList"/>
        <w:rPr>
          <w:rFonts w:eastAsia="Arial"/>
        </w:rPr>
      </w:pPr>
      <w:r w:rsidRPr="00922FD4">
        <w:rPr>
          <w:rFonts w:eastAsia="Arial"/>
          <w:b/>
          <w:bCs/>
        </w:rPr>
        <w:t>changes</w:t>
      </w:r>
      <w:r w:rsidRPr="00741FEB">
        <w:rPr>
          <w:rFonts w:eastAsia="Arial"/>
        </w:rPr>
        <w:t xml:space="preserve"> </w:t>
      </w:r>
      <w:r w:rsidR="005670B8" w:rsidRPr="00741FEB">
        <w:rPr>
          <w:rFonts w:eastAsia="Arial"/>
        </w:rPr>
        <w:t>needed to meet NCPF principles</w:t>
      </w:r>
      <w:r w:rsidR="00D162F6">
        <w:rPr>
          <w:rFonts w:eastAsia="Arial"/>
        </w:rPr>
        <w:t xml:space="preserve"> (</w:t>
      </w:r>
      <w:r w:rsidR="00D162F6" w:rsidRPr="000570DE">
        <w:rPr>
          <w:rFonts w:ascii="Bauhaus 93" w:eastAsia="Arial" w:hAnsi="Bauhaus 93"/>
        </w:rPr>
        <w:t>C</w:t>
      </w:r>
      <w:r w:rsidR="00D162F6">
        <w:rPr>
          <w:rFonts w:eastAsia="Arial"/>
        </w:rPr>
        <w:t>)</w:t>
      </w:r>
      <w:r w:rsidR="001D18DC">
        <w:rPr>
          <w:rFonts w:eastAsia="Arial"/>
        </w:rPr>
        <w:t xml:space="preserve">, such as undertaking the feasibility study into the </w:t>
      </w:r>
      <w:r w:rsidR="00FE700A">
        <w:rPr>
          <w:rFonts w:eastAsia="Arial"/>
        </w:rPr>
        <w:t>multi-operator precommitment scheme</w:t>
      </w:r>
      <w:r w:rsidR="00A01677">
        <w:rPr>
          <w:rFonts w:eastAsia="Arial"/>
        </w:rPr>
        <w:t xml:space="preserve"> specified in the </w:t>
      </w:r>
      <w:r w:rsidR="00737C9C">
        <w:rPr>
          <w:rFonts w:eastAsia="Arial"/>
        </w:rPr>
        <w:t>National Policy Statement (</w:t>
      </w:r>
      <w:r w:rsidR="00A01677">
        <w:rPr>
          <w:rFonts w:eastAsia="Arial"/>
        </w:rPr>
        <w:t>NPS</w:t>
      </w:r>
      <w:r w:rsidR="00737C9C">
        <w:rPr>
          <w:rFonts w:eastAsia="Arial"/>
        </w:rPr>
        <w:t>)</w:t>
      </w:r>
      <w:r w:rsidR="002A3324">
        <w:rPr>
          <w:rFonts w:eastAsia="Arial"/>
        </w:rPr>
        <w:t xml:space="preserve"> (3</w:t>
      </w:r>
      <w:r w:rsidR="005C7485">
        <w:rPr>
          <w:rFonts w:eastAsia="Arial"/>
        </w:rPr>
        <w:t xml:space="preserve"> recommendations</w:t>
      </w:r>
      <w:r w:rsidR="002A3324">
        <w:rPr>
          <w:rFonts w:eastAsia="Arial"/>
        </w:rPr>
        <w:t>)</w:t>
      </w:r>
    </w:p>
    <w:p w14:paraId="65BA0B4B" w14:textId="66351D59" w:rsidR="005670B8" w:rsidRPr="00741FEB" w:rsidRDefault="00AC4E6D" w:rsidP="00D16AEE">
      <w:pPr>
        <w:pStyle w:val="BoxBulletList"/>
        <w:rPr>
          <w:rFonts w:eastAsia="Arial"/>
          <w:color w:val="005BA3" w:themeColor="accent4"/>
        </w:rPr>
      </w:pPr>
      <w:r w:rsidRPr="00922FD4">
        <w:rPr>
          <w:rFonts w:eastAsia="Arial"/>
          <w:b/>
          <w:bCs/>
          <w:color w:val="005BA3" w:themeColor="accent4"/>
        </w:rPr>
        <w:t>refinement</w:t>
      </w:r>
      <w:r w:rsidRPr="00741FEB">
        <w:rPr>
          <w:rFonts w:eastAsia="Arial"/>
          <w:color w:val="005BA3" w:themeColor="accent4"/>
        </w:rPr>
        <w:t xml:space="preserve"> </w:t>
      </w:r>
      <w:r w:rsidR="003D5A6E" w:rsidRPr="00741FEB">
        <w:rPr>
          <w:rFonts w:eastAsia="Arial"/>
          <w:color w:val="005BA3" w:themeColor="accent4"/>
        </w:rPr>
        <w:t>to measures</w:t>
      </w:r>
      <w:r w:rsidR="00FF09E1">
        <w:rPr>
          <w:rFonts w:eastAsia="Arial"/>
          <w:color w:val="005BA3" w:themeColor="accent4"/>
        </w:rPr>
        <w:t xml:space="preserve"> </w:t>
      </w:r>
      <w:r w:rsidR="00FF09E1" w:rsidRPr="00FF09E1">
        <w:rPr>
          <w:rFonts w:eastAsia="Arial"/>
          <w:color w:val="00437A" w:themeColor="accent4" w:themeShade="BF"/>
        </w:rPr>
        <w:t>(</w:t>
      </w:r>
      <w:r w:rsidR="00FF09E1" w:rsidRPr="00F94966">
        <w:rPr>
          <w:rFonts w:ascii="Bauhaus 93" w:eastAsia="Arial" w:hAnsi="Bauhaus 93"/>
          <w:color w:val="0070C0"/>
        </w:rPr>
        <w:t>R</w:t>
      </w:r>
      <w:r w:rsidR="00FF09E1" w:rsidRPr="00FF09E1">
        <w:rPr>
          <w:rFonts w:eastAsia="Arial"/>
          <w:color w:val="00437A" w:themeColor="accent4" w:themeShade="BF"/>
        </w:rPr>
        <w:t>)</w:t>
      </w:r>
      <w:r w:rsidR="00424547">
        <w:rPr>
          <w:rFonts w:eastAsia="Arial"/>
          <w:color w:val="005BA3" w:themeColor="accent4"/>
        </w:rPr>
        <w:t xml:space="preserve">, such </w:t>
      </w:r>
      <w:r w:rsidR="00BC7A48">
        <w:rPr>
          <w:rFonts w:eastAsia="Arial"/>
          <w:color w:val="005BA3" w:themeColor="accent4"/>
        </w:rPr>
        <w:t>as nationally consistent activity statements</w:t>
      </w:r>
      <w:r w:rsidR="00AD6396">
        <w:rPr>
          <w:rFonts w:eastAsia="Arial"/>
          <w:color w:val="005BA3" w:themeColor="accent4"/>
        </w:rPr>
        <w:t>,</w:t>
      </w:r>
      <w:r w:rsidR="003D5A6E" w:rsidRPr="00741FEB">
        <w:rPr>
          <w:rFonts w:eastAsia="Arial"/>
          <w:color w:val="005BA3" w:themeColor="accent4"/>
        </w:rPr>
        <w:t xml:space="preserve"> and supporting infrastructure within the current framework</w:t>
      </w:r>
      <w:r w:rsidR="00AD6396">
        <w:rPr>
          <w:rFonts w:eastAsia="Arial"/>
          <w:color w:val="005BA3" w:themeColor="accent4"/>
        </w:rPr>
        <w:t>, such</w:t>
      </w:r>
      <w:r>
        <w:rPr>
          <w:rFonts w:eastAsia="Arial"/>
          <w:color w:val="005BA3" w:themeColor="accent4"/>
        </w:rPr>
        <w:t xml:space="preserve"> as</w:t>
      </w:r>
      <w:r w:rsidR="00AD6396">
        <w:rPr>
          <w:rFonts w:eastAsia="Arial"/>
          <w:color w:val="005BA3" w:themeColor="accent4"/>
        </w:rPr>
        <w:t xml:space="preserve"> </w:t>
      </w:r>
      <w:r w:rsidR="00E356F1">
        <w:rPr>
          <w:rFonts w:eastAsia="Arial"/>
          <w:color w:val="005BA3" w:themeColor="accent4"/>
        </w:rPr>
        <w:t xml:space="preserve">regular, coordinated and </w:t>
      </w:r>
      <w:r w:rsidR="00A71939">
        <w:rPr>
          <w:rFonts w:eastAsia="Arial"/>
          <w:color w:val="005BA3" w:themeColor="accent4"/>
        </w:rPr>
        <w:t>proactive</w:t>
      </w:r>
      <w:r w:rsidR="00E356F1">
        <w:rPr>
          <w:rFonts w:eastAsia="Arial"/>
          <w:color w:val="005BA3" w:themeColor="accent4"/>
        </w:rPr>
        <w:t xml:space="preserve"> compliance </w:t>
      </w:r>
      <w:r w:rsidR="00A71939">
        <w:rPr>
          <w:rFonts w:eastAsia="Arial"/>
          <w:color w:val="005BA3" w:themeColor="accent4"/>
        </w:rPr>
        <w:t>activities</w:t>
      </w:r>
      <w:r w:rsidR="003022A3">
        <w:rPr>
          <w:rFonts w:eastAsia="Arial"/>
          <w:color w:val="005BA3" w:themeColor="accent4"/>
        </w:rPr>
        <w:t xml:space="preserve"> (1</w:t>
      </w:r>
      <w:r w:rsidR="00356227">
        <w:rPr>
          <w:rFonts w:eastAsia="Arial"/>
          <w:color w:val="005BA3" w:themeColor="accent4"/>
        </w:rPr>
        <w:t>3</w:t>
      </w:r>
      <w:r w:rsidR="005C7485">
        <w:rPr>
          <w:rFonts w:eastAsia="Arial"/>
          <w:color w:val="005BA3" w:themeColor="accent4"/>
        </w:rPr>
        <w:t xml:space="preserve"> recommendations</w:t>
      </w:r>
      <w:r w:rsidR="003022A3">
        <w:rPr>
          <w:rFonts w:eastAsia="Arial"/>
          <w:color w:val="005BA3" w:themeColor="accent4"/>
        </w:rPr>
        <w:t>)</w:t>
      </w:r>
    </w:p>
    <w:p w14:paraId="4BA98731" w14:textId="6C19FC23" w:rsidR="003D5A6E" w:rsidRPr="00741FEB" w:rsidRDefault="00AC4E6D" w:rsidP="00D16AEE">
      <w:pPr>
        <w:pStyle w:val="BoxBulletList"/>
        <w:rPr>
          <w:rFonts w:eastAsia="Arial"/>
          <w:color w:val="62136D" w:themeColor="accent2"/>
        </w:rPr>
      </w:pPr>
      <w:r w:rsidRPr="00922FD4">
        <w:rPr>
          <w:rFonts w:eastAsia="Arial"/>
          <w:b/>
          <w:bCs/>
          <w:color w:val="62136D" w:themeColor="accent2"/>
        </w:rPr>
        <w:t>new</w:t>
      </w:r>
      <w:r w:rsidRPr="00741FEB">
        <w:rPr>
          <w:rFonts w:eastAsia="Arial"/>
          <w:color w:val="62136D" w:themeColor="accent2"/>
        </w:rPr>
        <w:t xml:space="preserve"> </w:t>
      </w:r>
      <w:r w:rsidR="003D5A6E" w:rsidRPr="00741FEB">
        <w:rPr>
          <w:rFonts w:eastAsia="Arial"/>
          <w:color w:val="62136D" w:themeColor="accent2"/>
        </w:rPr>
        <w:t>policy</w:t>
      </w:r>
      <w:r w:rsidR="0066537F">
        <w:rPr>
          <w:rFonts w:eastAsia="Arial"/>
          <w:color w:val="62136D" w:themeColor="accent2"/>
        </w:rPr>
        <w:t xml:space="preserve"> </w:t>
      </w:r>
      <w:r w:rsidR="0066537F" w:rsidRPr="0066537F">
        <w:rPr>
          <w:rFonts w:eastAsia="Arial"/>
          <w:color w:val="7030A0"/>
        </w:rPr>
        <w:t>(</w:t>
      </w:r>
      <w:r w:rsidR="0066537F" w:rsidRPr="0066537F">
        <w:rPr>
          <w:rFonts w:ascii="Bauhaus 93" w:eastAsia="Arial" w:hAnsi="Bauhaus 93"/>
          <w:color w:val="7030A0"/>
        </w:rPr>
        <w:t>N</w:t>
      </w:r>
      <w:r w:rsidR="0066537F" w:rsidRPr="0066537F">
        <w:rPr>
          <w:rFonts w:eastAsia="Arial"/>
          <w:color w:val="7030A0"/>
        </w:rPr>
        <w:t>)</w:t>
      </w:r>
      <w:r w:rsidR="00AB7995">
        <w:rPr>
          <w:rFonts w:eastAsia="Arial"/>
          <w:color w:val="62136D" w:themeColor="accent2"/>
        </w:rPr>
        <w:t xml:space="preserve">, such as harmonising </w:t>
      </w:r>
      <w:r w:rsidR="00A01677">
        <w:rPr>
          <w:rFonts w:eastAsia="Arial"/>
          <w:color w:val="62136D" w:themeColor="accent2"/>
        </w:rPr>
        <w:t>penalty regimes</w:t>
      </w:r>
      <w:r w:rsidR="003022A3">
        <w:rPr>
          <w:rFonts w:eastAsia="Arial"/>
          <w:color w:val="62136D" w:themeColor="accent2"/>
        </w:rPr>
        <w:t xml:space="preserve"> (5</w:t>
      </w:r>
      <w:r w:rsidR="005C7485">
        <w:rPr>
          <w:rFonts w:eastAsia="Arial"/>
          <w:color w:val="62136D" w:themeColor="accent2"/>
        </w:rPr>
        <w:t xml:space="preserve"> recomm</w:t>
      </w:r>
      <w:r w:rsidR="00B8790B">
        <w:rPr>
          <w:rFonts w:eastAsia="Arial"/>
          <w:color w:val="62136D" w:themeColor="accent2"/>
        </w:rPr>
        <w:t>e</w:t>
      </w:r>
      <w:r w:rsidR="005C7485">
        <w:rPr>
          <w:rFonts w:eastAsia="Arial"/>
          <w:color w:val="62136D" w:themeColor="accent2"/>
        </w:rPr>
        <w:t>ndations</w:t>
      </w:r>
      <w:r w:rsidR="003022A3">
        <w:rPr>
          <w:rFonts w:eastAsia="Arial"/>
          <w:color w:val="62136D" w:themeColor="accent2"/>
        </w:rPr>
        <w:t>)</w:t>
      </w:r>
      <w:r>
        <w:rPr>
          <w:rFonts w:eastAsia="Arial"/>
          <w:color w:val="62136D" w:themeColor="accent2"/>
        </w:rPr>
        <w:t>.</w:t>
      </w:r>
    </w:p>
    <w:p w14:paraId="7FBC2508" w14:textId="2FBB2B04" w:rsidR="00FE069C" w:rsidRDefault="00CE5315" w:rsidP="00D16AEE">
      <w:pPr>
        <w:pStyle w:val="Heading3"/>
      </w:pPr>
      <w:bookmarkStart w:id="6" w:name="_Toc233643269"/>
      <w:r>
        <w:t>I</w:t>
      </w:r>
      <w:r w:rsidR="009927C1">
        <w:t>mplement</w:t>
      </w:r>
      <w:r>
        <w:t xml:space="preserve">ation </w:t>
      </w:r>
      <w:r w:rsidR="00184FB4">
        <w:t>and timeliness</w:t>
      </w:r>
      <w:bookmarkEnd w:id="6"/>
    </w:p>
    <w:p w14:paraId="34D9C95A" w14:textId="2E20A000" w:rsidR="001E4F30" w:rsidRPr="00BC4A77" w:rsidRDefault="001E4F30" w:rsidP="00D16AEE">
      <w:pPr>
        <w:pStyle w:val="Heading4"/>
      </w:pPr>
      <w:r w:rsidRPr="00BC4A77">
        <w:t xml:space="preserve">Key </w:t>
      </w:r>
      <w:r w:rsidR="000F373D" w:rsidRPr="00BC4A77">
        <w:t>f</w:t>
      </w:r>
      <w:r w:rsidRPr="00BC4A77">
        <w:t>indings</w:t>
      </w:r>
    </w:p>
    <w:p w14:paraId="3D3B7EAE" w14:textId="5C82C2C3" w:rsidR="00B32E11" w:rsidRDefault="00B32E11" w:rsidP="00D16AEE">
      <w:pPr>
        <w:pStyle w:val="ListBullet"/>
        <w:rPr>
          <w:rFonts w:eastAsia="Arial"/>
        </w:rPr>
      </w:pPr>
      <w:r>
        <w:rPr>
          <w:rFonts w:eastAsia="Arial"/>
        </w:rPr>
        <w:t>The 10 NCPF measures were all implemented</w:t>
      </w:r>
      <w:r w:rsidR="0084192B">
        <w:rPr>
          <w:rFonts w:eastAsia="Arial"/>
        </w:rPr>
        <w:t xml:space="preserve"> </w:t>
      </w:r>
      <w:r w:rsidR="005D3900">
        <w:rPr>
          <w:rFonts w:eastAsia="Arial"/>
        </w:rPr>
        <w:t>between</w:t>
      </w:r>
      <w:r w:rsidR="0084192B">
        <w:rPr>
          <w:rFonts w:eastAsia="Arial"/>
        </w:rPr>
        <w:t xml:space="preserve"> </w:t>
      </w:r>
      <w:r>
        <w:rPr>
          <w:rFonts w:eastAsia="Arial"/>
        </w:rPr>
        <w:t>February 2018 (pre-</w:t>
      </w:r>
      <w:r w:rsidR="000E3E8D">
        <w:rPr>
          <w:rFonts w:eastAsia="Arial"/>
        </w:rPr>
        <w:t>NPS</w:t>
      </w:r>
      <w:r>
        <w:rPr>
          <w:rFonts w:eastAsia="Arial"/>
        </w:rPr>
        <w:t xml:space="preserve">) </w:t>
      </w:r>
      <w:r w:rsidR="005D3900">
        <w:rPr>
          <w:rFonts w:eastAsia="Arial"/>
        </w:rPr>
        <w:t xml:space="preserve">and </w:t>
      </w:r>
      <w:r>
        <w:rPr>
          <w:rFonts w:eastAsia="Arial"/>
        </w:rPr>
        <w:t xml:space="preserve">September 2024, </w:t>
      </w:r>
      <w:r w:rsidR="008C0847">
        <w:rPr>
          <w:rFonts w:eastAsia="Arial"/>
        </w:rPr>
        <w:t xml:space="preserve">significantly </w:t>
      </w:r>
      <w:r>
        <w:rPr>
          <w:rFonts w:eastAsia="Arial"/>
        </w:rPr>
        <w:t>longer than the expected 18-month implement</w:t>
      </w:r>
      <w:r w:rsidR="00BB4C00">
        <w:rPr>
          <w:rFonts w:eastAsia="Arial"/>
        </w:rPr>
        <w:t>ation</w:t>
      </w:r>
      <w:r>
        <w:rPr>
          <w:rFonts w:eastAsia="Arial"/>
        </w:rPr>
        <w:t xml:space="preserve"> period stated in the NPS. </w:t>
      </w:r>
    </w:p>
    <w:p w14:paraId="2E77B6DF" w14:textId="56F42684" w:rsidR="00B32E11" w:rsidRPr="00843A16" w:rsidRDefault="00B32E11" w:rsidP="00D16AEE">
      <w:pPr>
        <w:pStyle w:val="ListBullet"/>
        <w:rPr>
          <w:rFonts w:eastAsiaTheme="minorEastAsia"/>
        </w:rPr>
      </w:pPr>
      <w:r>
        <w:rPr>
          <w:rFonts w:eastAsiaTheme="minorEastAsia"/>
        </w:rPr>
        <w:t xml:space="preserve">A feasibility study into </w:t>
      </w:r>
      <w:r>
        <w:rPr>
          <w:rFonts w:eastAsia="Arial"/>
        </w:rPr>
        <w:t xml:space="preserve">a </w:t>
      </w:r>
      <w:r w:rsidRPr="00843A16">
        <w:rPr>
          <w:rFonts w:eastAsia="Arial"/>
        </w:rPr>
        <w:t>centralised pre-commitment scheme</w:t>
      </w:r>
      <w:r>
        <w:rPr>
          <w:rFonts w:eastAsia="Arial"/>
        </w:rPr>
        <w:t xml:space="preserve"> (across operators) was supposed to be </w:t>
      </w:r>
      <w:r w:rsidR="009D1EC1">
        <w:rPr>
          <w:rFonts w:eastAsia="Arial"/>
        </w:rPr>
        <w:t xml:space="preserve">commissioned by </w:t>
      </w:r>
      <w:r w:rsidR="00737C9C">
        <w:rPr>
          <w:rFonts w:eastAsia="Arial"/>
        </w:rPr>
        <w:t xml:space="preserve">the </w:t>
      </w:r>
      <w:r w:rsidR="009D1EC1">
        <w:rPr>
          <w:rFonts w:eastAsia="Arial"/>
        </w:rPr>
        <w:t>DSS</w:t>
      </w:r>
      <w:r>
        <w:rPr>
          <w:rFonts w:eastAsia="Arial"/>
        </w:rPr>
        <w:t xml:space="preserve"> </w:t>
      </w:r>
      <w:r w:rsidR="008E590B">
        <w:rPr>
          <w:rFonts w:eastAsia="Arial"/>
        </w:rPr>
        <w:t>but remains</w:t>
      </w:r>
      <w:r>
        <w:rPr>
          <w:rFonts w:eastAsia="Arial"/>
        </w:rPr>
        <w:t xml:space="preserve"> outstanding</w:t>
      </w:r>
      <w:r w:rsidRPr="00843A16">
        <w:rPr>
          <w:rFonts w:eastAsia="Arial"/>
        </w:rPr>
        <w:t xml:space="preserve">. </w:t>
      </w:r>
    </w:p>
    <w:p w14:paraId="41AF64CD" w14:textId="1F768B08" w:rsidR="00B32E11" w:rsidRPr="00A261D8" w:rsidRDefault="00D364D2" w:rsidP="00D16AEE">
      <w:pPr>
        <w:pStyle w:val="ListBullet"/>
        <w:rPr>
          <w:rFonts w:eastAsia="Arial"/>
        </w:rPr>
      </w:pPr>
      <w:r>
        <w:rPr>
          <w:rFonts w:eastAsia="Arial"/>
        </w:rPr>
        <w:t>I</w:t>
      </w:r>
      <w:r w:rsidR="00B117DF" w:rsidRPr="00A261D8">
        <w:rPr>
          <w:rFonts w:eastAsia="Arial"/>
        </w:rPr>
        <w:t>mplementation d</w:t>
      </w:r>
      <w:r w:rsidR="00B32E11" w:rsidRPr="00A261D8">
        <w:rPr>
          <w:rFonts w:eastAsia="Arial"/>
        </w:rPr>
        <w:t xml:space="preserve">elays </w:t>
      </w:r>
      <w:r w:rsidR="00F61541">
        <w:rPr>
          <w:rFonts w:eastAsia="Arial"/>
        </w:rPr>
        <w:t>across the 10 NCPF measures</w:t>
      </w:r>
      <w:r w:rsidR="00B32E11" w:rsidRPr="00A261D8">
        <w:rPr>
          <w:rFonts w:eastAsia="Arial"/>
        </w:rPr>
        <w:t xml:space="preserve"> were due to </w:t>
      </w:r>
      <w:r w:rsidR="002B64DB">
        <w:rPr>
          <w:rFonts w:eastAsia="Arial"/>
        </w:rPr>
        <w:t>the</w:t>
      </w:r>
      <w:r w:rsidR="004F0684">
        <w:rPr>
          <w:rFonts w:eastAsia="Arial"/>
        </w:rPr>
        <w:t xml:space="preserve"> complexity in</w:t>
      </w:r>
      <w:r w:rsidR="002B64DB">
        <w:rPr>
          <w:rFonts w:eastAsia="Arial"/>
        </w:rPr>
        <w:t xml:space="preserve"> </w:t>
      </w:r>
      <w:r w:rsidR="00B1034C">
        <w:rPr>
          <w:rFonts w:eastAsia="Arial"/>
        </w:rPr>
        <w:t xml:space="preserve">technical </w:t>
      </w:r>
      <w:r w:rsidR="00986F4C">
        <w:rPr>
          <w:rFonts w:eastAsia="Arial"/>
        </w:rPr>
        <w:t xml:space="preserve">design </w:t>
      </w:r>
      <w:r w:rsidR="00DD72EA">
        <w:rPr>
          <w:rFonts w:eastAsia="Arial"/>
        </w:rPr>
        <w:t xml:space="preserve">of some of the measures, </w:t>
      </w:r>
      <w:r w:rsidR="00B32E11" w:rsidRPr="00A261D8">
        <w:rPr>
          <w:rFonts w:eastAsia="Arial"/>
        </w:rPr>
        <w:t xml:space="preserve">COVID-19 disruptions, </w:t>
      </w:r>
      <w:r w:rsidR="004C1140" w:rsidRPr="00A261D8">
        <w:rPr>
          <w:rFonts w:eastAsia="Arial"/>
        </w:rPr>
        <w:t xml:space="preserve">the </w:t>
      </w:r>
      <w:r w:rsidR="00AC402E" w:rsidRPr="00A261D8">
        <w:rPr>
          <w:rFonts w:eastAsia="Arial"/>
        </w:rPr>
        <w:t>need</w:t>
      </w:r>
      <w:r w:rsidR="004C1140" w:rsidRPr="00A261D8">
        <w:rPr>
          <w:rFonts w:eastAsia="Arial"/>
        </w:rPr>
        <w:t xml:space="preserve"> for </w:t>
      </w:r>
      <w:r w:rsidR="00B32E11" w:rsidRPr="00A261D8">
        <w:rPr>
          <w:rFonts w:eastAsia="Arial"/>
        </w:rPr>
        <w:t xml:space="preserve">legislative changes across jurisdictions and the former provider for </w:t>
      </w:r>
      <w:r w:rsidR="00A04272">
        <w:t>t</w:t>
      </w:r>
      <w:r w:rsidR="00A04272" w:rsidRPr="00843A16">
        <w:t xml:space="preserve">he National Self Exclusion Register </w:t>
      </w:r>
      <w:r w:rsidR="00A04272">
        <w:t>(</w:t>
      </w:r>
      <w:r w:rsidR="0042591D" w:rsidRPr="00A261D8">
        <w:rPr>
          <w:rFonts w:eastAsia="Arial"/>
        </w:rPr>
        <w:t>NSER</w:t>
      </w:r>
      <w:r w:rsidR="00A04272">
        <w:rPr>
          <w:rFonts w:eastAsia="Arial"/>
        </w:rPr>
        <w:t>)</w:t>
      </w:r>
      <w:r w:rsidR="00B32E11" w:rsidRPr="00A261D8">
        <w:rPr>
          <w:rFonts w:eastAsia="Arial"/>
        </w:rPr>
        <w:t xml:space="preserve"> going into voluntary administration.</w:t>
      </w:r>
      <w:r w:rsidR="00400058">
        <w:rPr>
          <w:rFonts w:eastAsia="Arial"/>
        </w:rPr>
        <w:t xml:space="preserve"> </w:t>
      </w:r>
    </w:p>
    <w:p w14:paraId="1CF867B1" w14:textId="791EF02A" w:rsidR="00EA705D" w:rsidRPr="00E60E12" w:rsidRDefault="00B32E11" w:rsidP="00D16AEE">
      <w:pPr>
        <w:pStyle w:val="ListBullet"/>
        <w:rPr>
          <w:rFonts w:eastAsia="Arial"/>
        </w:rPr>
      </w:pPr>
      <w:r>
        <w:t xml:space="preserve">Only the Australian Government measures </w:t>
      </w:r>
      <w:r w:rsidR="00513339">
        <w:t xml:space="preserve">had formal </w:t>
      </w:r>
      <w:r w:rsidR="003F5210">
        <w:t xml:space="preserve">embedded </w:t>
      </w:r>
      <w:r w:rsidR="00513339">
        <w:t>review mechanisms</w:t>
      </w:r>
      <w:r w:rsidR="00AB628E">
        <w:t xml:space="preserve">, </w:t>
      </w:r>
      <w:r w:rsidR="00E74D67">
        <w:t>outside</w:t>
      </w:r>
      <w:r w:rsidR="00AB628E">
        <w:t xml:space="preserve"> the NCPF evaluation</w:t>
      </w:r>
      <w:r w:rsidR="004D336E">
        <w:t xml:space="preserve">. </w:t>
      </w:r>
      <w:r w:rsidR="00EA705D" w:rsidRPr="00EA705D">
        <w:t>Some jurisdictions nevertheless undertook reviews and refinements of specific measures.</w:t>
      </w:r>
    </w:p>
    <w:p w14:paraId="3764A92C" w14:textId="718A5DE5" w:rsidR="00656AB3" w:rsidRPr="004C221A" w:rsidRDefault="00656AB3" w:rsidP="00D16AEE">
      <w:pPr>
        <w:pStyle w:val="ListBullet"/>
        <w:rPr>
          <w:rFonts w:eastAsia="Arial"/>
        </w:rPr>
      </w:pPr>
      <w:r w:rsidRPr="00656AB3">
        <w:t>Delays in implementing the full set of NCPF measures led to delays in their evaluation, which</w:t>
      </w:r>
      <w:r w:rsidR="00A04272">
        <w:t>,</w:t>
      </w:r>
      <w:r w:rsidRPr="00656AB3">
        <w:t xml:space="preserve"> in turn</w:t>
      </w:r>
      <w:r w:rsidR="00A04272">
        <w:t>,</w:t>
      </w:r>
      <w:r w:rsidRPr="00656AB3">
        <w:t xml:space="preserve"> deferred opportunities to refine them. The </w:t>
      </w:r>
      <w:r w:rsidR="00A04272">
        <w:t>NPS</w:t>
      </w:r>
      <w:r w:rsidRPr="00656AB3">
        <w:t xml:space="preserve"> lacked a mechanism to adjust the evaluation’s timing or scope, reducing flexibility to support decision</w:t>
      </w:r>
      <w:r w:rsidR="00A04272">
        <w:t xml:space="preserve"> </w:t>
      </w:r>
      <w:r w:rsidRPr="00656AB3">
        <w:t>making.</w:t>
      </w:r>
    </w:p>
    <w:p w14:paraId="305900FB" w14:textId="1A6618A8" w:rsidR="00E7142B" w:rsidRDefault="00D577A9" w:rsidP="00D16AEE">
      <w:pPr>
        <w:pStyle w:val="Heading3"/>
      </w:pPr>
      <w:bookmarkStart w:id="7" w:name="_Toc233643270"/>
      <w:r w:rsidRPr="00D577A9">
        <w:t xml:space="preserve">Promotion, </w:t>
      </w:r>
      <w:r w:rsidR="001546ED">
        <w:t xml:space="preserve">education, </w:t>
      </w:r>
      <w:r w:rsidRPr="00D577A9">
        <w:t>awareness and uptake</w:t>
      </w:r>
      <w:bookmarkEnd w:id="7"/>
    </w:p>
    <w:p w14:paraId="2A696F3F" w14:textId="77777777" w:rsidR="00B32E11" w:rsidRPr="00843A16" w:rsidRDefault="00B32E11" w:rsidP="00D16AEE">
      <w:pPr>
        <w:pStyle w:val="Heading4"/>
      </w:pPr>
      <w:r w:rsidRPr="00843A16">
        <w:t>Key findings</w:t>
      </w:r>
    </w:p>
    <w:p w14:paraId="486CB4B2" w14:textId="6FFE7AC5" w:rsidR="00891737" w:rsidRDefault="00B32E11" w:rsidP="00D16AEE">
      <w:pPr>
        <w:pStyle w:val="ListBullet"/>
        <w:rPr>
          <w:rFonts w:eastAsia="Arial"/>
        </w:rPr>
      </w:pPr>
      <w:r>
        <w:rPr>
          <w:rFonts w:eastAsia="Arial"/>
        </w:rPr>
        <w:t>Promotion and education of the NCPF measures by government</w:t>
      </w:r>
      <w:r w:rsidR="006D2002">
        <w:rPr>
          <w:rFonts w:eastAsia="Arial"/>
        </w:rPr>
        <w:t>s</w:t>
      </w:r>
      <w:r>
        <w:rPr>
          <w:rFonts w:eastAsia="Arial"/>
        </w:rPr>
        <w:t xml:space="preserve"> and W</w:t>
      </w:r>
      <w:r w:rsidR="00A10E60">
        <w:rPr>
          <w:rFonts w:eastAsia="Arial"/>
        </w:rPr>
        <w:t xml:space="preserve">agering </w:t>
      </w:r>
      <w:r>
        <w:rPr>
          <w:rFonts w:eastAsia="Arial"/>
        </w:rPr>
        <w:t>S</w:t>
      </w:r>
      <w:r w:rsidR="00A10E60">
        <w:rPr>
          <w:rFonts w:eastAsia="Arial"/>
        </w:rPr>
        <w:t xml:space="preserve">ervice </w:t>
      </w:r>
      <w:r>
        <w:rPr>
          <w:rFonts w:eastAsia="Arial"/>
        </w:rPr>
        <w:t>P</w:t>
      </w:r>
      <w:r w:rsidR="00A10E60">
        <w:rPr>
          <w:rFonts w:eastAsia="Arial"/>
        </w:rPr>
        <w:t>rovider</w:t>
      </w:r>
      <w:r>
        <w:rPr>
          <w:rFonts w:eastAsia="Arial"/>
        </w:rPr>
        <w:t xml:space="preserve">s </w:t>
      </w:r>
      <w:r w:rsidR="00B667E0">
        <w:rPr>
          <w:rFonts w:eastAsia="Arial"/>
        </w:rPr>
        <w:t xml:space="preserve">(WSPs) </w:t>
      </w:r>
      <w:r w:rsidR="003D7FDC">
        <w:rPr>
          <w:rFonts w:eastAsia="Arial"/>
        </w:rPr>
        <w:t xml:space="preserve">have </w:t>
      </w:r>
      <w:r>
        <w:rPr>
          <w:rFonts w:eastAsia="Arial"/>
        </w:rPr>
        <w:t xml:space="preserve">been limited. Awareness of the measures is generally low, especially for measures that WSPs </w:t>
      </w:r>
      <w:r w:rsidR="007F1731">
        <w:rPr>
          <w:rFonts w:eastAsia="Arial"/>
        </w:rPr>
        <w:t>are not required</w:t>
      </w:r>
      <w:r>
        <w:rPr>
          <w:rFonts w:eastAsia="Arial"/>
        </w:rPr>
        <w:t xml:space="preserve"> to </w:t>
      </w:r>
      <w:r w:rsidR="007F1731">
        <w:rPr>
          <w:rFonts w:eastAsia="Arial"/>
        </w:rPr>
        <w:t>actively</w:t>
      </w:r>
      <w:r>
        <w:rPr>
          <w:rFonts w:eastAsia="Arial"/>
        </w:rPr>
        <w:t xml:space="preserve"> promote </w:t>
      </w:r>
      <w:r w:rsidR="009832B4">
        <w:rPr>
          <w:rFonts w:eastAsia="Arial"/>
        </w:rPr>
        <w:t>under</w:t>
      </w:r>
      <w:r>
        <w:rPr>
          <w:rFonts w:eastAsia="Arial"/>
        </w:rPr>
        <w:t xml:space="preserve"> the </w:t>
      </w:r>
      <w:r w:rsidR="00A04272">
        <w:rPr>
          <w:rFonts w:eastAsia="Arial"/>
        </w:rPr>
        <w:t>framework</w:t>
      </w:r>
      <w:r>
        <w:rPr>
          <w:rFonts w:eastAsia="Arial"/>
        </w:rPr>
        <w:t xml:space="preserve">. </w:t>
      </w:r>
    </w:p>
    <w:p w14:paraId="29DD7A83" w14:textId="2DA4A8C9" w:rsidR="00B32E11" w:rsidRDefault="00592D05" w:rsidP="00D16AEE">
      <w:pPr>
        <w:pStyle w:val="ListBullet"/>
        <w:rPr>
          <w:rFonts w:eastAsia="Arial"/>
        </w:rPr>
      </w:pPr>
      <w:r>
        <w:rPr>
          <w:rFonts w:eastAsia="Arial"/>
        </w:rPr>
        <w:t>There is low u</w:t>
      </w:r>
      <w:r w:rsidR="00B32E11">
        <w:rPr>
          <w:rFonts w:eastAsia="Arial"/>
        </w:rPr>
        <w:t xml:space="preserve">ptake </w:t>
      </w:r>
      <w:r w:rsidR="00E73CB2">
        <w:rPr>
          <w:rFonts w:eastAsia="Arial"/>
        </w:rPr>
        <w:t xml:space="preserve">of </w:t>
      </w:r>
      <w:r w:rsidR="0055625B">
        <w:rPr>
          <w:rFonts w:eastAsia="Arial"/>
        </w:rPr>
        <w:t xml:space="preserve">measures that require </w:t>
      </w:r>
      <w:r w:rsidR="00C77284">
        <w:rPr>
          <w:rFonts w:eastAsia="Arial"/>
        </w:rPr>
        <w:t>customer activation (</w:t>
      </w:r>
      <w:r w:rsidR="00A04272">
        <w:rPr>
          <w:rFonts w:eastAsia="Arial"/>
        </w:rPr>
        <w:t xml:space="preserve">e.g. </w:t>
      </w:r>
      <w:r w:rsidR="00C77284">
        <w:rPr>
          <w:rFonts w:eastAsia="Arial"/>
        </w:rPr>
        <w:t>deposit limits</w:t>
      </w:r>
      <w:r w:rsidR="00030689">
        <w:rPr>
          <w:rFonts w:eastAsia="Arial"/>
        </w:rPr>
        <w:t xml:space="preserve">, account closure and </w:t>
      </w:r>
      <w:r w:rsidR="00D242C2">
        <w:rPr>
          <w:rFonts w:eastAsia="Arial"/>
        </w:rPr>
        <w:t>NSER</w:t>
      </w:r>
      <w:r w:rsidR="00030689">
        <w:rPr>
          <w:rFonts w:eastAsia="Arial"/>
        </w:rPr>
        <w:t xml:space="preserve"> registration</w:t>
      </w:r>
      <w:r w:rsidR="00C77284">
        <w:rPr>
          <w:rFonts w:eastAsia="Arial"/>
        </w:rPr>
        <w:t>)</w:t>
      </w:r>
      <w:r w:rsidR="00405AA5">
        <w:rPr>
          <w:rFonts w:eastAsia="Arial"/>
        </w:rPr>
        <w:t xml:space="preserve">. Use of activity statements that require </w:t>
      </w:r>
      <w:r w:rsidR="00C77284">
        <w:rPr>
          <w:rFonts w:eastAsia="Arial"/>
        </w:rPr>
        <w:t xml:space="preserve">customer engagement </w:t>
      </w:r>
      <w:r w:rsidR="00405AA5">
        <w:rPr>
          <w:rFonts w:eastAsia="Arial"/>
        </w:rPr>
        <w:t>is also low.</w:t>
      </w:r>
      <w:r w:rsidR="00B32E11">
        <w:rPr>
          <w:rFonts w:eastAsia="Arial"/>
        </w:rPr>
        <w:t xml:space="preserve"> </w:t>
      </w:r>
    </w:p>
    <w:p w14:paraId="6F798878" w14:textId="146DFA8B" w:rsidR="008F1023" w:rsidRPr="008F1023" w:rsidRDefault="008F1023" w:rsidP="00D16AEE">
      <w:pPr>
        <w:pStyle w:val="ListBullet"/>
        <w:rPr>
          <w:rFonts w:eastAsia="Arial"/>
        </w:rPr>
      </w:pPr>
      <w:r>
        <w:rPr>
          <w:rFonts w:eastAsia="Arial"/>
        </w:rPr>
        <w:t xml:space="preserve">There is agreement from WSPs, consumers and a </w:t>
      </w:r>
      <w:r w:rsidR="002B5615">
        <w:rPr>
          <w:rFonts w:eastAsia="Arial"/>
        </w:rPr>
        <w:t xml:space="preserve">key </w:t>
      </w:r>
      <w:r>
        <w:rPr>
          <w:rFonts w:eastAsia="Arial"/>
        </w:rPr>
        <w:t>harm advocacy body about the need for more promotion and education of the measures.</w:t>
      </w:r>
    </w:p>
    <w:p w14:paraId="17ADE076" w14:textId="77777777" w:rsidR="005013C1" w:rsidRDefault="005013C1">
      <w:pPr>
        <w:suppressAutoHyphens w:val="0"/>
        <w:spacing w:before="0" w:line="240" w:lineRule="auto"/>
        <w:jc w:val="left"/>
        <w:rPr>
          <w:rFonts w:eastAsia="Arial"/>
          <w:b/>
          <w:color w:val="auto"/>
          <w:lang w:bidi="en-US"/>
        </w:rPr>
      </w:pPr>
      <w:r>
        <w:rPr>
          <w:rFonts w:eastAsia="Arial"/>
          <w:b/>
          <w:color w:val="auto"/>
        </w:rPr>
        <w:br w:type="page"/>
      </w:r>
    </w:p>
    <w:p w14:paraId="29691D1D" w14:textId="2F53B0CB" w:rsidR="00A04272" w:rsidRPr="00D16AEE" w:rsidRDefault="00A04272" w:rsidP="00F359A3">
      <w:pPr>
        <w:pStyle w:val="BoxText"/>
        <w:shd w:val="clear" w:color="auto" w:fill="F2F2F2" w:themeFill="background1" w:themeFillShade="F2"/>
        <w:rPr>
          <w:rFonts w:eastAsia="Arial"/>
          <w:b/>
          <w:color w:val="auto"/>
        </w:rPr>
      </w:pPr>
      <w:r w:rsidRPr="00D16AEE">
        <w:rPr>
          <w:rFonts w:eastAsia="Arial"/>
          <w:b/>
          <w:color w:val="auto"/>
        </w:rPr>
        <w:lastRenderedPageBreak/>
        <w:t>Recommendations</w:t>
      </w:r>
    </w:p>
    <w:p w14:paraId="2CC74D4D" w14:textId="0D05E66E" w:rsidR="00B32E11" w:rsidRPr="00741FEB" w:rsidRDefault="00B32E11" w:rsidP="00F359A3">
      <w:pPr>
        <w:pStyle w:val="BoxText"/>
        <w:shd w:val="clear" w:color="auto" w:fill="F2F2F2" w:themeFill="background1" w:themeFillShade="F2"/>
        <w:rPr>
          <w:rFonts w:eastAsia="Arial"/>
          <w:color w:val="005BA3" w:themeColor="accent4"/>
        </w:rPr>
      </w:pPr>
      <w:r w:rsidRPr="00741FEB">
        <w:rPr>
          <w:rFonts w:eastAsia="Arial"/>
          <w:b/>
          <w:color w:val="005BA3" w:themeColor="accent4"/>
        </w:rPr>
        <w:t>Recommendation 1a:</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F09E1">
        <w:rPr>
          <w:rFonts w:eastAsia="Arial"/>
          <w:color w:val="00437A" w:themeColor="accent4" w:themeShade="BF"/>
        </w:rPr>
        <w:t xml:space="preserve"> </w:t>
      </w:r>
      <w:r w:rsidR="00721E65" w:rsidRPr="00741FEB">
        <w:rPr>
          <w:rFonts w:eastAsia="Arial"/>
          <w:color w:val="005BA3" w:themeColor="accent4"/>
        </w:rPr>
        <w:t>R</w:t>
      </w:r>
      <w:r w:rsidRPr="00741FEB">
        <w:rPr>
          <w:rFonts w:eastAsia="Arial"/>
          <w:color w:val="005BA3" w:themeColor="accent4"/>
        </w:rPr>
        <w:t>egular whole-of-community awareness campaigns</w:t>
      </w:r>
      <w:r w:rsidR="0058318C" w:rsidRPr="00741FEB">
        <w:rPr>
          <w:rFonts w:eastAsia="Arial"/>
          <w:color w:val="005BA3" w:themeColor="accent4"/>
        </w:rPr>
        <w:t xml:space="preserve"> should be </w:t>
      </w:r>
      <w:r w:rsidR="003217F7">
        <w:rPr>
          <w:rFonts w:eastAsia="Arial"/>
          <w:color w:val="005BA3" w:themeColor="accent4"/>
        </w:rPr>
        <w:t>conducted</w:t>
      </w:r>
      <w:r w:rsidR="0058318C" w:rsidRPr="00741FEB">
        <w:rPr>
          <w:rFonts w:eastAsia="Arial"/>
          <w:color w:val="005BA3" w:themeColor="accent4"/>
        </w:rPr>
        <w:t xml:space="preserve"> </w:t>
      </w:r>
      <w:r w:rsidR="0044742A">
        <w:rPr>
          <w:rFonts w:eastAsia="Arial"/>
          <w:color w:val="005BA3" w:themeColor="accent4"/>
        </w:rPr>
        <w:t>to</w:t>
      </w:r>
      <w:r w:rsidR="0044742A" w:rsidRPr="00741FEB">
        <w:rPr>
          <w:color w:val="005BA3" w:themeColor="accent4"/>
        </w:rPr>
        <w:t xml:space="preserve"> </w:t>
      </w:r>
      <w:r w:rsidRPr="00741FEB">
        <w:rPr>
          <w:color w:val="005BA3" w:themeColor="accent4"/>
        </w:rPr>
        <w:t>promot</w:t>
      </w:r>
      <w:r w:rsidRPr="00741FEB" w:rsidDel="00365FFC">
        <w:rPr>
          <w:color w:val="005BA3" w:themeColor="accent4"/>
        </w:rPr>
        <w:t>e</w:t>
      </w:r>
      <w:r w:rsidR="00407D48" w:rsidRPr="00741FEB">
        <w:rPr>
          <w:color w:val="005BA3" w:themeColor="accent4"/>
        </w:rPr>
        <w:t xml:space="preserve"> </w:t>
      </w:r>
      <w:r w:rsidRPr="00741FEB">
        <w:rPr>
          <w:color w:val="005BA3" w:themeColor="accent4"/>
        </w:rPr>
        <w:t>the NCPF</w:t>
      </w:r>
      <w:r w:rsidR="005474C6" w:rsidRPr="00741FEB">
        <w:rPr>
          <w:color w:val="005BA3" w:themeColor="accent4"/>
        </w:rPr>
        <w:t xml:space="preserve">, with supplementary campaigns </w:t>
      </w:r>
      <w:r w:rsidR="00310C12" w:rsidRPr="00741FEB">
        <w:rPr>
          <w:color w:val="005BA3" w:themeColor="accent4"/>
        </w:rPr>
        <w:t>target</w:t>
      </w:r>
      <w:r w:rsidR="00555B98" w:rsidRPr="00741FEB">
        <w:rPr>
          <w:color w:val="005BA3" w:themeColor="accent4"/>
        </w:rPr>
        <w:t xml:space="preserve">ed towards </w:t>
      </w:r>
      <w:r w:rsidR="00310C12" w:rsidRPr="00741FEB">
        <w:rPr>
          <w:color w:val="005BA3" w:themeColor="accent4"/>
        </w:rPr>
        <w:t>high-risk consumers</w:t>
      </w:r>
      <w:r w:rsidR="0036094A" w:rsidRPr="00741FEB" w:rsidDel="00BC4C8F">
        <w:rPr>
          <w:color w:val="005BA3" w:themeColor="accent4"/>
        </w:rPr>
        <w:t xml:space="preserve"> </w:t>
      </w:r>
      <w:r w:rsidR="007160D8" w:rsidRPr="00741FEB" w:rsidDel="00BC4C8F">
        <w:rPr>
          <w:color w:val="005BA3" w:themeColor="accent4"/>
        </w:rPr>
        <w:t xml:space="preserve">explaining </w:t>
      </w:r>
      <w:r w:rsidR="00903A0F" w:rsidRPr="00741FEB" w:rsidDel="00BC4C8F">
        <w:rPr>
          <w:color w:val="005BA3" w:themeColor="accent4"/>
        </w:rPr>
        <w:t xml:space="preserve">how consumers can activate and engage with </w:t>
      </w:r>
      <w:r w:rsidR="005A4F14" w:rsidRPr="00741FEB" w:rsidDel="00BC4C8F">
        <w:rPr>
          <w:color w:val="005BA3" w:themeColor="accent4"/>
        </w:rPr>
        <w:t>measures</w:t>
      </w:r>
      <w:r w:rsidR="003A6302" w:rsidRPr="00741FEB">
        <w:rPr>
          <w:color w:val="005BA3" w:themeColor="accent4"/>
        </w:rPr>
        <w:t xml:space="preserve">. </w:t>
      </w:r>
    </w:p>
    <w:p w14:paraId="74ED60EE" w14:textId="7E963123" w:rsidR="00B32E11" w:rsidRPr="00741FEB" w:rsidRDefault="00B32E11" w:rsidP="00F359A3">
      <w:pPr>
        <w:pStyle w:val="BoxText"/>
        <w:shd w:val="clear" w:color="auto" w:fill="F2F2F2" w:themeFill="background1" w:themeFillShade="F2"/>
        <w:rPr>
          <w:rFonts w:eastAsia="Arial"/>
          <w:color w:val="005BA3" w:themeColor="accent4"/>
        </w:rPr>
      </w:pPr>
      <w:r w:rsidRPr="00741FEB">
        <w:rPr>
          <w:rFonts w:eastAsia="Arial"/>
          <w:b/>
          <w:color w:val="005BA3" w:themeColor="accent4"/>
        </w:rPr>
        <w:t xml:space="preserve">Recommendation 1b: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00BC4C8F" w:rsidRPr="00741FEB">
        <w:rPr>
          <w:rFonts w:eastAsia="Arial"/>
          <w:color w:val="005BA3" w:themeColor="accent4"/>
        </w:rPr>
        <w:t>R</w:t>
      </w:r>
      <w:r w:rsidRPr="00741FEB">
        <w:rPr>
          <w:rFonts w:eastAsia="Arial"/>
          <w:color w:val="005BA3" w:themeColor="accent4"/>
        </w:rPr>
        <w:t xml:space="preserve">egular education campaigns </w:t>
      </w:r>
      <w:r w:rsidR="00BC4C8F" w:rsidRPr="00741FEB">
        <w:rPr>
          <w:rFonts w:eastAsia="Arial"/>
          <w:color w:val="005BA3" w:themeColor="accent4"/>
        </w:rPr>
        <w:t xml:space="preserve">should be </w:t>
      </w:r>
      <w:r w:rsidR="003217F7">
        <w:rPr>
          <w:rFonts w:eastAsia="Arial"/>
          <w:color w:val="005BA3" w:themeColor="accent4"/>
        </w:rPr>
        <w:t>conducted</w:t>
      </w:r>
      <w:r w:rsidR="00BC4C8F" w:rsidRPr="00741FEB">
        <w:rPr>
          <w:rFonts w:eastAsia="Arial"/>
          <w:color w:val="005BA3" w:themeColor="accent4"/>
        </w:rPr>
        <w:t xml:space="preserve"> </w:t>
      </w:r>
      <w:r w:rsidRPr="00741FEB">
        <w:rPr>
          <w:rFonts w:eastAsia="Arial"/>
          <w:color w:val="005BA3" w:themeColor="accent4"/>
        </w:rPr>
        <w:t xml:space="preserve">to promote </w:t>
      </w:r>
      <w:r w:rsidRPr="00741FEB" w:rsidDel="004E7BD4">
        <w:rPr>
          <w:rFonts w:eastAsia="Arial"/>
          <w:color w:val="005BA3" w:themeColor="accent4"/>
        </w:rPr>
        <w:t xml:space="preserve">the NCPF </w:t>
      </w:r>
      <w:r w:rsidR="00A21E7E" w:rsidRPr="00741FEB" w:rsidDel="004E7BD4">
        <w:rPr>
          <w:rFonts w:eastAsia="Arial"/>
          <w:color w:val="005BA3" w:themeColor="accent4"/>
        </w:rPr>
        <w:t xml:space="preserve">and </w:t>
      </w:r>
      <w:r w:rsidR="00876691" w:rsidRPr="00741FEB">
        <w:rPr>
          <w:rFonts w:eastAsia="Arial"/>
          <w:color w:val="005BA3" w:themeColor="accent4"/>
        </w:rPr>
        <w:t xml:space="preserve">how </w:t>
      </w:r>
      <w:r w:rsidR="003C15BF" w:rsidRPr="00741FEB">
        <w:rPr>
          <w:rFonts w:eastAsia="Arial"/>
          <w:color w:val="005BA3" w:themeColor="accent4"/>
        </w:rPr>
        <w:t>consumers can activate and engage</w:t>
      </w:r>
      <w:r w:rsidR="00876691" w:rsidRPr="00741FEB">
        <w:rPr>
          <w:rFonts w:eastAsia="Arial"/>
          <w:color w:val="005BA3" w:themeColor="accent4"/>
        </w:rPr>
        <w:t xml:space="preserve"> </w:t>
      </w:r>
      <w:r w:rsidR="006A7595" w:rsidRPr="00741FEB">
        <w:rPr>
          <w:rFonts w:eastAsia="Arial"/>
          <w:color w:val="005BA3" w:themeColor="accent4"/>
        </w:rPr>
        <w:t xml:space="preserve">with </w:t>
      </w:r>
      <w:r w:rsidR="0058485C" w:rsidRPr="00741FEB">
        <w:rPr>
          <w:rFonts w:eastAsia="Arial"/>
          <w:color w:val="005BA3" w:themeColor="accent4"/>
        </w:rPr>
        <w:t xml:space="preserve">the </w:t>
      </w:r>
      <w:r w:rsidR="004E7BD4" w:rsidRPr="00741FEB">
        <w:rPr>
          <w:rFonts w:eastAsia="Arial"/>
          <w:color w:val="005BA3" w:themeColor="accent4"/>
        </w:rPr>
        <w:t xml:space="preserve">NCPF </w:t>
      </w:r>
      <w:r w:rsidR="006A7595" w:rsidRPr="00741FEB">
        <w:rPr>
          <w:rFonts w:eastAsia="Arial"/>
          <w:color w:val="005BA3" w:themeColor="accent4"/>
        </w:rPr>
        <w:t xml:space="preserve">measures. </w:t>
      </w:r>
      <w:r w:rsidR="005F08ED" w:rsidRPr="00741FEB">
        <w:rPr>
          <w:rFonts w:eastAsia="Arial"/>
          <w:color w:val="005BA3" w:themeColor="accent4"/>
        </w:rPr>
        <w:t xml:space="preserve">These campaigns should </w:t>
      </w:r>
      <w:r w:rsidR="009109B9" w:rsidRPr="00741FEB">
        <w:rPr>
          <w:rFonts w:eastAsia="Arial"/>
          <w:color w:val="005BA3" w:themeColor="accent4"/>
        </w:rPr>
        <w:t xml:space="preserve">focus on </w:t>
      </w:r>
      <w:r w:rsidRPr="00741FEB">
        <w:rPr>
          <w:rFonts w:eastAsia="Arial"/>
          <w:color w:val="005BA3" w:themeColor="accent4"/>
        </w:rPr>
        <w:t xml:space="preserve">health professionals, financial counsellors, bank employees and frontline assistance workers so they can direct clients to the NCPF measures. </w:t>
      </w:r>
    </w:p>
    <w:p w14:paraId="51AC821F" w14:textId="20EBF9E4" w:rsidR="00B32E11" w:rsidRPr="00741FEB" w:rsidRDefault="00B32E11" w:rsidP="00F359A3">
      <w:pPr>
        <w:pStyle w:val="BoxText"/>
        <w:shd w:val="clear" w:color="auto" w:fill="F2F2F2" w:themeFill="background1" w:themeFillShade="F2"/>
        <w:rPr>
          <w:rFonts w:eastAsia="Arial"/>
          <w:color w:val="005BA3" w:themeColor="accent4"/>
        </w:rPr>
      </w:pPr>
      <w:r w:rsidRPr="00741FEB">
        <w:rPr>
          <w:rFonts w:eastAsia="Arial"/>
          <w:b/>
          <w:color w:val="005BA3" w:themeColor="accent4"/>
        </w:rPr>
        <w:t xml:space="preserve">Recommendation 1c: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F09E1">
        <w:rPr>
          <w:rFonts w:eastAsia="Arial"/>
          <w:color w:val="00437A" w:themeColor="accent4" w:themeShade="BF"/>
        </w:rPr>
        <w:t xml:space="preserve"> </w:t>
      </w:r>
      <w:r w:rsidRPr="00741FEB">
        <w:rPr>
          <w:rFonts w:eastAsia="Arial"/>
          <w:color w:val="005BA3" w:themeColor="accent4"/>
        </w:rPr>
        <w:t xml:space="preserve">Promotion and education campaigns should be evaluated to measure their effectiveness </w:t>
      </w:r>
      <w:r w:rsidR="00A04272">
        <w:rPr>
          <w:rFonts w:eastAsia="Arial"/>
          <w:color w:val="005BA3" w:themeColor="accent4"/>
        </w:rPr>
        <w:t>at</w:t>
      </w:r>
      <w:r w:rsidR="00A04272" w:rsidRPr="00741FEB">
        <w:rPr>
          <w:rFonts w:eastAsia="Arial"/>
          <w:color w:val="005BA3" w:themeColor="accent4"/>
        </w:rPr>
        <w:t xml:space="preserve"> </w:t>
      </w:r>
      <w:r w:rsidRPr="00741FEB">
        <w:rPr>
          <w:rFonts w:eastAsia="Arial"/>
          <w:color w:val="005BA3" w:themeColor="accent4"/>
        </w:rPr>
        <w:t xml:space="preserve">increasing consumer awareness and </w:t>
      </w:r>
      <w:r w:rsidR="00AA77C1" w:rsidRPr="00741FEB">
        <w:rPr>
          <w:rFonts w:eastAsia="Arial"/>
          <w:color w:val="005BA3" w:themeColor="accent4"/>
        </w:rPr>
        <w:t>engagement with</w:t>
      </w:r>
      <w:r w:rsidR="001408D3" w:rsidRPr="00741FEB">
        <w:rPr>
          <w:rFonts w:eastAsia="Arial"/>
          <w:color w:val="005BA3" w:themeColor="accent4"/>
        </w:rPr>
        <w:t xml:space="preserve"> </w:t>
      </w:r>
      <w:r w:rsidRPr="00741FEB">
        <w:rPr>
          <w:rFonts w:eastAsia="Arial"/>
          <w:color w:val="005BA3" w:themeColor="accent4"/>
        </w:rPr>
        <w:t xml:space="preserve">the NCPF. </w:t>
      </w:r>
      <w:r w:rsidR="00544642" w:rsidRPr="00741FEB">
        <w:rPr>
          <w:rFonts w:eastAsia="Arial"/>
          <w:color w:val="005BA3" w:themeColor="accent4"/>
        </w:rPr>
        <w:t xml:space="preserve"> </w:t>
      </w:r>
    </w:p>
    <w:p w14:paraId="1B8C6765" w14:textId="331EE922" w:rsidR="008E2200" w:rsidRPr="00741FEB" w:rsidRDefault="00B32E11" w:rsidP="00F359A3">
      <w:pPr>
        <w:pStyle w:val="BoxText"/>
        <w:shd w:val="clear" w:color="auto" w:fill="F2F2F2" w:themeFill="background1" w:themeFillShade="F2"/>
        <w:rPr>
          <w:rFonts w:eastAsia="Arial"/>
          <w:color w:val="005BA3" w:themeColor="accent4"/>
        </w:rPr>
      </w:pPr>
      <w:r w:rsidRPr="00741FEB">
        <w:rPr>
          <w:rFonts w:eastAsia="Arial"/>
          <w:b/>
          <w:color w:val="005BA3" w:themeColor="accent4"/>
        </w:rPr>
        <w:t>Recommendation 1d:</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rFonts w:eastAsia="Arial"/>
          <w:color w:val="005BA3" w:themeColor="accent4"/>
        </w:rPr>
        <w:t xml:space="preserve">Australian governments should </w:t>
      </w:r>
      <w:r w:rsidR="00B41919" w:rsidRPr="00741FEB">
        <w:rPr>
          <w:rFonts w:eastAsia="Arial"/>
          <w:color w:val="005BA3" w:themeColor="accent4"/>
        </w:rPr>
        <w:t xml:space="preserve">ensure </w:t>
      </w:r>
      <w:r w:rsidRPr="00741FEB">
        <w:rPr>
          <w:rFonts w:eastAsia="Arial"/>
          <w:color w:val="005BA3" w:themeColor="accent4"/>
        </w:rPr>
        <w:t xml:space="preserve">fact sheets and guides </w:t>
      </w:r>
      <w:r w:rsidR="00D97FDF" w:rsidRPr="00741FEB">
        <w:rPr>
          <w:rFonts w:eastAsia="Arial"/>
          <w:color w:val="005BA3" w:themeColor="accent4"/>
        </w:rPr>
        <w:t xml:space="preserve">for consumers </w:t>
      </w:r>
      <w:r w:rsidRPr="00741FEB">
        <w:rPr>
          <w:rFonts w:eastAsia="Arial"/>
          <w:color w:val="005BA3" w:themeColor="accent4"/>
        </w:rPr>
        <w:t xml:space="preserve">explaining how the NCPF tools work and the protection they offer </w:t>
      </w:r>
      <w:r w:rsidR="00BF62B5" w:rsidRPr="00741FEB">
        <w:rPr>
          <w:rFonts w:eastAsia="Arial"/>
          <w:color w:val="005BA3" w:themeColor="accent4"/>
        </w:rPr>
        <w:t xml:space="preserve">are </w:t>
      </w:r>
      <w:r w:rsidRPr="00741FEB">
        <w:rPr>
          <w:rFonts w:eastAsia="Arial"/>
          <w:color w:val="005BA3" w:themeColor="accent4"/>
        </w:rPr>
        <w:t xml:space="preserve">available online on </w:t>
      </w:r>
      <w:r w:rsidR="003162E7" w:rsidRPr="00741FEB">
        <w:rPr>
          <w:rFonts w:eastAsia="Arial"/>
          <w:color w:val="005BA3" w:themeColor="accent4"/>
        </w:rPr>
        <w:t xml:space="preserve">help-providing </w:t>
      </w:r>
      <w:r w:rsidRPr="00741FEB">
        <w:rPr>
          <w:rFonts w:eastAsia="Arial"/>
          <w:color w:val="005BA3" w:themeColor="accent4"/>
        </w:rPr>
        <w:t>sites</w:t>
      </w:r>
      <w:r w:rsidR="00A61E08">
        <w:rPr>
          <w:rFonts w:eastAsia="Arial"/>
          <w:color w:val="005BA3" w:themeColor="accent4"/>
        </w:rPr>
        <w:t xml:space="preserve"> and other channels</w:t>
      </w:r>
      <w:r w:rsidRPr="00741FEB">
        <w:rPr>
          <w:rFonts w:eastAsia="Arial"/>
          <w:color w:val="005BA3" w:themeColor="accent4"/>
        </w:rPr>
        <w:t>.</w:t>
      </w:r>
      <w:r w:rsidR="00746F32">
        <w:rPr>
          <w:rFonts w:eastAsia="Arial"/>
          <w:color w:val="005BA3" w:themeColor="accent4"/>
        </w:rPr>
        <w:t xml:space="preserve"> These fact sheets should include </w:t>
      </w:r>
      <w:r w:rsidR="00E57305">
        <w:rPr>
          <w:rFonts w:eastAsia="Arial"/>
          <w:color w:val="005BA3" w:themeColor="accent4"/>
        </w:rPr>
        <w:t>advice on how consumers can make complaints if they are concerned that WSPs are not compliant with the NCPF measures.</w:t>
      </w:r>
    </w:p>
    <w:p w14:paraId="68ADAEF2" w14:textId="46C21702" w:rsidR="001546ED" w:rsidRDefault="001546ED" w:rsidP="00D16AEE">
      <w:pPr>
        <w:pStyle w:val="Heading3"/>
      </w:pPr>
      <w:bookmarkStart w:id="8" w:name="_Compliance_and_enforcement"/>
      <w:bookmarkStart w:id="9" w:name="_Toc233643271"/>
      <w:bookmarkStart w:id="10" w:name="_Toc213763489"/>
      <w:bookmarkEnd w:id="8"/>
      <w:r>
        <w:t>Compliance and enforcement</w:t>
      </w:r>
      <w:bookmarkEnd w:id="9"/>
    </w:p>
    <w:p w14:paraId="5E9CBFC4" w14:textId="4D8672F1" w:rsidR="00C460C2" w:rsidRPr="00B422D8" w:rsidRDefault="00C460C2" w:rsidP="00D16AEE">
      <w:pPr>
        <w:pStyle w:val="Heading4"/>
      </w:pPr>
      <w:r w:rsidRPr="00843A16">
        <w:t>Key findings</w:t>
      </w:r>
    </w:p>
    <w:p w14:paraId="7A7193F8" w14:textId="1EA7D43A" w:rsidR="00C67CDD" w:rsidRDefault="00C67CDD" w:rsidP="00D16AEE">
      <w:pPr>
        <w:pStyle w:val="ListBullet"/>
        <w:rPr>
          <w:rFonts w:eastAsia="Arial"/>
        </w:rPr>
      </w:pPr>
      <w:r>
        <w:rPr>
          <w:rFonts w:eastAsia="Arial"/>
        </w:rPr>
        <w:t xml:space="preserve">There has been limited </w:t>
      </w:r>
      <w:r w:rsidR="005A58FA">
        <w:rPr>
          <w:rFonts w:eastAsia="Arial"/>
        </w:rPr>
        <w:t xml:space="preserve">regulatory </w:t>
      </w:r>
      <w:r>
        <w:rPr>
          <w:rFonts w:eastAsia="Arial"/>
        </w:rPr>
        <w:t xml:space="preserve">compliance monitoring for </w:t>
      </w:r>
      <w:r w:rsidR="00CD6108">
        <w:rPr>
          <w:rFonts w:eastAsia="Arial"/>
        </w:rPr>
        <w:t xml:space="preserve">the </w:t>
      </w:r>
      <w:r>
        <w:rPr>
          <w:rFonts w:eastAsia="Arial"/>
        </w:rPr>
        <w:t>NCPF measures</w:t>
      </w:r>
      <w:r w:rsidR="00F42A12">
        <w:rPr>
          <w:rFonts w:eastAsia="Arial"/>
        </w:rPr>
        <w:t>.</w:t>
      </w:r>
      <w:r w:rsidR="00A05733">
        <w:rPr>
          <w:rFonts w:eastAsia="Arial"/>
        </w:rPr>
        <w:t xml:space="preserve"> Responding </w:t>
      </w:r>
      <w:r>
        <w:rPr>
          <w:rFonts w:eastAsia="Arial"/>
        </w:rPr>
        <w:t xml:space="preserve">to customer complaints </w:t>
      </w:r>
      <w:r w:rsidR="00CD6108">
        <w:rPr>
          <w:rFonts w:eastAsia="Arial"/>
        </w:rPr>
        <w:t>is</w:t>
      </w:r>
      <w:r w:rsidR="00B5459C">
        <w:rPr>
          <w:rFonts w:eastAsia="Arial"/>
        </w:rPr>
        <w:t xml:space="preserve"> </w:t>
      </w:r>
      <w:r>
        <w:rPr>
          <w:rFonts w:eastAsia="Arial"/>
        </w:rPr>
        <w:t xml:space="preserve">the main form of compliance activity. </w:t>
      </w:r>
    </w:p>
    <w:p w14:paraId="1212A166" w14:textId="38F0C96F" w:rsidR="009F5F54" w:rsidRDefault="009F5F54" w:rsidP="00D16AEE">
      <w:pPr>
        <w:pStyle w:val="ListBullet"/>
        <w:rPr>
          <w:rFonts w:eastAsia="Arial"/>
        </w:rPr>
      </w:pPr>
      <w:r w:rsidRPr="00843A16">
        <w:rPr>
          <w:rFonts w:eastAsia="Arial"/>
        </w:rPr>
        <w:t xml:space="preserve">Proactive compliance activity </w:t>
      </w:r>
      <w:r>
        <w:rPr>
          <w:rFonts w:eastAsia="Arial"/>
        </w:rPr>
        <w:t xml:space="preserve">by regulators </w:t>
      </w:r>
      <w:r w:rsidRPr="00843A16">
        <w:rPr>
          <w:rFonts w:eastAsia="Arial"/>
        </w:rPr>
        <w:t xml:space="preserve">specifically targeting the NCPF measures </w:t>
      </w:r>
      <w:r w:rsidR="0003646D">
        <w:rPr>
          <w:rFonts w:eastAsia="Arial"/>
        </w:rPr>
        <w:t>may be</w:t>
      </w:r>
      <w:r w:rsidRPr="00843A16">
        <w:rPr>
          <w:rFonts w:eastAsia="Arial"/>
        </w:rPr>
        <w:t xml:space="preserve"> limited by insufficient resourcing </w:t>
      </w:r>
      <w:r w:rsidR="00FB222F">
        <w:rPr>
          <w:rFonts w:eastAsia="Arial"/>
        </w:rPr>
        <w:t>and/</w:t>
      </w:r>
      <w:r w:rsidRPr="00843A16">
        <w:rPr>
          <w:rFonts w:eastAsia="Arial"/>
        </w:rPr>
        <w:t xml:space="preserve">or prioritisation </w:t>
      </w:r>
      <w:r>
        <w:rPr>
          <w:rFonts w:eastAsia="Arial"/>
        </w:rPr>
        <w:t>of compliance activities</w:t>
      </w:r>
      <w:r w:rsidRPr="00843A16">
        <w:rPr>
          <w:rFonts w:eastAsia="Arial"/>
        </w:rPr>
        <w:t xml:space="preserve"> in the liquor, tobacco or </w:t>
      </w:r>
      <w:r w:rsidRPr="00843A16">
        <w:t xml:space="preserve">land-based </w:t>
      </w:r>
      <w:r w:rsidRPr="00843A16">
        <w:rPr>
          <w:rFonts w:eastAsia="Arial"/>
        </w:rPr>
        <w:t xml:space="preserve">gambling sectors. </w:t>
      </w:r>
    </w:p>
    <w:p w14:paraId="72469617" w14:textId="745E5E1E" w:rsidR="00C67CDD" w:rsidRDefault="00C67CDD" w:rsidP="00D16AEE">
      <w:pPr>
        <w:pStyle w:val="ListBullet"/>
        <w:rPr>
          <w:rFonts w:eastAsia="Arial"/>
        </w:rPr>
      </w:pPr>
      <w:r>
        <w:rPr>
          <w:rFonts w:eastAsia="Arial"/>
        </w:rPr>
        <w:t xml:space="preserve">Investigated complaints mainly </w:t>
      </w:r>
      <w:r w:rsidR="00B1389E">
        <w:rPr>
          <w:rFonts w:eastAsia="Arial"/>
        </w:rPr>
        <w:t>involved</w:t>
      </w:r>
      <w:r>
        <w:rPr>
          <w:rFonts w:eastAsia="Arial"/>
        </w:rPr>
        <w:t xml:space="preserve"> direct marketing to opted-out customers</w:t>
      </w:r>
      <w:r w:rsidR="00B85AE3">
        <w:rPr>
          <w:rFonts w:eastAsia="Arial"/>
        </w:rPr>
        <w:t>,</w:t>
      </w:r>
      <w:r>
        <w:rPr>
          <w:rFonts w:eastAsia="Arial"/>
        </w:rPr>
        <w:t xml:space="preserve"> inducements for opening an online wagering account</w:t>
      </w:r>
      <w:r w:rsidR="00B85AE3">
        <w:rPr>
          <w:rFonts w:eastAsia="Arial"/>
        </w:rPr>
        <w:t>,</w:t>
      </w:r>
      <w:r>
        <w:rPr>
          <w:rFonts w:eastAsia="Arial"/>
        </w:rPr>
        <w:t xml:space="preserve"> inadequate account closure</w:t>
      </w:r>
      <w:r w:rsidR="00B1389E">
        <w:rPr>
          <w:rFonts w:eastAsia="Arial"/>
        </w:rPr>
        <w:t xml:space="preserve"> processes</w:t>
      </w:r>
      <w:r>
        <w:rPr>
          <w:rFonts w:eastAsia="Arial"/>
        </w:rPr>
        <w:t xml:space="preserve"> and failures by WSP staff to respond to red flag gambling behaviours. </w:t>
      </w:r>
    </w:p>
    <w:p w14:paraId="18F8DA15" w14:textId="33735766" w:rsidR="00C67CDD" w:rsidRPr="00843A16" w:rsidRDefault="00C67CDD" w:rsidP="00D16AEE">
      <w:pPr>
        <w:pStyle w:val="ListBullet"/>
        <w:rPr>
          <w:rFonts w:eastAsia="Arial"/>
        </w:rPr>
      </w:pPr>
      <w:r w:rsidRPr="00843A16">
        <w:rPr>
          <w:rFonts w:eastAsia="Arial"/>
        </w:rPr>
        <w:t xml:space="preserve">Regulators </w:t>
      </w:r>
      <w:r>
        <w:rPr>
          <w:rFonts w:eastAsia="Arial"/>
        </w:rPr>
        <w:t xml:space="preserve">reported </w:t>
      </w:r>
      <w:r w:rsidRPr="00843A16">
        <w:rPr>
          <w:rFonts w:eastAsia="Arial"/>
        </w:rPr>
        <w:t>fac</w:t>
      </w:r>
      <w:r>
        <w:rPr>
          <w:rFonts w:eastAsia="Arial"/>
        </w:rPr>
        <w:t>ing</w:t>
      </w:r>
      <w:r w:rsidRPr="00843A16">
        <w:rPr>
          <w:rFonts w:eastAsia="Arial"/>
        </w:rPr>
        <w:t xml:space="preserve"> challenges gathering information from WSPs to ensure they were complying with the legislative </w:t>
      </w:r>
      <w:r w:rsidRPr="00843A16">
        <w:t>framework requirements</w:t>
      </w:r>
      <w:r w:rsidR="00DA331C">
        <w:t xml:space="preserve">. </w:t>
      </w:r>
      <w:r w:rsidR="00DA331C">
        <w:rPr>
          <w:rFonts w:eastAsia="Arial"/>
        </w:rPr>
        <w:t>T</w:t>
      </w:r>
      <w:r w:rsidRPr="00843A16">
        <w:rPr>
          <w:rFonts w:eastAsia="Arial"/>
        </w:rPr>
        <w:t xml:space="preserve">he time taken by regulators to </w:t>
      </w:r>
      <w:r>
        <w:rPr>
          <w:rFonts w:eastAsia="Arial"/>
        </w:rPr>
        <w:t xml:space="preserve">resolve customer </w:t>
      </w:r>
      <w:r w:rsidRPr="00843A16">
        <w:rPr>
          <w:rFonts w:eastAsia="Arial"/>
        </w:rPr>
        <w:t xml:space="preserve">complaint investigations </w:t>
      </w:r>
      <w:r w:rsidR="00CD6108">
        <w:rPr>
          <w:rFonts w:eastAsia="Arial"/>
        </w:rPr>
        <w:t>was often</w:t>
      </w:r>
      <w:r>
        <w:rPr>
          <w:rFonts w:eastAsia="Arial"/>
        </w:rPr>
        <w:t xml:space="preserve"> </w:t>
      </w:r>
      <w:r w:rsidRPr="00843A16">
        <w:rPr>
          <w:rFonts w:eastAsia="Arial"/>
        </w:rPr>
        <w:t>significant.</w:t>
      </w:r>
    </w:p>
    <w:p w14:paraId="4612C8D3" w14:textId="6CB0024C" w:rsidR="00C67CDD" w:rsidRPr="00627ECF" w:rsidRDefault="0022661A" w:rsidP="00D16AEE">
      <w:pPr>
        <w:pStyle w:val="ListBullet"/>
        <w:rPr>
          <w:rFonts w:eastAsia="Arial"/>
        </w:rPr>
      </w:pPr>
      <w:r>
        <w:rPr>
          <w:rFonts w:eastAsia="Arial"/>
        </w:rPr>
        <w:t>WSPs</w:t>
      </w:r>
      <w:r w:rsidR="00C67CDD" w:rsidRPr="00627ECF">
        <w:rPr>
          <w:rFonts w:eastAsia="Arial"/>
        </w:rPr>
        <w:t xml:space="preserve"> </w:t>
      </w:r>
      <w:r w:rsidR="00C67CDD">
        <w:rPr>
          <w:rFonts w:eastAsia="Arial"/>
        </w:rPr>
        <w:t>noted</w:t>
      </w:r>
      <w:r w:rsidR="00C67CDD" w:rsidRPr="00627ECF">
        <w:rPr>
          <w:rFonts w:eastAsia="Arial"/>
        </w:rPr>
        <w:t xml:space="preserve"> that jurisdictional </w:t>
      </w:r>
      <w:r w:rsidR="00C67CDD">
        <w:rPr>
          <w:rFonts w:eastAsia="Arial"/>
        </w:rPr>
        <w:t xml:space="preserve">legislative </w:t>
      </w:r>
      <w:r w:rsidR="00C67CDD" w:rsidRPr="00627ECF">
        <w:rPr>
          <w:rFonts w:eastAsia="Arial"/>
        </w:rPr>
        <w:t xml:space="preserve">inconsistencies place a compliance burden on </w:t>
      </w:r>
      <w:r w:rsidR="00FE6A7B">
        <w:rPr>
          <w:rFonts w:eastAsia="Arial"/>
        </w:rPr>
        <w:t>them</w:t>
      </w:r>
      <w:r w:rsidR="00C67CDD">
        <w:rPr>
          <w:rFonts w:eastAsia="Arial"/>
        </w:rPr>
        <w:t xml:space="preserve">, with </w:t>
      </w:r>
      <w:r w:rsidR="00C67CDD" w:rsidRPr="00627ECF">
        <w:rPr>
          <w:rFonts w:eastAsia="Arial"/>
        </w:rPr>
        <w:t xml:space="preserve">this burden </w:t>
      </w:r>
      <w:r w:rsidR="00C67CDD">
        <w:rPr>
          <w:rFonts w:eastAsia="Arial"/>
        </w:rPr>
        <w:t xml:space="preserve">potentially </w:t>
      </w:r>
      <w:r w:rsidR="00C67CDD" w:rsidRPr="00627ECF">
        <w:rPr>
          <w:rFonts w:eastAsia="Arial"/>
        </w:rPr>
        <w:t>fall</w:t>
      </w:r>
      <w:r w:rsidR="00C67CDD">
        <w:rPr>
          <w:rFonts w:eastAsia="Arial"/>
        </w:rPr>
        <w:t>ing</w:t>
      </w:r>
      <w:r w:rsidR="00C67CDD" w:rsidRPr="00627ECF">
        <w:rPr>
          <w:rFonts w:eastAsia="Arial"/>
        </w:rPr>
        <w:t xml:space="preserve"> more heavily on smaller WSPs</w:t>
      </w:r>
      <w:r w:rsidR="00C67CDD">
        <w:rPr>
          <w:rFonts w:eastAsia="Arial"/>
        </w:rPr>
        <w:t>.</w:t>
      </w:r>
    </w:p>
    <w:p w14:paraId="4B781CD4" w14:textId="3CA9EA21" w:rsidR="00C67CDD" w:rsidRPr="000C6D1D" w:rsidRDefault="00C67CDD" w:rsidP="00D16AEE">
      <w:pPr>
        <w:pStyle w:val="ListBullet"/>
        <w:rPr>
          <w:rFonts w:eastAsia="Arial"/>
        </w:rPr>
      </w:pPr>
      <w:r w:rsidRPr="000C6D1D">
        <w:rPr>
          <w:rFonts w:eastAsia="Arial"/>
        </w:rPr>
        <w:t xml:space="preserve">Enforcement penalties for breaches of the NCPF measures vary significantly between jurisdictions. </w:t>
      </w:r>
      <w:r w:rsidR="00DF311D" w:rsidRPr="30B19B14">
        <w:rPr>
          <w:rFonts w:eastAsia="Arial"/>
        </w:rPr>
        <w:t xml:space="preserve">Both </w:t>
      </w:r>
      <w:r w:rsidRPr="000C6D1D">
        <w:rPr>
          <w:rFonts w:eastAsia="Arial"/>
        </w:rPr>
        <w:t xml:space="preserve">Point of Consumption </w:t>
      </w:r>
      <w:r w:rsidR="00B370CF" w:rsidRPr="000C6D1D">
        <w:rPr>
          <w:rFonts w:eastAsia="Arial"/>
        </w:rPr>
        <w:t xml:space="preserve">and </w:t>
      </w:r>
      <w:r w:rsidRPr="000C6D1D">
        <w:rPr>
          <w:rFonts w:eastAsia="Arial"/>
        </w:rPr>
        <w:t xml:space="preserve">Point of Supply regulation for </w:t>
      </w:r>
      <w:r w:rsidR="00DF311D" w:rsidRPr="30B19B14">
        <w:rPr>
          <w:rFonts w:eastAsia="Arial"/>
        </w:rPr>
        <w:t xml:space="preserve">the NCPF measures do not exist in </w:t>
      </w:r>
      <w:r w:rsidR="00DE1429" w:rsidRPr="30B19B14">
        <w:rPr>
          <w:rFonts w:eastAsia="Arial"/>
        </w:rPr>
        <w:t>every jurisdiction</w:t>
      </w:r>
      <w:r w:rsidR="009608DF">
        <w:rPr>
          <w:rFonts w:eastAsia="Arial"/>
        </w:rPr>
        <w:t>,</w:t>
      </w:r>
      <w:r w:rsidR="00DE1429" w:rsidRPr="30B19B14">
        <w:rPr>
          <w:rFonts w:eastAsia="Arial"/>
        </w:rPr>
        <w:t xml:space="preserve"> </w:t>
      </w:r>
      <w:r w:rsidR="00766A0C" w:rsidRPr="30B19B14">
        <w:rPr>
          <w:rFonts w:eastAsia="Arial"/>
        </w:rPr>
        <w:t xml:space="preserve">creating a barrier to </w:t>
      </w:r>
      <w:r w:rsidRPr="000C6D1D">
        <w:rPr>
          <w:rFonts w:eastAsia="Arial"/>
        </w:rPr>
        <w:t xml:space="preserve">compliance </w:t>
      </w:r>
      <w:r w:rsidR="003005D8" w:rsidRPr="30B19B14">
        <w:rPr>
          <w:rFonts w:eastAsia="Arial"/>
        </w:rPr>
        <w:t xml:space="preserve">actions being undertaken </w:t>
      </w:r>
      <w:r w:rsidR="00025741" w:rsidRPr="30B19B14">
        <w:rPr>
          <w:rFonts w:eastAsia="Arial"/>
        </w:rPr>
        <w:t>in some jurisdictions.</w:t>
      </w:r>
      <w:r w:rsidRPr="000C6D1D">
        <w:rPr>
          <w:rFonts w:eastAsia="Arial"/>
        </w:rPr>
        <w:t xml:space="preserve"> </w:t>
      </w:r>
    </w:p>
    <w:p w14:paraId="3725ECC2" w14:textId="3A9F836E" w:rsidR="009608DF" w:rsidRPr="00D16AEE" w:rsidRDefault="009608DF" w:rsidP="006B5146">
      <w:pPr>
        <w:pStyle w:val="BoxText"/>
        <w:shd w:val="clear" w:color="auto" w:fill="F2F2F2" w:themeFill="background1" w:themeFillShade="F2"/>
        <w:rPr>
          <w:rFonts w:eastAsia="Arial"/>
          <w:b/>
          <w:color w:val="auto"/>
        </w:rPr>
      </w:pPr>
      <w:r w:rsidRPr="00D16AEE">
        <w:rPr>
          <w:rFonts w:eastAsia="Arial"/>
          <w:b/>
          <w:color w:val="auto"/>
        </w:rPr>
        <w:t>Recommendations</w:t>
      </w:r>
    </w:p>
    <w:p w14:paraId="5E7C17EE" w14:textId="5C6FB4D9" w:rsidR="00C67CDD" w:rsidRPr="00741FEB" w:rsidRDefault="00C67CDD" w:rsidP="006B5146">
      <w:pPr>
        <w:pStyle w:val="BoxText"/>
        <w:shd w:val="clear" w:color="auto" w:fill="F2F2F2" w:themeFill="background1" w:themeFillShade="F2"/>
        <w:rPr>
          <w:rFonts w:eastAsia="Arial"/>
          <w:color w:val="005BA3" w:themeColor="accent4"/>
        </w:rPr>
      </w:pPr>
      <w:r w:rsidRPr="00741FEB">
        <w:rPr>
          <w:rFonts w:eastAsia="Arial"/>
          <w:b/>
          <w:color w:val="005BA3" w:themeColor="accent4"/>
        </w:rPr>
        <w:t>Recommendation 2</w:t>
      </w:r>
      <w:r w:rsidR="00CC76D4" w:rsidRPr="00741FEB">
        <w:rPr>
          <w:rFonts w:eastAsia="Arial"/>
          <w:b/>
          <w:color w:val="005BA3" w:themeColor="accent4"/>
        </w:rPr>
        <w:t>a</w:t>
      </w:r>
      <w:r w:rsidRPr="00741FEB">
        <w:rPr>
          <w:rFonts w:eastAsia="Arial"/>
          <w:b/>
          <w:color w:val="005BA3" w:themeColor="accent4"/>
        </w:rPr>
        <w:t>:</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rFonts w:eastAsia="Arial"/>
          <w:color w:val="005BA3" w:themeColor="accent4"/>
        </w:rPr>
        <w:t xml:space="preserve">Regulators should undertake regular, coordinated and proactive compliance activities to ensure systemic non-compliance does not occur. </w:t>
      </w:r>
    </w:p>
    <w:p w14:paraId="59AEF9AC" w14:textId="5E69574A" w:rsidR="00C67CDD" w:rsidRPr="00741FEB" w:rsidRDefault="00C67CDD" w:rsidP="006B5146">
      <w:pPr>
        <w:pStyle w:val="BoxText"/>
        <w:shd w:val="clear" w:color="auto" w:fill="F2F2F2" w:themeFill="background1" w:themeFillShade="F2"/>
        <w:rPr>
          <w:rFonts w:eastAsia="Arial"/>
          <w:color w:val="005BA3" w:themeColor="accent4"/>
        </w:rPr>
      </w:pPr>
      <w:r w:rsidRPr="00741FEB">
        <w:rPr>
          <w:rFonts w:eastAsia="Arial"/>
          <w:b/>
          <w:color w:val="005BA3" w:themeColor="accent4"/>
        </w:rPr>
        <w:t>Recommendation 2</w:t>
      </w:r>
      <w:r w:rsidR="00CC76D4" w:rsidRPr="00741FEB">
        <w:rPr>
          <w:rFonts w:eastAsia="Arial"/>
          <w:b/>
          <w:color w:val="005BA3" w:themeColor="accent4"/>
        </w:rPr>
        <w:t>b</w:t>
      </w:r>
      <w:r w:rsidRPr="00741FEB">
        <w:rPr>
          <w:rFonts w:eastAsia="Arial"/>
          <w:b/>
          <w:color w:val="005BA3" w:themeColor="accent4"/>
        </w:rPr>
        <w:t>:</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rFonts w:eastAsia="Arial"/>
          <w:color w:val="005BA3" w:themeColor="accent4"/>
        </w:rPr>
        <w:t xml:space="preserve">Regulators should provide timely and public reporting on their activities, including </w:t>
      </w:r>
      <w:r w:rsidR="005E7D28" w:rsidRPr="00741FEB">
        <w:rPr>
          <w:rFonts w:eastAsia="Arial"/>
          <w:color w:val="005BA3" w:themeColor="accent4"/>
        </w:rPr>
        <w:t xml:space="preserve">any </w:t>
      </w:r>
      <w:r w:rsidRPr="00741FEB">
        <w:rPr>
          <w:rFonts w:eastAsia="Arial"/>
          <w:color w:val="005BA3" w:themeColor="accent4"/>
        </w:rPr>
        <w:t xml:space="preserve">penalties issued. </w:t>
      </w:r>
    </w:p>
    <w:p w14:paraId="28AD3120" w14:textId="512753AA" w:rsidR="00C67CDD" w:rsidRPr="00741FEB" w:rsidRDefault="00C67CDD" w:rsidP="006B5146">
      <w:pPr>
        <w:pStyle w:val="BoxText"/>
        <w:shd w:val="clear" w:color="auto" w:fill="F2F2F2" w:themeFill="background1" w:themeFillShade="F2"/>
        <w:rPr>
          <w:rFonts w:eastAsia="Arial"/>
          <w:color w:val="005BA3" w:themeColor="accent4"/>
        </w:rPr>
      </w:pPr>
      <w:r w:rsidRPr="00741FEB">
        <w:rPr>
          <w:rFonts w:eastAsia="Arial"/>
          <w:b/>
          <w:color w:val="005BA3" w:themeColor="accent4"/>
        </w:rPr>
        <w:lastRenderedPageBreak/>
        <w:t>Recommendation 2</w:t>
      </w:r>
      <w:r w:rsidR="00CC76D4" w:rsidRPr="00741FEB">
        <w:rPr>
          <w:rFonts w:eastAsia="Arial"/>
          <w:b/>
          <w:color w:val="005BA3" w:themeColor="accent4"/>
        </w:rPr>
        <w:t>c</w:t>
      </w:r>
      <w:r w:rsidRPr="00741FEB">
        <w:rPr>
          <w:rFonts w:eastAsia="Arial"/>
          <w:b/>
          <w:color w:val="005BA3" w:themeColor="accent4"/>
        </w:rPr>
        <w:t>:</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00CE0CAF" w:rsidRPr="00741FEB">
        <w:rPr>
          <w:rFonts w:eastAsia="Arial"/>
          <w:color w:val="005BA3" w:themeColor="accent4"/>
        </w:rPr>
        <w:t>The Australian, s</w:t>
      </w:r>
      <w:r w:rsidR="008A1D6F" w:rsidRPr="00741FEB">
        <w:rPr>
          <w:rFonts w:eastAsia="Arial"/>
          <w:color w:val="005BA3" w:themeColor="accent4"/>
        </w:rPr>
        <w:t>tate and territory</w:t>
      </w:r>
      <w:r w:rsidR="008C5E6C" w:rsidRPr="00741FEB">
        <w:rPr>
          <w:rFonts w:eastAsia="Arial"/>
          <w:color w:val="005BA3" w:themeColor="accent4"/>
        </w:rPr>
        <w:t xml:space="preserve"> governments </w:t>
      </w:r>
      <w:r w:rsidRPr="00741FEB">
        <w:rPr>
          <w:rFonts w:eastAsia="Arial"/>
          <w:color w:val="005BA3" w:themeColor="accent4"/>
        </w:rPr>
        <w:t xml:space="preserve">should mandate that WSPs provide </w:t>
      </w:r>
      <w:r w:rsidR="000C58EA">
        <w:rPr>
          <w:rFonts w:eastAsia="Arial"/>
          <w:color w:val="005BA3" w:themeColor="accent4"/>
        </w:rPr>
        <w:t>timely, reliable and detailed information</w:t>
      </w:r>
      <w:r w:rsidR="000C58EA" w:rsidRPr="00CD4774">
        <w:rPr>
          <w:rFonts w:eastAsia="Arial"/>
          <w:color w:val="005BA3" w:themeColor="accent4"/>
        </w:rPr>
        <w:t xml:space="preserve"> </w:t>
      </w:r>
      <w:r w:rsidR="00611D25" w:rsidRPr="00CD4774">
        <w:rPr>
          <w:rFonts w:eastAsia="Arial"/>
          <w:color w:val="005BA3" w:themeColor="accent4"/>
        </w:rPr>
        <w:t>t</w:t>
      </w:r>
      <w:r w:rsidR="00611D25">
        <w:rPr>
          <w:rFonts w:eastAsia="Arial"/>
          <w:color w:val="005BA3" w:themeColor="accent4"/>
        </w:rPr>
        <w:t>hat</w:t>
      </w:r>
      <w:r w:rsidR="00611D25" w:rsidRPr="00CD4774">
        <w:rPr>
          <w:rFonts w:eastAsia="Arial"/>
          <w:color w:val="005BA3" w:themeColor="accent4"/>
        </w:rPr>
        <w:t xml:space="preserve"> </w:t>
      </w:r>
      <w:r w:rsidR="00611D25">
        <w:rPr>
          <w:rFonts w:eastAsia="Arial"/>
          <w:color w:val="005BA3" w:themeColor="accent4"/>
        </w:rPr>
        <w:t>support</w:t>
      </w:r>
      <w:r w:rsidR="00D07FAE">
        <w:rPr>
          <w:rFonts w:eastAsia="Arial"/>
          <w:color w:val="005BA3" w:themeColor="accent4"/>
        </w:rPr>
        <w:t>s</w:t>
      </w:r>
      <w:r w:rsidR="00611D25">
        <w:rPr>
          <w:rFonts w:eastAsia="Arial"/>
          <w:color w:val="005BA3" w:themeColor="accent4"/>
        </w:rPr>
        <w:t xml:space="preserve"> compliance, evaluation and policy development activities</w:t>
      </w:r>
      <w:r w:rsidR="00BB2DFE">
        <w:rPr>
          <w:rFonts w:eastAsia="Arial"/>
          <w:color w:val="005BA3" w:themeColor="accent4"/>
        </w:rPr>
        <w:t>.</w:t>
      </w:r>
      <w:r w:rsidR="00611D25" w:rsidRPr="00741FEB" w:rsidDel="00611D25">
        <w:rPr>
          <w:rFonts w:eastAsia="Arial"/>
          <w:color w:val="005BA3" w:themeColor="accent4"/>
        </w:rPr>
        <w:t xml:space="preserve"> </w:t>
      </w:r>
    </w:p>
    <w:p w14:paraId="174252D9" w14:textId="4C532DC7" w:rsidR="00C67CDD" w:rsidRPr="00741FEB" w:rsidRDefault="00C67CDD" w:rsidP="006B5146">
      <w:pPr>
        <w:pStyle w:val="BoxText"/>
        <w:shd w:val="clear" w:color="auto" w:fill="F2F2F2" w:themeFill="background1" w:themeFillShade="F2"/>
        <w:rPr>
          <w:rFonts w:eastAsia="Arial"/>
          <w:color w:val="62136D" w:themeColor="accent2"/>
        </w:rPr>
      </w:pPr>
      <w:r w:rsidRPr="00741FEB">
        <w:rPr>
          <w:rFonts w:eastAsia="Arial"/>
          <w:b/>
          <w:color w:val="62136D" w:themeColor="accent2"/>
        </w:rPr>
        <w:t>Recommendation 2</w:t>
      </w:r>
      <w:r w:rsidR="00CC76D4" w:rsidRPr="00741FEB">
        <w:rPr>
          <w:rFonts w:eastAsia="Arial"/>
          <w:b/>
          <w:color w:val="62136D" w:themeColor="accent2"/>
        </w:rPr>
        <w:t>d</w:t>
      </w:r>
      <w:r w:rsidRPr="00741FEB">
        <w:rPr>
          <w:rFonts w:eastAsia="Arial"/>
          <w:b/>
          <w:color w:val="62136D" w:themeColor="accent2"/>
        </w:rPr>
        <w:t>:</w:t>
      </w:r>
      <w:r w:rsidRPr="00741FEB">
        <w:rPr>
          <w:rFonts w:eastAsia="Arial"/>
          <w:color w:val="62136D" w:themeColor="accent2"/>
        </w:rPr>
        <w:t xml:space="preserve"> </w:t>
      </w:r>
      <w:r w:rsidR="009C08BF" w:rsidRPr="0066537F">
        <w:rPr>
          <w:rFonts w:eastAsia="Arial"/>
          <w:color w:val="7030A0"/>
        </w:rPr>
        <w:t>(</w:t>
      </w:r>
      <w:r w:rsidR="009C08BF" w:rsidRPr="0066537F">
        <w:rPr>
          <w:rFonts w:ascii="Bauhaus 93" w:eastAsia="Arial" w:hAnsi="Bauhaus 93"/>
          <w:color w:val="7030A0"/>
        </w:rPr>
        <w:t>N</w:t>
      </w:r>
      <w:r w:rsidR="009C08BF" w:rsidRPr="0066537F">
        <w:rPr>
          <w:rFonts w:eastAsia="Arial"/>
          <w:color w:val="7030A0"/>
        </w:rPr>
        <w:t>)</w:t>
      </w:r>
      <w:r w:rsidR="009C08BF">
        <w:rPr>
          <w:rFonts w:eastAsia="Arial"/>
          <w:color w:val="7030A0"/>
        </w:rPr>
        <w:t xml:space="preserve"> </w:t>
      </w:r>
      <w:r w:rsidR="008A161B" w:rsidRPr="00741FEB">
        <w:rPr>
          <w:rFonts w:eastAsia="Arial"/>
          <w:color w:val="62136D" w:themeColor="accent2"/>
        </w:rPr>
        <w:t>S</w:t>
      </w:r>
      <w:r w:rsidR="008A1D6F" w:rsidRPr="00741FEB">
        <w:rPr>
          <w:rFonts w:eastAsia="Arial"/>
          <w:color w:val="62136D" w:themeColor="accent2"/>
        </w:rPr>
        <w:t>tate and territory</w:t>
      </w:r>
      <w:r w:rsidR="00066ADA" w:rsidRPr="00741FEB">
        <w:rPr>
          <w:rFonts w:eastAsia="Arial"/>
          <w:color w:val="62136D" w:themeColor="accent2"/>
        </w:rPr>
        <w:t xml:space="preserve"> </w:t>
      </w:r>
      <w:r w:rsidR="008C5E6C" w:rsidRPr="00741FEB">
        <w:rPr>
          <w:rFonts w:eastAsia="Arial"/>
          <w:color w:val="62136D" w:themeColor="accent2"/>
        </w:rPr>
        <w:t>governments</w:t>
      </w:r>
      <w:r w:rsidRPr="00741FEB">
        <w:rPr>
          <w:rFonts w:eastAsia="Arial"/>
          <w:color w:val="62136D" w:themeColor="accent2"/>
        </w:rPr>
        <w:t xml:space="preserve"> should harmonise their penalty regimes</w:t>
      </w:r>
      <w:r w:rsidR="001B524A">
        <w:rPr>
          <w:rFonts w:eastAsia="Arial"/>
          <w:color w:val="62136D" w:themeColor="accent2"/>
        </w:rPr>
        <w:t xml:space="preserve">, including </w:t>
      </w:r>
      <w:r w:rsidR="00153A50" w:rsidRPr="00741FEB">
        <w:rPr>
          <w:rFonts w:eastAsia="Arial"/>
          <w:color w:val="62136D" w:themeColor="accent2"/>
        </w:rPr>
        <w:t>setting</w:t>
      </w:r>
      <w:r w:rsidRPr="00741FEB">
        <w:rPr>
          <w:rFonts w:eastAsia="Arial"/>
          <w:color w:val="62136D" w:themeColor="accent2"/>
        </w:rPr>
        <w:t xml:space="preserve"> penalty levels to act as a deterrent for non-compliance with legislation.</w:t>
      </w:r>
      <w:r w:rsidR="00273272" w:rsidRPr="00741FEB">
        <w:rPr>
          <w:rFonts w:eastAsia="Arial"/>
          <w:color w:val="62136D" w:themeColor="accent2"/>
        </w:rPr>
        <w:t xml:space="preserve"> </w:t>
      </w:r>
      <w:r w:rsidR="00A80D3C">
        <w:rPr>
          <w:rFonts w:eastAsia="Arial"/>
          <w:color w:val="62136D" w:themeColor="accent2"/>
        </w:rPr>
        <w:t>All jurisdictions should review the length of time available to undertake investigations and prosecutions</w:t>
      </w:r>
      <w:r w:rsidR="00A80D3C" w:rsidRPr="00741FEB">
        <w:rPr>
          <w:rFonts w:eastAsia="Arial"/>
          <w:color w:val="62136D" w:themeColor="accent2"/>
        </w:rPr>
        <w:t xml:space="preserve">. </w:t>
      </w:r>
      <w:r w:rsidR="00273272" w:rsidRPr="00741FEB">
        <w:rPr>
          <w:rFonts w:eastAsia="Arial"/>
          <w:color w:val="62136D" w:themeColor="accent2"/>
        </w:rPr>
        <w:t>This would require legislative change.</w:t>
      </w:r>
    </w:p>
    <w:p w14:paraId="6671077A" w14:textId="2E0FFD0B" w:rsidR="00C67CDD" w:rsidRPr="00741FEB" w:rsidRDefault="00C67CDD" w:rsidP="006B5146">
      <w:pPr>
        <w:pStyle w:val="BoxText"/>
        <w:shd w:val="clear" w:color="auto" w:fill="F2F2F2" w:themeFill="background1" w:themeFillShade="F2"/>
        <w:rPr>
          <w:rFonts w:eastAsia="Arial"/>
          <w:color w:val="62136D" w:themeColor="accent2"/>
        </w:rPr>
      </w:pPr>
      <w:r w:rsidRPr="00741FEB">
        <w:rPr>
          <w:rFonts w:eastAsia="Arial"/>
          <w:b/>
          <w:color w:val="62136D" w:themeColor="accent2"/>
        </w:rPr>
        <w:t>Recommendation 2</w:t>
      </w:r>
      <w:r w:rsidR="00CC76D4" w:rsidRPr="00741FEB">
        <w:rPr>
          <w:rFonts w:eastAsia="Arial"/>
          <w:b/>
          <w:color w:val="62136D" w:themeColor="accent2"/>
        </w:rPr>
        <w:t>e</w:t>
      </w:r>
      <w:r w:rsidRPr="00741FEB">
        <w:rPr>
          <w:rFonts w:eastAsia="Arial"/>
          <w:b/>
          <w:color w:val="62136D" w:themeColor="accent2"/>
        </w:rPr>
        <w:t>:</w:t>
      </w:r>
      <w:r w:rsidRPr="00741FEB">
        <w:rPr>
          <w:rFonts w:eastAsia="Arial"/>
          <w:color w:val="62136D" w:themeColor="accent2"/>
        </w:rPr>
        <w:t xml:space="preserve"> </w:t>
      </w:r>
      <w:r w:rsidR="009C08BF" w:rsidRPr="0066537F">
        <w:rPr>
          <w:rFonts w:eastAsia="Arial"/>
          <w:color w:val="7030A0"/>
        </w:rPr>
        <w:t>(</w:t>
      </w:r>
      <w:r w:rsidR="009C08BF" w:rsidRPr="0066537F">
        <w:rPr>
          <w:rFonts w:ascii="Bauhaus 93" w:eastAsia="Arial" w:hAnsi="Bauhaus 93"/>
          <w:color w:val="7030A0"/>
        </w:rPr>
        <w:t>N</w:t>
      </w:r>
      <w:r w:rsidR="009C08BF" w:rsidRPr="0066537F">
        <w:rPr>
          <w:rFonts w:eastAsia="Arial"/>
          <w:color w:val="7030A0"/>
        </w:rPr>
        <w:t>)</w:t>
      </w:r>
      <w:r w:rsidR="009C08BF">
        <w:rPr>
          <w:rFonts w:eastAsia="Arial"/>
          <w:color w:val="7030A0"/>
        </w:rPr>
        <w:t xml:space="preserve"> </w:t>
      </w:r>
      <w:r w:rsidR="007D30DB" w:rsidRPr="00741FEB">
        <w:rPr>
          <w:rFonts w:eastAsia="Arial"/>
          <w:color w:val="62136D" w:themeColor="accent2"/>
        </w:rPr>
        <w:t>State and territory governments</w:t>
      </w:r>
      <w:r w:rsidRPr="00741FEB">
        <w:rPr>
          <w:rFonts w:eastAsia="Arial"/>
          <w:color w:val="62136D" w:themeColor="accent2"/>
        </w:rPr>
        <w:t xml:space="preserve"> should adopt a Point of Consumption regulatory approach to enhance the consumer protections offered by the NCPF measures and </w:t>
      </w:r>
      <w:r w:rsidR="009608DF">
        <w:rPr>
          <w:rFonts w:eastAsia="Arial"/>
          <w:color w:val="62136D" w:themeColor="accent2"/>
        </w:rPr>
        <w:t>the</w:t>
      </w:r>
      <w:r w:rsidR="009608DF" w:rsidRPr="00741FEB">
        <w:rPr>
          <w:rFonts w:eastAsia="Arial"/>
          <w:color w:val="62136D" w:themeColor="accent2"/>
        </w:rPr>
        <w:t xml:space="preserve"> </w:t>
      </w:r>
      <w:r w:rsidRPr="00741FEB">
        <w:rPr>
          <w:rFonts w:eastAsia="Arial"/>
          <w:color w:val="62136D" w:themeColor="accent2"/>
        </w:rPr>
        <w:t>framework, so all Australian</w:t>
      </w:r>
      <w:r w:rsidR="00153A50" w:rsidRPr="00741FEB">
        <w:rPr>
          <w:rFonts w:eastAsia="Arial"/>
          <w:color w:val="62136D" w:themeColor="accent2"/>
        </w:rPr>
        <w:t xml:space="preserve"> consumer</w:t>
      </w:r>
      <w:r w:rsidRPr="00741FEB">
        <w:rPr>
          <w:rFonts w:eastAsia="Arial"/>
          <w:color w:val="62136D" w:themeColor="accent2"/>
        </w:rPr>
        <w:t xml:space="preserve">s have a consistent minimum level of protection. </w:t>
      </w:r>
      <w:r w:rsidR="00EC4331" w:rsidRPr="00741FEB">
        <w:rPr>
          <w:rFonts w:eastAsia="Arial"/>
          <w:color w:val="62136D" w:themeColor="accent2"/>
        </w:rPr>
        <w:t>This would require legislative change.</w:t>
      </w:r>
    </w:p>
    <w:p w14:paraId="4B90A9F9" w14:textId="7E858AFF" w:rsidR="00CC76D4" w:rsidRPr="00741FEB" w:rsidRDefault="00CC76D4" w:rsidP="006B5146">
      <w:pPr>
        <w:pStyle w:val="BoxText"/>
        <w:shd w:val="clear" w:color="auto" w:fill="F2F2F2" w:themeFill="background1" w:themeFillShade="F2"/>
        <w:rPr>
          <w:rFonts w:eastAsia="Arial"/>
          <w:color w:val="62136D" w:themeColor="accent2"/>
        </w:rPr>
      </w:pPr>
      <w:r w:rsidRPr="00741FEB">
        <w:rPr>
          <w:rFonts w:eastAsia="Arial"/>
          <w:b/>
          <w:color w:val="62136D" w:themeColor="accent2"/>
        </w:rPr>
        <w:t>Recommendation 2</w:t>
      </w:r>
      <w:r w:rsidR="005C3E18" w:rsidRPr="00741FEB">
        <w:rPr>
          <w:rFonts w:eastAsia="Arial"/>
          <w:b/>
          <w:color w:val="62136D" w:themeColor="accent2"/>
        </w:rPr>
        <w:t>f</w:t>
      </w:r>
      <w:r w:rsidRPr="00741FEB">
        <w:rPr>
          <w:rFonts w:eastAsia="Arial"/>
          <w:b/>
          <w:color w:val="62136D" w:themeColor="accent2"/>
        </w:rPr>
        <w:t xml:space="preserve">: </w:t>
      </w:r>
      <w:r w:rsidR="009C08BF" w:rsidRPr="0066537F">
        <w:rPr>
          <w:rFonts w:eastAsia="Arial"/>
          <w:color w:val="7030A0"/>
        </w:rPr>
        <w:t>(</w:t>
      </w:r>
      <w:r w:rsidR="009C08BF" w:rsidRPr="0066537F">
        <w:rPr>
          <w:rFonts w:ascii="Bauhaus 93" w:eastAsia="Arial" w:hAnsi="Bauhaus 93"/>
          <w:color w:val="7030A0"/>
        </w:rPr>
        <w:t>N</w:t>
      </w:r>
      <w:r w:rsidR="009C08BF" w:rsidRPr="0066537F">
        <w:rPr>
          <w:rFonts w:eastAsia="Arial"/>
          <w:color w:val="7030A0"/>
        </w:rPr>
        <w:t>)</w:t>
      </w:r>
      <w:r w:rsidR="009C08BF">
        <w:rPr>
          <w:rFonts w:eastAsia="Arial"/>
          <w:color w:val="7030A0"/>
        </w:rPr>
        <w:t xml:space="preserve"> </w:t>
      </w:r>
      <w:r w:rsidRPr="00741FEB">
        <w:rPr>
          <w:rFonts w:eastAsia="Arial"/>
          <w:color w:val="62136D" w:themeColor="accent2"/>
        </w:rPr>
        <w:t>The Australian,</w:t>
      </w:r>
      <w:r w:rsidRPr="00741FEB">
        <w:rPr>
          <w:rFonts w:eastAsia="Arial"/>
          <w:b/>
          <w:color w:val="62136D" w:themeColor="accent2"/>
        </w:rPr>
        <w:t xml:space="preserve"> </w:t>
      </w:r>
      <w:r w:rsidRPr="00741FEB">
        <w:rPr>
          <w:rFonts w:eastAsia="Arial"/>
          <w:color w:val="62136D" w:themeColor="accent2"/>
        </w:rPr>
        <w:t xml:space="preserve">state and territory governments should review funding to regulators </w:t>
      </w:r>
      <w:r w:rsidR="00FE3FBC" w:rsidRPr="00741FEB">
        <w:rPr>
          <w:rFonts w:eastAsia="Arial"/>
          <w:color w:val="62136D" w:themeColor="accent2"/>
        </w:rPr>
        <w:t xml:space="preserve">to ensure </w:t>
      </w:r>
      <w:r w:rsidRPr="00741FEB">
        <w:rPr>
          <w:rFonts w:eastAsia="Arial"/>
          <w:color w:val="62136D" w:themeColor="accent2"/>
        </w:rPr>
        <w:t xml:space="preserve">compliance activities </w:t>
      </w:r>
      <w:r w:rsidR="00CB7684" w:rsidRPr="00741FEB">
        <w:rPr>
          <w:rFonts w:eastAsia="Arial"/>
          <w:color w:val="62136D" w:themeColor="accent2"/>
        </w:rPr>
        <w:t xml:space="preserve">are sufficient to protect </w:t>
      </w:r>
      <w:r w:rsidRPr="00741FEB">
        <w:rPr>
          <w:rFonts w:eastAsia="Arial"/>
          <w:color w:val="62136D" w:themeColor="accent2"/>
        </w:rPr>
        <w:t>consumer</w:t>
      </w:r>
      <w:r w:rsidR="00A80D3C">
        <w:rPr>
          <w:rFonts w:eastAsia="Arial"/>
          <w:color w:val="62136D" w:themeColor="accent2"/>
        </w:rPr>
        <w:t>s</w:t>
      </w:r>
      <w:r w:rsidR="00CB7684" w:rsidRPr="00741FEB">
        <w:rPr>
          <w:rFonts w:eastAsia="Arial"/>
          <w:color w:val="62136D" w:themeColor="accent2"/>
        </w:rPr>
        <w:t xml:space="preserve"> from gambling risk and harm</w:t>
      </w:r>
      <w:r w:rsidR="0057388F" w:rsidRPr="00741FEB">
        <w:rPr>
          <w:rFonts w:eastAsia="Arial"/>
          <w:color w:val="62136D" w:themeColor="accent2"/>
        </w:rPr>
        <w:t>.</w:t>
      </w:r>
    </w:p>
    <w:p w14:paraId="312377C8" w14:textId="2350DF4A" w:rsidR="00144D96" w:rsidRDefault="00144D96" w:rsidP="00D16AEE">
      <w:pPr>
        <w:pStyle w:val="Heading3"/>
      </w:pPr>
      <w:bookmarkStart w:id="11" w:name="_Toc233643272"/>
      <w:r>
        <w:t>M</w:t>
      </w:r>
      <w:r w:rsidRPr="003D4BA6">
        <w:t>easure protection and consistency</w:t>
      </w:r>
      <w:bookmarkEnd w:id="11"/>
      <w:r>
        <w:t xml:space="preserve"> </w:t>
      </w:r>
    </w:p>
    <w:p w14:paraId="38B6EF9A" w14:textId="77777777" w:rsidR="00144D96" w:rsidRPr="00B422D8" w:rsidRDefault="00144D96" w:rsidP="00D16AEE">
      <w:pPr>
        <w:pStyle w:val="Heading4"/>
      </w:pPr>
      <w:r w:rsidRPr="00843A16">
        <w:t>Key findings</w:t>
      </w:r>
    </w:p>
    <w:p w14:paraId="46A82FBA" w14:textId="7EC455DD" w:rsidR="000A5A11" w:rsidRDefault="000A5A11" w:rsidP="00D16AEE">
      <w:pPr>
        <w:pStyle w:val="ListBullet"/>
      </w:pPr>
      <w:r>
        <w:t xml:space="preserve">The NPS consists of 71 principles across the 10 measures. </w:t>
      </w:r>
      <w:r w:rsidRPr="00843A16">
        <w:t>All measures were implemented with a high degree of consistency</w:t>
      </w:r>
      <w:r>
        <w:t xml:space="preserve"> across jurisdictions</w:t>
      </w:r>
      <w:r w:rsidRPr="00843A16">
        <w:t xml:space="preserve"> in their timing and features. </w:t>
      </w:r>
      <w:r>
        <w:t xml:space="preserve">Six of the measures (restrictions on credit and payday lenders, customer verification, </w:t>
      </w:r>
      <w:r w:rsidRPr="00766AB2">
        <w:t>CGM</w:t>
      </w:r>
      <w:r>
        <w:t xml:space="preserve">, staff training and the NSER) were implemented consistent with the NCPF principles, </w:t>
      </w:r>
      <w:r w:rsidRPr="00766AB2">
        <w:t>although</w:t>
      </w:r>
      <w:r>
        <w:t xml:space="preserve"> staff training and the NSER did not meet the 18-month implementation time</w:t>
      </w:r>
      <w:r w:rsidR="00A527F3">
        <w:t xml:space="preserve"> </w:t>
      </w:r>
      <w:r>
        <w:t xml:space="preserve">frame. </w:t>
      </w:r>
    </w:p>
    <w:p w14:paraId="3D3BCFEE" w14:textId="59ED7396" w:rsidR="000A5A11" w:rsidRDefault="000A5A11" w:rsidP="00D16AEE">
      <w:pPr>
        <w:pStyle w:val="ListBullet"/>
      </w:pPr>
      <w:r>
        <w:t xml:space="preserve">Implementation of the other 4 measures </w:t>
      </w:r>
      <w:r w:rsidRPr="00843A16">
        <w:t>(restrictions on inducements, account closure, deposit limits</w:t>
      </w:r>
      <w:r>
        <w:t xml:space="preserve"> and</w:t>
      </w:r>
      <w:r w:rsidRPr="00843A16">
        <w:t xml:space="preserve"> activity statements) </w:t>
      </w:r>
      <w:r>
        <w:t>aligned with</w:t>
      </w:r>
      <w:r w:rsidR="007E540E">
        <w:t xml:space="preserve"> </w:t>
      </w:r>
      <w:r>
        <w:t>their related NCPF principles</w:t>
      </w:r>
      <w:r w:rsidR="00076735">
        <w:t>,</w:t>
      </w:r>
      <w:r>
        <w:t xml:space="preserve"> </w:t>
      </w:r>
      <w:proofErr w:type="gramStart"/>
      <w:r w:rsidR="00076735">
        <w:t xml:space="preserve">with the </w:t>
      </w:r>
      <w:r w:rsidR="007E540E">
        <w:t>except</w:t>
      </w:r>
      <w:r w:rsidR="00076735">
        <w:t xml:space="preserve">ion </w:t>
      </w:r>
      <w:r w:rsidR="00431B40">
        <w:t>of</w:t>
      </w:r>
      <w:proofErr w:type="gramEnd"/>
      <w:r>
        <w:t xml:space="preserve"> </w:t>
      </w:r>
      <w:r w:rsidR="00C27D66">
        <w:t>6</w:t>
      </w:r>
      <w:r>
        <w:t xml:space="preserve"> principles. </w:t>
      </w:r>
      <w:r w:rsidRPr="00766AB2">
        <w:t xml:space="preserve">These </w:t>
      </w:r>
      <w:r w:rsidR="00076735">
        <w:t>we</w:t>
      </w:r>
      <w:r w:rsidR="00076735" w:rsidRPr="00766AB2">
        <w:t xml:space="preserve">re </w:t>
      </w:r>
      <w:r w:rsidRPr="00766AB2">
        <w:t xml:space="preserve">principles 15, 17, 24, 35, 38 and 47 (as numbered in this report). The wording for 5 </w:t>
      </w:r>
      <w:r w:rsidR="00EC7C66">
        <w:t xml:space="preserve">of these </w:t>
      </w:r>
      <w:r w:rsidRPr="00766AB2">
        <w:t xml:space="preserve">principles was ambiguous and there was oversight around the detail </w:t>
      </w:r>
      <w:r w:rsidR="00EC7C66">
        <w:t>of</w:t>
      </w:r>
      <w:r w:rsidRPr="00766AB2">
        <w:t xml:space="preserve"> one principle. This resulted in inconsistent guidance between jurisdictions. One principle was not actioned, namely a feasibility study for a centralised pre-commitment system </w:t>
      </w:r>
      <w:r w:rsidR="00EC7C66">
        <w:t>to be</w:t>
      </w:r>
      <w:r w:rsidRPr="00766AB2">
        <w:t xml:space="preserve"> commissioned and considered by governments.</w:t>
      </w:r>
      <w:r w:rsidR="00253EED">
        <w:t xml:space="preserve"> A centralised deposit </w:t>
      </w:r>
      <w:r w:rsidR="00B21293">
        <w:t xml:space="preserve">limit </w:t>
      </w:r>
      <w:r w:rsidR="00253EED">
        <w:t xml:space="preserve">scheme would enable wagerers to set a deposit limit that applied across all </w:t>
      </w:r>
      <w:r w:rsidR="00066794">
        <w:t xml:space="preserve">online </w:t>
      </w:r>
      <w:r w:rsidR="00253EED">
        <w:t>WSPs.</w:t>
      </w:r>
    </w:p>
    <w:p w14:paraId="3AA4C3BD" w14:textId="6B39237F" w:rsidR="000A5A11" w:rsidRPr="00843A16" w:rsidRDefault="000A5A11" w:rsidP="00D16AEE">
      <w:pPr>
        <w:pStyle w:val="ListBullet"/>
      </w:pPr>
      <w:r>
        <w:t xml:space="preserve">WSPs have not aligned their </w:t>
      </w:r>
      <w:r w:rsidRPr="00766AB2">
        <w:t xml:space="preserve">implementation of </w:t>
      </w:r>
      <w:r>
        <w:t xml:space="preserve">CGM with </w:t>
      </w:r>
      <w:r w:rsidR="00155F16">
        <w:t>that</w:t>
      </w:r>
      <w:r>
        <w:t xml:space="preserve"> measure’s </w:t>
      </w:r>
      <w:r w:rsidR="00155F16">
        <w:t xml:space="preserve">full </w:t>
      </w:r>
      <w:r>
        <w:t>guidance. Where there was inconsistent</w:t>
      </w:r>
      <w:r w:rsidRPr="00843A16">
        <w:t xml:space="preserve"> </w:t>
      </w:r>
      <w:r>
        <w:t xml:space="preserve">implementation across jurisdictions, this resulted in inconsistent levels </w:t>
      </w:r>
      <w:r w:rsidRPr="00843A16">
        <w:t xml:space="preserve">of protection </w:t>
      </w:r>
      <w:r>
        <w:t xml:space="preserve">provided to consumers. </w:t>
      </w:r>
    </w:p>
    <w:p w14:paraId="5DF6012D" w14:textId="36E4842F" w:rsidR="00144D96" w:rsidRPr="00843A16" w:rsidRDefault="00144D96" w:rsidP="00D16AEE">
      <w:pPr>
        <w:pStyle w:val="ListBullet"/>
      </w:pPr>
      <w:r>
        <w:t>State and territory governments</w:t>
      </w:r>
      <w:r w:rsidRPr="00843A16">
        <w:t xml:space="preserve"> </w:t>
      </w:r>
      <w:r>
        <w:t>should</w:t>
      </w:r>
      <w:r w:rsidRPr="00843A16">
        <w:t xml:space="preserve"> improve the consistency of measures by aligning legislation, regulations and operational guidance to ensure all Australian consumers receive the same minimum level of protection. </w:t>
      </w:r>
    </w:p>
    <w:p w14:paraId="24E48513" w14:textId="77AFC50E" w:rsidR="008667C3" w:rsidRDefault="008667C3" w:rsidP="00D16AEE">
      <w:pPr>
        <w:pStyle w:val="BodyText"/>
        <w:rPr>
          <w:u w:val="single"/>
        </w:rPr>
      </w:pPr>
      <w:r w:rsidRPr="00605D96">
        <w:t xml:space="preserve">The following section of </w:t>
      </w:r>
      <w:r w:rsidR="004C4CA9" w:rsidRPr="00605D96">
        <w:t>t</w:t>
      </w:r>
      <w:r w:rsidRPr="00605D96">
        <w:t>his evaluation provides findings and recommendations for 5 of the 10 measures aimed at improving both consistency and the level of protection offered. The involvement of the Australian Government may assist with coordination.</w:t>
      </w:r>
      <w:r>
        <w:t xml:space="preserve"> </w:t>
      </w:r>
    </w:p>
    <w:p w14:paraId="32AB0B99" w14:textId="0A13BCA5" w:rsidR="00F14416" w:rsidRPr="00B422D8" w:rsidRDefault="00706911" w:rsidP="00D16AEE">
      <w:pPr>
        <w:pStyle w:val="Heading4"/>
      </w:pPr>
      <w:r w:rsidRPr="00074143">
        <w:lastRenderedPageBreak/>
        <w:t xml:space="preserve">Restrictions on </w:t>
      </w:r>
      <w:r w:rsidR="00DD0FAC">
        <w:t>i</w:t>
      </w:r>
      <w:r w:rsidR="00DD0FAC" w:rsidRPr="00074143">
        <w:t>nducements</w:t>
      </w:r>
      <w:r w:rsidR="00DD0FAC">
        <w:t xml:space="preserve">: </w:t>
      </w:r>
      <w:r w:rsidR="009B5004" w:rsidRPr="00843A16">
        <w:t>k</w:t>
      </w:r>
      <w:r w:rsidR="00F14416" w:rsidRPr="00843A16">
        <w:t>ey findings</w:t>
      </w:r>
    </w:p>
    <w:p w14:paraId="137C56B4" w14:textId="7465CE1F" w:rsidR="00D63AEC" w:rsidRDefault="00425054" w:rsidP="00D16AEE">
      <w:pPr>
        <w:pStyle w:val="ListBullet"/>
        <w:rPr>
          <w:rFonts w:eastAsia="Arial"/>
        </w:rPr>
      </w:pPr>
      <w:r w:rsidRPr="00425054">
        <w:rPr>
          <w:rFonts w:eastAsia="Arial"/>
        </w:rPr>
        <w:t>Jurisdictions interpret inducements differently</w:t>
      </w:r>
      <w:r>
        <w:rPr>
          <w:rFonts w:eastAsia="Arial"/>
        </w:rPr>
        <w:t xml:space="preserve">, with </w:t>
      </w:r>
      <w:r w:rsidRPr="00D92E4B">
        <w:rPr>
          <w:rFonts w:eastAsia="Arial"/>
        </w:rPr>
        <w:t>s</w:t>
      </w:r>
      <w:r w:rsidR="00127ECE" w:rsidRPr="00D92E4B">
        <w:rPr>
          <w:rFonts w:eastAsia="Arial"/>
        </w:rPr>
        <w:t xml:space="preserve">everal </w:t>
      </w:r>
      <w:r w:rsidR="00D92E4B" w:rsidRPr="00D92E4B">
        <w:rPr>
          <w:rFonts w:eastAsia="Arial"/>
        </w:rPr>
        <w:t xml:space="preserve">providing </w:t>
      </w:r>
      <w:r w:rsidR="00127ECE" w:rsidRPr="00D92E4B">
        <w:rPr>
          <w:rFonts w:eastAsia="Arial"/>
        </w:rPr>
        <w:t xml:space="preserve">consumer protections that are stronger than the NCPF. </w:t>
      </w:r>
      <w:r w:rsidR="00D92E4B" w:rsidRPr="00D92E4B">
        <w:rPr>
          <w:rFonts w:eastAsia="Arial"/>
        </w:rPr>
        <w:t>However</w:t>
      </w:r>
      <w:r w:rsidR="00892D11">
        <w:rPr>
          <w:rFonts w:eastAsia="Arial"/>
        </w:rPr>
        <w:t>,</w:t>
      </w:r>
      <w:r w:rsidR="00D92E4B" w:rsidRPr="00D92E4B">
        <w:rPr>
          <w:rFonts w:eastAsia="Arial"/>
        </w:rPr>
        <w:t xml:space="preserve"> </w:t>
      </w:r>
      <w:r w:rsidR="00D63AEC">
        <w:rPr>
          <w:rFonts w:eastAsia="Arial"/>
        </w:rPr>
        <w:t>d</w:t>
      </w:r>
      <w:r w:rsidR="00D63AEC" w:rsidRPr="00D92E4B">
        <w:rPr>
          <w:rFonts w:eastAsia="Arial"/>
        </w:rPr>
        <w:t xml:space="preserve">ifferent jurisdictional interpretations may result in minimum consumer protections varying across states and territories. </w:t>
      </w:r>
    </w:p>
    <w:p w14:paraId="12D6C2B5" w14:textId="7D58F8B5" w:rsidR="00127ECE" w:rsidRPr="00D63AEC" w:rsidRDefault="00D63AEC" w:rsidP="00D16AEE">
      <w:pPr>
        <w:pStyle w:val="ListBullet"/>
        <w:rPr>
          <w:rFonts w:eastAsia="Arial"/>
        </w:rPr>
      </w:pPr>
      <w:r>
        <w:rPr>
          <w:rFonts w:eastAsia="Arial"/>
        </w:rPr>
        <w:t>T</w:t>
      </w:r>
      <w:r w:rsidR="00D92E4B" w:rsidRPr="00D92E4B">
        <w:rPr>
          <w:rFonts w:eastAsia="Arial"/>
        </w:rPr>
        <w:t xml:space="preserve">his inconsistency means there are </w:t>
      </w:r>
      <w:r w:rsidR="00127ECE" w:rsidRPr="00D63AEC">
        <w:rPr>
          <w:rFonts w:eastAsia="Arial"/>
        </w:rPr>
        <w:t xml:space="preserve">differences in permitted behaviour </w:t>
      </w:r>
      <w:r w:rsidR="00D92E4B" w:rsidRPr="00D63AEC">
        <w:rPr>
          <w:rFonts w:eastAsia="Arial"/>
        </w:rPr>
        <w:t xml:space="preserve">depending on </w:t>
      </w:r>
      <w:r w:rsidR="009B5004">
        <w:rPr>
          <w:rFonts w:eastAsia="Arial"/>
        </w:rPr>
        <w:t xml:space="preserve">the </w:t>
      </w:r>
      <w:r w:rsidR="00D92E4B" w:rsidRPr="00D63AEC">
        <w:rPr>
          <w:rFonts w:eastAsia="Arial"/>
        </w:rPr>
        <w:t>geographic location</w:t>
      </w:r>
      <w:r w:rsidR="00FD1C0C">
        <w:rPr>
          <w:rFonts w:eastAsia="Arial"/>
        </w:rPr>
        <w:t xml:space="preserve"> of the consumer</w:t>
      </w:r>
      <w:r w:rsidR="00D92E4B" w:rsidRPr="00D63AEC">
        <w:rPr>
          <w:rFonts w:eastAsia="Arial"/>
        </w:rPr>
        <w:t>.</w:t>
      </w:r>
      <w:r w:rsidR="00662C0B" w:rsidRPr="00D63AEC">
        <w:rPr>
          <w:rFonts w:eastAsia="Arial"/>
        </w:rPr>
        <w:t xml:space="preserve"> </w:t>
      </w:r>
      <w:r w:rsidR="00F678AB" w:rsidRPr="00D63AEC">
        <w:rPr>
          <w:rFonts w:eastAsia="Arial"/>
        </w:rPr>
        <w:t xml:space="preserve">This problem </w:t>
      </w:r>
      <w:r w:rsidR="00F6357A" w:rsidRPr="00D63AEC">
        <w:rPr>
          <w:rFonts w:eastAsia="Arial"/>
        </w:rPr>
        <w:t xml:space="preserve">will </w:t>
      </w:r>
      <w:r w:rsidR="00527C1B">
        <w:rPr>
          <w:rFonts w:eastAsia="Arial"/>
        </w:rPr>
        <w:t>require active management</w:t>
      </w:r>
      <w:r w:rsidR="00F6357A" w:rsidRPr="00D63AEC">
        <w:rPr>
          <w:rFonts w:eastAsia="Arial"/>
        </w:rPr>
        <w:t xml:space="preserve"> </w:t>
      </w:r>
      <w:r w:rsidR="00F678AB" w:rsidRPr="00D63AEC">
        <w:rPr>
          <w:rFonts w:eastAsia="Arial"/>
        </w:rPr>
        <w:t xml:space="preserve">as the wagering industry introduces new </w:t>
      </w:r>
      <w:r w:rsidR="00C11E9C" w:rsidRPr="00D63AEC">
        <w:rPr>
          <w:rFonts w:eastAsia="Arial"/>
        </w:rPr>
        <w:t xml:space="preserve">types of inducements. </w:t>
      </w:r>
    </w:p>
    <w:p w14:paraId="53F855FF" w14:textId="469DFEFD" w:rsidR="00127ECE" w:rsidRPr="00293CB5" w:rsidRDefault="00E56DE2" w:rsidP="00D16AEE">
      <w:pPr>
        <w:pStyle w:val="ListBullet"/>
        <w:rPr>
          <w:rFonts w:eastAsia="Arial"/>
        </w:rPr>
      </w:pPr>
      <w:r>
        <w:rPr>
          <w:rFonts w:eastAsia="Arial"/>
        </w:rPr>
        <w:t xml:space="preserve">Some </w:t>
      </w:r>
      <w:r w:rsidR="00127ECE" w:rsidRPr="00843A16">
        <w:rPr>
          <w:rFonts w:eastAsia="Arial"/>
        </w:rPr>
        <w:t xml:space="preserve">WSPs require customers </w:t>
      </w:r>
      <w:r w:rsidR="00127ECE">
        <w:rPr>
          <w:rFonts w:eastAsia="Arial"/>
        </w:rPr>
        <w:t xml:space="preserve">to </w:t>
      </w:r>
      <w:r w:rsidR="00A071B6">
        <w:rPr>
          <w:rFonts w:eastAsia="Arial"/>
        </w:rPr>
        <w:t>consent to direct</w:t>
      </w:r>
      <w:r w:rsidR="00127ECE" w:rsidRPr="00843A16">
        <w:rPr>
          <w:rFonts w:eastAsia="Arial"/>
        </w:rPr>
        <w:t xml:space="preserve"> marketing </w:t>
      </w:r>
      <w:r w:rsidR="00D46DBD">
        <w:rPr>
          <w:rFonts w:eastAsia="Arial"/>
        </w:rPr>
        <w:t>to</w:t>
      </w:r>
      <w:r w:rsidR="00127ECE" w:rsidRPr="00843A16">
        <w:rPr>
          <w:rFonts w:eastAsia="Arial"/>
        </w:rPr>
        <w:t xml:space="preserve"> open an account, undermining the intended model. </w:t>
      </w:r>
      <w:r w:rsidR="00127ECE" w:rsidRPr="00293CB5">
        <w:rPr>
          <w:rFonts w:eastAsia="Arial"/>
        </w:rPr>
        <w:t>Victoria</w:t>
      </w:r>
      <w:r w:rsidR="00F84E50">
        <w:rPr>
          <w:rFonts w:eastAsia="Arial"/>
        </w:rPr>
        <w:t>, SA</w:t>
      </w:r>
      <w:r w:rsidR="00A24B04">
        <w:rPr>
          <w:rFonts w:eastAsia="Arial"/>
        </w:rPr>
        <w:t xml:space="preserve"> and WA</w:t>
      </w:r>
      <w:r w:rsidR="00127ECE" w:rsidRPr="00293CB5">
        <w:rPr>
          <w:rFonts w:eastAsia="Arial"/>
        </w:rPr>
        <w:t xml:space="preserve"> resolved this in their </w:t>
      </w:r>
      <w:proofErr w:type="gramStart"/>
      <w:r w:rsidR="00127ECE" w:rsidRPr="00293CB5">
        <w:rPr>
          <w:rFonts w:eastAsia="Arial"/>
        </w:rPr>
        <w:t>legislation</w:t>
      </w:r>
      <w:proofErr w:type="gramEnd"/>
      <w:r w:rsidR="00127ECE" w:rsidRPr="00293CB5">
        <w:rPr>
          <w:rFonts w:eastAsia="Arial"/>
        </w:rPr>
        <w:t xml:space="preserve"> but other jurisdictions have not</w:t>
      </w:r>
      <w:r w:rsidR="00A24B04">
        <w:rPr>
          <w:rFonts w:eastAsia="Arial"/>
        </w:rPr>
        <w:t xml:space="preserve"> yet</w:t>
      </w:r>
      <w:r w:rsidR="00127ECE" w:rsidRPr="00293CB5">
        <w:rPr>
          <w:rFonts w:eastAsia="Arial"/>
        </w:rPr>
        <w:t xml:space="preserve"> addressed </w:t>
      </w:r>
      <w:r w:rsidR="00A10D78">
        <w:rPr>
          <w:rFonts w:eastAsia="Arial"/>
        </w:rPr>
        <w:t xml:space="preserve">this </w:t>
      </w:r>
      <w:r w:rsidR="00127ECE">
        <w:rPr>
          <w:rFonts w:eastAsia="Arial"/>
        </w:rPr>
        <w:t>issue.</w:t>
      </w:r>
    </w:p>
    <w:p w14:paraId="3BE4E9F4" w14:textId="18F088FC" w:rsidR="00DD0FAC" w:rsidRPr="00D16AEE" w:rsidRDefault="00DD0FAC" w:rsidP="006B5146">
      <w:pPr>
        <w:pStyle w:val="BoxText"/>
        <w:rPr>
          <w:rFonts w:eastAsia="Arial"/>
          <w:b/>
          <w:color w:val="auto"/>
        </w:rPr>
      </w:pPr>
      <w:r w:rsidRPr="00D16AEE">
        <w:rPr>
          <w:rFonts w:eastAsia="Arial"/>
          <w:b/>
          <w:color w:val="auto"/>
        </w:rPr>
        <w:t>Recommendations</w:t>
      </w:r>
    </w:p>
    <w:p w14:paraId="41012468" w14:textId="22F34302" w:rsidR="00127ECE" w:rsidRPr="00741FEB" w:rsidRDefault="00127ECE" w:rsidP="006B5146">
      <w:pPr>
        <w:pStyle w:val="BoxText"/>
        <w:rPr>
          <w:rFonts w:eastAsia="Arial"/>
          <w:color w:val="62136D" w:themeColor="accent2"/>
        </w:rPr>
      </w:pPr>
      <w:r w:rsidRPr="00741FEB">
        <w:rPr>
          <w:rFonts w:eastAsia="Arial"/>
          <w:b/>
          <w:color w:val="62136D" w:themeColor="accent2"/>
        </w:rPr>
        <w:t xml:space="preserve">Recommendation </w:t>
      </w:r>
      <w:r w:rsidR="000F3EF9" w:rsidRPr="00741FEB">
        <w:rPr>
          <w:rFonts w:eastAsia="Arial"/>
          <w:b/>
          <w:color w:val="62136D" w:themeColor="accent2"/>
        </w:rPr>
        <w:t>3</w:t>
      </w:r>
      <w:r w:rsidR="00E017DB" w:rsidRPr="00741FEB">
        <w:rPr>
          <w:rFonts w:eastAsia="Arial"/>
          <w:b/>
          <w:color w:val="62136D" w:themeColor="accent2"/>
        </w:rPr>
        <w:t>a</w:t>
      </w:r>
      <w:r w:rsidRPr="00741FEB">
        <w:rPr>
          <w:rFonts w:eastAsia="Arial"/>
          <w:b/>
          <w:color w:val="62136D" w:themeColor="accent2"/>
        </w:rPr>
        <w:t>:</w:t>
      </w:r>
      <w:r w:rsidRPr="00741FEB">
        <w:rPr>
          <w:rFonts w:eastAsia="Arial"/>
          <w:color w:val="62136D" w:themeColor="accent2"/>
        </w:rPr>
        <w:t xml:space="preserve"> </w:t>
      </w:r>
      <w:r w:rsidR="009C08BF" w:rsidRPr="0066537F">
        <w:rPr>
          <w:rFonts w:eastAsia="Arial"/>
          <w:color w:val="7030A0"/>
        </w:rPr>
        <w:t>(</w:t>
      </w:r>
      <w:r w:rsidR="009C08BF" w:rsidRPr="0066537F">
        <w:rPr>
          <w:rFonts w:ascii="Bauhaus 93" w:eastAsia="Arial" w:hAnsi="Bauhaus 93"/>
          <w:color w:val="7030A0"/>
        </w:rPr>
        <w:t>N</w:t>
      </w:r>
      <w:r w:rsidR="009C08BF" w:rsidRPr="0066537F">
        <w:rPr>
          <w:rFonts w:eastAsia="Arial"/>
          <w:color w:val="7030A0"/>
        </w:rPr>
        <w:t>)</w:t>
      </w:r>
      <w:r w:rsidR="009C08BF">
        <w:rPr>
          <w:rFonts w:eastAsia="Arial"/>
          <w:color w:val="7030A0"/>
        </w:rPr>
        <w:t xml:space="preserve"> </w:t>
      </w:r>
      <w:r w:rsidRPr="00741FEB">
        <w:rPr>
          <w:rFonts w:eastAsia="Arial"/>
          <w:color w:val="62136D" w:themeColor="accent2"/>
        </w:rPr>
        <w:t>Australian</w:t>
      </w:r>
      <w:r w:rsidR="00801FDA" w:rsidRPr="00741FEB">
        <w:rPr>
          <w:rFonts w:eastAsia="Arial"/>
          <w:color w:val="62136D" w:themeColor="accent2"/>
        </w:rPr>
        <w:t xml:space="preserve"> and </w:t>
      </w:r>
      <w:r w:rsidR="007D3BB0" w:rsidRPr="00741FEB">
        <w:rPr>
          <w:rFonts w:eastAsia="Arial"/>
          <w:color w:val="62136D" w:themeColor="accent2"/>
        </w:rPr>
        <w:t>state and territory</w:t>
      </w:r>
      <w:r w:rsidRPr="00741FEB">
        <w:rPr>
          <w:rFonts w:eastAsia="Arial"/>
          <w:color w:val="62136D" w:themeColor="accent2"/>
        </w:rPr>
        <w:t xml:space="preserve"> government policy makers and regulators should work together to adopt consistent</w:t>
      </w:r>
      <w:r w:rsidRPr="00741FEB" w:rsidDel="00930214">
        <w:rPr>
          <w:rFonts w:eastAsia="Arial"/>
          <w:color w:val="62136D" w:themeColor="accent2"/>
        </w:rPr>
        <w:t xml:space="preserve"> </w:t>
      </w:r>
      <w:r w:rsidRPr="00741FEB">
        <w:rPr>
          <w:rFonts w:eastAsia="Arial"/>
          <w:color w:val="62136D" w:themeColor="accent2"/>
        </w:rPr>
        <w:t>definitions of online wagering inducements, including</w:t>
      </w:r>
      <w:r w:rsidR="002461B2" w:rsidRPr="00741FEB">
        <w:rPr>
          <w:rFonts w:eastAsia="Arial"/>
          <w:color w:val="62136D" w:themeColor="accent2"/>
        </w:rPr>
        <w:t xml:space="preserve"> for</w:t>
      </w:r>
      <w:r w:rsidRPr="00741FEB">
        <w:rPr>
          <w:rFonts w:eastAsia="Arial"/>
          <w:color w:val="62136D" w:themeColor="accent2"/>
        </w:rPr>
        <w:t xml:space="preserve"> </w:t>
      </w:r>
      <w:r w:rsidR="002461B2" w:rsidRPr="00741FEB">
        <w:rPr>
          <w:rFonts w:eastAsia="Arial"/>
          <w:color w:val="62136D" w:themeColor="accent2"/>
        </w:rPr>
        <w:t xml:space="preserve">any </w:t>
      </w:r>
      <w:r w:rsidRPr="00741FEB">
        <w:rPr>
          <w:rFonts w:eastAsia="Arial"/>
          <w:color w:val="62136D" w:themeColor="accent2"/>
        </w:rPr>
        <w:t>new types of inducements introduced by wagering operators</w:t>
      </w:r>
      <w:r w:rsidR="00F5778B" w:rsidRPr="00741FEB">
        <w:rPr>
          <w:rFonts w:eastAsia="Arial"/>
          <w:color w:val="62136D" w:themeColor="accent2"/>
        </w:rPr>
        <w:t>, to be reflected in legislation as appropriate</w:t>
      </w:r>
      <w:r w:rsidRPr="00741FEB">
        <w:rPr>
          <w:rFonts w:eastAsia="Arial"/>
          <w:color w:val="62136D" w:themeColor="accent2"/>
        </w:rPr>
        <w:t xml:space="preserve">. </w:t>
      </w:r>
    </w:p>
    <w:p w14:paraId="49560EE6" w14:textId="7DD5A8D8" w:rsidR="000E26B8" w:rsidRPr="00741FEB" w:rsidRDefault="000E26B8" w:rsidP="000E26B8">
      <w:pPr>
        <w:pStyle w:val="BoxText"/>
        <w:rPr>
          <w:rFonts w:eastAsia="Arial"/>
          <w:b/>
          <w:color w:val="62136D" w:themeColor="accent2"/>
        </w:rPr>
      </w:pPr>
      <w:r w:rsidRPr="00741FEB">
        <w:rPr>
          <w:rFonts w:eastAsia="Arial"/>
          <w:b/>
          <w:color w:val="62136D" w:themeColor="accent2"/>
        </w:rPr>
        <w:t xml:space="preserve">Recommendation 3b: </w:t>
      </w:r>
      <w:r w:rsidR="009C08BF" w:rsidRPr="0066537F">
        <w:rPr>
          <w:rFonts w:eastAsia="Arial"/>
          <w:color w:val="7030A0"/>
        </w:rPr>
        <w:t>(</w:t>
      </w:r>
      <w:r w:rsidR="009C08BF" w:rsidRPr="0066537F">
        <w:rPr>
          <w:rFonts w:ascii="Bauhaus 93" w:eastAsia="Arial" w:hAnsi="Bauhaus 93"/>
          <w:color w:val="7030A0"/>
        </w:rPr>
        <w:t>N</w:t>
      </w:r>
      <w:r w:rsidR="009C08BF" w:rsidRPr="0066537F">
        <w:rPr>
          <w:rFonts w:eastAsia="Arial"/>
          <w:color w:val="7030A0"/>
        </w:rPr>
        <w:t>)</w:t>
      </w:r>
      <w:r w:rsidR="009C08BF">
        <w:rPr>
          <w:rFonts w:eastAsia="Arial"/>
          <w:color w:val="7030A0"/>
        </w:rPr>
        <w:t xml:space="preserve"> </w:t>
      </w:r>
      <w:r w:rsidRPr="00741FEB">
        <w:rPr>
          <w:rFonts w:eastAsia="Arial"/>
          <w:color w:val="62136D" w:themeColor="accent2"/>
        </w:rPr>
        <w:t xml:space="preserve">State and territory policy makers should </w:t>
      </w:r>
      <w:r w:rsidR="00B26D55" w:rsidRPr="00741FEB">
        <w:rPr>
          <w:rFonts w:eastAsia="Arial"/>
          <w:color w:val="62136D" w:themeColor="accent2"/>
        </w:rPr>
        <w:t xml:space="preserve">explore </w:t>
      </w:r>
      <w:r w:rsidR="00E142B1" w:rsidRPr="00741FEB">
        <w:rPr>
          <w:rFonts w:eastAsia="Arial"/>
          <w:color w:val="62136D" w:themeColor="accent2"/>
        </w:rPr>
        <w:t xml:space="preserve">and </w:t>
      </w:r>
      <w:r w:rsidR="000D5A35" w:rsidRPr="00741FEB">
        <w:rPr>
          <w:rFonts w:eastAsia="Arial"/>
          <w:color w:val="62136D" w:themeColor="accent2"/>
        </w:rPr>
        <w:t xml:space="preserve">work toward </w:t>
      </w:r>
      <w:r w:rsidRPr="00741FEB">
        <w:rPr>
          <w:rFonts w:eastAsia="Arial"/>
          <w:color w:val="62136D" w:themeColor="accent2"/>
        </w:rPr>
        <w:t>increased consistency in restrictions on offers of inducements, given some jurisdictions already have stronger protections.</w:t>
      </w:r>
    </w:p>
    <w:p w14:paraId="63DE7DA0" w14:textId="4328E3E2" w:rsidR="00127ECE" w:rsidRDefault="00127ECE" w:rsidP="006B5146">
      <w:pPr>
        <w:pStyle w:val="BoxText"/>
        <w:shd w:val="clear" w:color="auto" w:fill="F2F2F2" w:themeFill="background1" w:themeFillShade="F2"/>
        <w:rPr>
          <w:rFonts w:eastAsia="Arial"/>
        </w:rPr>
      </w:pPr>
      <w:r w:rsidRPr="00843A16">
        <w:rPr>
          <w:rFonts w:eastAsia="Arial"/>
          <w:b/>
        </w:rPr>
        <w:t xml:space="preserve">Recommendation </w:t>
      </w:r>
      <w:r w:rsidR="00E017DB">
        <w:rPr>
          <w:rFonts w:eastAsia="Arial"/>
          <w:b/>
        </w:rPr>
        <w:t>3</w:t>
      </w:r>
      <w:r w:rsidR="0066039D">
        <w:rPr>
          <w:rFonts w:eastAsia="Arial"/>
          <w:b/>
        </w:rPr>
        <w:t>c</w:t>
      </w:r>
      <w:r w:rsidRPr="00843A16">
        <w:rPr>
          <w:rFonts w:eastAsia="Arial"/>
          <w:b/>
        </w:rPr>
        <w:t>:</w:t>
      </w:r>
      <w:r w:rsidRPr="00843A16">
        <w:rPr>
          <w:rFonts w:eastAsia="Arial"/>
        </w:rPr>
        <w:t xml:space="preserve"> </w:t>
      </w:r>
      <w:r w:rsidR="009F2603">
        <w:rPr>
          <w:rFonts w:eastAsia="Arial"/>
        </w:rPr>
        <w:t>(</w:t>
      </w:r>
      <w:r w:rsidR="009F2603" w:rsidRPr="000570DE">
        <w:rPr>
          <w:rFonts w:ascii="Bauhaus 93" w:eastAsia="Arial" w:hAnsi="Bauhaus 93"/>
        </w:rPr>
        <w:t>C</w:t>
      </w:r>
      <w:r w:rsidR="009F2603">
        <w:rPr>
          <w:rFonts w:eastAsia="Arial"/>
        </w:rPr>
        <w:t xml:space="preserve">) </w:t>
      </w:r>
      <w:r w:rsidRPr="00843A16">
        <w:rPr>
          <w:rFonts w:eastAsia="Arial"/>
        </w:rPr>
        <w:t xml:space="preserve">State and territory policy makers and regulators should adopt a </w:t>
      </w:r>
      <w:r w:rsidR="00C91ACB">
        <w:rPr>
          <w:rFonts w:eastAsia="Arial"/>
        </w:rPr>
        <w:t xml:space="preserve">national </w:t>
      </w:r>
      <w:r w:rsidRPr="00843A16">
        <w:rPr>
          <w:rFonts w:eastAsia="Arial"/>
        </w:rPr>
        <w:t xml:space="preserve">model that </w:t>
      </w:r>
      <w:r w:rsidR="00461512">
        <w:rPr>
          <w:rFonts w:eastAsia="Arial"/>
        </w:rPr>
        <w:t xml:space="preserve">ensures </w:t>
      </w:r>
      <w:r w:rsidR="0093037E">
        <w:rPr>
          <w:rFonts w:eastAsia="Arial"/>
        </w:rPr>
        <w:t xml:space="preserve">direct marketing </w:t>
      </w:r>
      <w:r w:rsidR="00337D30">
        <w:rPr>
          <w:rFonts w:eastAsia="Arial"/>
        </w:rPr>
        <w:t xml:space="preserve">may only be sent to customers who have provided their express consent to receive this material and </w:t>
      </w:r>
      <w:r w:rsidRPr="00843A16">
        <w:rPr>
          <w:rFonts w:eastAsia="Arial"/>
        </w:rPr>
        <w:t xml:space="preserve">that </w:t>
      </w:r>
      <w:r>
        <w:rPr>
          <w:rFonts w:eastAsia="Arial"/>
        </w:rPr>
        <w:t xml:space="preserve">all </w:t>
      </w:r>
      <w:r w:rsidRPr="00843A16">
        <w:rPr>
          <w:rFonts w:eastAsia="Arial"/>
        </w:rPr>
        <w:t>customers can open online wagering accounts without need</w:t>
      </w:r>
      <w:r w:rsidR="00BB7A6D">
        <w:rPr>
          <w:rFonts w:eastAsia="Arial"/>
        </w:rPr>
        <w:t>ing</w:t>
      </w:r>
      <w:r w:rsidRPr="00843A16">
        <w:rPr>
          <w:rFonts w:eastAsia="Arial"/>
        </w:rPr>
        <w:t xml:space="preserve"> to consent to direct marketing. </w:t>
      </w:r>
    </w:p>
    <w:p w14:paraId="511DF9DD" w14:textId="364C12E4" w:rsidR="00037E93" w:rsidRPr="00741FEB" w:rsidRDefault="00037E93" w:rsidP="006B5146">
      <w:pPr>
        <w:pStyle w:val="BoxText"/>
        <w:shd w:val="clear" w:color="auto" w:fill="F2F2F2" w:themeFill="background1" w:themeFillShade="F2"/>
        <w:rPr>
          <w:rFonts w:eastAsia="Arial"/>
          <w:color w:val="005BA3" w:themeColor="accent4"/>
        </w:rPr>
      </w:pPr>
      <w:r w:rsidRPr="00615117">
        <w:rPr>
          <w:rFonts w:eastAsia="Arial"/>
          <w:b/>
          <w:color w:val="005BA3" w:themeColor="accent4"/>
        </w:rPr>
        <w:t>Recommendation 3d:</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003E41EA" w:rsidRPr="00741FEB">
        <w:rPr>
          <w:color w:val="005BA3" w:themeColor="accent4"/>
        </w:rPr>
        <w:t xml:space="preserve">State and territory policy makers and regulators should adopt a </w:t>
      </w:r>
      <w:r w:rsidR="003E41EA">
        <w:rPr>
          <w:color w:val="005BA3" w:themeColor="accent4"/>
        </w:rPr>
        <w:t xml:space="preserve">nationally </w:t>
      </w:r>
      <w:r w:rsidR="003E41EA" w:rsidRPr="00741FEB">
        <w:rPr>
          <w:color w:val="005BA3" w:themeColor="accent4"/>
        </w:rPr>
        <w:t xml:space="preserve">consistent requirement that WSPs cease sending direct marketing materials immediately upon receipt of an unsubscribe request, with a </w:t>
      </w:r>
      <w:r w:rsidR="00A80D3C">
        <w:rPr>
          <w:color w:val="005BA3" w:themeColor="accent4"/>
        </w:rPr>
        <w:t>consistent</w:t>
      </w:r>
      <w:r w:rsidR="00A80D3C" w:rsidRPr="00741FEB">
        <w:rPr>
          <w:color w:val="005BA3" w:themeColor="accent4"/>
        </w:rPr>
        <w:t xml:space="preserve"> </w:t>
      </w:r>
      <w:r w:rsidR="003E41EA" w:rsidRPr="00741FEB">
        <w:rPr>
          <w:color w:val="005BA3" w:themeColor="accent4"/>
        </w:rPr>
        <w:t>maximum time</w:t>
      </w:r>
      <w:r w:rsidR="00A10D78">
        <w:rPr>
          <w:color w:val="005BA3" w:themeColor="accent4"/>
        </w:rPr>
        <w:t xml:space="preserve"> </w:t>
      </w:r>
      <w:r w:rsidR="003E41EA" w:rsidRPr="00741FEB">
        <w:rPr>
          <w:color w:val="005BA3" w:themeColor="accent4"/>
        </w:rPr>
        <w:t xml:space="preserve">frame to </w:t>
      </w:r>
      <w:r w:rsidR="003E41EA" w:rsidRPr="00AB63CA">
        <w:rPr>
          <w:color w:val="005BA3" w:themeColor="accent4"/>
        </w:rPr>
        <w:t>accommodate</w:t>
      </w:r>
      <w:r w:rsidR="003E41EA" w:rsidRPr="00741FEB">
        <w:rPr>
          <w:color w:val="005BA3" w:themeColor="accent4"/>
        </w:rPr>
        <w:t xml:space="preserve"> processing</w:t>
      </w:r>
      <w:r w:rsidR="00D978AE" w:rsidRPr="00741FEB">
        <w:rPr>
          <w:color w:val="005BA3" w:themeColor="accent4"/>
        </w:rPr>
        <w:t>.</w:t>
      </w:r>
    </w:p>
    <w:p w14:paraId="1F2FD03E" w14:textId="57812010" w:rsidR="00F14416" w:rsidRPr="00B422D8" w:rsidRDefault="00706911" w:rsidP="00D16AEE">
      <w:pPr>
        <w:pStyle w:val="Heading4"/>
      </w:pPr>
      <w:r w:rsidRPr="00074143">
        <w:t xml:space="preserve">Account </w:t>
      </w:r>
      <w:r w:rsidR="00A10D78" w:rsidRPr="00074143">
        <w:t>closure</w:t>
      </w:r>
      <w:r w:rsidR="00A10D78">
        <w:t xml:space="preserve">: </w:t>
      </w:r>
      <w:r w:rsidR="00A10D78" w:rsidRPr="00843A16">
        <w:rPr>
          <w:rFonts w:eastAsia="Arial"/>
        </w:rPr>
        <w:t xml:space="preserve">key </w:t>
      </w:r>
      <w:r w:rsidR="00F14416" w:rsidRPr="00843A16">
        <w:t>finding</w:t>
      </w:r>
      <w:r w:rsidR="00F425B3">
        <w:t>s</w:t>
      </w:r>
    </w:p>
    <w:p w14:paraId="32F2A923" w14:textId="62C6D58B" w:rsidR="00954CCF" w:rsidRPr="00843A16" w:rsidRDefault="00921455" w:rsidP="00D16AEE">
      <w:pPr>
        <w:pStyle w:val="BodyText"/>
      </w:pPr>
      <w:r w:rsidRPr="00D16AEE">
        <w:rPr>
          <w:rStyle w:val="BodyTextChar"/>
        </w:rPr>
        <w:t xml:space="preserve">There is a lack of national consistency in the length of time WSPs </w:t>
      </w:r>
      <w:proofErr w:type="gramStart"/>
      <w:r w:rsidRPr="00D16AEE">
        <w:rPr>
          <w:rStyle w:val="BodyTextChar"/>
        </w:rPr>
        <w:t>have to</w:t>
      </w:r>
      <w:proofErr w:type="gramEnd"/>
      <w:r w:rsidRPr="00D16AEE">
        <w:rPr>
          <w:rStyle w:val="BodyTextChar"/>
        </w:rPr>
        <w:t xml:space="preserve"> stop sending direct marketing material</w:t>
      </w:r>
      <w:r w:rsidR="00191B9A">
        <w:rPr>
          <w:rStyle w:val="BodyTextChar"/>
        </w:rPr>
        <w:t>s</w:t>
      </w:r>
      <w:r w:rsidRPr="00D16AEE">
        <w:rPr>
          <w:rStyle w:val="BodyTextChar"/>
        </w:rPr>
        <w:t xml:space="preserve"> to consumers after they receive the unsubscribe request from consumers. Regulators and c</w:t>
      </w:r>
      <w:r w:rsidR="00954CCF" w:rsidRPr="00D16AEE">
        <w:rPr>
          <w:rStyle w:val="BodyTextChar"/>
        </w:rPr>
        <w:t>onsumers</w:t>
      </w:r>
      <w:r w:rsidR="007C29B8" w:rsidRPr="00D16AEE">
        <w:rPr>
          <w:rStyle w:val="BodyTextChar"/>
        </w:rPr>
        <w:t xml:space="preserve"> </w:t>
      </w:r>
      <w:r w:rsidR="005D5E17" w:rsidRPr="00D16AEE">
        <w:rPr>
          <w:rStyle w:val="BodyTextChar"/>
        </w:rPr>
        <w:t xml:space="preserve">reported </w:t>
      </w:r>
      <w:r w:rsidR="007C29B8" w:rsidRPr="00D16AEE">
        <w:rPr>
          <w:rStyle w:val="BodyTextChar"/>
        </w:rPr>
        <w:t xml:space="preserve">WSPs continued to send direct marketing materials to consumers after they had closed </w:t>
      </w:r>
      <w:r w:rsidR="000B5C8D" w:rsidRPr="00D16AEE">
        <w:rPr>
          <w:rStyle w:val="BodyTextChar"/>
        </w:rPr>
        <w:t>their accounts and that consumers could easily re-open their account.</w:t>
      </w:r>
      <w:r w:rsidR="000B5C8D">
        <w:t xml:space="preserve"> </w:t>
      </w:r>
      <w:r w:rsidR="004F35DB">
        <w:t>Consumers</w:t>
      </w:r>
      <w:r w:rsidR="000B5C8D">
        <w:t xml:space="preserve"> also </w:t>
      </w:r>
      <w:r w:rsidR="001B2DEB">
        <w:t xml:space="preserve">reported </w:t>
      </w:r>
      <w:r w:rsidR="005D5E17">
        <w:t>experiencing confusion</w:t>
      </w:r>
      <w:r w:rsidR="00954CCF" w:rsidRPr="00843A16">
        <w:t xml:space="preserve"> around account closure, account suspension, self-exclusion and the </w:t>
      </w:r>
      <w:r w:rsidR="004414D6">
        <w:t>‘</w:t>
      </w:r>
      <w:r w:rsidR="00954CCF" w:rsidRPr="00843A16">
        <w:t>tak</w:t>
      </w:r>
      <w:r w:rsidR="002461B2">
        <w:t>e</w:t>
      </w:r>
      <w:r w:rsidR="00954CCF" w:rsidRPr="00843A16">
        <w:t>-a-break</w:t>
      </w:r>
      <w:r w:rsidR="004414D6">
        <w:t>’</w:t>
      </w:r>
      <w:r w:rsidR="00954CCF" w:rsidRPr="00843A16">
        <w:t xml:space="preserve"> consumer protection tools offered by WSPs. </w:t>
      </w:r>
    </w:p>
    <w:p w14:paraId="48CBBB13" w14:textId="764A4036" w:rsidR="00BB6D16" w:rsidRPr="00D16AEE" w:rsidRDefault="00BB6D16" w:rsidP="00C63DCD">
      <w:pPr>
        <w:pStyle w:val="ListBullet"/>
        <w:numPr>
          <w:ilvl w:val="0"/>
          <w:numId w:val="0"/>
        </w:numPr>
        <w:shd w:val="clear" w:color="auto" w:fill="F2F2F2" w:themeFill="background1" w:themeFillShade="F2"/>
        <w:rPr>
          <w:b/>
          <w:color w:val="auto"/>
        </w:rPr>
      </w:pPr>
      <w:r w:rsidRPr="00D16AEE">
        <w:rPr>
          <w:b/>
          <w:color w:val="auto"/>
        </w:rPr>
        <w:t>Recommendations</w:t>
      </w:r>
    </w:p>
    <w:p w14:paraId="34080A53" w14:textId="4CFB2777" w:rsidR="00C63DCD" w:rsidRPr="00741FEB" w:rsidRDefault="00954CCF" w:rsidP="00C63DCD">
      <w:pPr>
        <w:pStyle w:val="ListBullet"/>
        <w:numPr>
          <w:ilvl w:val="0"/>
          <w:numId w:val="0"/>
        </w:numPr>
        <w:shd w:val="clear" w:color="auto" w:fill="F2F2F2" w:themeFill="background1" w:themeFillShade="F2"/>
        <w:rPr>
          <w:rFonts w:eastAsia="Arial"/>
          <w:color w:val="005BA3" w:themeColor="accent4"/>
        </w:rPr>
      </w:pPr>
      <w:r w:rsidRPr="00741FEB">
        <w:rPr>
          <w:b/>
          <w:color w:val="005BA3" w:themeColor="accent4"/>
        </w:rPr>
        <w:t xml:space="preserve">Recommendation </w:t>
      </w:r>
      <w:r w:rsidR="00C63DCD" w:rsidRPr="00741FEB">
        <w:rPr>
          <w:b/>
          <w:color w:val="005BA3" w:themeColor="accent4"/>
        </w:rPr>
        <w:t xml:space="preserve">4a: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00C63DCD" w:rsidRPr="00741FEB">
        <w:rPr>
          <w:color w:val="005BA3" w:themeColor="accent4"/>
        </w:rPr>
        <w:t xml:space="preserve">State and territory policy makers </w:t>
      </w:r>
      <w:r w:rsidR="00C63DCD" w:rsidRPr="00741FEB">
        <w:rPr>
          <w:rFonts w:eastAsia="Arial"/>
          <w:color w:val="005BA3" w:themeColor="accent4"/>
        </w:rPr>
        <w:t xml:space="preserve">should adopt a </w:t>
      </w:r>
      <w:r w:rsidR="00680409">
        <w:rPr>
          <w:rFonts w:eastAsia="Arial"/>
          <w:color w:val="005BA3" w:themeColor="accent4"/>
        </w:rPr>
        <w:t>national</w:t>
      </w:r>
      <w:r w:rsidR="003B13B2">
        <w:rPr>
          <w:rFonts w:eastAsia="Arial"/>
          <w:color w:val="005BA3" w:themeColor="accent4"/>
        </w:rPr>
        <w:t>ly consistent</w:t>
      </w:r>
      <w:r w:rsidR="00680409">
        <w:rPr>
          <w:rFonts w:eastAsia="Arial"/>
          <w:color w:val="005BA3" w:themeColor="accent4"/>
        </w:rPr>
        <w:t xml:space="preserve"> </w:t>
      </w:r>
      <w:r w:rsidR="00C63DCD" w:rsidRPr="00741FEB">
        <w:rPr>
          <w:rFonts w:eastAsia="Arial"/>
          <w:color w:val="005BA3" w:themeColor="accent4"/>
        </w:rPr>
        <w:t xml:space="preserve">model of account closure </w:t>
      </w:r>
      <w:r w:rsidR="000A7769">
        <w:rPr>
          <w:rFonts w:eastAsia="Arial"/>
          <w:color w:val="005BA3" w:themeColor="accent4"/>
        </w:rPr>
        <w:t xml:space="preserve">where the </w:t>
      </w:r>
      <w:r w:rsidR="00452B11">
        <w:rPr>
          <w:rFonts w:eastAsia="Arial"/>
          <w:color w:val="005BA3" w:themeColor="accent4"/>
        </w:rPr>
        <w:t xml:space="preserve">account is completely closed </w:t>
      </w:r>
      <w:r w:rsidR="005B14C1">
        <w:rPr>
          <w:rFonts w:eastAsia="Arial"/>
          <w:color w:val="005BA3" w:themeColor="accent4"/>
        </w:rPr>
        <w:t xml:space="preserve">and not easily recoverable and that this </w:t>
      </w:r>
      <w:r w:rsidR="00BB6D16">
        <w:rPr>
          <w:rFonts w:eastAsia="Arial"/>
          <w:color w:val="005BA3" w:themeColor="accent4"/>
        </w:rPr>
        <w:t xml:space="preserve">is </w:t>
      </w:r>
      <w:r w:rsidR="005B14C1">
        <w:rPr>
          <w:rFonts w:eastAsia="Arial"/>
          <w:color w:val="005BA3" w:themeColor="accent4"/>
        </w:rPr>
        <w:t xml:space="preserve">actioned by WSPs as soon as reasonably practicable, with a </w:t>
      </w:r>
      <w:r w:rsidR="000B7D91" w:rsidRPr="00741FEB">
        <w:rPr>
          <w:color w:val="005BA3" w:themeColor="accent4"/>
        </w:rPr>
        <w:t>consistent maximum time</w:t>
      </w:r>
      <w:r w:rsidR="00BB6D16">
        <w:rPr>
          <w:color w:val="005BA3" w:themeColor="accent4"/>
        </w:rPr>
        <w:t xml:space="preserve"> </w:t>
      </w:r>
      <w:r w:rsidR="000B7D91" w:rsidRPr="00741FEB">
        <w:rPr>
          <w:color w:val="005BA3" w:themeColor="accent4"/>
        </w:rPr>
        <w:t xml:space="preserve">frame to </w:t>
      </w:r>
      <w:r w:rsidR="00A01333" w:rsidRPr="00741FEB">
        <w:rPr>
          <w:color w:val="005BA3" w:themeColor="accent4"/>
        </w:rPr>
        <w:t>accommodate</w:t>
      </w:r>
      <w:r w:rsidR="000B7D91" w:rsidRPr="00741FEB">
        <w:rPr>
          <w:color w:val="005BA3" w:themeColor="accent4"/>
        </w:rPr>
        <w:t xml:space="preserve"> processing</w:t>
      </w:r>
      <w:r w:rsidR="00C63DCD" w:rsidRPr="00741FEB">
        <w:rPr>
          <w:rFonts w:eastAsia="Arial"/>
          <w:color w:val="005BA3" w:themeColor="accent4"/>
        </w:rPr>
        <w:t>.</w:t>
      </w:r>
    </w:p>
    <w:p w14:paraId="224F5FF6" w14:textId="5A25DE57" w:rsidR="00954CCF" w:rsidRPr="00741FEB" w:rsidRDefault="00954CCF" w:rsidP="000F3EF9">
      <w:pPr>
        <w:pStyle w:val="ListBullet"/>
        <w:numPr>
          <w:ilvl w:val="0"/>
          <w:numId w:val="0"/>
        </w:numPr>
        <w:shd w:val="clear" w:color="auto" w:fill="F2F2F2" w:themeFill="background1" w:themeFillShade="F2"/>
        <w:rPr>
          <w:color w:val="005BA3" w:themeColor="accent4"/>
        </w:rPr>
      </w:pPr>
      <w:r w:rsidRPr="00741FEB">
        <w:rPr>
          <w:b/>
          <w:color w:val="005BA3" w:themeColor="accent4"/>
        </w:rPr>
        <w:t xml:space="preserve">Recommendation </w:t>
      </w:r>
      <w:r w:rsidR="00E017DB" w:rsidRPr="00741FEB">
        <w:rPr>
          <w:b/>
          <w:color w:val="005BA3" w:themeColor="accent4"/>
        </w:rPr>
        <w:t>4</w:t>
      </w:r>
      <w:r w:rsidR="005F0534" w:rsidRPr="00741FEB">
        <w:rPr>
          <w:b/>
          <w:color w:val="005BA3" w:themeColor="accent4"/>
        </w:rPr>
        <w:t>b</w:t>
      </w:r>
      <w:r w:rsidRPr="00741FEB">
        <w:rPr>
          <w:b/>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color w:val="005BA3" w:themeColor="accent4"/>
        </w:rPr>
        <w:t xml:space="preserve">State and territory policy makers should </w:t>
      </w:r>
      <w:r w:rsidR="00F53C25" w:rsidRPr="00741FEB">
        <w:rPr>
          <w:color w:val="005BA3" w:themeColor="accent4"/>
        </w:rPr>
        <w:t xml:space="preserve">agree to </w:t>
      </w:r>
      <w:r w:rsidR="00205B87" w:rsidRPr="00741FEB">
        <w:rPr>
          <w:color w:val="005BA3" w:themeColor="accent4"/>
        </w:rPr>
        <w:t>provid</w:t>
      </w:r>
      <w:r w:rsidR="00A80D3C">
        <w:rPr>
          <w:color w:val="005BA3" w:themeColor="accent4"/>
        </w:rPr>
        <w:t>e</w:t>
      </w:r>
      <w:r w:rsidR="00205B87" w:rsidRPr="00741FEB">
        <w:rPr>
          <w:color w:val="005BA3" w:themeColor="accent4"/>
        </w:rPr>
        <w:t xml:space="preserve"> </w:t>
      </w:r>
      <w:r w:rsidR="00F53C25" w:rsidRPr="00741FEB">
        <w:rPr>
          <w:color w:val="005BA3" w:themeColor="accent4"/>
        </w:rPr>
        <w:t xml:space="preserve">consistent </w:t>
      </w:r>
      <w:r w:rsidR="006A2F3E" w:rsidRPr="00741FEB">
        <w:rPr>
          <w:color w:val="005BA3" w:themeColor="accent4"/>
        </w:rPr>
        <w:t xml:space="preserve">information </w:t>
      </w:r>
      <w:r w:rsidRPr="00741FEB">
        <w:rPr>
          <w:color w:val="005BA3" w:themeColor="accent4"/>
        </w:rPr>
        <w:t xml:space="preserve">to customers about the differences between </w:t>
      </w:r>
      <w:r w:rsidRPr="00741FEB">
        <w:rPr>
          <w:rFonts w:eastAsia="Arial"/>
          <w:color w:val="005BA3" w:themeColor="accent4"/>
        </w:rPr>
        <w:t>account closure, account suspension, self-exclusion and taking a break</w:t>
      </w:r>
      <w:r w:rsidR="00217402" w:rsidRPr="00741FEB">
        <w:rPr>
          <w:rFonts w:eastAsia="Arial"/>
          <w:color w:val="005BA3" w:themeColor="accent4"/>
        </w:rPr>
        <w:t>.</w:t>
      </w:r>
    </w:p>
    <w:p w14:paraId="29367AB9" w14:textId="22DF8891" w:rsidR="00F14416" w:rsidRPr="00B422D8" w:rsidRDefault="00706911" w:rsidP="00D16AEE">
      <w:pPr>
        <w:pStyle w:val="Heading4"/>
      </w:pPr>
      <w:r w:rsidRPr="00074143">
        <w:lastRenderedPageBreak/>
        <w:t xml:space="preserve">Deposit </w:t>
      </w:r>
      <w:r w:rsidR="00BB6D16" w:rsidRPr="00074143">
        <w:t>limits</w:t>
      </w:r>
      <w:r w:rsidR="00BB6D16">
        <w:t>:</w:t>
      </w:r>
      <w:r w:rsidR="00BB6D16" w:rsidRPr="00074143">
        <w:t xml:space="preserve"> </w:t>
      </w:r>
      <w:r w:rsidR="00BB6D16" w:rsidRPr="00843A16">
        <w:t xml:space="preserve">key </w:t>
      </w:r>
      <w:r w:rsidR="00F14416" w:rsidRPr="00843A16">
        <w:t>finding</w:t>
      </w:r>
      <w:r w:rsidR="00F425B3">
        <w:t>s</w:t>
      </w:r>
    </w:p>
    <w:p w14:paraId="5BF117CB" w14:textId="559F22EF" w:rsidR="000F3EF9" w:rsidRPr="00843A16" w:rsidRDefault="000F3EF9" w:rsidP="00D16AEE">
      <w:pPr>
        <w:pStyle w:val="BodyText"/>
      </w:pPr>
      <w:r w:rsidRPr="00843A16">
        <w:t xml:space="preserve">Jurisdictions have not implemented this measure consistently, with only 2 jurisdictions </w:t>
      </w:r>
      <w:r>
        <w:t>(ACT and T</w:t>
      </w:r>
      <w:r w:rsidR="00BB6D16">
        <w:t>as</w:t>
      </w:r>
      <w:r>
        <w:t xml:space="preserve">) </w:t>
      </w:r>
      <w:r w:rsidRPr="00843A16">
        <w:t xml:space="preserve">making it mandatory for WSPs to offer deposit limits for </w:t>
      </w:r>
      <w:r w:rsidR="007213F2">
        <w:t xml:space="preserve">the </w:t>
      </w:r>
      <w:r w:rsidRPr="00843A16">
        <w:t>4 time periods</w:t>
      </w:r>
      <w:r w:rsidR="007213F2">
        <w:t xml:space="preserve"> in the </w:t>
      </w:r>
      <w:r w:rsidR="00A87833">
        <w:t>NPS</w:t>
      </w:r>
      <w:r w:rsidRPr="00843A16">
        <w:t xml:space="preserve"> (daily, weekly, fortnightly and monthly). </w:t>
      </w:r>
    </w:p>
    <w:p w14:paraId="5939E494" w14:textId="169C7516" w:rsidR="00BB6D16" w:rsidRPr="00D16AEE" w:rsidRDefault="00BB6D16" w:rsidP="000F3EF9">
      <w:pPr>
        <w:pStyle w:val="ListBullet"/>
        <w:numPr>
          <w:ilvl w:val="0"/>
          <w:numId w:val="0"/>
        </w:numPr>
        <w:shd w:val="clear" w:color="auto" w:fill="F2F2F2" w:themeFill="background1" w:themeFillShade="F2"/>
        <w:rPr>
          <w:b/>
          <w:bCs/>
          <w:color w:val="auto"/>
        </w:rPr>
      </w:pPr>
      <w:r w:rsidRPr="00D16AEE">
        <w:rPr>
          <w:b/>
          <w:bCs/>
          <w:color w:val="auto"/>
        </w:rPr>
        <w:t>Recommendations</w:t>
      </w:r>
    </w:p>
    <w:p w14:paraId="4B2AACDF" w14:textId="0A637E02" w:rsidR="000F3EF9" w:rsidRPr="00843A16" w:rsidRDefault="000F3EF9" w:rsidP="000F3EF9">
      <w:pPr>
        <w:pStyle w:val="ListBullet"/>
        <w:numPr>
          <w:ilvl w:val="0"/>
          <w:numId w:val="0"/>
        </w:numPr>
        <w:shd w:val="clear" w:color="auto" w:fill="F2F2F2" w:themeFill="background1" w:themeFillShade="F2"/>
        <w:rPr>
          <w:rFonts w:eastAsia="Arial"/>
        </w:rPr>
      </w:pPr>
      <w:r w:rsidRPr="00843A16">
        <w:rPr>
          <w:b/>
          <w:bCs/>
        </w:rPr>
        <w:t xml:space="preserve">Recommendation </w:t>
      </w:r>
      <w:r w:rsidR="00E017DB">
        <w:rPr>
          <w:b/>
          <w:bCs/>
        </w:rPr>
        <w:t>5a</w:t>
      </w:r>
      <w:r w:rsidRPr="00843A16">
        <w:rPr>
          <w:b/>
          <w:bCs/>
        </w:rPr>
        <w:t xml:space="preserve">: </w:t>
      </w:r>
      <w:r w:rsidR="009F2603">
        <w:rPr>
          <w:rFonts w:eastAsia="Arial"/>
        </w:rPr>
        <w:t>(</w:t>
      </w:r>
      <w:r w:rsidR="009F2603" w:rsidRPr="000570DE">
        <w:rPr>
          <w:rFonts w:ascii="Bauhaus 93" w:eastAsia="Arial" w:hAnsi="Bauhaus 93"/>
        </w:rPr>
        <w:t>C</w:t>
      </w:r>
      <w:r w:rsidR="009F2603">
        <w:rPr>
          <w:rFonts w:eastAsia="Arial"/>
        </w:rPr>
        <w:t xml:space="preserve">) </w:t>
      </w:r>
      <w:r w:rsidRPr="00843A16">
        <w:t>State and territory policy makers and regulators should align their legislation and guidance to be consistent with the NCPF requirement to make it mandatory for WSPs to offer deposit limits for 4 time periods</w:t>
      </w:r>
      <w:r w:rsidR="001658D4">
        <w:t xml:space="preserve">: </w:t>
      </w:r>
      <w:r w:rsidRPr="00843A16">
        <w:t xml:space="preserve">daily, weekly, fortnightly and monthly. </w:t>
      </w:r>
    </w:p>
    <w:p w14:paraId="3F36D6F4" w14:textId="5D688B88" w:rsidR="000F3EF9" w:rsidRDefault="000F3EF9" w:rsidP="000F3EF9">
      <w:pPr>
        <w:pStyle w:val="ListBullet"/>
        <w:numPr>
          <w:ilvl w:val="0"/>
          <w:numId w:val="0"/>
        </w:numPr>
        <w:shd w:val="clear" w:color="auto" w:fill="F2F2F2" w:themeFill="background1" w:themeFillShade="F2"/>
        <w:rPr>
          <w:rFonts w:eastAsia="Arial"/>
        </w:rPr>
      </w:pPr>
      <w:r w:rsidRPr="00843A16">
        <w:rPr>
          <w:rFonts w:eastAsia="Arial"/>
          <w:b/>
          <w:bCs/>
        </w:rPr>
        <w:t xml:space="preserve">Recommendation </w:t>
      </w:r>
      <w:r w:rsidR="00E017DB">
        <w:rPr>
          <w:rFonts w:eastAsia="Arial"/>
          <w:b/>
          <w:bCs/>
        </w:rPr>
        <w:t>5b</w:t>
      </w:r>
      <w:r w:rsidRPr="00843A16">
        <w:rPr>
          <w:rFonts w:eastAsia="Arial"/>
          <w:b/>
          <w:bCs/>
        </w:rPr>
        <w:t>:</w:t>
      </w:r>
      <w:r w:rsidRPr="00843A16">
        <w:rPr>
          <w:rFonts w:eastAsia="Arial"/>
        </w:rPr>
        <w:t xml:space="preserve"> </w:t>
      </w:r>
      <w:r w:rsidR="009F2603">
        <w:rPr>
          <w:rFonts w:eastAsia="Arial"/>
        </w:rPr>
        <w:t>(</w:t>
      </w:r>
      <w:r w:rsidR="009F2603" w:rsidRPr="000570DE">
        <w:rPr>
          <w:rFonts w:ascii="Bauhaus 93" w:eastAsia="Arial" w:hAnsi="Bauhaus 93"/>
        </w:rPr>
        <w:t>C</w:t>
      </w:r>
      <w:r w:rsidR="009F2603">
        <w:rPr>
          <w:rFonts w:eastAsia="Arial"/>
        </w:rPr>
        <w:t xml:space="preserve">) </w:t>
      </w:r>
      <w:r w:rsidR="00BB6D16">
        <w:rPr>
          <w:rFonts w:eastAsia="Arial"/>
        </w:rPr>
        <w:t xml:space="preserve">The </w:t>
      </w:r>
      <w:r w:rsidR="005D4721">
        <w:rPr>
          <w:rFonts w:eastAsia="Arial"/>
        </w:rPr>
        <w:t>DSS should commission a</w:t>
      </w:r>
      <w:r w:rsidRPr="00843A16">
        <w:rPr>
          <w:rFonts w:eastAsia="Arial"/>
        </w:rPr>
        <w:t xml:space="preserve"> multi-operator deposit scheme feasibility study. </w:t>
      </w:r>
    </w:p>
    <w:p w14:paraId="7A7851FC" w14:textId="2E8EDC71" w:rsidR="00F14416" w:rsidRPr="00D16AEE" w:rsidRDefault="00706911" w:rsidP="00D16AEE">
      <w:pPr>
        <w:pStyle w:val="Heading4"/>
      </w:pPr>
      <w:r w:rsidRPr="00BB6D16">
        <w:t xml:space="preserve">Activity </w:t>
      </w:r>
      <w:r w:rsidR="00BB6D16" w:rsidRPr="00BB6D16">
        <w:t xml:space="preserve">statements: </w:t>
      </w:r>
      <w:r w:rsidR="00BB6D16" w:rsidRPr="00D16AEE">
        <w:t xml:space="preserve">key </w:t>
      </w:r>
      <w:r w:rsidR="00F14416" w:rsidRPr="00D16AEE">
        <w:t>findings</w:t>
      </w:r>
    </w:p>
    <w:p w14:paraId="0311D698" w14:textId="0AEA4C7A" w:rsidR="004C783F" w:rsidRPr="00843A16" w:rsidRDefault="000F3EF9" w:rsidP="00D16AEE">
      <w:pPr>
        <w:pStyle w:val="ListBullet"/>
        <w:rPr>
          <w:rFonts w:eastAsia="Arial"/>
        </w:rPr>
      </w:pPr>
      <w:r w:rsidRPr="004C783F">
        <w:rPr>
          <w:rFonts w:eastAsia="Arial"/>
        </w:rPr>
        <w:t>Activity statements offered by WSPs vary significantly from each other and</w:t>
      </w:r>
      <w:r w:rsidR="00321C7D" w:rsidRPr="004C783F">
        <w:rPr>
          <w:rFonts w:eastAsia="Arial"/>
        </w:rPr>
        <w:t xml:space="preserve"> from</w:t>
      </w:r>
      <w:r w:rsidRPr="004C783F">
        <w:rPr>
          <w:rFonts w:eastAsia="Arial"/>
        </w:rPr>
        <w:t xml:space="preserve"> the</w:t>
      </w:r>
      <w:r w:rsidR="004E76EC">
        <w:rPr>
          <w:rFonts w:eastAsia="Arial"/>
        </w:rPr>
        <w:t xml:space="preserve"> Behavioural Economics Team </w:t>
      </w:r>
      <w:r w:rsidR="003A0B61">
        <w:rPr>
          <w:rFonts w:eastAsia="Arial"/>
        </w:rPr>
        <w:t xml:space="preserve">of the </w:t>
      </w:r>
      <w:r w:rsidR="004E76EC">
        <w:rPr>
          <w:rFonts w:eastAsia="Arial"/>
        </w:rPr>
        <w:t>Australia</w:t>
      </w:r>
      <w:r w:rsidR="003A0B61">
        <w:rPr>
          <w:rFonts w:eastAsia="Arial"/>
        </w:rPr>
        <w:t>n Government</w:t>
      </w:r>
      <w:r w:rsidRPr="004C783F">
        <w:rPr>
          <w:rFonts w:eastAsia="Arial"/>
        </w:rPr>
        <w:t xml:space="preserve"> </w:t>
      </w:r>
      <w:r w:rsidR="004E76EC">
        <w:rPr>
          <w:rFonts w:eastAsia="Arial"/>
        </w:rPr>
        <w:t>(</w:t>
      </w:r>
      <w:r w:rsidRPr="004C783F">
        <w:rPr>
          <w:rFonts w:eastAsia="Arial"/>
        </w:rPr>
        <w:t>BETA</w:t>
      </w:r>
      <w:r w:rsidR="004E76EC">
        <w:rPr>
          <w:rFonts w:eastAsia="Arial"/>
        </w:rPr>
        <w:t>)</w:t>
      </w:r>
      <w:r w:rsidRPr="004C783F">
        <w:rPr>
          <w:rFonts w:eastAsia="Arial"/>
        </w:rPr>
        <w:t xml:space="preserve"> template</w:t>
      </w:r>
      <w:r w:rsidR="00A9130F" w:rsidRPr="004C783F">
        <w:rPr>
          <w:rFonts w:eastAsia="Arial"/>
        </w:rPr>
        <w:t>.</w:t>
      </w:r>
      <w:r w:rsidRPr="00843A16">
        <w:rPr>
          <w:vertAlign w:val="superscript"/>
        </w:rPr>
        <w:footnoteReference w:id="2"/>
      </w:r>
      <w:r w:rsidR="00A9130F" w:rsidRPr="004C783F">
        <w:rPr>
          <w:rFonts w:eastAsia="Arial"/>
        </w:rPr>
        <w:t xml:space="preserve"> </w:t>
      </w:r>
      <w:r w:rsidRPr="004C783F">
        <w:rPr>
          <w:rFonts w:eastAsia="Arial"/>
        </w:rPr>
        <w:t>Differences include how activity statements present inducements</w:t>
      </w:r>
      <w:r w:rsidR="00D20F9D">
        <w:rPr>
          <w:rFonts w:eastAsia="Arial"/>
        </w:rPr>
        <w:t>,</w:t>
      </w:r>
      <w:r w:rsidR="00D20F9D" w:rsidRPr="004C783F">
        <w:rPr>
          <w:rFonts w:eastAsia="Arial"/>
        </w:rPr>
        <w:t xml:space="preserve"> </w:t>
      </w:r>
      <w:r w:rsidRPr="004C783F">
        <w:rPr>
          <w:rFonts w:eastAsia="Arial"/>
        </w:rPr>
        <w:t>the font colour applied to wins and losses</w:t>
      </w:r>
      <w:r w:rsidR="00D20F9D">
        <w:rPr>
          <w:rFonts w:eastAsia="Arial"/>
        </w:rPr>
        <w:t>,</w:t>
      </w:r>
      <w:r w:rsidRPr="004C783F">
        <w:rPr>
          <w:rFonts w:eastAsia="Arial"/>
        </w:rPr>
        <w:t xml:space="preserve"> and the use of CGM.</w:t>
      </w:r>
      <w:r w:rsidR="004C783F" w:rsidRPr="004C783F">
        <w:rPr>
          <w:rFonts w:eastAsia="Arial"/>
        </w:rPr>
        <w:t xml:space="preserve"> </w:t>
      </w:r>
      <w:r w:rsidR="004C783F">
        <w:rPr>
          <w:rFonts w:eastAsia="Arial"/>
        </w:rPr>
        <w:t>St</w:t>
      </w:r>
      <w:r w:rsidR="004C783F" w:rsidRPr="004C783F">
        <w:rPr>
          <w:rFonts w:eastAsia="Arial"/>
        </w:rPr>
        <w:t>akeholders largely supported greater consistency for this measure</w:t>
      </w:r>
      <w:r w:rsidR="004C783F">
        <w:rPr>
          <w:rFonts w:eastAsia="Arial"/>
        </w:rPr>
        <w:t>.</w:t>
      </w:r>
    </w:p>
    <w:p w14:paraId="76EDCC83" w14:textId="4BCCA94A" w:rsidR="000F3EF9" w:rsidRPr="00843A16" w:rsidRDefault="000F3EF9" w:rsidP="00D16AEE">
      <w:pPr>
        <w:pStyle w:val="ListBullet"/>
        <w:rPr>
          <w:rFonts w:eastAsia="Arial"/>
        </w:rPr>
      </w:pPr>
      <w:r w:rsidRPr="00843A16">
        <w:rPr>
          <w:rFonts w:eastAsia="Arial"/>
        </w:rPr>
        <w:t xml:space="preserve">Victoria reviewed the activity statement measure shortly after </w:t>
      </w:r>
      <w:r w:rsidR="0088377D">
        <w:rPr>
          <w:rFonts w:eastAsia="Arial"/>
        </w:rPr>
        <w:t xml:space="preserve">it was </w:t>
      </w:r>
      <w:r w:rsidRPr="00843A16">
        <w:rPr>
          <w:rFonts w:eastAsia="Arial"/>
        </w:rPr>
        <w:t>implement</w:t>
      </w:r>
      <w:r w:rsidR="0088377D">
        <w:rPr>
          <w:rFonts w:eastAsia="Arial"/>
        </w:rPr>
        <w:t>ed</w:t>
      </w:r>
      <w:r w:rsidRPr="00843A16">
        <w:rPr>
          <w:rFonts w:eastAsia="Arial"/>
        </w:rPr>
        <w:t xml:space="preserve"> and revised its guidance </w:t>
      </w:r>
      <w:r>
        <w:rPr>
          <w:rFonts w:eastAsia="Arial"/>
        </w:rPr>
        <w:t xml:space="preserve">in 2023 </w:t>
      </w:r>
      <w:r w:rsidRPr="00843A16">
        <w:rPr>
          <w:rFonts w:eastAsia="Arial"/>
        </w:rPr>
        <w:t>to introduce more prescriptive requirements</w:t>
      </w:r>
      <w:r>
        <w:rPr>
          <w:rFonts w:eastAsia="Arial"/>
        </w:rPr>
        <w:t xml:space="preserve"> </w:t>
      </w:r>
      <w:r w:rsidR="00FF5D1F">
        <w:rPr>
          <w:rFonts w:eastAsia="Arial"/>
        </w:rPr>
        <w:t xml:space="preserve">that largely </w:t>
      </w:r>
      <w:r>
        <w:rPr>
          <w:rFonts w:eastAsia="Arial"/>
        </w:rPr>
        <w:t>align</w:t>
      </w:r>
      <w:r w:rsidR="00FF5D1F">
        <w:rPr>
          <w:rFonts w:eastAsia="Arial"/>
        </w:rPr>
        <w:t>ed</w:t>
      </w:r>
      <w:r>
        <w:rPr>
          <w:rFonts w:eastAsia="Arial"/>
        </w:rPr>
        <w:t xml:space="preserve"> with the BETA model</w:t>
      </w:r>
      <w:r w:rsidRPr="00843A16">
        <w:rPr>
          <w:rFonts w:eastAsia="Arial"/>
        </w:rPr>
        <w:t xml:space="preserve">. </w:t>
      </w:r>
    </w:p>
    <w:p w14:paraId="10240F32" w14:textId="48DE0C3D" w:rsidR="00D16AEE" w:rsidRPr="00575ECC" w:rsidRDefault="00D16AEE" w:rsidP="000F3EF9">
      <w:pPr>
        <w:pStyle w:val="ListBullet"/>
        <w:numPr>
          <w:ilvl w:val="0"/>
          <w:numId w:val="0"/>
        </w:numPr>
        <w:shd w:val="clear" w:color="auto" w:fill="F2F2F2" w:themeFill="background1" w:themeFillShade="F2"/>
        <w:rPr>
          <w:b/>
          <w:color w:val="auto"/>
        </w:rPr>
      </w:pPr>
      <w:r w:rsidRPr="00575ECC">
        <w:rPr>
          <w:b/>
          <w:color w:val="auto"/>
        </w:rPr>
        <w:t>Recommendation</w:t>
      </w:r>
    </w:p>
    <w:p w14:paraId="1BCBC669" w14:textId="121674B2" w:rsidR="000F3EF9" w:rsidRPr="00741FEB" w:rsidRDefault="000F3EF9" w:rsidP="000F3EF9">
      <w:pPr>
        <w:pStyle w:val="ListBullet"/>
        <w:numPr>
          <w:ilvl w:val="0"/>
          <w:numId w:val="0"/>
        </w:numPr>
        <w:shd w:val="clear" w:color="auto" w:fill="F2F2F2" w:themeFill="background1" w:themeFillShade="F2"/>
        <w:rPr>
          <w:color w:val="005BA3" w:themeColor="accent4"/>
        </w:rPr>
      </w:pPr>
      <w:r w:rsidRPr="00741FEB">
        <w:rPr>
          <w:b/>
          <w:color w:val="005BA3" w:themeColor="accent4"/>
        </w:rPr>
        <w:t xml:space="preserve">Recommendation </w:t>
      </w:r>
      <w:r w:rsidR="008E34F1" w:rsidRPr="00741FEB">
        <w:rPr>
          <w:b/>
          <w:color w:val="005BA3" w:themeColor="accent4"/>
        </w:rPr>
        <w:t>6</w:t>
      </w:r>
      <w:r w:rsidRPr="00741FEB">
        <w:rPr>
          <w:b/>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color w:val="005BA3" w:themeColor="accent4"/>
        </w:rPr>
        <w:t xml:space="preserve">State and territory policy makers and regulators should adopt </w:t>
      </w:r>
      <w:r w:rsidR="00CE00CF">
        <w:rPr>
          <w:color w:val="005BA3" w:themeColor="accent4"/>
        </w:rPr>
        <w:t xml:space="preserve">nationally </w:t>
      </w:r>
      <w:r w:rsidRPr="00741FEB">
        <w:rPr>
          <w:color w:val="005BA3" w:themeColor="accent4"/>
        </w:rPr>
        <w:t>consistent and prescriptive requirements for activity statements</w:t>
      </w:r>
      <w:r w:rsidR="006D44B1">
        <w:rPr>
          <w:color w:val="005BA3" w:themeColor="accent4"/>
        </w:rPr>
        <w:t xml:space="preserve"> that</w:t>
      </w:r>
      <w:r w:rsidRPr="00741FEB">
        <w:rPr>
          <w:color w:val="005BA3" w:themeColor="accent4"/>
        </w:rPr>
        <w:t xml:space="preserve"> </w:t>
      </w:r>
      <w:r w:rsidRPr="00615117">
        <w:rPr>
          <w:color w:val="005BA3" w:themeColor="accent4"/>
        </w:rPr>
        <w:t xml:space="preserve">align with the </w:t>
      </w:r>
      <w:r w:rsidR="00906163" w:rsidRPr="00615117">
        <w:rPr>
          <w:color w:val="005BA3" w:themeColor="accent4"/>
        </w:rPr>
        <w:t xml:space="preserve">modified version of the </w:t>
      </w:r>
      <w:r w:rsidRPr="00615117">
        <w:rPr>
          <w:color w:val="005BA3" w:themeColor="accent4"/>
        </w:rPr>
        <w:t xml:space="preserve">BETA template and </w:t>
      </w:r>
      <w:r w:rsidRPr="00741FEB">
        <w:rPr>
          <w:color w:val="005BA3" w:themeColor="accent4"/>
        </w:rPr>
        <w:t xml:space="preserve">the requirements under the NPS. </w:t>
      </w:r>
    </w:p>
    <w:p w14:paraId="5D320FCF" w14:textId="79CF8ED6" w:rsidR="00362900" w:rsidRPr="00D16AEE" w:rsidRDefault="00282875" w:rsidP="00D16AEE">
      <w:pPr>
        <w:pStyle w:val="Heading4"/>
      </w:pPr>
      <w:r w:rsidRPr="00643388">
        <w:t>Consisten</w:t>
      </w:r>
      <w:r>
        <w:t>t</w:t>
      </w:r>
      <w:r w:rsidRPr="00643388">
        <w:t xml:space="preserve"> </w:t>
      </w:r>
      <w:r w:rsidR="00643388" w:rsidRPr="00643388">
        <w:t xml:space="preserve">gambling messaging </w:t>
      </w:r>
      <w:r w:rsidR="00321C7D" w:rsidRPr="00643388">
        <w:t>(CGM)</w:t>
      </w:r>
      <w:r w:rsidR="00E2345F" w:rsidRPr="00643388">
        <w:t xml:space="preserve">: </w:t>
      </w:r>
      <w:r w:rsidR="00643388" w:rsidRPr="00643388">
        <w:t>k</w:t>
      </w:r>
      <w:r w:rsidR="00362900" w:rsidRPr="00D16AEE">
        <w:t>ey findings</w:t>
      </w:r>
    </w:p>
    <w:p w14:paraId="6EDC72B7" w14:textId="532171BA" w:rsidR="007A0497" w:rsidRDefault="00DC54CD" w:rsidP="00D16AEE">
      <w:pPr>
        <w:pStyle w:val="ListBullet"/>
        <w:rPr>
          <w:rFonts w:eastAsia="Arial"/>
        </w:rPr>
      </w:pPr>
      <w:r>
        <w:rPr>
          <w:rFonts w:eastAsia="Arial"/>
        </w:rPr>
        <w:t xml:space="preserve">There were delays in implementing the CGM measure due to </w:t>
      </w:r>
      <w:r w:rsidR="00172A7B">
        <w:rPr>
          <w:rFonts w:eastAsia="Arial"/>
        </w:rPr>
        <w:t xml:space="preserve">a dependency </w:t>
      </w:r>
      <w:r w:rsidR="00317E2E">
        <w:rPr>
          <w:rFonts w:eastAsia="Arial"/>
        </w:rPr>
        <w:t xml:space="preserve">on the </w:t>
      </w:r>
      <w:r w:rsidR="003B669D">
        <w:rPr>
          <w:rFonts w:eastAsia="Arial"/>
        </w:rPr>
        <w:t>complet</w:t>
      </w:r>
      <w:r w:rsidR="00317E2E">
        <w:rPr>
          <w:rFonts w:eastAsia="Arial"/>
        </w:rPr>
        <w:t>ion of</w:t>
      </w:r>
      <w:r w:rsidR="003B669D">
        <w:rPr>
          <w:rFonts w:eastAsia="Arial"/>
        </w:rPr>
        <w:t xml:space="preserve"> </w:t>
      </w:r>
      <w:r w:rsidR="00962314">
        <w:rPr>
          <w:rFonts w:eastAsia="Arial"/>
        </w:rPr>
        <w:t xml:space="preserve">3 </w:t>
      </w:r>
      <w:r>
        <w:rPr>
          <w:rFonts w:eastAsia="Arial"/>
        </w:rPr>
        <w:t xml:space="preserve">research studies </w:t>
      </w:r>
      <w:r w:rsidR="00C36993">
        <w:rPr>
          <w:rFonts w:eastAsia="Arial"/>
        </w:rPr>
        <w:t xml:space="preserve">commissioned </w:t>
      </w:r>
      <w:r w:rsidR="00317E2E">
        <w:rPr>
          <w:rFonts w:eastAsia="Arial"/>
        </w:rPr>
        <w:t xml:space="preserve">by </w:t>
      </w:r>
      <w:r w:rsidR="00282875">
        <w:rPr>
          <w:rFonts w:eastAsia="Arial"/>
        </w:rPr>
        <w:t xml:space="preserve">the </w:t>
      </w:r>
      <w:r w:rsidR="00317E2E">
        <w:rPr>
          <w:rFonts w:eastAsia="Arial"/>
        </w:rPr>
        <w:t xml:space="preserve">DSS </w:t>
      </w:r>
      <w:r>
        <w:rPr>
          <w:rFonts w:eastAsia="Arial"/>
        </w:rPr>
        <w:t>to inform its design.</w:t>
      </w:r>
      <w:r w:rsidR="00172A7B">
        <w:rPr>
          <w:rFonts w:eastAsia="Arial"/>
        </w:rPr>
        <w:t xml:space="preserve"> </w:t>
      </w:r>
    </w:p>
    <w:p w14:paraId="59E017C0" w14:textId="5F3D197E" w:rsidR="00DC54CD" w:rsidRDefault="009B0B89" w:rsidP="00D16AEE">
      <w:pPr>
        <w:pStyle w:val="ListBullet"/>
        <w:rPr>
          <w:rFonts w:eastAsia="Arial"/>
        </w:rPr>
      </w:pPr>
      <w:r>
        <w:rPr>
          <w:rFonts w:eastAsia="Arial"/>
        </w:rPr>
        <w:t>Additional</w:t>
      </w:r>
      <w:r w:rsidR="00795E08">
        <w:rPr>
          <w:rFonts w:eastAsia="Arial"/>
        </w:rPr>
        <w:t xml:space="preserve"> guidance </w:t>
      </w:r>
      <w:r w:rsidR="005568DB">
        <w:rPr>
          <w:rFonts w:eastAsia="Arial"/>
        </w:rPr>
        <w:t xml:space="preserve">was </w:t>
      </w:r>
      <w:r w:rsidR="00795E08">
        <w:rPr>
          <w:rFonts w:eastAsia="Arial"/>
        </w:rPr>
        <w:t xml:space="preserve">provided to WSPs </w:t>
      </w:r>
      <w:r w:rsidR="00A70024">
        <w:rPr>
          <w:rFonts w:eastAsia="Arial"/>
        </w:rPr>
        <w:t xml:space="preserve">on </w:t>
      </w:r>
      <w:r w:rsidR="003F04D6">
        <w:rPr>
          <w:rFonts w:eastAsia="Arial"/>
        </w:rPr>
        <w:t xml:space="preserve">when </w:t>
      </w:r>
      <w:r w:rsidR="006F4A86">
        <w:rPr>
          <w:rFonts w:eastAsia="Arial"/>
        </w:rPr>
        <w:t xml:space="preserve">the </w:t>
      </w:r>
      <w:r w:rsidR="00CE2334">
        <w:rPr>
          <w:rFonts w:eastAsia="Arial"/>
        </w:rPr>
        <w:t xml:space="preserve">CGM taglines needed to be displayed </w:t>
      </w:r>
      <w:r w:rsidR="001F6A1E">
        <w:rPr>
          <w:rFonts w:eastAsia="Arial"/>
        </w:rPr>
        <w:t xml:space="preserve">and </w:t>
      </w:r>
      <w:r w:rsidR="00ED75A9">
        <w:rPr>
          <w:rFonts w:eastAsia="Arial"/>
        </w:rPr>
        <w:t xml:space="preserve">the volume and tone at which CGM was </w:t>
      </w:r>
      <w:r w:rsidR="00EB4E00">
        <w:rPr>
          <w:rFonts w:eastAsia="Arial"/>
        </w:rPr>
        <w:t xml:space="preserve">to be </w:t>
      </w:r>
      <w:r w:rsidR="00ED75A9">
        <w:rPr>
          <w:rFonts w:eastAsia="Arial"/>
        </w:rPr>
        <w:t xml:space="preserve">delivered after the initial </w:t>
      </w:r>
      <w:r w:rsidR="00DD5F28">
        <w:rPr>
          <w:rFonts w:eastAsia="Arial"/>
        </w:rPr>
        <w:t>implementation of the measure.</w:t>
      </w:r>
      <w:r w:rsidR="00DC54CD">
        <w:rPr>
          <w:rFonts w:eastAsia="Arial"/>
        </w:rPr>
        <w:t xml:space="preserve"> </w:t>
      </w:r>
    </w:p>
    <w:p w14:paraId="04FBFBF1" w14:textId="5138D405" w:rsidR="00DC54CD" w:rsidRPr="00843A16" w:rsidRDefault="00DC54CD" w:rsidP="00D16AEE">
      <w:pPr>
        <w:pStyle w:val="ListBullet"/>
        <w:rPr>
          <w:rFonts w:eastAsia="Arial"/>
        </w:rPr>
      </w:pPr>
      <w:r w:rsidRPr="00843A16">
        <w:rPr>
          <w:rFonts w:eastAsia="Arial"/>
        </w:rPr>
        <w:t xml:space="preserve">CGM </w:t>
      </w:r>
      <w:r>
        <w:rPr>
          <w:rFonts w:eastAsia="Arial"/>
        </w:rPr>
        <w:t xml:space="preserve">implementation </w:t>
      </w:r>
      <w:r w:rsidR="001E0992">
        <w:rPr>
          <w:rFonts w:eastAsia="Arial"/>
        </w:rPr>
        <w:t xml:space="preserve">by WSPs </w:t>
      </w:r>
      <w:r w:rsidR="006A2F4A">
        <w:rPr>
          <w:rFonts w:eastAsia="Arial"/>
        </w:rPr>
        <w:t xml:space="preserve">is not fully consistent with </w:t>
      </w:r>
      <w:r w:rsidR="00797343">
        <w:rPr>
          <w:rFonts w:eastAsia="Arial"/>
        </w:rPr>
        <w:t>the guidance provided by jurisdictions</w:t>
      </w:r>
      <w:r w:rsidR="00F01E3C">
        <w:rPr>
          <w:rFonts w:eastAsia="Arial"/>
        </w:rPr>
        <w:t xml:space="preserve">. Clarifying this guidance </w:t>
      </w:r>
      <w:r w:rsidR="00522FF6">
        <w:rPr>
          <w:rFonts w:eastAsia="Arial"/>
        </w:rPr>
        <w:t>is expected to</w:t>
      </w:r>
      <w:r w:rsidR="000247E3">
        <w:rPr>
          <w:rFonts w:eastAsia="Arial"/>
        </w:rPr>
        <w:t xml:space="preserve"> </w:t>
      </w:r>
      <w:r>
        <w:rPr>
          <w:rFonts w:eastAsia="Arial"/>
        </w:rPr>
        <w:t xml:space="preserve">improve </w:t>
      </w:r>
      <w:r w:rsidR="004B4DF2">
        <w:rPr>
          <w:rFonts w:eastAsia="Arial"/>
        </w:rPr>
        <w:t xml:space="preserve">the </w:t>
      </w:r>
      <w:r>
        <w:rPr>
          <w:rFonts w:eastAsia="Arial"/>
        </w:rPr>
        <w:t xml:space="preserve">impact </w:t>
      </w:r>
      <w:r w:rsidR="004B4DF2">
        <w:rPr>
          <w:rFonts w:eastAsia="Arial"/>
        </w:rPr>
        <w:t>of CGM</w:t>
      </w:r>
      <w:r>
        <w:rPr>
          <w:rFonts w:eastAsia="Arial"/>
        </w:rPr>
        <w:t xml:space="preserve">. </w:t>
      </w:r>
    </w:p>
    <w:p w14:paraId="7B387791" w14:textId="5A6D8203" w:rsidR="00D451EB" w:rsidRPr="00843A16" w:rsidRDefault="00D270B0" w:rsidP="00D16AEE">
      <w:pPr>
        <w:pStyle w:val="ListBullet"/>
        <w:rPr>
          <w:rFonts w:eastAsia="Arial"/>
        </w:rPr>
      </w:pPr>
      <w:r>
        <w:rPr>
          <w:rFonts w:eastAsia="Arial"/>
        </w:rPr>
        <w:t xml:space="preserve">Consumers were more likely to </w:t>
      </w:r>
      <w:r w:rsidR="003D38D4">
        <w:rPr>
          <w:rFonts w:eastAsia="Arial"/>
        </w:rPr>
        <w:t xml:space="preserve">be aware of and </w:t>
      </w:r>
      <w:r w:rsidR="00761DC5">
        <w:rPr>
          <w:rFonts w:eastAsia="Arial"/>
        </w:rPr>
        <w:t xml:space="preserve">use </w:t>
      </w:r>
      <w:r w:rsidR="00B02776">
        <w:rPr>
          <w:rFonts w:eastAsia="Arial"/>
        </w:rPr>
        <w:t xml:space="preserve">protective measures when they appeared as </w:t>
      </w:r>
      <w:r>
        <w:rPr>
          <w:rFonts w:eastAsia="Arial"/>
        </w:rPr>
        <w:t>calls to action in CGM</w:t>
      </w:r>
      <w:r w:rsidR="003D38D4">
        <w:rPr>
          <w:rFonts w:eastAsia="Arial"/>
        </w:rPr>
        <w:t>.</w:t>
      </w:r>
      <w:r>
        <w:rPr>
          <w:rFonts w:eastAsia="Arial"/>
        </w:rPr>
        <w:t xml:space="preserve"> </w:t>
      </w:r>
    </w:p>
    <w:p w14:paraId="4B288D74" w14:textId="05063334" w:rsidR="005425EE" w:rsidRPr="00D16AEE" w:rsidRDefault="005425EE" w:rsidP="00A56858">
      <w:pPr>
        <w:pStyle w:val="ListBullet"/>
        <w:numPr>
          <w:ilvl w:val="0"/>
          <w:numId w:val="0"/>
        </w:numPr>
        <w:shd w:val="clear" w:color="auto" w:fill="F2F2F2" w:themeFill="background1" w:themeFillShade="F2"/>
        <w:rPr>
          <w:rFonts w:eastAsia="Arial"/>
          <w:b/>
          <w:color w:val="auto"/>
        </w:rPr>
      </w:pPr>
      <w:r w:rsidRPr="00D16AEE">
        <w:rPr>
          <w:rFonts w:eastAsia="Arial"/>
          <w:b/>
          <w:color w:val="auto"/>
        </w:rPr>
        <w:t>Recommendations</w:t>
      </w:r>
    </w:p>
    <w:p w14:paraId="724A3A76" w14:textId="1B66260C" w:rsidR="00DC54CD" w:rsidRPr="00741FEB" w:rsidRDefault="00DC54CD" w:rsidP="00A56858">
      <w:pPr>
        <w:pStyle w:val="ListBullet"/>
        <w:numPr>
          <w:ilvl w:val="0"/>
          <w:numId w:val="0"/>
        </w:numPr>
        <w:shd w:val="clear" w:color="auto" w:fill="F2F2F2" w:themeFill="background1" w:themeFillShade="F2"/>
        <w:rPr>
          <w:rFonts w:eastAsia="Arial"/>
          <w:color w:val="005BA3" w:themeColor="accent4"/>
        </w:rPr>
      </w:pPr>
      <w:r w:rsidRPr="00741FEB">
        <w:rPr>
          <w:rFonts w:eastAsia="Arial"/>
          <w:b/>
          <w:color w:val="005BA3" w:themeColor="accent4"/>
        </w:rPr>
        <w:t>Recommendation 7</w:t>
      </w:r>
      <w:r w:rsidR="00E2355E" w:rsidRPr="00741FEB">
        <w:rPr>
          <w:rFonts w:eastAsia="Arial"/>
          <w:b/>
          <w:color w:val="005BA3" w:themeColor="accent4"/>
        </w:rPr>
        <w:t>a</w:t>
      </w:r>
      <w:r w:rsidRPr="00741FEB">
        <w:rPr>
          <w:rFonts w:eastAsia="Arial"/>
          <w:b/>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rFonts w:eastAsia="Arial"/>
          <w:color w:val="005BA3" w:themeColor="accent4"/>
        </w:rPr>
        <w:t>State and territory policy makers and regulators should refine guidance on CGM requirements</w:t>
      </w:r>
      <w:r w:rsidR="004B08D1" w:rsidRPr="00741FEB">
        <w:rPr>
          <w:rFonts w:eastAsia="Arial"/>
          <w:color w:val="005BA3" w:themeColor="accent4"/>
        </w:rPr>
        <w:t xml:space="preserve"> to </w:t>
      </w:r>
      <w:r w:rsidR="00CA203E" w:rsidRPr="00741FEB">
        <w:rPr>
          <w:rFonts w:eastAsia="Arial"/>
          <w:color w:val="005BA3" w:themeColor="accent4"/>
        </w:rPr>
        <w:t xml:space="preserve">support </w:t>
      </w:r>
      <w:r w:rsidR="004F2D66">
        <w:rPr>
          <w:rFonts w:eastAsia="Arial"/>
          <w:color w:val="005BA3" w:themeColor="accent4"/>
        </w:rPr>
        <w:t>nationally</w:t>
      </w:r>
      <w:r w:rsidR="004F2D66" w:rsidRPr="00741FEB">
        <w:rPr>
          <w:rFonts w:eastAsia="Arial"/>
          <w:color w:val="005BA3" w:themeColor="accent4"/>
        </w:rPr>
        <w:t xml:space="preserve"> </w:t>
      </w:r>
      <w:r w:rsidR="00E55AC6" w:rsidRPr="00741FEB">
        <w:rPr>
          <w:rFonts w:eastAsia="Arial"/>
          <w:color w:val="005BA3" w:themeColor="accent4"/>
        </w:rPr>
        <w:t>consistent adoption</w:t>
      </w:r>
      <w:r w:rsidR="00FB7464" w:rsidRPr="00741FEB">
        <w:rPr>
          <w:rFonts w:eastAsia="Arial"/>
          <w:color w:val="005BA3" w:themeColor="accent4"/>
        </w:rPr>
        <w:t xml:space="preserve"> by WSPs</w:t>
      </w:r>
      <w:r w:rsidRPr="00741FEB">
        <w:rPr>
          <w:rFonts w:eastAsia="Arial"/>
          <w:color w:val="005BA3" w:themeColor="accent4"/>
        </w:rPr>
        <w:t xml:space="preserve">. </w:t>
      </w:r>
    </w:p>
    <w:p w14:paraId="3916D01D" w14:textId="5F26E350" w:rsidR="00E2355E" w:rsidRPr="00741FEB" w:rsidRDefault="00E2355E" w:rsidP="00E2355E">
      <w:pPr>
        <w:pStyle w:val="ListBullet"/>
        <w:numPr>
          <w:ilvl w:val="0"/>
          <w:numId w:val="0"/>
        </w:numPr>
        <w:shd w:val="clear" w:color="auto" w:fill="F2F2F2" w:themeFill="background1" w:themeFillShade="F2"/>
        <w:rPr>
          <w:rFonts w:eastAsia="Arial"/>
          <w:color w:val="005BA3" w:themeColor="accent4"/>
        </w:rPr>
      </w:pPr>
      <w:r w:rsidRPr="00741FEB">
        <w:rPr>
          <w:rFonts w:eastAsia="Arial"/>
          <w:b/>
          <w:color w:val="005BA3" w:themeColor="accent4"/>
        </w:rPr>
        <w:t>Recommendation 7b</w:t>
      </w:r>
      <w:r w:rsidRPr="00741FEB">
        <w:rPr>
          <w:rFonts w:eastAsia="Arial"/>
          <w:color w:val="005BA3" w:themeColor="accent4"/>
        </w:rPr>
        <w:t xml:space="preserve">: </w:t>
      </w:r>
      <w:r w:rsidR="00F94966" w:rsidRPr="00FF09E1">
        <w:rPr>
          <w:rFonts w:eastAsia="Arial"/>
          <w:color w:val="00437A" w:themeColor="accent4" w:themeShade="BF"/>
        </w:rPr>
        <w:t>(</w:t>
      </w:r>
      <w:r w:rsidR="00F94966" w:rsidRPr="00F94966">
        <w:rPr>
          <w:rFonts w:ascii="Bauhaus 93" w:eastAsia="Arial" w:hAnsi="Bauhaus 93"/>
          <w:color w:val="0070C0"/>
        </w:rPr>
        <w:t>R</w:t>
      </w:r>
      <w:r w:rsidR="00F94966" w:rsidRPr="00FF09E1">
        <w:rPr>
          <w:rFonts w:eastAsia="Arial"/>
          <w:color w:val="00437A" w:themeColor="accent4" w:themeShade="BF"/>
        </w:rPr>
        <w:t>)</w:t>
      </w:r>
      <w:r w:rsidR="00F94966">
        <w:rPr>
          <w:rFonts w:eastAsia="Arial"/>
          <w:color w:val="00437A" w:themeColor="accent4" w:themeShade="BF"/>
        </w:rPr>
        <w:t xml:space="preserve"> </w:t>
      </w:r>
      <w:r w:rsidRPr="00741FEB">
        <w:rPr>
          <w:rFonts w:eastAsia="Arial"/>
          <w:color w:val="005BA3" w:themeColor="accent4"/>
        </w:rPr>
        <w:t xml:space="preserve">CGM taglines should place more emphasis on calls to action to encourage </w:t>
      </w:r>
      <w:r w:rsidR="00F176FE" w:rsidRPr="00741FEB">
        <w:rPr>
          <w:rFonts w:eastAsia="Arial"/>
          <w:color w:val="005BA3" w:themeColor="accent4"/>
        </w:rPr>
        <w:t xml:space="preserve">greater </w:t>
      </w:r>
      <w:r w:rsidRPr="00741FEB">
        <w:rPr>
          <w:rFonts w:eastAsia="Arial"/>
          <w:color w:val="005BA3" w:themeColor="accent4"/>
        </w:rPr>
        <w:t xml:space="preserve">use of consumer protection tools. </w:t>
      </w:r>
    </w:p>
    <w:p w14:paraId="48C52352" w14:textId="7884970F" w:rsidR="00CB2091" w:rsidRDefault="00CB2091" w:rsidP="00D16AEE">
      <w:pPr>
        <w:pStyle w:val="Heading2"/>
      </w:pPr>
      <w:bookmarkStart w:id="12" w:name="_Toc233643273"/>
      <w:r>
        <w:lastRenderedPageBreak/>
        <w:t>Conclusions and next steps</w:t>
      </w:r>
      <w:bookmarkEnd w:id="12"/>
    </w:p>
    <w:p w14:paraId="1BAEC301" w14:textId="34876077" w:rsidR="003C3A9E" w:rsidRDefault="0061354D" w:rsidP="00D16AEE">
      <w:pPr>
        <w:pStyle w:val="BodyText"/>
      </w:pPr>
      <w:r>
        <w:t xml:space="preserve">The </w:t>
      </w:r>
      <w:r w:rsidR="00D80C9B" w:rsidRPr="00D80C9B">
        <w:t xml:space="preserve">NCPF </w:t>
      </w:r>
      <w:r w:rsidR="00225E3E">
        <w:t>aims to</w:t>
      </w:r>
      <w:r w:rsidR="00D80C9B" w:rsidRPr="00D80C9B">
        <w:t xml:space="preserve"> establish nationally consistent minimum protections for online wagerers for the first time.</w:t>
      </w:r>
      <w:r w:rsidR="00D80C9B">
        <w:t xml:space="preserve"> </w:t>
      </w:r>
      <w:r w:rsidR="00D20BDD">
        <w:t xml:space="preserve">The </w:t>
      </w:r>
      <w:r w:rsidR="00D20BDD" w:rsidRPr="00EB3B3B">
        <w:t xml:space="preserve">Phase 1 </w:t>
      </w:r>
      <w:r w:rsidR="00D20BDD">
        <w:t xml:space="preserve">evaluation of the NPCF </w:t>
      </w:r>
      <w:r w:rsidR="00D20BDD" w:rsidRPr="00EB3B3B">
        <w:t xml:space="preserve">shows </w:t>
      </w:r>
      <w:r w:rsidR="00D20BDD">
        <w:t>that</w:t>
      </w:r>
      <w:r w:rsidR="003C3A9E">
        <w:t>:</w:t>
      </w:r>
    </w:p>
    <w:p w14:paraId="6B425676" w14:textId="7C1C69A8" w:rsidR="003C3A9E" w:rsidRDefault="00D16AEE" w:rsidP="00D16AEE">
      <w:pPr>
        <w:pStyle w:val="ListBullet"/>
      </w:pPr>
      <w:r>
        <w:t xml:space="preserve">The NCPF </w:t>
      </w:r>
      <w:r w:rsidR="00D20BDD">
        <w:t xml:space="preserve">can be </w:t>
      </w:r>
      <w:r w:rsidR="009F7D58">
        <w:t>promoted more to encourage uptake</w:t>
      </w:r>
      <w:r w:rsidR="00DA42B5">
        <w:t xml:space="preserve"> of its protective measures</w:t>
      </w:r>
      <w:r>
        <w:t>.</w:t>
      </w:r>
    </w:p>
    <w:p w14:paraId="6D74866B" w14:textId="122E6A71" w:rsidR="003C3A9E" w:rsidRPr="008600A4" w:rsidRDefault="00D16AEE" w:rsidP="00D16AEE">
      <w:pPr>
        <w:pStyle w:val="ListBullet"/>
      </w:pPr>
      <w:r>
        <w:rPr>
          <w:rFonts w:eastAsia="Arial"/>
        </w:rPr>
        <w:t>R</w:t>
      </w:r>
      <w:r w:rsidRPr="00843A16">
        <w:rPr>
          <w:rFonts w:eastAsia="Arial"/>
        </w:rPr>
        <w:t>egular</w:t>
      </w:r>
      <w:r w:rsidR="00613CA2" w:rsidRPr="00843A16">
        <w:rPr>
          <w:rFonts w:eastAsia="Arial"/>
        </w:rPr>
        <w:t xml:space="preserve">, coordinated and proactive </w:t>
      </w:r>
      <w:r w:rsidR="00613CA2">
        <w:rPr>
          <w:rFonts w:eastAsia="Arial"/>
        </w:rPr>
        <w:t xml:space="preserve">activities supported by penalties that deter non-compliant behaviour are </w:t>
      </w:r>
      <w:r w:rsidR="00C409C5">
        <w:rPr>
          <w:rFonts w:eastAsia="Arial"/>
        </w:rPr>
        <w:t>needed</w:t>
      </w:r>
      <w:r w:rsidR="00E3085F">
        <w:rPr>
          <w:rFonts w:eastAsia="Arial"/>
        </w:rPr>
        <w:t xml:space="preserve"> and should be</w:t>
      </w:r>
      <w:r w:rsidR="00613CA2">
        <w:rPr>
          <w:rFonts w:eastAsia="Arial"/>
        </w:rPr>
        <w:t xml:space="preserve"> </w:t>
      </w:r>
      <w:r w:rsidR="009F7D58">
        <w:t>adequately resourced</w:t>
      </w:r>
      <w:r>
        <w:t>.</w:t>
      </w:r>
    </w:p>
    <w:p w14:paraId="0AFF18E4" w14:textId="19B6359D" w:rsidR="009F7D58" w:rsidRDefault="00D16AEE" w:rsidP="00D16AEE">
      <w:pPr>
        <w:pStyle w:val="ListBullet"/>
      </w:pPr>
      <w:r>
        <w:rPr>
          <w:rFonts w:eastAsia="Arial"/>
        </w:rPr>
        <w:t xml:space="preserve">Policies </w:t>
      </w:r>
      <w:r w:rsidR="009F7D58">
        <w:rPr>
          <w:rFonts w:eastAsia="Arial"/>
        </w:rPr>
        <w:t>in some jurisdictions should be adjusted where they deviate from the NCPF principles.</w:t>
      </w:r>
    </w:p>
    <w:p w14:paraId="63DD6D00" w14:textId="351E873E" w:rsidR="00D20BDD" w:rsidRDefault="00D20BDD" w:rsidP="00D16AEE">
      <w:pPr>
        <w:pStyle w:val="BodyText"/>
      </w:pPr>
      <w:r>
        <w:t xml:space="preserve">The recommendations in this report </w:t>
      </w:r>
      <w:r w:rsidR="00BC73B7">
        <w:t xml:space="preserve">can </w:t>
      </w:r>
      <w:r>
        <w:t>enhanc</w:t>
      </w:r>
      <w:r w:rsidR="00BC73B7">
        <w:t xml:space="preserve">e </w:t>
      </w:r>
      <w:r w:rsidR="00CB59B1">
        <w:t xml:space="preserve">the </w:t>
      </w:r>
      <w:r>
        <w:t xml:space="preserve">national consumer protections for online wagering. Timely action on these recommendations will further build the protective capacity of the NCPF and support </w:t>
      </w:r>
      <w:r w:rsidR="005A30EE">
        <w:t xml:space="preserve">a </w:t>
      </w:r>
      <w:r>
        <w:t>safer online wagering environment for Australians.</w:t>
      </w:r>
    </w:p>
    <w:p w14:paraId="17642A87" w14:textId="193E34F2" w:rsidR="00AE2E0E" w:rsidRPr="00AE2E0E" w:rsidRDefault="00AE2E0E" w:rsidP="00D16AEE">
      <w:pPr>
        <w:pStyle w:val="BodyText"/>
      </w:pPr>
      <w:r w:rsidRPr="00AE2E0E">
        <w:t xml:space="preserve">Phase 2 will conduct an impact evaluation of the 10 measures, assessing changes in online wagering </w:t>
      </w:r>
      <w:r w:rsidRPr="005425EE">
        <w:t>behaviour</w:t>
      </w:r>
      <w:r w:rsidRPr="00AE2E0E">
        <w:t xml:space="preserve"> and related harm attributable to the </w:t>
      </w:r>
      <w:r w:rsidR="00D16AEE">
        <w:t>NCPF.</w:t>
      </w:r>
      <w:r w:rsidR="00D16AEE" w:rsidRPr="00AE2E0E">
        <w:t xml:space="preserve"> </w:t>
      </w:r>
      <w:r w:rsidR="00192FC5">
        <w:t>It</w:t>
      </w:r>
      <w:r w:rsidR="00192FC5" w:rsidRPr="00AE2E0E">
        <w:t xml:space="preserve"> </w:t>
      </w:r>
      <w:r w:rsidRPr="00AE2E0E">
        <w:t xml:space="preserve">will </w:t>
      </w:r>
      <w:r w:rsidR="00192FC5">
        <w:t xml:space="preserve">also </w:t>
      </w:r>
      <w:r w:rsidRPr="00AE2E0E">
        <w:t>provide further recommendations to refine and improve the measures.</w:t>
      </w:r>
    </w:p>
    <w:p w14:paraId="0292B100" w14:textId="2BB6F4DA" w:rsidR="00B8168C" w:rsidRPr="00843A16" w:rsidRDefault="00B8168C" w:rsidP="001C02BA">
      <w:pPr>
        <w:pStyle w:val="ListBullet"/>
        <w:numPr>
          <w:ilvl w:val="0"/>
          <w:numId w:val="0"/>
        </w:numPr>
        <w:shd w:val="clear" w:color="auto" w:fill="FFFFFF" w:themeFill="background1"/>
        <w:rPr>
          <w:rFonts w:cs="Arial"/>
          <w:color w:val="B1004D"/>
          <w:kern w:val="32"/>
          <w:sz w:val="44"/>
        </w:rPr>
      </w:pPr>
      <w:r w:rsidRPr="00843A16">
        <w:br w:type="page"/>
      </w:r>
    </w:p>
    <w:p w14:paraId="40A92B04" w14:textId="400095D0" w:rsidR="002805D2" w:rsidRDefault="000C3947" w:rsidP="00192FC5">
      <w:pPr>
        <w:pStyle w:val="Heading1Outline"/>
      </w:pPr>
      <w:bookmarkStart w:id="13" w:name="_Toc233643274"/>
      <w:r w:rsidRPr="00843A16">
        <w:lastRenderedPageBreak/>
        <w:t>Introduction</w:t>
      </w:r>
      <w:bookmarkEnd w:id="10"/>
      <w:bookmarkEnd w:id="13"/>
    </w:p>
    <w:p w14:paraId="4C0AC146" w14:textId="0281D88C" w:rsidR="00402D77" w:rsidRDefault="00980F39" w:rsidP="00C34E2D">
      <w:pPr>
        <w:pStyle w:val="BodyText"/>
        <w:keepNext/>
        <w:keepLines/>
      </w:pPr>
      <w:r>
        <w:t xml:space="preserve">The National Policy Statement (NPS) for the </w:t>
      </w:r>
      <w:r w:rsidR="00D101B5" w:rsidRPr="00843A16">
        <w:rPr>
          <w:rFonts w:cs="Arial"/>
        </w:rPr>
        <w:t>National Consumer Protection Framework for Online Wagering in Australia</w:t>
      </w:r>
      <w:r w:rsidR="00D101B5">
        <w:t xml:space="preserve"> (</w:t>
      </w:r>
      <w:r>
        <w:t>NCPF</w:t>
      </w:r>
      <w:r w:rsidR="00D101B5">
        <w:t>)</w:t>
      </w:r>
      <w:r>
        <w:t xml:space="preserve"> </w:t>
      </w:r>
      <w:r w:rsidRPr="00843A16">
        <w:t>was agreed on by Ministers from all Australian jurisdictions on 26 November 2018</w:t>
      </w:r>
      <w:r w:rsidR="00CF7AE2">
        <w:t xml:space="preserve"> (DSS, 2018)</w:t>
      </w:r>
      <w:r w:rsidR="00103051">
        <w:t>.</w:t>
      </w:r>
      <w:r w:rsidR="00C34E2D">
        <w:rPr>
          <w:rStyle w:val="FootnoteReference"/>
        </w:rPr>
        <w:footnoteReference w:id="3"/>
      </w:r>
      <w:r w:rsidRPr="00843A16" w:rsidDel="00955CFB">
        <w:t xml:space="preserve"> </w:t>
      </w:r>
      <w:r w:rsidR="00612CD3">
        <w:t xml:space="preserve">The </w:t>
      </w:r>
      <w:r w:rsidR="00BA3737">
        <w:t>NCPF</w:t>
      </w:r>
      <w:r w:rsidR="00402D77">
        <w:t>,</w:t>
      </w:r>
      <w:r w:rsidR="00BA3737">
        <w:t xml:space="preserve"> or National Framework</w:t>
      </w:r>
      <w:r w:rsidR="00402D77">
        <w:t>,</w:t>
      </w:r>
      <w:r w:rsidR="00BA3737">
        <w:t xml:space="preserve"> is the overarching policy framework </w:t>
      </w:r>
      <w:r w:rsidR="00761CBB">
        <w:t xml:space="preserve">agreed by government to deliver nationally consistent minimum protections for </w:t>
      </w:r>
      <w:r w:rsidR="009D101E">
        <w:t>online</w:t>
      </w:r>
      <w:r w:rsidR="00761CBB">
        <w:t xml:space="preserve"> wagering, including implementation, </w:t>
      </w:r>
      <w:r w:rsidR="009D101E">
        <w:t>governance</w:t>
      </w:r>
      <w:r w:rsidR="00761CBB">
        <w:t xml:space="preserve">, compliance, promotion and evaluation </w:t>
      </w:r>
      <w:r w:rsidR="00C4051E">
        <w:t>arrangements</w:t>
      </w:r>
      <w:r w:rsidR="009D101E">
        <w:t xml:space="preserve">. </w:t>
      </w:r>
      <w:r w:rsidR="00C4051E">
        <w:t>Within</w:t>
      </w:r>
      <w:r w:rsidR="009D101E">
        <w:t xml:space="preserve"> that framework, the </w:t>
      </w:r>
      <w:r w:rsidR="00DA0C0B">
        <w:t>NPS</w:t>
      </w:r>
      <w:r w:rsidR="009D101E">
        <w:t xml:space="preserve"> is the agreed policy document </w:t>
      </w:r>
      <w:r w:rsidR="00534F90">
        <w:t>underpinning the framework</w:t>
      </w:r>
      <w:r w:rsidR="009D101E">
        <w:t xml:space="preserve">. </w:t>
      </w:r>
      <w:r w:rsidR="00C4051E">
        <w:t xml:space="preserve">There are 10 NCPF measures </w:t>
      </w:r>
      <w:r w:rsidR="004628D7">
        <w:t xml:space="preserve">which are the specific consumer </w:t>
      </w:r>
      <w:r w:rsidR="00BE0DDF">
        <w:t>protection</w:t>
      </w:r>
      <w:r w:rsidR="004628D7">
        <w:t xml:space="preserve"> tools (</w:t>
      </w:r>
      <w:r w:rsidR="00534F90">
        <w:t xml:space="preserve">e.g. </w:t>
      </w:r>
      <w:r w:rsidR="00AC2A28">
        <w:t>activity statements and account closure requirements).</w:t>
      </w:r>
    </w:p>
    <w:p w14:paraId="0EA8499B" w14:textId="7BC83E4B" w:rsidR="00980F39" w:rsidRDefault="00402D77" w:rsidP="00C34E2D">
      <w:pPr>
        <w:pStyle w:val="BodyText"/>
        <w:keepNext/>
        <w:keepLines/>
      </w:pPr>
      <w:r>
        <w:t>The NCPF</w:t>
      </w:r>
      <w:r w:rsidR="00980F39">
        <w:t xml:space="preserve"> stemmed from </w:t>
      </w:r>
      <w:r w:rsidR="00980F39" w:rsidRPr="00843A16">
        <w:t xml:space="preserve">recommendations </w:t>
      </w:r>
      <w:r w:rsidR="00980F39">
        <w:t>in</w:t>
      </w:r>
      <w:r w:rsidR="00980F39" w:rsidRPr="00843A16">
        <w:t xml:space="preserve"> the O’Farrell</w:t>
      </w:r>
      <w:r w:rsidR="00980F39" w:rsidRPr="00843A16" w:rsidDel="004A4DE2">
        <w:t xml:space="preserve"> </w:t>
      </w:r>
      <w:r w:rsidR="00980F39" w:rsidRPr="00843A16">
        <w:t xml:space="preserve">Review </w:t>
      </w:r>
      <w:r w:rsidR="00980F39">
        <w:t xml:space="preserve">(O’Farrell, 2015) to develop </w:t>
      </w:r>
      <w:r w:rsidR="00980F39" w:rsidRPr="00843A16">
        <w:t>a national framework</w:t>
      </w:r>
      <w:r w:rsidR="00980F39">
        <w:t xml:space="preserve"> and measures to strengthen</w:t>
      </w:r>
      <w:r w:rsidR="00980F39" w:rsidRPr="00843A16">
        <w:t xml:space="preserve"> consumer protection and harm minimisation for </w:t>
      </w:r>
      <w:r w:rsidR="00980F39">
        <w:t>people who wager online</w:t>
      </w:r>
      <w:r w:rsidR="00980F39" w:rsidRPr="00843A16">
        <w:t xml:space="preserve">. </w:t>
      </w:r>
    </w:p>
    <w:p w14:paraId="691C8943" w14:textId="01122448" w:rsidR="00980F39" w:rsidRDefault="00980F39" w:rsidP="00C34E2D">
      <w:pPr>
        <w:pStyle w:val="BodyText"/>
        <w:keepNext/>
        <w:keepLines/>
      </w:pPr>
      <w:r w:rsidRPr="00843A16">
        <w:t xml:space="preserve">The </w:t>
      </w:r>
      <w:r>
        <w:t xml:space="preserve">NCPF </w:t>
      </w:r>
      <w:r w:rsidRPr="00843A16">
        <w:t xml:space="preserve">was the first time that all jurisdictions had agreed to establish nationally consistent minimum protections for online wagerers. </w:t>
      </w:r>
      <w:r>
        <w:t xml:space="preserve">Its </w:t>
      </w:r>
      <w:r w:rsidRPr="00843A16">
        <w:t xml:space="preserve">objective was to minimise gambling harm related to online wagering activity by </w:t>
      </w:r>
      <w:r>
        <w:t>providing</w:t>
      </w:r>
      <w:r w:rsidRPr="00843A16">
        <w:t xml:space="preserve"> customers of </w:t>
      </w:r>
      <w:r w:rsidR="00E616A6" w:rsidRPr="00843A16">
        <w:rPr>
          <w:rFonts w:cs="Arial"/>
        </w:rPr>
        <w:t>wagering service providers</w:t>
      </w:r>
      <w:r w:rsidR="00E616A6" w:rsidRPr="00843A16">
        <w:t xml:space="preserve"> </w:t>
      </w:r>
      <w:r w:rsidR="00E616A6">
        <w:t>(</w:t>
      </w:r>
      <w:r w:rsidRPr="00843A16">
        <w:t>WSPs</w:t>
      </w:r>
      <w:r w:rsidR="00E616A6">
        <w:t>)</w:t>
      </w:r>
      <w:r w:rsidRPr="00843A16">
        <w:t xml:space="preserve"> </w:t>
      </w:r>
      <w:r>
        <w:t>with minimum consumer protections that are consistent across Australia</w:t>
      </w:r>
      <w:r w:rsidRPr="00843A16">
        <w:t xml:space="preserve">. </w:t>
      </w:r>
    </w:p>
    <w:p w14:paraId="7F2612B2" w14:textId="4A5D21EA" w:rsidR="004E40C9" w:rsidRPr="004E40C9" w:rsidRDefault="004E40C9" w:rsidP="00C34E2D">
      <w:pPr>
        <w:pStyle w:val="BodyText"/>
        <w:keepNext/>
        <w:keepLines/>
      </w:pPr>
      <w:r w:rsidRPr="004E40C9">
        <w:t>The NCPF consists of 10 consumer protection measures supported by 71 agreed principles. The measures span restrictions on inducements and credit, customer verification, account closure, voluntary pre</w:t>
      </w:r>
      <w:r w:rsidR="00E616A6">
        <w:t>-</w:t>
      </w:r>
      <w:r w:rsidRPr="004E40C9">
        <w:t xml:space="preserve">commitment (deposit limits), activity statements, </w:t>
      </w:r>
      <w:r w:rsidR="00E616A6">
        <w:t>consistent gambling messaging (</w:t>
      </w:r>
      <w:r w:rsidR="009108E5">
        <w:t>CGM</w:t>
      </w:r>
      <w:r w:rsidR="00E616A6">
        <w:t>)</w:t>
      </w:r>
      <w:r w:rsidRPr="004E40C9">
        <w:t>, staff training and the establishment of the National Self</w:t>
      </w:r>
      <w:r w:rsidRPr="004E40C9">
        <w:noBreakHyphen/>
        <w:t>Exclusion Register (NSER</w:t>
      </w:r>
      <w:r w:rsidR="003D3668">
        <w:t xml:space="preserve"> </w:t>
      </w:r>
      <w:r w:rsidR="00E616A6">
        <w:t xml:space="preserve">– </w:t>
      </w:r>
      <w:r w:rsidRPr="004E40C9">
        <w:t>BetStop). Together, these measures are intended to reduce the risk of gambling</w:t>
      </w:r>
      <w:r w:rsidR="00E616A6">
        <w:t>-</w:t>
      </w:r>
      <w:r w:rsidRPr="004E40C9">
        <w:t>related harm by embedding minimum protections in the design, operation and marketing of online wagering services across jurisdictions.</w:t>
      </w:r>
    </w:p>
    <w:p w14:paraId="72A842A1" w14:textId="2039F9D4" w:rsidR="004E40C9" w:rsidRPr="004E40C9" w:rsidRDefault="004E40C9" w:rsidP="00C34E2D">
      <w:pPr>
        <w:pStyle w:val="BodyText"/>
        <w:keepNext/>
        <w:keepLines/>
      </w:pPr>
      <w:r w:rsidRPr="004E40C9">
        <w:t xml:space="preserve">The </w:t>
      </w:r>
      <w:r w:rsidR="00A70182">
        <w:t xml:space="preserve">NCPF </w:t>
      </w:r>
      <w:r w:rsidRPr="004E40C9">
        <w:t>is deliberately structured as a minimum</w:t>
      </w:r>
      <w:r w:rsidR="001D73CF">
        <w:t>-</w:t>
      </w:r>
      <w:r w:rsidRPr="004E40C9">
        <w:t>standards approach</w:t>
      </w:r>
      <w:r w:rsidR="00F31D21">
        <w:t xml:space="preserve"> and was designed to be implemented to </w:t>
      </w:r>
      <w:r w:rsidR="003D3CB5">
        <w:t xml:space="preserve">dovetail with </w:t>
      </w:r>
      <w:r w:rsidR="00F31D21">
        <w:t xml:space="preserve">the wagering </w:t>
      </w:r>
      <w:r w:rsidR="00A17BE9">
        <w:t>frameworks</w:t>
      </w:r>
      <w:r w:rsidR="00F31D21">
        <w:t xml:space="preserve"> of each participating jurisdiction</w:t>
      </w:r>
      <w:r w:rsidRPr="004E40C9">
        <w:t xml:space="preserve">. While jurisdictions committed to implementing nationally consistent protections, the NPS also allows state and territory governments to adopt stronger regulatory settings, provided these do not undermine the intended operation of the </w:t>
      </w:r>
      <w:r w:rsidR="00E616A6">
        <w:t>f</w:t>
      </w:r>
      <w:r w:rsidR="00E616A6" w:rsidRPr="004E40C9">
        <w:t>ramework</w:t>
      </w:r>
      <w:r w:rsidRPr="004E40C9">
        <w:t>. Responsibility for implementing, promoting, monitoring</w:t>
      </w:r>
      <w:r w:rsidR="00E616A6">
        <w:t>,</w:t>
      </w:r>
      <w:r w:rsidR="001F3230">
        <w:t xml:space="preserve"> </w:t>
      </w:r>
      <w:r w:rsidRPr="004E40C9">
        <w:t xml:space="preserve">enforcing </w:t>
      </w:r>
      <w:r w:rsidR="001F3230">
        <w:t xml:space="preserve">and evaluating </w:t>
      </w:r>
      <w:r w:rsidRPr="004E40C9">
        <w:t>the measures is shared across Australian, state and territory governments, with different measures falling under Commonwealth or state/territory regulatory frameworks.</w:t>
      </w:r>
    </w:p>
    <w:p w14:paraId="3C110004" w14:textId="10B8D6CD" w:rsidR="004E40C9" w:rsidRDefault="004E40C9" w:rsidP="00C34E2D">
      <w:pPr>
        <w:pStyle w:val="BodyText"/>
        <w:keepNext/>
        <w:keepLines/>
      </w:pPr>
      <w:r w:rsidRPr="004E40C9">
        <w:t>Implementing the NCPF required substantial legislative, regulatory and operational change across jurisdictions</w:t>
      </w:r>
      <w:r w:rsidR="00D17486">
        <w:t>. This</w:t>
      </w:r>
      <w:r w:rsidRPr="004E40C9">
        <w:t xml:space="preserve"> includ</w:t>
      </w:r>
      <w:r w:rsidR="00D17486">
        <w:t>ed</w:t>
      </w:r>
      <w:r w:rsidRPr="004E40C9">
        <w:t xml:space="preserve"> amendments to primary legislation, </w:t>
      </w:r>
      <w:r w:rsidR="00630A8E">
        <w:t xml:space="preserve">the </w:t>
      </w:r>
      <w:r w:rsidRPr="004E40C9">
        <w:t xml:space="preserve">development of guidance and codes of practice, consultation with WSPs, trialling and testing of measures and investment in </w:t>
      </w:r>
      <w:r w:rsidR="00DC2CCB">
        <w:t xml:space="preserve">IT </w:t>
      </w:r>
      <w:r w:rsidRPr="004E40C9">
        <w:t>systems. While the NPS envisaged that the measures would be progressively implemented over an 18</w:t>
      </w:r>
      <w:r w:rsidR="00630A8E">
        <w:t>-</w:t>
      </w:r>
      <w:r w:rsidRPr="004E40C9">
        <w:t xml:space="preserve">month period, </w:t>
      </w:r>
      <w:r w:rsidR="00630A8E">
        <w:t xml:space="preserve">actual </w:t>
      </w:r>
      <w:r w:rsidRPr="004E40C9">
        <w:t xml:space="preserve">implementation </w:t>
      </w:r>
      <w:r w:rsidR="00630A8E">
        <w:t>was</w:t>
      </w:r>
      <w:r w:rsidR="00630A8E" w:rsidRPr="004E40C9">
        <w:t xml:space="preserve"> </w:t>
      </w:r>
      <w:r w:rsidRPr="004E40C9">
        <w:t>over a much longer time</w:t>
      </w:r>
      <w:r w:rsidR="00630A8E">
        <w:t xml:space="preserve"> </w:t>
      </w:r>
      <w:r w:rsidRPr="004E40C9">
        <w:t xml:space="preserve">frame, with the final measures </w:t>
      </w:r>
      <w:r w:rsidR="005F1C7A">
        <w:t xml:space="preserve">and refinements </w:t>
      </w:r>
      <w:r w:rsidRPr="004E40C9">
        <w:t>coming into effect in 202</w:t>
      </w:r>
      <w:r w:rsidR="003469DB">
        <w:t>4</w:t>
      </w:r>
      <w:r w:rsidRPr="004E40C9">
        <w:t>.</w:t>
      </w:r>
    </w:p>
    <w:p w14:paraId="733A7816" w14:textId="49BAAE29" w:rsidR="004E40C9" w:rsidRPr="004E40C9" w:rsidRDefault="004E40C9" w:rsidP="00C34E2D">
      <w:pPr>
        <w:pStyle w:val="Heading2"/>
      </w:pPr>
      <w:bookmarkStart w:id="14" w:name="_Toc233643275"/>
      <w:r w:rsidRPr="004E40C9">
        <w:t xml:space="preserve">Purpose and scope of the </w:t>
      </w:r>
      <w:r w:rsidR="000B06D0">
        <w:t>e</w:t>
      </w:r>
      <w:r w:rsidRPr="004E40C9">
        <w:t>valuation</w:t>
      </w:r>
      <w:bookmarkEnd w:id="14"/>
    </w:p>
    <w:p w14:paraId="06D064F4" w14:textId="77777777" w:rsidR="001E7EDB" w:rsidRDefault="001E7EDB" w:rsidP="001E7EDB">
      <w:pPr>
        <w:pStyle w:val="BodyText"/>
        <w:keepNext/>
        <w:keepLines/>
      </w:pPr>
      <w:r>
        <w:t xml:space="preserve">The Department of Social Services commissioned the Australian Gambling Research Centre in the Australian Institute of Family Studies (AIFS) to undertake an evaluation of the NCPF on behalf of all Australian governments. </w:t>
      </w:r>
    </w:p>
    <w:p w14:paraId="03BD9F2A" w14:textId="77777777" w:rsidR="001E7EDB" w:rsidRDefault="001E7EDB" w:rsidP="001E7EDB">
      <w:pPr>
        <w:pStyle w:val="BodyText"/>
        <w:keepNext/>
        <w:keepLines/>
      </w:pPr>
      <w:r>
        <w:t xml:space="preserve">The purpose of the evaluation is to: 1) assess the effectiveness of the measures in achieving outcomes, 2) detect unintended consequences, 3) identify weakness in the regulatory framework and 4) inform ongoing refinements to the measures.  </w:t>
      </w:r>
    </w:p>
    <w:p w14:paraId="513C0426" w14:textId="2C15143C" w:rsidR="001E7EDB" w:rsidRPr="004E40C9" w:rsidRDefault="001E7EDB" w:rsidP="001E7EDB">
      <w:pPr>
        <w:pStyle w:val="BodyText"/>
        <w:keepNext/>
        <w:keepLines/>
      </w:pPr>
      <w:r>
        <w:lastRenderedPageBreak/>
        <w:t>The evaluation is being undertaken in two parts: Phase 1) a post implementation review and process evaluation to assess whether the measures were implemented as intended, and Phase 2) an evaluation of the impacts of approach measure in achieving intended outcomes. This report presents the findings of Phase 1. Phase 2 has commenced and is due to be completed by June 2027</w:t>
      </w:r>
      <w:r w:rsidR="005F06DC">
        <w:t>.</w:t>
      </w:r>
    </w:p>
    <w:p w14:paraId="251DCDA5" w14:textId="356CC748" w:rsidR="004E40C9" w:rsidRPr="004E40C9" w:rsidRDefault="004E40C9" w:rsidP="005F06DC">
      <w:pPr>
        <w:pStyle w:val="BodyText"/>
        <w:keepNext/>
        <w:keepLines/>
        <w:spacing w:after="120"/>
      </w:pPr>
      <w:r w:rsidRPr="004E40C9">
        <w:t xml:space="preserve">This report presents the Phase 1 </w:t>
      </w:r>
      <w:r w:rsidR="000B06D0">
        <w:t>e</w:t>
      </w:r>
      <w:r w:rsidRPr="004E40C9">
        <w:t>valuation of the NCPF. Phase 1 has been designed as a post</w:t>
      </w:r>
      <w:r w:rsidR="00E3586E">
        <w:t>-</w:t>
      </w:r>
      <w:r w:rsidRPr="004E40C9">
        <w:t xml:space="preserve">implementation review and process evaluation. Its primary purpose is to assess how the </w:t>
      </w:r>
      <w:r w:rsidR="00E3586E">
        <w:t>f</w:t>
      </w:r>
      <w:r w:rsidR="00E3586E" w:rsidRPr="004E40C9">
        <w:t xml:space="preserve">ramework </w:t>
      </w:r>
      <w:r w:rsidRPr="004E40C9">
        <w:t>and its measures were implemented in practice, rather than to determine whether the measures have reduced gambling</w:t>
      </w:r>
      <w:r w:rsidR="00FF212B">
        <w:t>-</w:t>
      </w:r>
      <w:r w:rsidRPr="004E40C9">
        <w:t>related harm.</w:t>
      </w:r>
    </w:p>
    <w:p w14:paraId="27B59F9E" w14:textId="5926665D" w:rsidR="00253C53" w:rsidRPr="008B1F7F" w:rsidRDefault="004E40C9" w:rsidP="008B1F7F">
      <w:pPr>
        <w:suppressAutoHyphens w:val="0"/>
        <w:spacing w:before="0" w:line="240" w:lineRule="auto"/>
        <w:jc w:val="left"/>
        <w:rPr>
          <w:rFonts w:eastAsia="Times New Roman"/>
          <w:lang w:bidi="en-US"/>
        </w:rPr>
      </w:pPr>
      <w:r w:rsidRPr="00FF212B">
        <w:t>Specifically</w:t>
      </w:r>
      <w:r w:rsidRPr="004E40C9">
        <w:t>, Phase 1 examines</w:t>
      </w:r>
      <w:r w:rsidR="00CF42A9">
        <w:t>:</w:t>
      </w:r>
    </w:p>
    <w:p w14:paraId="1E4EE0C9" w14:textId="77777777" w:rsidR="004E40C9" w:rsidRPr="003F5F84" w:rsidRDefault="004E40C9" w:rsidP="00575ECC">
      <w:pPr>
        <w:pStyle w:val="ListBullet"/>
      </w:pPr>
      <w:r w:rsidRPr="003F5F84">
        <w:t>whether the NCPF measures were implemented as intended and in line with the principles set out in the NPS</w:t>
      </w:r>
    </w:p>
    <w:p w14:paraId="53124753" w14:textId="77777777" w:rsidR="004E40C9" w:rsidRPr="003F5F84" w:rsidRDefault="004E40C9" w:rsidP="00575ECC">
      <w:pPr>
        <w:pStyle w:val="ListBullet"/>
      </w:pPr>
      <w:r w:rsidRPr="003F5F84">
        <w:t>the timeliness of implementation across jurisdictions</w:t>
      </w:r>
    </w:p>
    <w:p w14:paraId="7F471FDA" w14:textId="77777777" w:rsidR="004E40C9" w:rsidRPr="003F5F84" w:rsidRDefault="004E40C9" w:rsidP="00575ECC">
      <w:pPr>
        <w:pStyle w:val="ListBullet"/>
      </w:pPr>
      <w:r w:rsidRPr="003F5F84">
        <w:t>governance and resourcing arrangements supporting implementation</w:t>
      </w:r>
    </w:p>
    <w:p w14:paraId="669DF331" w14:textId="77777777" w:rsidR="004E40C9" w:rsidRPr="003F5F84" w:rsidRDefault="004E40C9" w:rsidP="00575ECC">
      <w:pPr>
        <w:pStyle w:val="ListBullet"/>
      </w:pPr>
      <w:r w:rsidRPr="003F5F84">
        <w:t>consistency of implementation across jurisdictions</w:t>
      </w:r>
    </w:p>
    <w:p w14:paraId="61527763" w14:textId="4CA6145B" w:rsidR="006F3AB6" w:rsidRPr="003F5F84" w:rsidRDefault="004E40C9" w:rsidP="00575ECC">
      <w:pPr>
        <w:pStyle w:val="ListBullet"/>
      </w:pPr>
      <w:r w:rsidRPr="003F5F84">
        <w:t>the extent to which the measures have been promoted and communicated</w:t>
      </w:r>
      <w:r w:rsidR="006F3AB6" w:rsidRPr="003F5F84">
        <w:t xml:space="preserve"> </w:t>
      </w:r>
    </w:p>
    <w:p w14:paraId="034DB4AB" w14:textId="2011C61F" w:rsidR="00613F20" w:rsidRPr="003F5F84" w:rsidRDefault="004E40C9" w:rsidP="00575ECC">
      <w:pPr>
        <w:pStyle w:val="ListBullet"/>
      </w:pPr>
      <w:r w:rsidRPr="003F5F84">
        <w:t>levels of consumer awareness and uptake</w:t>
      </w:r>
      <w:r w:rsidR="00061644" w:rsidRPr="003F5F84">
        <w:t xml:space="preserve"> of the measures</w:t>
      </w:r>
    </w:p>
    <w:p w14:paraId="6E8D61D5" w14:textId="43AEB2D3" w:rsidR="004E40C9" w:rsidRPr="003F5F84" w:rsidRDefault="004E40C9" w:rsidP="00575ECC">
      <w:pPr>
        <w:pStyle w:val="ListBullet"/>
      </w:pPr>
      <w:r w:rsidRPr="003F5F84">
        <w:t>approaches to regulatory compliance monitoring and enforcement</w:t>
      </w:r>
    </w:p>
    <w:p w14:paraId="40EF0A76" w14:textId="77777777" w:rsidR="004E40C9" w:rsidRPr="004E40C9" w:rsidRDefault="004E40C9" w:rsidP="00575ECC">
      <w:pPr>
        <w:pStyle w:val="ListBullet"/>
      </w:pPr>
      <w:r w:rsidRPr="003F5F84">
        <w:t>any unintended</w:t>
      </w:r>
      <w:r w:rsidRPr="004E40C9">
        <w:t xml:space="preserve"> consequences arising from implementation.</w:t>
      </w:r>
    </w:p>
    <w:p w14:paraId="2D7121DE" w14:textId="1674FD0E" w:rsidR="004E40C9" w:rsidRPr="003F5F84" w:rsidRDefault="004E40C9" w:rsidP="004B7D10">
      <w:pPr>
        <w:pStyle w:val="BodyText"/>
      </w:pPr>
      <w:r w:rsidRPr="003F5F84">
        <w:t xml:space="preserve">Given the staged and protracted rollout of measures over almost </w:t>
      </w:r>
      <w:r w:rsidR="00757BAF" w:rsidRPr="003F5F84">
        <w:t>6</w:t>
      </w:r>
      <w:r w:rsidRPr="003F5F84">
        <w:t xml:space="preserve"> years, variation in the maturity of individual measures and limited baseline and monitoring data for many aspects of the </w:t>
      </w:r>
      <w:r w:rsidR="00401221">
        <w:t>NCPF</w:t>
      </w:r>
      <w:r w:rsidRPr="003F5F84">
        <w:t>, Phase 1 does not seek to attribute changes in wagering behaviour or gambling</w:t>
      </w:r>
      <w:r w:rsidR="004B7D10">
        <w:t>-</w:t>
      </w:r>
      <w:r w:rsidRPr="003F5F84">
        <w:t xml:space="preserve">related harm to the NCPF. Instead, it focuses on understanding implementation fidelity, operational settings and system readiness and identifying areas where the </w:t>
      </w:r>
      <w:r w:rsidR="008730FC">
        <w:t>NCPF</w:t>
      </w:r>
      <w:r w:rsidR="004B7D10" w:rsidRPr="003F5F84">
        <w:t xml:space="preserve"> </w:t>
      </w:r>
      <w:r w:rsidRPr="003F5F84">
        <w:t>could be strengthened ahead of any assessment of impact.</w:t>
      </w:r>
    </w:p>
    <w:p w14:paraId="682D02AF" w14:textId="16CC06EA" w:rsidR="004E40C9" w:rsidRPr="003F5F84" w:rsidRDefault="004E40C9" w:rsidP="004B7D10">
      <w:pPr>
        <w:pStyle w:val="BodyText"/>
      </w:pPr>
      <w:r w:rsidRPr="003F5F84">
        <w:t>All 10 NCPF measures are considered in this report at a whole</w:t>
      </w:r>
      <w:r w:rsidR="004B7D10">
        <w:t>-</w:t>
      </w:r>
      <w:r w:rsidRPr="003F5F84">
        <w:t>of</w:t>
      </w:r>
      <w:r w:rsidR="004B7D10">
        <w:t>-</w:t>
      </w:r>
      <w:r w:rsidRPr="003F5F84">
        <w:t>framework level. More detailed analysis is undertaken for selected measures where the evidence base is strongest and where implementation features most directly affect consumer experience</w:t>
      </w:r>
      <w:r w:rsidR="002E375B">
        <w:t>. This</w:t>
      </w:r>
      <w:r w:rsidR="002E375B" w:rsidRPr="003F5F84">
        <w:t xml:space="preserve"> includ</w:t>
      </w:r>
      <w:r w:rsidR="002E375B">
        <w:t>es</w:t>
      </w:r>
      <w:r w:rsidR="002E375B" w:rsidRPr="003F5F84">
        <w:t xml:space="preserve"> </w:t>
      </w:r>
      <w:r w:rsidRPr="003F5F84">
        <w:t xml:space="preserve">restrictions on inducements, account closure, deposit limits, activity statements and </w:t>
      </w:r>
      <w:r w:rsidR="009108E5" w:rsidRPr="003F5F84">
        <w:t>CGM</w:t>
      </w:r>
      <w:r w:rsidRPr="003F5F84">
        <w:t>. Promotion, education, awareness, uptake, compliance and enforcement are examined as cross</w:t>
      </w:r>
      <w:r w:rsidR="002E375B">
        <w:t>-</w:t>
      </w:r>
      <w:r w:rsidRPr="003F5F84">
        <w:t xml:space="preserve">cutting system features that apply across the </w:t>
      </w:r>
      <w:r w:rsidR="00566E2F">
        <w:t>NCPF</w:t>
      </w:r>
      <w:r w:rsidR="002E375B" w:rsidRPr="003F5F84">
        <w:t xml:space="preserve"> </w:t>
      </w:r>
      <w:r w:rsidRPr="003F5F84">
        <w:t>rather than measure by measure.</w:t>
      </w:r>
    </w:p>
    <w:p w14:paraId="21CCE6E4" w14:textId="04CEA3B2" w:rsidR="004E40C9" w:rsidRPr="004E40C9" w:rsidRDefault="004E40C9" w:rsidP="002E375B">
      <w:pPr>
        <w:pStyle w:val="BodyText"/>
      </w:pPr>
      <w:r w:rsidRPr="003F5F84">
        <w:t>Evaluation of the promotion, awareness, uptake, compliance and enforcement of the National Self</w:t>
      </w:r>
      <w:r w:rsidR="002E375B">
        <w:t>-</w:t>
      </w:r>
      <w:r w:rsidRPr="003F5F84">
        <w:t>Exclusion Register</w:t>
      </w:r>
      <w:r w:rsidRPr="004E40C9">
        <w:t xml:space="preserve"> (NSER) for Phase 1</w:t>
      </w:r>
      <w:r w:rsidR="007E247E">
        <w:t xml:space="preserve"> </w:t>
      </w:r>
      <w:r w:rsidR="005E2D27">
        <w:t xml:space="preserve">was reliant </w:t>
      </w:r>
      <w:r w:rsidR="00B15638">
        <w:t xml:space="preserve">on </w:t>
      </w:r>
      <w:r w:rsidR="002631E3">
        <w:t xml:space="preserve">findings from </w:t>
      </w:r>
      <w:r w:rsidRPr="004E40C9">
        <w:t xml:space="preserve">the statutory review of </w:t>
      </w:r>
      <w:r w:rsidR="00904F0E">
        <w:t xml:space="preserve">the NSER – </w:t>
      </w:r>
      <w:r w:rsidRPr="004E40C9">
        <w:t>BetStop.</w:t>
      </w:r>
      <w:r w:rsidR="00672991">
        <w:t xml:space="preserve"> </w:t>
      </w:r>
    </w:p>
    <w:p w14:paraId="4CC28135" w14:textId="77777777" w:rsidR="004E40C9" w:rsidRPr="004E40C9" w:rsidRDefault="004E40C9" w:rsidP="00575ECC">
      <w:pPr>
        <w:pStyle w:val="Heading2"/>
      </w:pPr>
      <w:bookmarkStart w:id="15" w:name="_Toc233643276"/>
      <w:r w:rsidRPr="004E40C9">
        <w:t xml:space="preserve">Structure of </w:t>
      </w:r>
      <w:r w:rsidRPr="002E375B">
        <w:t>this</w:t>
      </w:r>
      <w:r w:rsidRPr="004E40C9">
        <w:t xml:space="preserve"> report</w:t>
      </w:r>
      <w:bookmarkEnd w:id="15"/>
    </w:p>
    <w:p w14:paraId="5CE3B9ED" w14:textId="434F7F76" w:rsidR="004E40C9" w:rsidRDefault="004E40C9" w:rsidP="002E375B">
      <w:pPr>
        <w:pStyle w:val="BodyText"/>
      </w:pPr>
      <w:r w:rsidRPr="004E40C9">
        <w:t xml:space="preserve">The </w:t>
      </w:r>
      <w:r w:rsidR="00E44079">
        <w:t>report</w:t>
      </w:r>
      <w:r w:rsidRPr="004E40C9">
        <w:t xml:space="preserve"> is structured as follows. </w:t>
      </w:r>
      <w:r w:rsidR="00A44CAA">
        <w:t>Section 2 provid</w:t>
      </w:r>
      <w:r w:rsidR="002A1824">
        <w:t xml:space="preserve">es </w:t>
      </w:r>
      <w:r w:rsidR="00A44CAA">
        <w:t xml:space="preserve">background and </w:t>
      </w:r>
      <w:r w:rsidR="004533C7">
        <w:t>s</w:t>
      </w:r>
      <w:r w:rsidR="00A44CAA">
        <w:t>ection 3</w:t>
      </w:r>
      <w:r w:rsidR="00380BE9">
        <w:t xml:space="preserve"> explain</w:t>
      </w:r>
      <w:r w:rsidR="002A1824">
        <w:t>s</w:t>
      </w:r>
      <w:r w:rsidR="00380BE9">
        <w:t xml:space="preserve"> </w:t>
      </w:r>
      <w:r w:rsidR="002E5C7A">
        <w:t xml:space="preserve">the </w:t>
      </w:r>
      <w:r w:rsidR="002E5C7A" w:rsidRPr="002E375B">
        <w:t>methodology</w:t>
      </w:r>
      <w:r w:rsidR="002E5C7A">
        <w:t xml:space="preserve"> of </w:t>
      </w:r>
      <w:r w:rsidRPr="004E40C9">
        <w:t>the NCPF</w:t>
      </w:r>
      <w:r w:rsidR="002E5C7A">
        <w:t xml:space="preserve"> evaluation. </w:t>
      </w:r>
      <w:r w:rsidR="00D10CD0">
        <w:t xml:space="preserve">The findings and recommendations are discussed in </w:t>
      </w:r>
      <w:r w:rsidR="004533C7">
        <w:t>s</w:t>
      </w:r>
      <w:r w:rsidR="002A1824">
        <w:t>ection 4</w:t>
      </w:r>
      <w:r w:rsidRPr="004E40C9">
        <w:t xml:space="preserve"> </w:t>
      </w:r>
      <w:r w:rsidR="00D10CD0">
        <w:t xml:space="preserve">and </w:t>
      </w:r>
      <w:r w:rsidR="004533C7">
        <w:t>s</w:t>
      </w:r>
      <w:r w:rsidR="00D10CD0">
        <w:t xml:space="preserve">ection 5 </w:t>
      </w:r>
      <w:r w:rsidRPr="004E40C9">
        <w:t>concludes with key implications</w:t>
      </w:r>
      <w:r w:rsidR="005045C7">
        <w:t xml:space="preserve">, </w:t>
      </w:r>
      <w:r w:rsidR="000B1826">
        <w:t xml:space="preserve">the </w:t>
      </w:r>
      <w:r w:rsidR="002F6DE9">
        <w:t xml:space="preserve">preview of the </w:t>
      </w:r>
      <w:r w:rsidR="005045C7">
        <w:t>Phase 2 evaluation</w:t>
      </w:r>
      <w:r w:rsidRPr="004E40C9">
        <w:t xml:space="preserve"> and next steps for governments.</w:t>
      </w:r>
      <w:r w:rsidR="000B1826">
        <w:t xml:space="preserve"> </w:t>
      </w:r>
    </w:p>
    <w:p w14:paraId="5D3D1FEE" w14:textId="77777777" w:rsidR="004B6A46" w:rsidRDefault="004B6A46">
      <w:pPr>
        <w:suppressAutoHyphens w:val="0"/>
        <w:spacing w:before="0" w:line="240" w:lineRule="auto"/>
        <w:jc w:val="left"/>
        <w:rPr>
          <w:rFonts w:cs="Arial"/>
          <w:color w:val="B1004D"/>
          <w:kern w:val="32"/>
          <w:sz w:val="44"/>
          <w:highlight w:val="lightGray"/>
        </w:rPr>
      </w:pPr>
      <w:r>
        <w:rPr>
          <w:highlight w:val="lightGray"/>
        </w:rPr>
        <w:br w:type="page"/>
      </w:r>
    </w:p>
    <w:p w14:paraId="4AB006ED" w14:textId="6261CE88" w:rsidR="006D02D7" w:rsidRDefault="006D02D7" w:rsidP="00396915">
      <w:pPr>
        <w:pStyle w:val="Heading1Outline"/>
      </w:pPr>
      <w:bookmarkStart w:id="16" w:name="_Toc233643277"/>
      <w:r w:rsidRPr="00396915">
        <w:lastRenderedPageBreak/>
        <w:t>Background</w:t>
      </w:r>
      <w:bookmarkEnd w:id="16"/>
    </w:p>
    <w:p w14:paraId="5C97B07D" w14:textId="77777777" w:rsidR="009A521E" w:rsidRPr="00843A16" w:rsidRDefault="009A521E" w:rsidP="009A521E">
      <w:pPr>
        <w:pStyle w:val="Heading2"/>
      </w:pPr>
      <w:bookmarkStart w:id="17" w:name="_Toc233643278"/>
      <w:r w:rsidRPr="00843A16">
        <w:t>Online gambling and harm</w:t>
      </w:r>
      <w:bookmarkEnd w:id="17"/>
    </w:p>
    <w:p w14:paraId="425A8792" w14:textId="179FD993" w:rsidR="009A521E" w:rsidRDefault="009A521E" w:rsidP="00575ECC">
      <w:pPr>
        <w:pStyle w:val="BodyText"/>
      </w:pPr>
      <w:r w:rsidRPr="00843A16">
        <w:t>Australian adults have the highest gambling losses in the world at more than $1,500 per adult in 2023</w:t>
      </w:r>
      <w:r w:rsidR="004267B0">
        <w:t>–</w:t>
      </w:r>
      <w:r w:rsidRPr="00843A16">
        <w:t>24 and total losses cumulating to $32.2 billion (</w:t>
      </w:r>
      <w:r>
        <w:t xml:space="preserve">H2 Gambling Capital, 2025; </w:t>
      </w:r>
      <w:r w:rsidR="00655B78">
        <w:t>Queensland Government’s Statistician’s Office [</w:t>
      </w:r>
      <w:r w:rsidRPr="00843A16">
        <w:t>QGSO</w:t>
      </w:r>
      <w:r w:rsidR="00655B78">
        <w:t>]</w:t>
      </w:r>
      <w:r w:rsidRPr="00843A16">
        <w:t xml:space="preserve">, 2025). The legal forms of gambling driving </w:t>
      </w:r>
      <w:r>
        <w:t>these</w:t>
      </w:r>
      <w:r w:rsidRPr="00843A16">
        <w:t xml:space="preserve"> losses are land-based gaming machines (pokies) and wagering (sports, races, other events), followed by land-based casinos, lotteries and keno (see </w:t>
      </w:r>
      <w:hyperlink w:anchor="Figure1" w:history="1">
        <w:r w:rsidR="00C23684" w:rsidRPr="003731FE">
          <w:rPr>
            <w:rStyle w:val="Hyperlink"/>
            <w:b/>
            <w:bCs/>
          </w:rPr>
          <w:t>Figure 1</w:t>
        </w:r>
      </w:hyperlink>
      <w:r w:rsidRPr="00843A16">
        <w:t xml:space="preserve">). </w:t>
      </w:r>
    </w:p>
    <w:p w14:paraId="260FD5EA" w14:textId="2FB187B6" w:rsidR="009A521E" w:rsidRPr="00DB14D1" w:rsidRDefault="009A521E" w:rsidP="009A521E">
      <w:pPr>
        <w:pStyle w:val="TableCaption"/>
        <w:keepLines/>
      </w:pPr>
      <w:bookmarkStart w:id="18" w:name="Figure1"/>
      <w:r w:rsidRPr="00FF6851">
        <w:t xml:space="preserve">Figure </w:t>
      </w:r>
      <w:r w:rsidRPr="00FF6851">
        <w:fldChar w:fldCharType="begin"/>
      </w:r>
      <w:r w:rsidRPr="00FF6851">
        <w:instrText>SEQ Figure \* ARABIC</w:instrText>
      </w:r>
      <w:r w:rsidRPr="00FF6851">
        <w:fldChar w:fldCharType="separate"/>
      </w:r>
      <w:r w:rsidR="005E49A0">
        <w:rPr>
          <w:noProof/>
        </w:rPr>
        <w:t>1</w:t>
      </w:r>
      <w:r w:rsidRPr="00FF6851">
        <w:fldChar w:fldCharType="end"/>
      </w:r>
      <w:bookmarkEnd w:id="18"/>
      <w:r w:rsidR="00655B78">
        <w:t>:</w:t>
      </w:r>
      <w:r w:rsidR="00655B78" w:rsidRPr="00FF6851">
        <w:t xml:space="preserve"> </w:t>
      </w:r>
      <w:r w:rsidRPr="00FF6851">
        <w:t>Total real gambling expenditure/net loss ($ billion) in Australia, by gambling activity, 2017</w:t>
      </w:r>
      <w:r w:rsidR="00655B78">
        <w:t>–</w:t>
      </w:r>
      <w:r w:rsidRPr="00FF6851">
        <w:t>18 to 2023</w:t>
      </w:r>
      <w:r w:rsidR="00655B78">
        <w:t>–</w:t>
      </w:r>
      <w:r w:rsidRPr="00FF6851">
        <w:t>24</w:t>
      </w:r>
      <w:r w:rsidRPr="00DB14D1">
        <w:rPr>
          <w:noProof/>
        </w:rPr>
        <w:drawing>
          <wp:inline distT="0" distB="0" distL="0" distR="0" wp14:anchorId="63D67D68" wp14:editId="3695F64B">
            <wp:extent cx="5363570" cy="3058389"/>
            <wp:effectExtent l="0" t="0" r="8255" b="0"/>
            <wp:docPr id="1808250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63570" cy="3058389"/>
                    </a:xfrm>
                    <a:prstGeom prst="rect">
                      <a:avLst/>
                    </a:prstGeom>
                    <a:noFill/>
                  </pic:spPr>
                </pic:pic>
              </a:graphicData>
            </a:graphic>
          </wp:inline>
        </w:drawing>
      </w:r>
    </w:p>
    <w:p w14:paraId="664820D9" w14:textId="5156790A" w:rsidR="00565182" w:rsidRDefault="009A521E" w:rsidP="009A521E">
      <w:pPr>
        <w:pStyle w:val="FigureNotes"/>
        <w:spacing w:before="0"/>
      </w:pPr>
      <w:r w:rsidRPr="00DB14D1">
        <w:t xml:space="preserve">Notes: These data should be read in conjunction with the </w:t>
      </w:r>
      <w:hyperlink r:id="rId19" w:history="1">
        <w:r w:rsidRPr="00DB14D1">
          <w:rPr>
            <w:rStyle w:val="Hyperlink"/>
          </w:rPr>
          <w:t>explanatory notes</w:t>
        </w:r>
      </w:hyperlink>
      <w:r w:rsidRPr="00DB14D1">
        <w:t xml:space="preserve"> and other expenditure tables in this </w:t>
      </w:r>
      <w:hyperlink r:id="rId20" w:history="1">
        <w:r w:rsidRPr="00DB14D1">
          <w:rPr>
            <w:rStyle w:val="Hyperlink"/>
          </w:rPr>
          <w:t>publication</w:t>
        </w:r>
      </w:hyperlink>
      <w:r w:rsidRPr="00DB14D1">
        <w:t>.</w:t>
      </w:r>
      <w:r>
        <w:t xml:space="preserve"> Gaming machine expenditure is only for those located in pubs, clubs and hotels. Expenditure from gaming machines in casinos is in </w:t>
      </w:r>
      <w:proofErr w:type="gramStart"/>
      <w:r>
        <w:t>the ‘casino’</w:t>
      </w:r>
      <w:proofErr w:type="gramEnd"/>
      <w:r>
        <w:t xml:space="preserve"> category. </w:t>
      </w:r>
    </w:p>
    <w:p w14:paraId="19EA5066" w14:textId="1BF5DD21" w:rsidR="00655B78" w:rsidRPr="00DB14D1" w:rsidRDefault="00655B78" w:rsidP="009A521E">
      <w:pPr>
        <w:pStyle w:val="FigureNotes"/>
        <w:spacing w:before="0"/>
      </w:pPr>
      <w:r>
        <w:t xml:space="preserve">Source: </w:t>
      </w:r>
      <w:r w:rsidRPr="00FF6851">
        <w:t>QGSO, 2025</w:t>
      </w:r>
    </w:p>
    <w:p w14:paraId="5CA9462A" w14:textId="48157DE3" w:rsidR="00565182" w:rsidRDefault="009A521E" w:rsidP="00565182">
      <w:pPr>
        <w:pStyle w:val="BodyText"/>
      </w:pPr>
      <w:r w:rsidRPr="00843A16">
        <w:t xml:space="preserve">Total gambling expenditure in Australia has increased steadily over the past decade. However, various recent state and territory-based gambling prevalence studies are finding overall gambling participation is either remaining stable or decreasing. </w:t>
      </w:r>
      <w:r>
        <w:t xml:space="preserve">See: </w:t>
      </w:r>
      <w:r w:rsidRPr="00843A16">
        <w:t>the 2024 ACT Gambling Survey (</w:t>
      </w:r>
      <w:proofErr w:type="spellStart"/>
      <w:r w:rsidRPr="00843A16">
        <w:t>Rockloff</w:t>
      </w:r>
      <w:proofErr w:type="spellEnd"/>
      <w:r w:rsidRPr="00843A16">
        <w:t xml:space="preserve"> et al., 2025), the NSW Gambling Survey 2024 (Browne et al., 2024) and the Victorian Population Gambling and Health Study 2023 (Suomi et al., 2024)</w:t>
      </w:r>
      <w:r w:rsidR="00637145">
        <w:t>.</w:t>
      </w:r>
      <w:r w:rsidRPr="00843A16">
        <w:t xml:space="preserve"> </w:t>
      </w:r>
    </w:p>
    <w:p w14:paraId="3838251C" w14:textId="08067C97" w:rsidR="000674A6" w:rsidRDefault="009A521E" w:rsidP="000674A6">
      <w:pPr>
        <w:pStyle w:val="BodyText"/>
      </w:pPr>
      <w:r w:rsidRPr="00843A16">
        <w:t xml:space="preserve">Despite the decrease in </w:t>
      </w:r>
      <w:r>
        <w:t xml:space="preserve">overall </w:t>
      </w:r>
      <w:r w:rsidRPr="00843A16">
        <w:t xml:space="preserve">gambling participation amongst adults in their jurisdictions, these studies report that online gambling </w:t>
      </w:r>
      <w:r>
        <w:t xml:space="preserve">as a distinct category of gambling </w:t>
      </w:r>
      <w:r w:rsidRPr="00843A16">
        <w:t>is increasing</w:t>
      </w:r>
      <w:r>
        <w:t xml:space="preserve">; </w:t>
      </w:r>
      <w:r w:rsidRPr="00843A16">
        <w:t xml:space="preserve">and </w:t>
      </w:r>
      <w:r>
        <w:t>that overall</w:t>
      </w:r>
      <w:r w:rsidRPr="00843A16">
        <w:t xml:space="preserve"> gambling-related harm either remains constant or is increasing.</w:t>
      </w:r>
      <w:r>
        <w:rPr>
          <w:rStyle w:val="FootnoteReference"/>
        </w:rPr>
        <w:footnoteReference w:id="4"/>
      </w:r>
      <w:r>
        <w:t xml:space="preserve">  </w:t>
      </w:r>
    </w:p>
    <w:p w14:paraId="5AE66B5A" w14:textId="1663CD3D" w:rsidR="009A521E" w:rsidRDefault="009A521E" w:rsidP="000674A6">
      <w:pPr>
        <w:pStyle w:val="BodyText"/>
      </w:pPr>
      <w:r w:rsidRPr="00843A16">
        <w:t xml:space="preserve">In Australia, online gambling has markedly increased over the past 15 years, with </w:t>
      </w:r>
      <w:r>
        <w:t xml:space="preserve">at least yearly </w:t>
      </w:r>
      <w:r w:rsidRPr="00843A16">
        <w:t>participation amongst Australian adults more than doubling from 8.1% in 2010–11 to 17.5% in 2019 (Hing et al., 2014; 2021). The National Gambling Prevalence Study</w:t>
      </w:r>
      <w:r>
        <w:t xml:space="preserve"> (NGPS)</w:t>
      </w:r>
      <w:r w:rsidRPr="00843A16">
        <w:t xml:space="preserve"> conducted by the </w:t>
      </w:r>
      <w:r w:rsidR="003647E1">
        <w:t>Australian Gambling Research Centre (</w:t>
      </w:r>
      <w:r w:rsidRPr="00843A16">
        <w:t>AGRC</w:t>
      </w:r>
      <w:r w:rsidR="003647E1">
        <w:t>)</w:t>
      </w:r>
      <w:r w:rsidRPr="00843A16">
        <w:t xml:space="preserve"> in 2024 found th</w:t>
      </w:r>
      <w:r>
        <w:t xml:space="preserve">at online gambling </w:t>
      </w:r>
      <w:r>
        <w:lastRenderedPageBreak/>
        <w:t>participation in the</w:t>
      </w:r>
      <w:r w:rsidRPr="00843A16">
        <w:t xml:space="preserve"> </w:t>
      </w:r>
      <w:r>
        <w:t xml:space="preserve">last year </w:t>
      </w:r>
      <w:r w:rsidRPr="00843A16">
        <w:t>had doubled since 2019 to 37%</w:t>
      </w:r>
      <w:r>
        <w:t xml:space="preserve"> in 2024</w:t>
      </w:r>
      <w:r w:rsidRPr="00843A16">
        <w:t xml:space="preserve"> (AGRC</w:t>
      </w:r>
      <w:r>
        <w:t>,</w:t>
      </w:r>
      <w:r w:rsidRPr="00843A16">
        <w:t xml:space="preserve"> 2024</w:t>
      </w:r>
      <w:r>
        <w:t>,</w:t>
      </w:r>
      <w:r w:rsidRPr="00843A16">
        <w:t xml:space="preserve"> unpublished</w:t>
      </w:r>
      <w:r>
        <w:t xml:space="preserve"> data</w:t>
      </w:r>
      <w:r w:rsidRPr="00843A16">
        <w:t xml:space="preserve">). </w:t>
      </w:r>
    </w:p>
    <w:p w14:paraId="54B15048" w14:textId="2BD9DF5E" w:rsidR="009A521E" w:rsidRPr="00843A16" w:rsidRDefault="009A521E" w:rsidP="00575ECC">
      <w:pPr>
        <w:pStyle w:val="BodyText"/>
      </w:pPr>
      <w:r w:rsidRPr="00843A16">
        <w:t xml:space="preserve">A </w:t>
      </w:r>
      <w:r w:rsidRPr="002010C1">
        <w:t>comparison</w:t>
      </w:r>
      <w:r w:rsidRPr="00843A16">
        <w:t xml:space="preserve"> of the 2019 and 2024 national prevalence studies shows online gambling activities increasing substantially for online lotteries and wagering (race and sports betting) (see </w:t>
      </w:r>
      <w:r w:rsidR="000262AF" w:rsidRPr="000262AF">
        <w:rPr>
          <w:b/>
          <w:bCs/>
        </w:rPr>
        <w:fldChar w:fldCharType="begin"/>
      </w:r>
      <w:r w:rsidR="000262AF" w:rsidRPr="000262AF">
        <w:rPr>
          <w:b/>
          <w:bCs/>
        </w:rPr>
        <w:instrText xml:space="preserve"> REF  Figure2 \h  \* MERGEFORMAT </w:instrText>
      </w:r>
      <w:r w:rsidR="000262AF" w:rsidRPr="000262AF">
        <w:rPr>
          <w:b/>
          <w:bCs/>
        </w:rPr>
      </w:r>
      <w:r w:rsidR="000262AF" w:rsidRPr="000262AF">
        <w:rPr>
          <w:b/>
          <w:bCs/>
        </w:rPr>
        <w:fldChar w:fldCharType="separate"/>
      </w:r>
      <w:r w:rsidR="000262AF" w:rsidRPr="000262AF">
        <w:rPr>
          <w:b/>
          <w:bCs/>
        </w:rPr>
        <w:t xml:space="preserve">Figure </w:t>
      </w:r>
      <w:r w:rsidR="000262AF" w:rsidRPr="000262AF">
        <w:rPr>
          <w:b/>
          <w:bCs/>
          <w:noProof/>
        </w:rPr>
        <w:t>2</w:t>
      </w:r>
      <w:r w:rsidR="000262AF" w:rsidRPr="000262AF">
        <w:rPr>
          <w:b/>
          <w:bCs/>
        </w:rPr>
        <w:fldChar w:fldCharType="end"/>
      </w:r>
      <w:r w:rsidRPr="00843A16">
        <w:t xml:space="preserve">). The proportion of wagerers participating online also increased between 2019 and 2024: </w:t>
      </w:r>
      <w:r w:rsidR="002010C1">
        <w:t xml:space="preserve">from </w:t>
      </w:r>
      <w:r w:rsidRPr="00843A16">
        <w:t xml:space="preserve">60.4% to 83% for sports betting and 35.1% to 66.2% for race betting (Hing et al., 2021; AGRC, </w:t>
      </w:r>
      <w:r>
        <w:t xml:space="preserve">2024, </w:t>
      </w:r>
      <w:r w:rsidRPr="00843A16">
        <w:t>unpublished</w:t>
      </w:r>
      <w:r>
        <w:t xml:space="preserve"> data</w:t>
      </w:r>
      <w:r w:rsidRPr="00843A16">
        <w:t xml:space="preserve">). </w:t>
      </w:r>
    </w:p>
    <w:p w14:paraId="3161CC46" w14:textId="78746C62" w:rsidR="009A521E" w:rsidRPr="00843A16" w:rsidRDefault="009A521E" w:rsidP="00575ECC">
      <w:pPr>
        <w:pStyle w:val="FigureCaption"/>
        <w:rPr>
          <w:lang w:val="en-AU"/>
        </w:rPr>
      </w:pPr>
      <w:bookmarkStart w:id="19" w:name="Figure2"/>
      <w:r w:rsidRPr="00843A16">
        <w:rPr>
          <w:lang w:val="en-AU"/>
        </w:rPr>
        <w:t xml:space="preserve">Figure </w:t>
      </w:r>
      <w:r w:rsidRPr="00843A16">
        <w:rPr>
          <w:lang w:val="en-AU"/>
        </w:rPr>
        <w:fldChar w:fldCharType="begin"/>
      </w:r>
      <w:r w:rsidRPr="00843A16">
        <w:rPr>
          <w:lang w:val="en-AU"/>
        </w:rPr>
        <w:instrText xml:space="preserve"> SEQ Figure \* ARABIC </w:instrText>
      </w:r>
      <w:r w:rsidRPr="00843A16">
        <w:rPr>
          <w:lang w:val="en-AU"/>
        </w:rPr>
        <w:fldChar w:fldCharType="separate"/>
      </w:r>
      <w:r w:rsidR="005E49A0">
        <w:rPr>
          <w:noProof/>
          <w:lang w:val="en-AU"/>
        </w:rPr>
        <w:t>2</w:t>
      </w:r>
      <w:r w:rsidRPr="00843A16">
        <w:rPr>
          <w:lang w:val="en-AU"/>
        </w:rPr>
        <w:fldChar w:fldCharType="end"/>
      </w:r>
      <w:bookmarkEnd w:id="19"/>
      <w:r w:rsidR="002010C1">
        <w:rPr>
          <w:lang w:val="en-AU"/>
        </w:rPr>
        <w:t>:</w:t>
      </w:r>
      <w:r w:rsidR="002010C1" w:rsidRPr="00843A16">
        <w:rPr>
          <w:lang w:val="en-AU"/>
        </w:rPr>
        <w:t xml:space="preserve"> </w:t>
      </w:r>
      <w:r w:rsidRPr="00575ECC">
        <w:t>Proportion</w:t>
      </w:r>
      <w:r w:rsidRPr="00843A16">
        <w:rPr>
          <w:lang w:val="en-AU"/>
        </w:rPr>
        <w:t xml:space="preserve"> of Australian adults participating </w:t>
      </w:r>
      <w:r w:rsidR="002010C1">
        <w:rPr>
          <w:lang w:val="en-AU"/>
        </w:rPr>
        <w:t xml:space="preserve">in </w:t>
      </w:r>
      <w:r w:rsidRPr="00843A16">
        <w:rPr>
          <w:lang w:val="en-AU"/>
        </w:rPr>
        <w:t>online gambling activities</w:t>
      </w:r>
      <w:r w:rsidR="002010C1">
        <w:rPr>
          <w:lang w:val="en-AU"/>
        </w:rPr>
        <w:t>,</w:t>
      </w:r>
      <w:r w:rsidR="002010C1" w:rsidRPr="00843A16">
        <w:rPr>
          <w:lang w:val="en-AU"/>
        </w:rPr>
        <w:t xml:space="preserve"> </w:t>
      </w:r>
      <w:r w:rsidRPr="00843A16">
        <w:rPr>
          <w:lang w:val="en-AU"/>
        </w:rPr>
        <w:t>2019 and 2024</w:t>
      </w:r>
    </w:p>
    <w:p w14:paraId="0FE66569" w14:textId="77777777" w:rsidR="009A521E" w:rsidRDefault="009A521E" w:rsidP="009A521E">
      <w:pPr>
        <w:pStyle w:val="FigureNotes"/>
        <w:spacing w:before="120"/>
        <w:rPr>
          <w:lang w:val="en-AU"/>
        </w:rPr>
      </w:pPr>
      <w:r>
        <w:rPr>
          <w:noProof/>
        </w:rPr>
        <w:drawing>
          <wp:inline distT="0" distB="0" distL="0" distR="0" wp14:anchorId="32166A39" wp14:editId="20F5D16B">
            <wp:extent cx="5753100" cy="3352800"/>
            <wp:effectExtent l="0" t="0" r="0" b="0"/>
            <wp:docPr id="50208496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4CD27AB" w14:textId="77777777" w:rsidR="009A521E" w:rsidRPr="00843A16" w:rsidRDefault="009A521E" w:rsidP="00575ECC">
      <w:pPr>
        <w:pStyle w:val="FigureNotes"/>
        <w:rPr>
          <w:lang w:val="en-AU"/>
        </w:rPr>
      </w:pPr>
      <w:r w:rsidRPr="00843A16">
        <w:rPr>
          <w:lang w:val="en-AU"/>
        </w:rPr>
        <w:t xml:space="preserve">Notes: Data </w:t>
      </w:r>
      <w:r w:rsidRPr="00575ECC">
        <w:t>sources</w:t>
      </w:r>
      <w:r w:rsidRPr="00843A16">
        <w:rPr>
          <w:lang w:val="en-AU"/>
        </w:rPr>
        <w:t xml:space="preserve"> from the Interactive Gambling Study 2019 (Hing et al., 2021) and the National Gambling </w:t>
      </w:r>
      <w:r>
        <w:rPr>
          <w:lang w:val="en-AU"/>
        </w:rPr>
        <w:t>Prevalence</w:t>
      </w:r>
      <w:r w:rsidRPr="00843A16">
        <w:rPr>
          <w:lang w:val="en-AU"/>
        </w:rPr>
        <w:t xml:space="preserve"> Study pilot 2024 (</w:t>
      </w:r>
      <w:r>
        <w:rPr>
          <w:lang w:val="en-AU"/>
        </w:rPr>
        <w:t>AGRC</w:t>
      </w:r>
      <w:r w:rsidRPr="00843A16">
        <w:rPr>
          <w:lang w:val="en-AU"/>
        </w:rPr>
        <w:t xml:space="preserve">, </w:t>
      </w:r>
      <w:r>
        <w:rPr>
          <w:lang w:val="en-AU"/>
        </w:rPr>
        <w:t xml:space="preserve">2024, </w:t>
      </w:r>
      <w:r w:rsidRPr="00843A16">
        <w:rPr>
          <w:lang w:val="en-AU"/>
        </w:rPr>
        <w:t>unpublished</w:t>
      </w:r>
      <w:r>
        <w:rPr>
          <w:lang w:val="en-AU"/>
        </w:rPr>
        <w:t xml:space="preserve"> data</w:t>
      </w:r>
      <w:r w:rsidRPr="00843A16">
        <w:rPr>
          <w:lang w:val="en-AU"/>
        </w:rPr>
        <w:t>). L = legal online gambling activities, licensed in Australia; IL = illegal online gambling activities to offer to Australians.</w:t>
      </w:r>
    </w:p>
    <w:p w14:paraId="1F3FFC91" w14:textId="01DB43AC" w:rsidR="00CF07FF" w:rsidRDefault="00147674" w:rsidP="00575ECC">
      <w:pPr>
        <w:pStyle w:val="BodyText"/>
      </w:pPr>
      <w:r>
        <w:t xml:space="preserve">Although participation in online wagering has increased in Australia, </w:t>
      </w:r>
      <w:r w:rsidR="00EB059A">
        <w:t xml:space="preserve">its impact on </w:t>
      </w:r>
      <w:r w:rsidR="007D3EB2">
        <w:t xml:space="preserve">population-level </w:t>
      </w:r>
      <w:r w:rsidR="00D5381E">
        <w:t xml:space="preserve">rates of gambling-related harm is difficult to determine. </w:t>
      </w:r>
      <w:r w:rsidR="004C28E5">
        <w:t>Several</w:t>
      </w:r>
      <w:r w:rsidR="00422DEF">
        <w:t xml:space="preserve"> recent state and territory</w:t>
      </w:r>
      <w:r w:rsidR="004C39E5">
        <w:t xml:space="preserve">-based gambling </w:t>
      </w:r>
      <w:r w:rsidR="00422DEF">
        <w:t xml:space="preserve">prevalence studies note that </w:t>
      </w:r>
      <w:r w:rsidR="00E1502A">
        <w:t>people wh</w:t>
      </w:r>
      <w:r w:rsidR="00F87364">
        <w:t xml:space="preserve">o gambled online were significantly more likely to experience gambling harm than people who didn’t (Browne et al., </w:t>
      </w:r>
      <w:r w:rsidR="0044166D">
        <w:t xml:space="preserve">2024; </w:t>
      </w:r>
      <w:proofErr w:type="spellStart"/>
      <w:r w:rsidR="0044166D">
        <w:t>Rockloff</w:t>
      </w:r>
      <w:proofErr w:type="spellEnd"/>
      <w:r w:rsidR="006251AE">
        <w:t xml:space="preserve"> et al., 2025</w:t>
      </w:r>
      <w:r w:rsidR="00165888">
        <w:t>;</w:t>
      </w:r>
      <w:r w:rsidR="007810DC">
        <w:t xml:space="preserve"> Queensland Government, 2024</w:t>
      </w:r>
      <w:r w:rsidR="00F87364">
        <w:t xml:space="preserve">). </w:t>
      </w:r>
    </w:p>
    <w:p w14:paraId="084C7EAC" w14:textId="14EB598D" w:rsidR="00147674" w:rsidRDefault="00CF07FF" w:rsidP="00575ECC">
      <w:pPr>
        <w:pStyle w:val="BodyText"/>
      </w:pPr>
      <w:r>
        <w:t>I</w:t>
      </w:r>
      <w:r w:rsidR="002E6276">
        <w:t xml:space="preserve">t is difficult to </w:t>
      </w:r>
      <w:r w:rsidR="002E6276" w:rsidRPr="002010C1">
        <w:t>assess</w:t>
      </w:r>
      <w:r w:rsidR="002E6276">
        <w:t xml:space="preserve"> whether this association is </w:t>
      </w:r>
      <w:r w:rsidR="00587E3C">
        <w:t xml:space="preserve">solely </w:t>
      </w:r>
      <w:r w:rsidR="002E6276">
        <w:t xml:space="preserve">due to </w:t>
      </w:r>
      <w:r w:rsidR="00587E3C">
        <w:t>participation i</w:t>
      </w:r>
      <w:r w:rsidR="00FD7E41">
        <w:t>n</w:t>
      </w:r>
      <w:r w:rsidR="00587E3C">
        <w:t xml:space="preserve"> </w:t>
      </w:r>
      <w:r w:rsidR="00BF6E2C">
        <w:t xml:space="preserve">online wagering itself or </w:t>
      </w:r>
      <w:r w:rsidR="00587E3C">
        <w:t xml:space="preserve">due to </w:t>
      </w:r>
      <w:r w:rsidR="00157EBC">
        <w:t xml:space="preserve">other coinciding demographic or behavioural factors. </w:t>
      </w:r>
      <w:r w:rsidR="00050E02">
        <w:t xml:space="preserve">Research by the </w:t>
      </w:r>
      <w:r w:rsidR="00B252FC">
        <w:t>AGRC</w:t>
      </w:r>
      <w:r w:rsidR="00807BC6">
        <w:t xml:space="preserve"> found </w:t>
      </w:r>
      <w:r w:rsidR="00493EE7">
        <w:t xml:space="preserve">that </w:t>
      </w:r>
      <w:r w:rsidR="00416F22">
        <w:t>7</w:t>
      </w:r>
      <w:r w:rsidR="00BD06E4">
        <w:t>0% of</w:t>
      </w:r>
      <w:r w:rsidR="00493EE7">
        <w:t xml:space="preserve"> people who gamble </w:t>
      </w:r>
      <w:r w:rsidR="00522B97">
        <w:t>use</w:t>
      </w:r>
      <w:r w:rsidR="00C6260E">
        <w:t>d</w:t>
      </w:r>
      <w:r w:rsidR="00522B97">
        <w:t xml:space="preserve"> </w:t>
      </w:r>
      <w:r w:rsidR="00BD06E4">
        <w:t>2 or more gambling products</w:t>
      </w:r>
      <w:r w:rsidR="00283756">
        <w:t>, highlighting the complexity of isolating harms attributable to any single gambling type</w:t>
      </w:r>
      <w:r w:rsidR="00CD1271">
        <w:t xml:space="preserve"> (AGRC, 2023)</w:t>
      </w:r>
      <w:r w:rsidR="00283756">
        <w:t>.</w:t>
      </w:r>
    </w:p>
    <w:p w14:paraId="7D043E96" w14:textId="77777777" w:rsidR="004D305C" w:rsidRPr="00843A16" w:rsidRDefault="004D305C" w:rsidP="002010C1">
      <w:pPr>
        <w:pStyle w:val="Heading2"/>
      </w:pPr>
      <w:bookmarkStart w:id="20" w:name="_Toc233643279"/>
      <w:r w:rsidRPr="00843A16">
        <w:t xml:space="preserve">The National </w:t>
      </w:r>
      <w:r w:rsidRPr="002010C1">
        <w:t>Consumer</w:t>
      </w:r>
      <w:r w:rsidRPr="00843A16">
        <w:t xml:space="preserve"> Protection Framework for Online Wagering</w:t>
      </w:r>
      <w:bookmarkEnd w:id="20"/>
    </w:p>
    <w:p w14:paraId="06CAB3E6" w14:textId="755F66D7" w:rsidR="00980F39" w:rsidRDefault="00980F39" w:rsidP="00575ECC">
      <w:pPr>
        <w:pStyle w:val="BodyText"/>
      </w:pPr>
      <w:r>
        <w:rPr>
          <w:lang w:eastAsia="en-AU"/>
        </w:rPr>
        <w:t>T</w:t>
      </w:r>
      <w:r w:rsidRPr="79DE92B2">
        <w:rPr>
          <w:lang w:eastAsia="en-AU"/>
        </w:rPr>
        <w:t xml:space="preserve">he </w:t>
      </w:r>
      <w:r>
        <w:rPr>
          <w:lang w:eastAsia="en-AU"/>
        </w:rPr>
        <w:t xml:space="preserve">NPS </w:t>
      </w:r>
      <w:r w:rsidRPr="79DE92B2">
        <w:rPr>
          <w:lang w:eastAsia="en-AU"/>
        </w:rPr>
        <w:t>include</w:t>
      </w:r>
      <w:r>
        <w:rPr>
          <w:lang w:eastAsia="en-AU"/>
        </w:rPr>
        <w:t>s</w:t>
      </w:r>
      <w:r w:rsidRPr="79DE92B2">
        <w:rPr>
          <w:lang w:eastAsia="en-AU"/>
        </w:rPr>
        <w:t xml:space="preserve"> 10 measures as described in </w:t>
      </w:r>
      <w:hyperlink w:anchor="Table1" w:history="1">
        <w:r w:rsidR="00F136C5" w:rsidRPr="00CF6D5E">
          <w:rPr>
            <w:rStyle w:val="Hyperlink"/>
            <w:rFonts w:cs="Arial"/>
            <w:b/>
            <w:lang w:eastAsia="en-AU"/>
          </w:rPr>
          <w:t>Table 1</w:t>
        </w:r>
      </w:hyperlink>
      <w:r w:rsidRPr="00575ECC">
        <w:rPr>
          <w:bCs/>
          <w:lang w:eastAsia="en-AU"/>
        </w:rPr>
        <w:t>.</w:t>
      </w:r>
      <w:r w:rsidRPr="79DE92B2">
        <w:rPr>
          <w:b/>
          <w:lang w:eastAsia="en-AU"/>
        </w:rPr>
        <w:t xml:space="preserve"> </w:t>
      </w:r>
      <w:r w:rsidRPr="3F876D50">
        <w:rPr>
          <w:lang w:eastAsia="en-AU"/>
        </w:rPr>
        <w:t>The NPS consists of 7</w:t>
      </w:r>
      <w:r>
        <w:rPr>
          <w:lang w:eastAsia="en-AU"/>
        </w:rPr>
        <w:t>1</w:t>
      </w:r>
      <w:r w:rsidRPr="3F876D50">
        <w:rPr>
          <w:lang w:eastAsia="en-AU"/>
        </w:rPr>
        <w:t xml:space="preserve"> principles across the 10 measures</w:t>
      </w:r>
      <w:r w:rsidRPr="2E7B91FA">
        <w:rPr>
          <w:lang w:eastAsia="en-AU"/>
        </w:rPr>
        <w:t xml:space="preserve"> </w:t>
      </w:r>
      <w:r w:rsidRPr="54D7214F">
        <w:rPr>
          <w:lang w:eastAsia="en-AU"/>
        </w:rPr>
        <w:t>(</w:t>
      </w:r>
      <w:r w:rsidRPr="76B6B6EB">
        <w:rPr>
          <w:lang w:eastAsia="en-AU"/>
        </w:rPr>
        <w:t xml:space="preserve">see </w:t>
      </w:r>
      <w:hyperlink w:anchor="AppendixA" w:history="1">
        <w:r w:rsidR="00E50575">
          <w:rPr>
            <w:rStyle w:val="Hyperlink"/>
            <w:rFonts w:cs="Arial"/>
            <w:b/>
            <w:bCs/>
            <w:lang w:eastAsia="en-AU"/>
          </w:rPr>
          <w:t>Appendix A</w:t>
        </w:r>
      </w:hyperlink>
      <w:r w:rsidRPr="5DE82525">
        <w:rPr>
          <w:lang w:eastAsia="en-AU"/>
        </w:rPr>
        <w:t xml:space="preserve">). </w:t>
      </w:r>
    </w:p>
    <w:p w14:paraId="296428E4" w14:textId="23D740B4" w:rsidR="00980F39" w:rsidRPr="00843A16" w:rsidRDefault="00980F39" w:rsidP="00074143">
      <w:pPr>
        <w:pStyle w:val="TableCaption"/>
        <w:keepLines/>
        <w:rPr>
          <w:lang w:eastAsia="en-AU"/>
        </w:rPr>
      </w:pPr>
      <w:bookmarkStart w:id="21" w:name="Table1"/>
      <w:bookmarkEnd w:id="21"/>
      <w:r>
        <w:rPr>
          <w:lang w:eastAsia="en-AU"/>
        </w:rPr>
        <w:lastRenderedPageBreak/>
        <w:t>T</w:t>
      </w:r>
      <w:r w:rsidRPr="00843A16">
        <w:rPr>
          <w:lang w:eastAsia="en-AU"/>
        </w:rPr>
        <w:t xml:space="preserve">able 1: Summary of </w:t>
      </w:r>
      <w:r w:rsidR="002A7A09">
        <w:rPr>
          <w:lang w:eastAsia="en-AU"/>
        </w:rPr>
        <w:t xml:space="preserve">the </w:t>
      </w:r>
      <w:r w:rsidRPr="00843A16">
        <w:rPr>
          <w:lang w:eastAsia="en-AU"/>
        </w:rPr>
        <w:t xml:space="preserve">10 NCPF </w:t>
      </w:r>
      <w:r w:rsidR="002A7A09">
        <w:rPr>
          <w:lang w:eastAsia="en-AU"/>
        </w:rPr>
        <w:t>m</w:t>
      </w:r>
      <w:r w:rsidR="002A7A09" w:rsidRPr="00843A16">
        <w:rPr>
          <w:lang w:eastAsia="en-AU"/>
        </w:rPr>
        <w:t>easures</w:t>
      </w:r>
      <w:r>
        <w:rPr>
          <w:lang w:eastAsia="en-AU"/>
        </w:rPr>
        <w:t>, implementation dates and regulators</w:t>
      </w:r>
    </w:p>
    <w:tbl>
      <w:tblPr>
        <w:tblStyle w:val="TableGrid46"/>
        <w:tblpPr w:leftFromText="180" w:rightFromText="180" w:vertAnchor="text" w:tblpY="1"/>
        <w:tblOverlap w:val="never"/>
        <w:tblW w:w="5337" w:type="pct"/>
        <w:tblLook w:val="04A0" w:firstRow="1" w:lastRow="0" w:firstColumn="1" w:lastColumn="0" w:noHBand="0" w:noVBand="1"/>
      </w:tblPr>
      <w:tblGrid>
        <w:gridCol w:w="1498"/>
        <w:gridCol w:w="3182"/>
        <w:gridCol w:w="2442"/>
        <w:gridCol w:w="1950"/>
      </w:tblGrid>
      <w:tr w:rsidR="00980F39" w:rsidRPr="00843A16" w14:paraId="5002BC1F" w14:textId="77777777" w:rsidTr="009A521E">
        <w:trPr>
          <w:cnfStyle w:val="100000000000" w:firstRow="1" w:lastRow="0" w:firstColumn="0" w:lastColumn="0" w:oddVBand="0" w:evenVBand="0" w:oddHBand="0" w:evenHBand="0" w:firstRowFirstColumn="0" w:firstRowLastColumn="0" w:lastRowFirstColumn="0" w:lastRowLastColumn="0"/>
          <w:cantSplit w:val="0"/>
          <w:tblHeader/>
        </w:trPr>
        <w:tc>
          <w:tcPr>
            <w:tcW w:w="825" w:type="pct"/>
          </w:tcPr>
          <w:p w14:paraId="02817E5C" w14:textId="77777777" w:rsidR="00980F39" w:rsidRPr="00DB14D1" w:rsidRDefault="00980F39" w:rsidP="00074143">
            <w:pPr>
              <w:keepNext/>
              <w:keepLines/>
              <w:spacing w:before="60" w:after="60" w:line="240" w:lineRule="auto"/>
              <w:jc w:val="left"/>
              <w:rPr>
                <w:rFonts w:eastAsia="Times New Roman"/>
                <w:color w:val="FFFFFF" w:themeColor="background1"/>
                <w:sz w:val="16"/>
                <w:lang w:val="en-US" w:eastAsia="en-AU" w:bidi="en-US"/>
              </w:rPr>
            </w:pPr>
            <w:r w:rsidRPr="00DB14D1">
              <w:rPr>
                <w:rFonts w:eastAsia="Times New Roman"/>
                <w:color w:val="FFFFFF" w:themeColor="background1"/>
                <w:sz w:val="16"/>
                <w:lang w:val="en-US" w:eastAsia="en-AU" w:bidi="en-US"/>
              </w:rPr>
              <w:t>NCPF Measure</w:t>
            </w:r>
          </w:p>
        </w:tc>
        <w:tc>
          <w:tcPr>
            <w:tcW w:w="1754" w:type="pct"/>
          </w:tcPr>
          <w:p w14:paraId="3CD9467F" w14:textId="77777777" w:rsidR="00980F39" w:rsidRPr="00DB14D1" w:rsidRDefault="00980F39" w:rsidP="00074143">
            <w:pPr>
              <w:pStyle w:val="TableColHeadLeft"/>
              <w:keepLines/>
            </w:pPr>
            <w:r w:rsidRPr="00DB14D1">
              <w:t>Description</w:t>
            </w:r>
          </w:p>
        </w:tc>
        <w:tc>
          <w:tcPr>
            <w:tcW w:w="1346" w:type="pct"/>
          </w:tcPr>
          <w:p w14:paraId="76723D05" w14:textId="77777777" w:rsidR="00980F39" w:rsidRPr="00DB14D1" w:rsidRDefault="00980F39" w:rsidP="00074143">
            <w:pPr>
              <w:pStyle w:val="TableColHeadLeft"/>
              <w:keepLines/>
            </w:pPr>
            <w:r w:rsidRPr="00DB14D1">
              <w:t>Date</w:t>
            </w:r>
            <w:r>
              <w:t>/s</w:t>
            </w:r>
            <w:r w:rsidRPr="00DB14D1">
              <w:t xml:space="preserve"> Implemented</w:t>
            </w:r>
          </w:p>
        </w:tc>
        <w:tc>
          <w:tcPr>
            <w:tcW w:w="1075" w:type="pct"/>
          </w:tcPr>
          <w:p w14:paraId="179BD338" w14:textId="77777777" w:rsidR="00980F39" w:rsidRPr="00DB14D1" w:rsidRDefault="00980F39" w:rsidP="00074143">
            <w:pPr>
              <w:pStyle w:val="TableColHeadLeft"/>
              <w:keepLines/>
            </w:pPr>
            <w:r w:rsidRPr="00DB14D1">
              <w:t>Regulatory authority</w:t>
            </w:r>
          </w:p>
        </w:tc>
      </w:tr>
      <w:tr w:rsidR="00980F39" w:rsidRPr="00843A16" w14:paraId="4A636CC9" w14:textId="77777777" w:rsidTr="009A521E">
        <w:tc>
          <w:tcPr>
            <w:tcW w:w="825" w:type="pct"/>
          </w:tcPr>
          <w:p w14:paraId="13F7D49F" w14:textId="77777777" w:rsidR="00980F39" w:rsidRPr="00DB14D1" w:rsidRDefault="00980F39" w:rsidP="00074143">
            <w:pPr>
              <w:pStyle w:val="TableNumber1"/>
              <w:keepLines/>
              <w:numPr>
                <w:ilvl w:val="0"/>
                <w:numId w:val="53"/>
              </w:numPr>
              <w:ind w:left="235" w:hanging="196"/>
            </w:pPr>
            <w:r w:rsidRPr="00DB14D1">
              <w:t>Prohibition of lines of credit</w:t>
            </w:r>
          </w:p>
        </w:tc>
        <w:tc>
          <w:tcPr>
            <w:tcW w:w="1754" w:type="pct"/>
          </w:tcPr>
          <w:p w14:paraId="25A485B2" w14:textId="378F2A4B" w:rsidR="00980F39" w:rsidRPr="00DB14D1" w:rsidRDefault="00980F39" w:rsidP="00074143">
            <w:pPr>
              <w:pStyle w:val="TableText"/>
              <w:keepLines/>
              <w:rPr>
                <w:lang w:val="en-US"/>
              </w:rPr>
            </w:pPr>
            <w:r w:rsidRPr="00843A16">
              <w:t xml:space="preserve">This measure prohibits the offering or provision of credit by interactive WSPs for wagering purposes, </w:t>
            </w:r>
            <w:proofErr w:type="gramStart"/>
            <w:r w:rsidRPr="00843A16">
              <w:t>with the exception of</w:t>
            </w:r>
            <w:proofErr w:type="gramEnd"/>
            <w:r w:rsidRPr="00843A16">
              <w:t xml:space="preserve"> certain on-course bookmakers</w:t>
            </w:r>
            <w:r w:rsidR="004C56A2">
              <w:t>.</w:t>
            </w:r>
          </w:p>
        </w:tc>
        <w:tc>
          <w:tcPr>
            <w:tcW w:w="1346" w:type="pct"/>
          </w:tcPr>
          <w:p w14:paraId="33A9BE67" w14:textId="77777777" w:rsidR="00980F39" w:rsidRPr="00DB14D1" w:rsidRDefault="00980F39" w:rsidP="00074143">
            <w:pPr>
              <w:keepNext/>
              <w:keepLines/>
              <w:spacing w:before="60" w:after="60" w:line="240" w:lineRule="auto"/>
              <w:jc w:val="left"/>
              <w:rPr>
                <w:rFonts w:eastAsia="Times New Roman"/>
                <w:sz w:val="16"/>
                <w:lang w:val="en-US" w:eastAsia="en-AU" w:bidi="en-US"/>
              </w:rPr>
            </w:pPr>
            <w:r w:rsidRPr="00843A16">
              <w:rPr>
                <w:rFonts w:eastAsia="Times New Roman"/>
                <w:sz w:val="16"/>
                <w:szCs w:val="20"/>
                <w:lang w:eastAsia="en-AU" w:bidi="en-US"/>
              </w:rPr>
              <w:t>17/02/18</w:t>
            </w:r>
          </w:p>
        </w:tc>
        <w:tc>
          <w:tcPr>
            <w:tcW w:w="1075" w:type="pct"/>
          </w:tcPr>
          <w:p w14:paraId="11FA4CDD" w14:textId="13DA0200" w:rsidR="00980F39" w:rsidRPr="00DB14D1" w:rsidRDefault="00980F39" w:rsidP="00074143">
            <w:pPr>
              <w:pStyle w:val="TableText"/>
              <w:keepLines/>
              <w:rPr>
                <w:lang w:val="en-US"/>
              </w:rPr>
            </w:pPr>
            <w:r w:rsidRPr="00DB14D1">
              <w:rPr>
                <w:lang w:val="en-US"/>
              </w:rPr>
              <w:t>Commonwealth (ACMA)</w:t>
            </w:r>
            <w:r w:rsidRPr="00843A16">
              <w:rPr>
                <w:rFonts w:cs="Arial"/>
                <w:sz w:val="20"/>
              </w:rPr>
              <w:t xml:space="preserve"> </w:t>
            </w:r>
            <w:r w:rsidRPr="00843A16">
              <w:t>via the </w:t>
            </w:r>
            <w:hyperlink r:id="rId22" w:history="1">
              <w:r w:rsidRPr="00843A16">
                <w:rPr>
                  <w:rStyle w:val="Hyperlink"/>
                  <w:i/>
                  <w:iCs/>
                </w:rPr>
                <w:t>Interactive Gambling Amendments Act 2017</w:t>
              </w:r>
            </w:hyperlink>
          </w:p>
        </w:tc>
      </w:tr>
      <w:tr w:rsidR="00980F39" w:rsidRPr="00843A16" w14:paraId="305C60C0" w14:textId="77777777" w:rsidTr="009A521E">
        <w:tc>
          <w:tcPr>
            <w:tcW w:w="825" w:type="pct"/>
          </w:tcPr>
          <w:p w14:paraId="63514531" w14:textId="77777777" w:rsidR="00980F39" w:rsidRPr="00DB14D1" w:rsidRDefault="00980F39" w:rsidP="00074143">
            <w:pPr>
              <w:pStyle w:val="TableNumber1"/>
              <w:keepLines/>
              <w:numPr>
                <w:ilvl w:val="0"/>
                <w:numId w:val="53"/>
              </w:numPr>
              <w:ind w:left="235" w:hanging="196"/>
            </w:pPr>
            <w:r w:rsidRPr="00DB14D1">
              <w:t>Payday lenders</w:t>
            </w:r>
          </w:p>
        </w:tc>
        <w:tc>
          <w:tcPr>
            <w:tcW w:w="1754" w:type="pct"/>
          </w:tcPr>
          <w:p w14:paraId="3FD85167" w14:textId="77777777" w:rsidR="00980F39" w:rsidRPr="00843A16" w:rsidRDefault="00980F39" w:rsidP="00074143">
            <w:pPr>
              <w:pStyle w:val="TableText"/>
              <w:keepLines/>
            </w:pPr>
            <w:r w:rsidRPr="00843A16">
              <w:t>This measure discourages the use of small amount credit contracts (payday lending) for online wagering.</w:t>
            </w:r>
          </w:p>
        </w:tc>
        <w:tc>
          <w:tcPr>
            <w:tcW w:w="1346" w:type="pct"/>
          </w:tcPr>
          <w:p w14:paraId="68B7A5C5"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17/02/18</w:t>
            </w:r>
          </w:p>
        </w:tc>
        <w:tc>
          <w:tcPr>
            <w:tcW w:w="1075" w:type="pct"/>
          </w:tcPr>
          <w:p w14:paraId="685F7019" w14:textId="2D8B6DDA" w:rsidR="00980F39" w:rsidRPr="00843A16" w:rsidRDefault="00980F39" w:rsidP="00074143">
            <w:pPr>
              <w:pStyle w:val="TableText"/>
              <w:keepLines/>
            </w:pPr>
            <w:r w:rsidRPr="00843A16">
              <w:t>Commonwealth (ACMA)</w:t>
            </w:r>
            <w:r w:rsidRPr="00843A16">
              <w:rPr>
                <w:rFonts w:cs="Arial"/>
              </w:rPr>
              <w:t xml:space="preserve"> via the </w:t>
            </w:r>
            <w:hyperlink r:id="rId23" w:history="1">
              <w:r w:rsidRPr="00843A16">
                <w:rPr>
                  <w:rStyle w:val="Hyperlink"/>
                  <w:rFonts w:cs="Arial"/>
                  <w:i/>
                  <w:iCs/>
                </w:rPr>
                <w:t>Interactive Gambling Amendments Act 2017</w:t>
              </w:r>
            </w:hyperlink>
          </w:p>
        </w:tc>
      </w:tr>
      <w:tr w:rsidR="00980F39" w:rsidRPr="00843A16" w14:paraId="744EE34A" w14:textId="77777777" w:rsidTr="009A521E">
        <w:tc>
          <w:tcPr>
            <w:tcW w:w="825" w:type="pct"/>
          </w:tcPr>
          <w:p w14:paraId="62F86E47" w14:textId="77777777" w:rsidR="00980F39" w:rsidRPr="00DB14D1" w:rsidRDefault="00980F39" w:rsidP="00074143">
            <w:pPr>
              <w:pStyle w:val="TableNumber1"/>
              <w:keepLines/>
              <w:numPr>
                <w:ilvl w:val="0"/>
                <w:numId w:val="53"/>
              </w:numPr>
              <w:ind w:left="235" w:hanging="196"/>
            </w:pPr>
            <w:r w:rsidRPr="00DB14D1">
              <w:t>Customer Verification</w:t>
            </w:r>
          </w:p>
        </w:tc>
        <w:tc>
          <w:tcPr>
            <w:tcW w:w="1754" w:type="pct"/>
          </w:tcPr>
          <w:p w14:paraId="6FAB9366" w14:textId="2B794000" w:rsidR="00980F39" w:rsidRPr="00DB14D1" w:rsidRDefault="00980F39" w:rsidP="00074143">
            <w:pPr>
              <w:pStyle w:val="TableText"/>
              <w:keepLines/>
              <w:rPr>
                <w:lang w:val="en-US"/>
              </w:rPr>
            </w:pPr>
            <w:r w:rsidRPr="00843A16">
              <w:t>This measure changes the customer verification period to customer pre-verification for online wagering across all jurisdictions (29 September 2023). This replaced the previous iterations of customer verification under the NCPF from 14</w:t>
            </w:r>
            <w:r w:rsidR="00F522EF">
              <w:t xml:space="preserve"> </w:t>
            </w:r>
            <w:r w:rsidRPr="00843A16">
              <w:t xml:space="preserve">days (or less) for customer verification to continue using an online wagering account (26 February 2019) to a 72-hour (or less) verification period (2 May 2022) </w:t>
            </w:r>
            <w:r w:rsidR="00F522EF">
              <w:t>for</w:t>
            </w:r>
            <w:r w:rsidR="00F522EF" w:rsidRPr="00843A16">
              <w:t xml:space="preserve"> </w:t>
            </w:r>
            <w:r w:rsidRPr="00843A16">
              <w:t xml:space="preserve">customer pre-verification. </w:t>
            </w:r>
          </w:p>
        </w:tc>
        <w:tc>
          <w:tcPr>
            <w:tcW w:w="1346" w:type="pct"/>
          </w:tcPr>
          <w:p w14:paraId="2442A8B1" w14:textId="77777777" w:rsidR="00980F39" w:rsidRPr="00843A16" w:rsidRDefault="00980F39" w:rsidP="00074143">
            <w:pPr>
              <w:pStyle w:val="TableText"/>
              <w:keepLines/>
            </w:pPr>
            <w:r w:rsidRPr="00843A16">
              <w:t>26/02/19: 90 days to 14 days</w:t>
            </w:r>
          </w:p>
          <w:p w14:paraId="2C4E52DD" w14:textId="6F16E1C7" w:rsidR="00980F39" w:rsidRPr="00843A16" w:rsidRDefault="00980F39" w:rsidP="00074143">
            <w:pPr>
              <w:pStyle w:val="TableText"/>
              <w:keepLines/>
            </w:pPr>
            <w:r w:rsidRPr="00843A16">
              <w:t>2/05/22:14 days to 72 hours</w:t>
            </w:r>
          </w:p>
          <w:p w14:paraId="2BF0983F" w14:textId="77777777" w:rsidR="005F45D5" w:rsidRDefault="005F45D5" w:rsidP="005F45D5">
            <w:pPr>
              <w:pStyle w:val="TableText"/>
              <w:keepLines/>
            </w:pPr>
            <w:r>
              <w:t>Non-NCPF Refinements:</w:t>
            </w:r>
          </w:p>
          <w:p w14:paraId="53CDA37A" w14:textId="77777777" w:rsidR="00980F39" w:rsidRPr="00843A16" w:rsidRDefault="00980F39" w:rsidP="00575ECC">
            <w:pPr>
              <w:pStyle w:val="TableTextIndent"/>
            </w:pPr>
            <w:r w:rsidRPr="00843A16">
              <w:t>29/09/23: Pre-verification through an account</w:t>
            </w:r>
          </w:p>
          <w:p w14:paraId="13056C32" w14:textId="77777777" w:rsidR="00980F39" w:rsidRPr="00843A16" w:rsidRDefault="00980F39" w:rsidP="00575ECC">
            <w:pPr>
              <w:pStyle w:val="TableTextIndent"/>
            </w:pPr>
            <w:r w:rsidRPr="00843A16">
              <w:t>29/09/24: Pre-verification prior to having an account</w:t>
            </w:r>
          </w:p>
        </w:tc>
        <w:tc>
          <w:tcPr>
            <w:tcW w:w="1075" w:type="pct"/>
          </w:tcPr>
          <w:p w14:paraId="52146AB8" w14:textId="6598FA24" w:rsidR="00980F39" w:rsidRPr="00843A16" w:rsidRDefault="00980F39" w:rsidP="00074143">
            <w:pPr>
              <w:pStyle w:val="TableText"/>
              <w:keepLines/>
            </w:pPr>
            <w:r w:rsidRPr="00843A16">
              <w:t>Commonwealth (AUSTRAC)</w:t>
            </w:r>
            <w:r w:rsidRPr="00843A16">
              <w:rPr>
                <w:rFonts w:cs="Arial"/>
                <w:sz w:val="20"/>
              </w:rPr>
              <w:t xml:space="preserve"> </w:t>
            </w:r>
            <w:r w:rsidRPr="00843A16">
              <w:t>via the </w:t>
            </w:r>
            <w:hyperlink r:id="rId24" w:history="1">
              <w:r w:rsidRPr="00843A16">
                <w:rPr>
                  <w:rStyle w:val="Hyperlink"/>
                  <w:i/>
                  <w:iCs/>
                </w:rPr>
                <w:t>Anti Money Laundering and Counter Terrorism Financing Rules Instrument 2007</w:t>
              </w:r>
            </w:hyperlink>
            <w:r w:rsidRPr="00843A16">
              <w:t> (AML/CTF Rules)</w:t>
            </w:r>
          </w:p>
        </w:tc>
      </w:tr>
      <w:tr w:rsidR="00980F39" w:rsidRPr="00843A16" w14:paraId="6E903F85" w14:textId="77777777" w:rsidTr="009A521E">
        <w:tc>
          <w:tcPr>
            <w:tcW w:w="825" w:type="pct"/>
          </w:tcPr>
          <w:p w14:paraId="117294E8" w14:textId="77777777" w:rsidR="00980F39" w:rsidRPr="00DB14D1" w:rsidRDefault="00980F39" w:rsidP="00074143">
            <w:pPr>
              <w:pStyle w:val="TableNumber1"/>
              <w:keepLines/>
              <w:numPr>
                <w:ilvl w:val="0"/>
                <w:numId w:val="53"/>
              </w:numPr>
              <w:ind w:left="235" w:hanging="196"/>
            </w:pPr>
            <w:r w:rsidRPr="00DB14D1">
              <w:t>Restrictions on inducements</w:t>
            </w:r>
          </w:p>
        </w:tc>
        <w:tc>
          <w:tcPr>
            <w:tcW w:w="1754" w:type="pct"/>
          </w:tcPr>
          <w:p w14:paraId="73C7480B" w14:textId="73490C19" w:rsidR="00980F39" w:rsidRPr="00DB14D1" w:rsidRDefault="00980F39" w:rsidP="00074143">
            <w:pPr>
              <w:pStyle w:val="TableText"/>
              <w:keepLines/>
              <w:rPr>
                <w:lang w:val="en-US"/>
              </w:rPr>
            </w:pPr>
            <w:r w:rsidRPr="00843A16">
              <w:t xml:space="preserve">This measure prohibits WSPs from offering incentives to open new accounts or refer another </w:t>
            </w:r>
            <w:proofErr w:type="gramStart"/>
            <w:r w:rsidRPr="00843A16">
              <w:t>person,</w:t>
            </w:r>
            <w:r w:rsidR="0078286F">
              <w:t xml:space="preserve"> and</w:t>
            </w:r>
            <w:proofErr w:type="gramEnd"/>
            <w:r w:rsidRPr="00843A16">
              <w:t xml:space="preserve"> restricts inducements or incentives to within loyalty programs where this is required by state or territory law</w:t>
            </w:r>
            <w:r>
              <w:t>. It</w:t>
            </w:r>
            <w:r w:rsidRPr="00843A16">
              <w:t xml:space="preserve"> requires express consent for any direct marketing and prohibits turnover requirements on bonus bets.</w:t>
            </w:r>
          </w:p>
        </w:tc>
        <w:tc>
          <w:tcPr>
            <w:tcW w:w="1346" w:type="pct"/>
          </w:tcPr>
          <w:p w14:paraId="35901763" w14:textId="10398561" w:rsidR="00980F39" w:rsidRPr="00843A16" w:rsidRDefault="00667C56" w:rsidP="001F5677">
            <w:pPr>
              <w:pStyle w:val="TableText"/>
              <w:keepLines/>
            </w:pPr>
            <w:r>
              <w:t>May 2019 (All jurisdiction</w:t>
            </w:r>
            <w:r w:rsidR="001F5677">
              <w:t>s except NSW)</w:t>
            </w:r>
            <w:r w:rsidR="00980F39" w:rsidRPr="00843A16">
              <w:t xml:space="preserve"> </w:t>
            </w:r>
          </w:p>
          <w:p w14:paraId="73DDF260" w14:textId="77777777" w:rsidR="00980F39" w:rsidRPr="00843A16" w:rsidRDefault="00980F39" w:rsidP="00074143">
            <w:pPr>
              <w:pStyle w:val="TableText"/>
              <w:keepLines/>
            </w:pPr>
            <w:r w:rsidRPr="00843A16">
              <w:t>26/11/19 (NSW)</w:t>
            </w:r>
          </w:p>
          <w:p w14:paraId="24A83CAC" w14:textId="0F152D04" w:rsidR="00980F39" w:rsidRPr="00843A16" w:rsidRDefault="00980F39" w:rsidP="00074143">
            <w:pPr>
              <w:pStyle w:val="TableText"/>
              <w:keepLines/>
            </w:pPr>
          </w:p>
        </w:tc>
        <w:tc>
          <w:tcPr>
            <w:tcW w:w="1075" w:type="pct"/>
          </w:tcPr>
          <w:p w14:paraId="652C4642"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34C2670D" w14:textId="77777777" w:rsidTr="009A521E">
        <w:tc>
          <w:tcPr>
            <w:tcW w:w="825" w:type="pct"/>
          </w:tcPr>
          <w:p w14:paraId="2EE1C096" w14:textId="77777777" w:rsidR="00980F39" w:rsidRPr="00DB14D1" w:rsidRDefault="00980F39" w:rsidP="00074143">
            <w:pPr>
              <w:pStyle w:val="TableNumber1"/>
              <w:keepLines/>
              <w:numPr>
                <w:ilvl w:val="0"/>
                <w:numId w:val="53"/>
              </w:numPr>
              <w:ind w:left="235" w:hanging="196"/>
            </w:pPr>
            <w:r w:rsidRPr="00DB14D1">
              <w:t>Account closure</w:t>
            </w:r>
          </w:p>
        </w:tc>
        <w:tc>
          <w:tcPr>
            <w:tcW w:w="1754" w:type="pct"/>
          </w:tcPr>
          <w:p w14:paraId="25A60A4B" w14:textId="77777777" w:rsidR="00980F39" w:rsidRPr="00843A16" w:rsidRDefault="00980F39" w:rsidP="00074143">
            <w:pPr>
              <w:pStyle w:val="TableText"/>
              <w:keepLines/>
            </w:pPr>
            <w:r w:rsidRPr="00843A16">
              <w:t>This measure ensures that closing/cancelling an online wagering account is readily available and accessible by all customers, that closures begin immediately and that customers who indicate they wish to close an account cannot be encouraged to change their mind.</w:t>
            </w:r>
          </w:p>
        </w:tc>
        <w:tc>
          <w:tcPr>
            <w:tcW w:w="1346" w:type="pct"/>
          </w:tcPr>
          <w:p w14:paraId="7BD77632" w14:textId="77777777" w:rsidR="00CE45BE" w:rsidRPr="00843A16" w:rsidRDefault="00CE45BE" w:rsidP="00CE45BE">
            <w:pPr>
              <w:pStyle w:val="TableText"/>
              <w:keepLines/>
            </w:pPr>
            <w:r>
              <w:t>May 2019 (All jurisdictions except NSW)</w:t>
            </w:r>
            <w:r w:rsidRPr="00843A16">
              <w:t xml:space="preserve"> </w:t>
            </w:r>
          </w:p>
          <w:p w14:paraId="640B3F84" w14:textId="77777777" w:rsidR="00980F39" w:rsidRPr="00843A16" w:rsidRDefault="00980F39" w:rsidP="00074143">
            <w:pPr>
              <w:pStyle w:val="TableText"/>
              <w:keepLines/>
            </w:pPr>
            <w:r w:rsidRPr="00843A16">
              <w:t>26/11/19 (NSW)</w:t>
            </w:r>
          </w:p>
          <w:p w14:paraId="1E909820" w14:textId="2F2A2988" w:rsidR="00980F39" w:rsidRPr="00843A16" w:rsidRDefault="00980F39" w:rsidP="00074143">
            <w:pPr>
              <w:pStyle w:val="TableText"/>
              <w:keepLines/>
            </w:pPr>
          </w:p>
        </w:tc>
        <w:tc>
          <w:tcPr>
            <w:tcW w:w="1075" w:type="pct"/>
          </w:tcPr>
          <w:p w14:paraId="2C28D00E"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123D9B32" w14:textId="77777777" w:rsidTr="009A521E">
        <w:tc>
          <w:tcPr>
            <w:tcW w:w="825" w:type="pct"/>
          </w:tcPr>
          <w:p w14:paraId="20F83FE2" w14:textId="77777777" w:rsidR="00980F39" w:rsidRPr="00DB14D1" w:rsidRDefault="00980F39" w:rsidP="00074143">
            <w:pPr>
              <w:pStyle w:val="TableNumber1"/>
              <w:keepLines/>
              <w:numPr>
                <w:ilvl w:val="0"/>
                <w:numId w:val="53"/>
              </w:numPr>
              <w:ind w:left="235" w:hanging="196"/>
            </w:pPr>
            <w:proofErr w:type="gramStart"/>
            <w:r w:rsidRPr="00DB14D1">
              <w:t>Voluntary</w:t>
            </w:r>
            <w:proofErr w:type="gramEnd"/>
            <w:r w:rsidRPr="00DB14D1">
              <w:t xml:space="preserve"> opt-out pre-commitment scheme</w:t>
            </w:r>
          </w:p>
        </w:tc>
        <w:tc>
          <w:tcPr>
            <w:tcW w:w="1754" w:type="pct"/>
          </w:tcPr>
          <w:p w14:paraId="6EB772A0" w14:textId="77777777" w:rsidR="00980F39" w:rsidRPr="00DB14D1" w:rsidRDefault="00980F39" w:rsidP="00074143">
            <w:pPr>
              <w:pStyle w:val="TableText"/>
              <w:keepLines/>
              <w:rPr>
                <w:lang w:val="en-US"/>
              </w:rPr>
            </w:pPr>
            <w:r w:rsidRPr="00843A16">
              <w:t>This measure outlines a requirement that all operators offer an opt-out and binding pre-commitment scheme that allows consumers to set limits on the amount they deposit into an online wagering platform.</w:t>
            </w:r>
          </w:p>
        </w:tc>
        <w:tc>
          <w:tcPr>
            <w:tcW w:w="1346" w:type="pct"/>
          </w:tcPr>
          <w:p w14:paraId="0311FD39" w14:textId="38C1357C" w:rsidR="00980F39" w:rsidRPr="00843A16" w:rsidRDefault="00CE45BE" w:rsidP="009C600E">
            <w:pPr>
              <w:pStyle w:val="TableText"/>
              <w:keepLines/>
            </w:pPr>
            <w:r>
              <w:t xml:space="preserve">May 2019 (All jurisdictions except </w:t>
            </w:r>
            <w:r w:rsidR="009C600E">
              <w:t xml:space="preserve">NSW &amp; </w:t>
            </w:r>
            <w:r w:rsidR="00232032">
              <w:t>Tas</w:t>
            </w:r>
            <w:r w:rsidR="009C600E">
              <w:t>)</w:t>
            </w:r>
          </w:p>
          <w:p w14:paraId="642C27EE" w14:textId="77777777" w:rsidR="00980F39" w:rsidRPr="00843A16" w:rsidRDefault="00980F39" w:rsidP="00074143">
            <w:pPr>
              <w:pStyle w:val="TableText"/>
              <w:keepLines/>
            </w:pPr>
            <w:r w:rsidRPr="00843A16">
              <w:t>26/11/19 (NSW)</w:t>
            </w:r>
          </w:p>
          <w:p w14:paraId="0D04C675" w14:textId="672D99EE" w:rsidR="00980F39" w:rsidRPr="00843A16" w:rsidRDefault="00980F39" w:rsidP="00074143">
            <w:pPr>
              <w:pStyle w:val="TableText"/>
              <w:keepLines/>
            </w:pPr>
            <w:r w:rsidRPr="00843A16">
              <w:t>12/12/19 (</w:t>
            </w:r>
            <w:r w:rsidR="00232032" w:rsidRPr="00843A16">
              <w:t>T</w:t>
            </w:r>
            <w:r w:rsidR="00232032">
              <w:t>as</w:t>
            </w:r>
            <w:r w:rsidRPr="00843A16">
              <w:t>)</w:t>
            </w:r>
          </w:p>
          <w:p w14:paraId="0B3E3DB0" w14:textId="40A27EDA" w:rsidR="00980F39" w:rsidRPr="00843A16" w:rsidRDefault="00980F39" w:rsidP="00074143">
            <w:pPr>
              <w:pStyle w:val="TableText"/>
              <w:keepLines/>
            </w:pPr>
          </w:p>
        </w:tc>
        <w:tc>
          <w:tcPr>
            <w:tcW w:w="1075" w:type="pct"/>
          </w:tcPr>
          <w:p w14:paraId="6DD151D7"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1AC4347B" w14:textId="77777777" w:rsidTr="009A521E">
        <w:tc>
          <w:tcPr>
            <w:tcW w:w="825" w:type="pct"/>
          </w:tcPr>
          <w:p w14:paraId="60778AD4" w14:textId="77777777" w:rsidR="00980F39" w:rsidRPr="00DB14D1" w:rsidRDefault="00980F39" w:rsidP="00074143">
            <w:pPr>
              <w:pStyle w:val="TableNumber1"/>
              <w:keepLines/>
              <w:numPr>
                <w:ilvl w:val="0"/>
                <w:numId w:val="53"/>
              </w:numPr>
              <w:ind w:left="235" w:hanging="196"/>
            </w:pPr>
            <w:r w:rsidRPr="00DB14D1">
              <w:t>Activity statements</w:t>
            </w:r>
          </w:p>
        </w:tc>
        <w:tc>
          <w:tcPr>
            <w:tcW w:w="1754" w:type="pct"/>
          </w:tcPr>
          <w:p w14:paraId="6515D3A9" w14:textId="77777777" w:rsidR="00980F39" w:rsidRPr="00DB14D1" w:rsidRDefault="00980F39" w:rsidP="00074143">
            <w:pPr>
              <w:pStyle w:val="TableText"/>
              <w:keepLines/>
              <w:rPr>
                <w:lang w:val="en-US"/>
              </w:rPr>
            </w:pPr>
            <w:r w:rsidRPr="00843A16">
              <w:t>This measure requires</w:t>
            </w:r>
            <w:r>
              <w:t xml:space="preserve"> </w:t>
            </w:r>
            <w:r w:rsidRPr="00843A16">
              <w:t>WSP</w:t>
            </w:r>
            <w:r>
              <w:t>s</w:t>
            </w:r>
            <w:r w:rsidRPr="00843A16">
              <w:t xml:space="preserve"> to provide customers with statements summarising their wagering activity. Statements must be sent monthly, be easily accessible on demand at any time and provide clear summary information that can be easily understood using common terms that customers are familiar with. </w:t>
            </w:r>
            <w:hyperlink r:id="rId25" w:history="1">
              <w:r w:rsidRPr="00843A16">
                <w:rPr>
                  <w:rStyle w:val="Hyperlink"/>
                </w:rPr>
                <w:t>Activity statement documents</w:t>
              </w:r>
            </w:hyperlink>
            <w:r w:rsidRPr="00843A16">
              <w:t xml:space="preserve"> are available on the DSS website.</w:t>
            </w:r>
          </w:p>
        </w:tc>
        <w:tc>
          <w:tcPr>
            <w:tcW w:w="1346" w:type="pct"/>
          </w:tcPr>
          <w:p w14:paraId="70075671" w14:textId="5B772F07" w:rsidR="00324D81" w:rsidRPr="00843A16" w:rsidRDefault="00324D81" w:rsidP="00324D81">
            <w:pPr>
              <w:pStyle w:val="TableText"/>
              <w:keepLines/>
            </w:pPr>
            <w:r>
              <w:t>May 2019 (All jurisdictions except NSW &amp; T</w:t>
            </w:r>
            <w:r w:rsidR="00232032">
              <w:t>as</w:t>
            </w:r>
            <w:r>
              <w:t>)</w:t>
            </w:r>
          </w:p>
          <w:p w14:paraId="648C1E1E" w14:textId="77777777" w:rsidR="00324D81" w:rsidRPr="00843A16" w:rsidRDefault="00324D81" w:rsidP="00324D81">
            <w:pPr>
              <w:pStyle w:val="TableText"/>
              <w:keepLines/>
            </w:pPr>
            <w:r w:rsidRPr="00843A16">
              <w:t>26/11/19 (NSW)</w:t>
            </w:r>
          </w:p>
          <w:p w14:paraId="6E6C427B" w14:textId="06540B25" w:rsidR="00324D81" w:rsidRPr="00843A16" w:rsidRDefault="00324D81" w:rsidP="00324D81">
            <w:pPr>
              <w:pStyle w:val="TableText"/>
              <w:keepLines/>
            </w:pPr>
            <w:r w:rsidRPr="00843A16">
              <w:t>12/12/19 (T</w:t>
            </w:r>
            <w:r w:rsidR="00232032">
              <w:t>as</w:t>
            </w:r>
            <w:r w:rsidRPr="00843A16">
              <w:t>)</w:t>
            </w:r>
          </w:p>
          <w:p w14:paraId="7842081B" w14:textId="4A3AB356" w:rsidR="00980F39" w:rsidRPr="00843A16" w:rsidRDefault="00980F39" w:rsidP="00074143">
            <w:pPr>
              <w:pStyle w:val="TableText"/>
              <w:keepLines/>
            </w:pPr>
          </w:p>
        </w:tc>
        <w:tc>
          <w:tcPr>
            <w:tcW w:w="1075" w:type="pct"/>
          </w:tcPr>
          <w:p w14:paraId="183DED45"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65F95CBE" w14:textId="77777777" w:rsidTr="009A521E">
        <w:tc>
          <w:tcPr>
            <w:tcW w:w="825" w:type="pct"/>
          </w:tcPr>
          <w:p w14:paraId="741DFFF0" w14:textId="77777777" w:rsidR="00980F39" w:rsidRPr="00DB14D1" w:rsidRDefault="00980F39" w:rsidP="00074143">
            <w:pPr>
              <w:pStyle w:val="TableNumber1"/>
              <w:keepLines/>
              <w:numPr>
                <w:ilvl w:val="0"/>
                <w:numId w:val="53"/>
              </w:numPr>
              <w:ind w:left="235" w:hanging="196"/>
            </w:pPr>
            <w:r w:rsidRPr="00DB14D1">
              <w:t>Consistent gambling messaging (CGM)</w:t>
            </w:r>
          </w:p>
        </w:tc>
        <w:tc>
          <w:tcPr>
            <w:tcW w:w="1754" w:type="pct"/>
          </w:tcPr>
          <w:p w14:paraId="3DF08F4D" w14:textId="3FBD2E0B" w:rsidR="00980F39" w:rsidRPr="00DB14D1" w:rsidRDefault="00980F39" w:rsidP="00074143">
            <w:pPr>
              <w:pStyle w:val="TableText"/>
              <w:keepLines/>
              <w:rPr>
                <w:lang w:val="en-US"/>
              </w:rPr>
            </w:pPr>
            <w:r w:rsidRPr="00843A16">
              <w:t xml:space="preserve">This measure provides for evidence-based, consistent gambling messaging designed in collaboration with experts to be displayed alongside advertising for online wagering and clearly visible on betting websites and accounts. Relevant documentation includes the </w:t>
            </w:r>
            <w:hyperlink r:id="rId26" w:history="1">
              <w:r w:rsidR="000F61D8" w:rsidRPr="00843A16">
                <w:rPr>
                  <w:rStyle w:val="Hyperlink"/>
                </w:rPr>
                <w:t>C</w:t>
              </w:r>
              <w:r w:rsidRPr="00843A16">
                <w:rPr>
                  <w:rStyle w:val="Hyperlink"/>
                </w:rPr>
                <w:t>onsistent gambling messaging implementation plan</w:t>
              </w:r>
            </w:hyperlink>
            <w:r w:rsidRPr="00843A16">
              <w:t xml:space="preserve"> and </w:t>
            </w:r>
            <w:hyperlink r:id="rId27" w:history="1">
              <w:r w:rsidR="000F61D8" w:rsidRPr="00843A16">
                <w:rPr>
                  <w:rStyle w:val="Hyperlink"/>
                </w:rPr>
                <w:t>C</w:t>
              </w:r>
              <w:r w:rsidRPr="00843A16">
                <w:rPr>
                  <w:rStyle w:val="Hyperlink"/>
                </w:rPr>
                <w:t>onsistent gambling messaging frequently asked questions</w:t>
              </w:r>
            </w:hyperlink>
            <w:r w:rsidRPr="00843A16">
              <w:t>.</w:t>
            </w:r>
          </w:p>
        </w:tc>
        <w:tc>
          <w:tcPr>
            <w:tcW w:w="1346" w:type="pct"/>
          </w:tcPr>
          <w:p w14:paraId="7DA34170" w14:textId="630C60D2" w:rsidR="00980F39" w:rsidRPr="00843A16" w:rsidRDefault="00214844" w:rsidP="00074143">
            <w:pPr>
              <w:pStyle w:val="TableText"/>
              <w:keepLines/>
            </w:pPr>
            <w:r>
              <w:t xml:space="preserve">March 2023 </w:t>
            </w:r>
          </w:p>
          <w:p w14:paraId="7B126B6E" w14:textId="06558F19" w:rsidR="00980F39" w:rsidRPr="00843A16" w:rsidRDefault="00980F39" w:rsidP="00074143">
            <w:pPr>
              <w:pStyle w:val="TableText"/>
              <w:keepLines/>
            </w:pPr>
          </w:p>
        </w:tc>
        <w:tc>
          <w:tcPr>
            <w:tcW w:w="1075" w:type="pct"/>
          </w:tcPr>
          <w:p w14:paraId="0CB06402"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783A2D33" w14:textId="77777777" w:rsidTr="009A521E">
        <w:tc>
          <w:tcPr>
            <w:tcW w:w="825" w:type="pct"/>
          </w:tcPr>
          <w:p w14:paraId="2A67D1D2" w14:textId="77777777" w:rsidR="00980F39" w:rsidRPr="00DB14D1" w:rsidRDefault="00980F39" w:rsidP="00074143">
            <w:pPr>
              <w:pStyle w:val="TableNumber1"/>
              <w:keepLines/>
              <w:numPr>
                <w:ilvl w:val="0"/>
                <w:numId w:val="53"/>
              </w:numPr>
              <w:ind w:left="235" w:hanging="196"/>
            </w:pPr>
            <w:r w:rsidRPr="00DB14D1">
              <w:t>Staff training</w:t>
            </w:r>
          </w:p>
        </w:tc>
        <w:tc>
          <w:tcPr>
            <w:tcW w:w="1754" w:type="pct"/>
          </w:tcPr>
          <w:p w14:paraId="6BE9353C" w14:textId="77777777" w:rsidR="00980F39" w:rsidRPr="00DB14D1" w:rsidRDefault="00980F39" w:rsidP="00074143">
            <w:pPr>
              <w:pStyle w:val="TableText"/>
              <w:keepLines/>
              <w:rPr>
                <w:lang w:val="en-US"/>
              </w:rPr>
            </w:pPr>
            <w:r w:rsidRPr="00843A16">
              <w:t xml:space="preserve">This measure requires that all staff involved in the provision of wagering services, or with the capacity to influence the wagering service, must undertake </w:t>
            </w:r>
            <w:r w:rsidRPr="00843A16">
              <w:lastRenderedPageBreak/>
              <w:t xml:space="preserve">Responsible Service of Gambling training. </w:t>
            </w:r>
            <w:hyperlink r:id="rId28" w:history="1">
              <w:r w:rsidRPr="00843A16">
                <w:rPr>
                  <w:rStyle w:val="Hyperlink"/>
                </w:rPr>
                <w:t>Staff training documents</w:t>
              </w:r>
            </w:hyperlink>
            <w:r w:rsidRPr="00843A16">
              <w:t xml:space="preserve"> are found on the DSS website.</w:t>
            </w:r>
          </w:p>
        </w:tc>
        <w:tc>
          <w:tcPr>
            <w:tcW w:w="1346" w:type="pct"/>
          </w:tcPr>
          <w:p w14:paraId="25E2E15E" w14:textId="0E53B3F4" w:rsidR="00980F39" w:rsidRPr="00843A16" w:rsidRDefault="00FB1E83" w:rsidP="00FB1E8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lastRenderedPageBreak/>
              <w:t>March 2023</w:t>
            </w:r>
          </w:p>
          <w:p w14:paraId="0BECA44D" w14:textId="2959A9D5" w:rsidR="00980F39" w:rsidRPr="00843A16" w:rsidRDefault="00980F39" w:rsidP="00074143">
            <w:pPr>
              <w:keepNext/>
              <w:keepLines/>
              <w:spacing w:before="60" w:after="60" w:line="240" w:lineRule="auto"/>
              <w:jc w:val="left"/>
              <w:rPr>
                <w:rFonts w:eastAsia="Times New Roman"/>
                <w:sz w:val="16"/>
                <w:szCs w:val="20"/>
                <w:lang w:eastAsia="en-AU" w:bidi="en-US"/>
              </w:rPr>
            </w:pPr>
          </w:p>
        </w:tc>
        <w:tc>
          <w:tcPr>
            <w:tcW w:w="1075" w:type="pct"/>
          </w:tcPr>
          <w:p w14:paraId="1067C696"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State/territory government</w:t>
            </w:r>
            <w:r w:rsidRPr="00843A16">
              <w:rPr>
                <w:rFonts w:eastAsia="Times New Roman"/>
                <w:sz w:val="16"/>
                <w:szCs w:val="20"/>
                <w:lang w:eastAsia="en-AU" w:bidi="en-US"/>
              </w:rPr>
              <w:t>s</w:t>
            </w:r>
          </w:p>
        </w:tc>
      </w:tr>
      <w:tr w:rsidR="00980F39" w:rsidRPr="00843A16" w14:paraId="4C6B5FD7" w14:textId="77777777" w:rsidTr="009A521E">
        <w:tc>
          <w:tcPr>
            <w:tcW w:w="825" w:type="pct"/>
          </w:tcPr>
          <w:p w14:paraId="6AE4ED05" w14:textId="2D97BF7C" w:rsidR="00980F39" w:rsidRPr="00DB14D1" w:rsidRDefault="00980F39" w:rsidP="00EC75F2">
            <w:pPr>
              <w:pStyle w:val="TableNumber1"/>
              <w:keepLines/>
              <w:numPr>
                <w:ilvl w:val="0"/>
                <w:numId w:val="53"/>
              </w:numPr>
              <w:tabs>
                <w:tab w:val="left" w:pos="319"/>
              </w:tabs>
              <w:ind w:left="235" w:hanging="196"/>
            </w:pPr>
            <w:r w:rsidRPr="00DB14D1">
              <w:t>National self-exclusion register (NSER</w:t>
            </w:r>
            <w:r w:rsidR="00EC75F2">
              <w:t xml:space="preserve"> –</w:t>
            </w:r>
            <w:r w:rsidRPr="00DB14D1">
              <w:t xml:space="preserve"> BetStop)</w:t>
            </w:r>
          </w:p>
        </w:tc>
        <w:tc>
          <w:tcPr>
            <w:tcW w:w="1754" w:type="pct"/>
          </w:tcPr>
          <w:p w14:paraId="6B65BD71" w14:textId="77777777" w:rsidR="00980F39" w:rsidRPr="00DB14D1" w:rsidRDefault="00980F39" w:rsidP="00074143">
            <w:pPr>
              <w:pStyle w:val="TableText"/>
              <w:keepLines/>
              <w:rPr>
                <w:lang w:val="en-US"/>
              </w:rPr>
            </w:pPr>
            <w:r w:rsidRPr="00843A16">
              <w:t xml:space="preserve">This measure provides for a national self-exclusion register for online wagering. This system ensures that those experiencing gambling harm can immediately exclude themselves from the services offered by all interactive wagering service providers. See the </w:t>
            </w:r>
            <w:hyperlink r:id="rId29" w:history="1">
              <w:r>
                <w:rPr>
                  <w:rStyle w:val="Hyperlink"/>
                  <w:rFonts w:cs="Arial"/>
                </w:rPr>
                <w:t>NSER webpage</w:t>
              </w:r>
            </w:hyperlink>
            <w:r>
              <w:t xml:space="preserve"> for more details</w:t>
            </w:r>
            <w:r w:rsidRPr="00843A16">
              <w:t>.</w:t>
            </w:r>
          </w:p>
        </w:tc>
        <w:tc>
          <w:tcPr>
            <w:tcW w:w="1346" w:type="pct"/>
          </w:tcPr>
          <w:p w14:paraId="39219628" w14:textId="77777777" w:rsidR="00980F39" w:rsidRPr="00843A16" w:rsidRDefault="00980F39" w:rsidP="00074143">
            <w:pPr>
              <w:keepNext/>
              <w:keepLines/>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21/08/23</w:t>
            </w:r>
          </w:p>
        </w:tc>
        <w:tc>
          <w:tcPr>
            <w:tcW w:w="1075" w:type="pct"/>
          </w:tcPr>
          <w:p w14:paraId="588A4AFB" w14:textId="0DD3D497" w:rsidR="00980F39" w:rsidRPr="00843A16" w:rsidRDefault="00980F39" w:rsidP="00074143">
            <w:pPr>
              <w:pStyle w:val="TableText"/>
              <w:keepLines/>
            </w:pPr>
            <w:r w:rsidRPr="00843A16">
              <w:t>Commonwealth (ACMA) via</w:t>
            </w:r>
            <w:r w:rsidRPr="00843A16">
              <w:rPr>
                <w:rFonts w:cs="Arial"/>
                <w:sz w:val="20"/>
              </w:rPr>
              <w:t xml:space="preserve"> </w:t>
            </w:r>
            <w:r w:rsidRPr="00843A16">
              <w:t>the </w:t>
            </w:r>
            <w:hyperlink r:id="rId30" w:history="1">
              <w:r w:rsidRPr="00843A16">
                <w:rPr>
                  <w:rStyle w:val="Hyperlink"/>
                  <w:i/>
                  <w:iCs/>
                </w:rPr>
                <w:t>Interactive Gambling Act 2001</w:t>
              </w:r>
            </w:hyperlink>
          </w:p>
        </w:tc>
      </w:tr>
    </w:tbl>
    <w:p w14:paraId="1174FACE" w14:textId="7575D095" w:rsidR="00222282" w:rsidRDefault="00222282" w:rsidP="009A521E">
      <w:pPr>
        <w:pStyle w:val="BodyText"/>
        <w:rPr>
          <w:lang w:bidi="ar-SA"/>
        </w:rPr>
      </w:pPr>
    </w:p>
    <w:p w14:paraId="43CFC9E2" w14:textId="77777777" w:rsidR="00222282" w:rsidRDefault="00222282">
      <w:pPr>
        <w:suppressAutoHyphens w:val="0"/>
        <w:spacing w:before="0" w:line="240" w:lineRule="auto"/>
        <w:jc w:val="left"/>
        <w:rPr>
          <w:rFonts w:eastAsia="Times New Roman"/>
        </w:rPr>
      </w:pPr>
      <w:r>
        <w:br w:type="page"/>
      </w:r>
    </w:p>
    <w:p w14:paraId="08E8DD85" w14:textId="41C31227" w:rsidR="009A521E" w:rsidRDefault="002C7324" w:rsidP="00222282">
      <w:pPr>
        <w:pStyle w:val="Heading1Outline"/>
      </w:pPr>
      <w:bookmarkStart w:id="22" w:name="_Methodology"/>
      <w:bookmarkStart w:id="23" w:name="_Toc233643280"/>
      <w:bookmarkEnd w:id="22"/>
      <w:r>
        <w:lastRenderedPageBreak/>
        <w:t>Methodology</w:t>
      </w:r>
      <w:bookmarkEnd w:id="23"/>
    </w:p>
    <w:p w14:paraId="4E48A115" w14:textId="5F458414" w:rsidR="00980F39" w:rsidRPr="00843A16" w:rsidRDefault="00980F39" w:rsidP="00222282">
      <w:pPr>
        <w:pStyle w:val="Heading2"/>
      </w:pPr>
      <w:bookmarkStart w:id="24" w:name="_Toc233643281"/>
      <w:r w:rsidRPr="00843A16">
        <w:t xml:space="preserve">NCPF </w:t>
      </w:r>
      <w:r w:rsidRPr="00222282">
        <w:t>Evaluation</w:t>
      </w:r>
      <w:r w:rsidRPr="00843A16">
        <w:t xml:space="preserve"> Design</w:t>
      </w:r>
      <w:bookmarkEnd w:id="24"/>
    </w:p>
    <w:p w14:paraId="00C3345B" w14:textId="65BC3FA6" w:rsidR="00680E11" w:rsidRDefault="00680E11" w:rsidP="00222282">
      <w:pPr>
        <w:pStyle w:val="Heading3"/>
      </w:pPr>
      <w:bookmarkStart w:id="25" w:name="_Toc233643282"/>
      <w:r>
        <w:t xml:space="preserve">Prior </w:t>
      </w:r>
      <w:r w:rsidRPr="00222282">
        <w:t>evaluation</w:t>
      </w:r>
      <w:r>
        <w:t xml:space="preserve"> </w:t>
      </w:r>
      <w:r w:rsidR="00BA3148">
        <w:t xml:space="preserve">design </w:t>
      </w:r>
      <w:r>
        <w:t>work, 2018-</w:t>
      </w:r>
      <w:r w:rsidR="00BA3148">
        <w:t>2023</w:t>
      </w:r>
      <w:bookmarkEnd w:id="25"/>
    </w:p>
    <w:p w14:paraId="535884A2" w14:textId="7A2469B1" w:rsidR="00980F39" w:rsidRPr="00843A16" w:rsidRDefault="00980F39" w:rsidP="00575ECC">
      <w:pPr>
        <w:pStyle w:val="BodyText"/>
        <w:rPr>
          <w:lang w:bidi="ar-SA"/>
        </w:rPr>
      </w:pPr>
      <w:r w:rsidRPr="00843A16">
        <w:rPr>
          <w:lang w:bidi="ar-SA"/>
        </w:rPr>
        <w:t xml:space="preserve">The </w:t>
      </w:r>
      <w:r>
        <w:rPr>
          <w:lang w:bidi="ar-SA"/>
        </w:rPr>
        <w:t xml:space="preserve">NCPF </w:t>
      </w:r>
      <w:r w:rsidRPr="00843A16">
        <w:rPr>
          <w:lang w:bidi="ar-SA"/>
        </w:rPr>
        <w:t>included a provision for a Performance, Review and Evaluation Strategy (PRES) to guide evaluation activities to assess the effectiveness of the measures in achieving outcomes for consumer</w:t>
      </w:r>
      <w:r>
        <w:rPr>
          <w:lang w:bidi="ar-SA"/>
        </w:rPr>
        <w:t>s</w:t>
      </w:r>
      <w:r w:rsidRPr="00843A16">
        <w:rPr>
          <w:lang w:bidi="ar-SA"/>
        </w:rPr>
        <w:t xml:space="preserve"> and to </w:t>
      </w:r>
      <w:r w:rsidRPr="00222282">
        <w:t>inform</w:t>
      </w:r>
      <w:r w:rsidRPr="00843A16">
        <w:rPr>
          <w:lang w:bidi="ar-SA"/>
        </w:rPr>
        <w:t xml:space="preserve"> ongoing refinements. In April 2018,</w:t>
      </w:r>
      <w:r w:rsidR="00222282">
        <w:rPr>
          <w:lang w:bidi="ar-SA"/>
        </w:rPr>
        <w:t xml:space="preserve"> the</w:t>
      </w:r>
      <w:r w:rsidRPr="00843A16">
        <w:rPr>
          <w:lang w:bidi="ar-SA"/>
        </w:rPr>
        <w:t xml:space="preserve"> DSS commissioned Communio to develop a PRES for the NCPF, which included a program logic, theory of change</w:t>
      </w:r>
      <w:r>
        <w:rPr>
          <w:lang w:bidi="ar-SA"/>
        </w:rPr>
        <w:t xml:space="preserve"> (</w:t>
      </w:r>
      <w:proofErr w:type="spellStart"/>
      <w:r>
        <w:rPr>
          <w:lang w:bidi="ar-SA"/>
        </w:rPr>
        <w:t>ToC</w:t>
      </w:r>
      <w:proofErr w:type="spellEnd"/>
      <w:r>
        <w:rPr>
          <w:lang w:bidi="ar-SA"/>
        </w:rPr>
        <w:t>)</w:t>
      </w:r>
      <w:r w:rsidRPr="00843A16">
        <w:rPr>
          <w:lang w:bidi="ar-SA"/>
        </w:rPr>
        <w:t xml:space="preserve"> and performance measurement framework</w:t>
      </w:r>
      <w:r>
        <w:rPr>
          <w:lang w:bidi="ar-SA"/>
        </w:rPr>
        <w:t xml:space="preserve"> (see </w:t>
      </w:r>
      <w:hyperlink w:anchor="_Appendix_B:_Program" w:history="1">
        <w:r w:rsidRPr="00813B1A">
          <w:rPr>
            <w:rStyle w:val="Hyperlink"/>
            <w:b/>
            <w:bCs/>
            <w:lang w:bidi="ar-SA"/>
          </w:rPr>
          <w:t xml:space="preserve">Appendix </w:t>
        </w:r>
        <w:r w:rsidR="00E50575">
          <w:rPr>
            <w:rStyle w:val="Hyperlink"/>
            <w:b/>
            <w:bCs/>
            <w:lang w:bidi="ar-SA"/>
          </w:rPr>
          <w:t>B</w:t>
        </w:r>
      </w:hyperlink>
      <w:r>
        <w:rPr>
          <w:lang w:bidi="ar-SA"/>
        </w:rPr>
        <w:t>)</w:t>
      </w:r>
      <w:r w:rsidRPr="00843A16">
        <w:rPr>
          <w:lang w:bidi="ar-SA"/>
        </w:rPr>
        <w:t xml:space="preserve">.  </w:t>
      </w:r>
    </w:p>
    <w:p w14:paraId="05E52B2C" w14:textId="7006F2F1" w:rsidR="00980F39" w:rsidRDefault="00980F39" w:rsidP="00575ECC">
      <w:pPr>
        <w:pStyle w:val="BodyText"/>
        <w:rPr>
          <w:lang w:bidi="ar-SA"/>
        </w:rPr>
      </w:pPr>
      <w:r w:rsidRPr="00843A16">
        <w:rPr>
          <w:lang w:bidi="ar-SA"/>
        </w:rPr>
        <w:t xml:space="preserve">The baseline study was completed in 2019 by </w:t>
      </w:r>
      <w:r>
        <w:rPr>
          <w:lang w:bidi="ar-SA"/>
        </w:rPr>
        <w:t xml:space="preserve">the </w:t>
      </w:r>
      <w:r w:rsidRPr="00843A16">
        <w:rPr>
          <w:lang w:bidi="ar-SA"/>
        </w:rPr>
        <w:t xml:space="preserve">AGRC (Jenkinson et al., 2019). </w:t>
      </w:r>
      <w:r w:rsidR="00222282">
        <w:rPr>
          <w:lang w:bidi="ar-SA"/>
        </w:rPr>
        <w:t xml:space="preserve">The </w:t>
      </w:r>
      <w:r w:rsidRPr="00843A16">
        <w:rPr>
          <w:lang w:bidi="ar-SA"/>
        </w:rPr>
        <w:t xml:space="preserve">DSS </w:t>
      </w:r>
      <w:r>
        <w:rPr>
          <w:lang w:bidi="ar-SA"/>
        </w:rPr>
        <w:t xml:space="preserve">then </w:t>
      </w:r>
      <w:r w:rsidRPr="00843A16">
        <w:rPr>
          <w:lang w:bidi="ar-SA"/>
        </w:rPr>
        <w:t xml:space="preserve">commissioned the AGRC to conduct the </w:t>
      </w:r>
      <w:r>
        <w:rPr>
          <w:lang w:bidi="ar-SA"/>
        </w:rPr>
        <w:t>post</w:t>
      </w:r>
      <w:r w:rsidR="00222282">
        <w:rPr>
          <w:lang w:bidi="ar-SA"/>
        </w:rPr>
        <w:t>-</w:t>
      </w:r>
      <w:r>
        <w:rPr>
          <w:lang w:bidi="ar-SA"/>
        </w:rPr>
        <w:t>implementation review</w:t>
      </w:r>
      <w:r w:rsidRPr="00843A16">
        <w:rPr>
          <w:lang w:bidi="ar-SA"/>
        </w:rPr>
        <w:t xml:space="preserve">, process and impact evaluations of the NCPF over a </w:t>
      </w:r>
      <w:r>
        <w:rPr>
          <w:lang w:bidi="ar-SA"/>
        </w:rPr>
        <w:t>3</w:t>
      </w:r>
      <w:r w:rsidRPr="00843A16">
        <w:rPr>
          <w:lang w:bidi="ar-SA"/>
        </w:rPr>
        <w:t xml:space="preserve">-year period </w:t>
      </w:r>
      <w:r w:rsidR="00222282">
        <w:rPr>
          <w:lang w:bidi="ar-SA"/>
        </w:rPr>
        <w:t>from</w:t>
      </w:r>
      <w:r w:rsidR="00222282" w:rsidRPr="00843A16">
        <w:rPr>
          <w:lang w:bidi="ar-SA"/>
        </w:rPr>
        <w:t xml:space="preserve"> </w:t>
      </w:r>
      <w:r w:rsidRPr="00843A16">
        <w:rPr>
          <w:lang w:bidi="ar-SA"/>
        </w:rPr>
        <w:t>June 2024 to June 2027</w:t>
      </w:r>
      <w:r>
        <w:rPr>
          <w:lang w:bidi="ar-SA"/>
        </w:rPr>
        <w:t xml:space="preserve">, split into </w:t>
      </w:r>
      <w:r w:rsidR="005A1B91">
        <w:rPr>
          <w:lang w:bidi="ar-SA"/>
        </w:rPr>
        <w:br/>
      </w:r>
      <w:r>
        <w:rPr>
          <w:lang w:bidi="ar-SA"/>
        </w:rPr>
        <w:t>Phases 1 and 2</w:t>
      </w:r>
      <w:r w:rsidRPr="00843A16">
        <w:rPr>
          <w:lang w:bidi="ar-SA"/>
        </w:rPr>
        <w:t xml:space="preserve">. </w:t>
      </w:r>
    </w:p>
    <w:p w14:paraId="30A545D6" w14:textId="680C049A" w:rsidR="00680E11" w:rsidRDefault="00680E11" w:rsidP="00222282">
      <w:pPr>
        <w:pStyle w:val="Heading3"/>
      </w:pPr>
      <w:bookmarkStart w:id="26" w:name="_Toc233643283"/>
      <w:r>
        <w:t xml:space="preserve">Phase 1 </w:t>
      </w:r>
      <w:r w:rsidRPr="00222282">
        <w:t>evaluation</w:t>
      </w:r>
      <w:bookmarkEnd w:id="26"/>
      <w:r w:rsidR="0010129A">
        <w:t xml:space="preserve"> </w:t>
      </w:r>
    </w:p>
    <w:p w14:paraId="78ECEBCC" w14:textId="3CB1F0CC" w:rsidR="00CC039D" w:rsidRPr="00222282" w:rsidRDefault="00CC039D" w:rsidP="00D37246">
      <w:pPr>
        <w:pStyle w:val="BodyText"/>
      </w:pPr>
      <w:r w:rsidRPr="00222282">
        <w:t>This Phase 1 evaluation has been designed as a post</w:t>
      </w:r>
      <w:r w:rsidR="00D37246">
        <w:rPr>
          <w:rFonts w:ascii="Cambria Math" w:hAnsi="Cambria Math" w:cs="Cambria Math"/>
        </w:rPr>
        <w:t>-</w:t>
      </w:r>
      <w:r w:rsidRPr="00222282">
        <w:t xml:space="preserve">implementation review and process evaluation. Its primary purpose is to assess how the NCPF and its measures were implemented in practice, the extent to which implementation aligned with </w:t>
      </w:r>
      <w:r w:rsidR="00C8641A" w:rsidRPr="00222282">
        <w:t>the NCPF’s</w:t>
      </w:r>
      <w:r w:rsidRPr="00222282">
        <w:t xml:space="preserve"> principles and the implications of timing, governance and operational settings for future effectiveness. </w:t>
      </w:r>
    </w:p>
    <w:p w14:paraId="3235F524" w14:textId="57795A17" w:rsidR="00D43C48" w:rsidRPr="00222282" w:rsidRDefault="00C20F0D" w:rsidP="00575ECC">
      <w:pPr>
        <w:pStyle w:val="BodyText"/>
      </w:pPr>
      <w:r w:rsidRPr="00222282">
        <w:t>The report</w:t>
      </w:r>
      <w:r w:rsidR="008746F7" w:rsidRPr="00222282">
        <w:t xml:space="preserve"> </w:t>
      </w:r>
      <w:r w:rsidR="00D43C48" w:rsidRPr="00222282">
        <w:t xml:space="preserve">provides recommendations to improve the implementation of the framework. These recommendations </w:t>
      </w:r>
      <w:r w:rsidR="00200078" w:rsidRPr="00222282">
        <w:t xml:space="preserve">focus on </w:t>
      </w:r>
      <w:r w:rsidR="00D43C48" w:rsidRPr="00222282">
        <w:t>promotion, education, communications, awareness, uptake</w:t>
      </w:r>
      <w:r w:rsidR="00BD16C2" w:rsidRPr="00222282">
        <w:t xml:space="preserve"> and </w:t>
      </w:r>
      <w:r w:rsidR="00D43C48" w:rsidRPr="00222282">
        <w:t>compliance</w:t>
      </w:r>
      <w:r w:rsidR="00B22103" w:rsidRPr="00222282">
        <w:t xml:space="preserve">. </w:t>
      </w:r>
      <w:r w:rsidR="00784FA8" w:rsidRPr="00222282">
        <w:t>R</w:t>
      </w:r>
      <w:r w:rsidR="000F079D" w:rsidRPr="00222282">
        <w:t xml:space="preserve">ecommendations </w:t>
      </w:r>
      <w:r w:rsidR="00784FA8" w:rsidRPr="00222282">
        <w:t xml:space="preserve">are also provided </w:t>
      </w:r>
      <w:r w:rsidR="00D43C48" w:rsidRPr="00222282">
        <w:t>for 4 NCPF measures</w:t>
      </w:r>
      <w:r w:rsidR="00DD3738" w:rsidRPr="00222282">
        <w:t xml:space="preserve"> where </w:t>
      </w:r>
      <w:r w:rsidR="005D1217">
        <w:t>6</w:t>
      </w:r>
      <w:r w:rsidR="00D43C48" w:rsidRPr="00222282">
        <w:t xml:space="preserve"> principles </w:t>
      </w:r>
      <w:r w:rsidR="00DD3738" w:rsidRPr="00222282">
        <w:t>ar</w:t>
      </w:r>
      <w:r w:rsidR="00243227" w:rsidRPr="00222282">
        <w:t>e</w:t>
      </w:r>
      <w:r w:rsidR="00DD3738" w:rsidRPr="00222282">
        <w:t xml:space="preserve"> yet to be </w:t>
      </w:r>
      <w:r w:rsidR="00D43C48" w:rsidRPr="00222282">
        <w:t xml:space="preserve">completely implemented. </w:t>
      </w:r>
    </w:p>
    <w:p w14:paraId="5CC39ACC" w14:textId="135018BE" w:rsidR="008E1A38" w:rsidRPr="00222282" w:rsidRDefault="008E1A38" w:rsidP="00575ECC">
      <w:pPr>
        <w:pStyle w:val="BodyText"/>
      </w:pPr>
      <w:r w:rsidRPr="00222282">
        <w:t xml:space="preserve">Given the staged and protracted rollout of measures over nearly </w:t>
      </w:r>
      <w:r w:rsidR="00907CB9" w:rsidRPr="00222282">
        <w:t>6</w:t>
      </w:r>
      <w:r w:rsidRPr="00222282">
        <w:t xml:space="preserve"> years, uneven availability of monitoring data and the differing maturity of measures at the time of evaluation, Phase 1 focuses on implementation, consistency, promotion, awareness, uptake, compliance and governance, rather than attributing impacts on wagering behaviour or harm. </w:t>
      </w:r>
    </w:p>
    <w:p w14:paraId="571663B7" w14:textId="58083DE0" w:rsidR="008E1A38" w:rsidRPr="00222282" w:rsidRDefault="008E1A38" w:rsidP="00D37246">
      <w:pPr>
        <w:pStyle w:val="BodyText"/>
      </w:pPr>
      <w:r w:rsidRPr="00222282">
        <w:t xml:space="preserve">All </w:t>
      </w:r>
      <w:r w:rsidR="004B1D59" w:rsidRPr="00222282">
        <w:t>10</w:t>
      </w:r>
      <w:r w:rsidRPr="00222282">
        <w:t xml:space="preserve"> measures are considered at a whole</w:t>
      </w:r>
      <w:r w:rsidR="00D37246">
        <w:rPr>
          <w:rFonts w:ascii="Cambria Math" w:hAnsi="Cambria Math" w:cs="Cambria Math"/>
        </w:rPr>
        <w:t>-</w:t>
      </w:r>
      <w:r w:rsidRPr="00222282">
        <w:t>of</w:t>
      </w:r>
      <w:r w:rsidR="00D37246">
        <w:rPr>
          <w:rFonts w:ascii="Cambria Math" w:hAnsi="Cambria Math" w:cs="Cambria Math"/>
        </w:rPr>
        <w:t>-</w:t>
      </w:r>
      <w:r w:rsidRPr="00222282">
        <w:t xml:space="preserve">framework level, with more detailed analysis undertaken for a subset of measures where the evidence base was strongest and where operational policies most directly affect consumer experience. </w:t>
      </w:r>
    </w:p>
    <w:p w14:paraId="32DD60A8" w14:textId="48E757CB" w:rsidR="0010129A" w:rsidRDefault="0010129A" w:rsidP="00575ECC">
      <w:pPr>
        <w:pStyle w:val="BodyText"/>
      </w:pPr>
      <w:r w:rsidRPr="00222282">
        <w:t>An evaluation</w:t>
      </w:r>
      <w:r w:rsidRPr="00DD2DAA">
        <w:t xml:space="preserve"> of </w:t>
      </w:r>
      <w:r>
        <w:t>the NSER’s</w:t>
      </w:r>
      <w:r w:rsidRPr="00DD2DAA">
        <w:t xml:space="preserve"> promotion, education, awareness, uptake, compliance and enforcement</w:t>
      </w:r>
      <w:r w:rsidR="00175D0A">
        <w:t xml:space="preserve"> </w:t>
      </w:r>
      <w:r w:rsidRPr="00DD2DAA">
        <w:t xml:space="preserve">was out of scope, as these areas were addressed in the </w:t>
      </w:r>
      <w:r>
        <w:t>NSER</w:t>
      </w:r>
      <w:r w:rsidRPr="00DD2DAA">
        <w:t xml:space="preserve"> statutory review</w:t>
      </w:r>
      <w:r>
        <w:t xml:space="preserve"> (Eccles, 2025).</w:t>
      </w:r>
    </w:p>
    <w:p w14:paraId="4DC976D1" w14:textId="4DC8CDCB" w:rsidR="0010129A" w:rsidRDefault="0010129A" w:rsidP="009E1613">
      <w:pPr>
        <w:pStyle w:val="Heading3"/>
      </w:pPr>
      <w:bookmarkStart w:id="27" w:name="_Toc233643284"/>
      <w:r w:rsidRPr="009E1613">
        <w:t>Phase</w:t>
      </w:r>
      <w:r>
        <w:t xml:space="preserve"> 2 overview</w:t>
      </w:r>
      <w:bookmarkEnd w:id="27"/>
    </w:p>
    <w:p w14:paraId="0545555C" w14:textId="2DBA59D5" w:rsidR="00F227B0" w:rsidRPr="009E1613" w:rsidRDefault="0048195E" w:rsidP="00575ECC">
      <w:pPr>
        <w:pStyle w:val="BodyText"/>
      </w:pPr>
      <w:r w:rsidRPr="00E62568">
        <w:rPr>
          <w:lang w:bidi="ar-SA"/>
        </w:rPr>
        <w:t xml:space="preserve">Phase 2 </w:t>
      </w:r>
      <w:r w:rsidRPr="009E1613">
        <w:t xml:space="preserve">will build on this foundation by examining impacts and outcomes, drawing on additional data sources and longer time series as </w:t>
      </w:r>
      <w:r w:rsidRPr="004B26A3">
        <w:t>measures</w:t>
      </w:r>
      <w:r w:rsidRPr="009E1613">
        <w:t xml:space="preserve"> mature</w:t>
      </w:r>
      <w:r w:rsidR="009E1613">
        <w:t>,</w:t>
      </w:r>
      <w:r w:rsidRPr="009E1613">
        <w:t xml:space="preserve"> and will assess the extent to which the </w:t>
      </w:r>
      <w:r w:rsidR="009E1613">
        <w:t xml:space="preserve">National </w:t>
      </w:r>
      <w:r w:rsidRPr="009E1613">
        <w:t>Framework and its measures have contributed to changes in wagering behaviour and gambling</w:t>
      </w:r>
      <w:r w:rsidR="00FF73CD">
        <w:rPr>
          <w:rFonts w:ascii="Cambria Math" w:hAnsi="Cambria Math" w:cs="Cambria Math"/>
        </w:rPr>
        <w:t>-</w:t>
      </w:r>
      <w:r w:rsidRPr="009E1613">
        <w:t xml:space="preserve">related harm. </w:t>
      </w:r>
    </w:p>
    <w:p w14:paraId="3FBBE88D" w14:textId="7CCF43D6" w:rsidR="00AC15A0" w:rsidRPr="009E1613" w:rsidRDefault="000357BF" w:rsidP="00575ECC">
      <w:pPr>
        <w:pStyle w:val="BodyText"/>
      </w:pPr>
      <w:r w:rsidRPr="009E1613">
        <w:t>It is important to note</w:t>
      </w:r>
      <w:r w:rsidR="008C15F7" w:rsidRPr="009E1613">
        <w:t>,</w:t>
      </w:r>
      <w:r w:rsidRPr="009E1613">
        <w:t xml:space="preserve"> however, that t</w:t>
      </w:r>
      <w:r w:rsidR="00AC15A0" w:rsidRPr="009E1613">
        <w:t>he ability to measure change in wagering behaviour and gambling</w:t>
      </w:r>
      <w:r w:rsidR="00AC15A0" w:rsidRPr="009E1613">
        <w:rPr>
          <w:rFonts w:ascii="Cambria Math" w:hAnsi="Cambria Math" w:cs="Cambria Math"/>
        </w:rPr>
        <w:t>‑</w:t>
      </w:r>
      <w:r w:rsidR="00AC15A0" w:rsidRPr="009E1613">
        <w:t xml:space="preserve">related harm is constrained by the </w:t>
      </w:r>
      <w:r w:rsidR="00AC15A0" w:rsidRPr="004B26A3">
        <w:t>extended</w:t>
      </w:r>
      <w:r w:rsidR="00AC15A0" w:rsidRPr="009E1613">
        <w:t xml:space="preserve"> and uneven implementation of NCPF measures and limited baseline and monitoring data. As a result, Phase 2 will adopt a cautious, </w:t>
      </w:r>
      <w:r w:rsidR="00AC15A0" w:rsidRPr="009E1613">
        <w:lastRenderedPageBreak/>
        <w:t>contribution</w:t>
      </w:r>
      <w:r w:rsidR="00AC15A0" w:rsidRPr="009E1613">
        <w:rPr>
          <w:rFonts w:ascii="Cambria Math" w:hAnsi="Cambria Math" w:cs="Cambria Math"/>
        </w:rPr>
        <w:t>‑</w:t>
      </w:r>
      <w:r w:rsidR="00AC15A0" w:rsidRPr="009E1613">
        <w:t>based approach, drawing on multiple data sources and longer time series as measures mature, rather than seeking to attribute impacts to individual measures prematurely.</w:t>
      </w:r>
    </w:p>
    <w:p w14:paraId="2B6E4126" w14:textId="4B4E4EE4" w:rsidR="00CC039D" w:rsidRDefault="00CC039D" w:rsidP="00FF73CD">
      <w:pPr>
        <w:pStyle w:val="BodyText"/>
        <w:rPr>
          <w:lang w:bidi="ar-SA"/>
        </w:rPr>
      </w:pPr>
      <w:r w:rsidRPr="009E1613">
        <w:t>Together, Phases 1</w:t>
      </w:r>
      <w:r w:rsidRPr="00E62568">
        <w:rPr>
          <w:lang w:bidi="ar-SA"/>
        </w:rPr>
        <w:t xml:space="preserve"> and 2 are intended to provide a coherent and sequenced evidence base, with Phase 1 identifying what has been implemented and what can reasonably be actioned now and Phase 2 testing effectiveness and </w:t>
      </w:r>
      <w:r w:rsidRPr="004B26A3">
        <w:t>informing longer</w:t>
      </w:r>
      <w:r w:rsidR="00FF73CD" w:rsidRPr="00575ECC">
        <w:t>-</w:t>
      </w:r>
      <w:r w:rsidRPr="004B26A3">
        <w:t>term refinement</w:t>
      </w:r>
      <w:r w:rsidRPr="00E62568">
        <w:rPr>
          <w:lang w:bidi="ar-SA"/>
        </w:rPr>
        <w:t>.</w:t>
      </w:r>
    </w:p>
    <w:p w14:paraId="63A0E5C8" w14:textId="74FC3EC2" w:rsidR="00680E11" w:rsidRPr="00843A16" w:rsidRDefault="002C7324" w:rsidP="002C7324">
      <w:pPr>
        <w:pStyle w:val="Heading3"/>
      </w:pPr>
      <w:bookmarkStart w:id="28" w:name="_Toc233643285"/>
      <w:r>
        <w:t xml:space="preserve">Phase 1 </w:t>
      </w:r>
      <w:r w:rsidR="00AB21BB">
        <w:t>e</w:t>
      </w:r>
      <w:r w:rsidR="00680E11">
        <w:t>valuation methodology</w:t>
      </w:r>
      <w:bookmarkEnd w:id="28"/>
    </w:p>
    <w:p w14:paraId="368B900C" w14:textId="0288EE94" w:rsidR="00980F39" w:rsidRDefault="005E4EFA" w:rsidP="00980F39">
      <w:pPr>
        <w:pStyle w:val="BodyText"/>
        <w:rPr>
          <w:rFonts w:cs="Arial"/>
          <w:szCs w:val="20"/>
          <w:lang w:eastAsia="en-AU"/>
        </w:rPr>
      </w:pPr>
      <w:r>
        <w:t xml:space="preserve">The </w:t>
      </w:r>
      <w:r w:rsidR="00680E11">
        <w:t>Phase 1 evaluation</w:t>
      </w:r>
      <w:r w:rsidR="00980F39" w:rsidRPr="005D6B50">
        <w:t xml:space="preserve"> uses multiple methodological components to gather information</w:t>
      </w:r>
      <w:r w:rsidR="00980F39">
        <w:t xml:space="preserve"> (see </w:t>
      </w:r>
      <w:hyperlink w:anchor="Table2" w:history="1">
        <w:r w:rsidR="00F232CF">
          <w:rPr>
            <w:rStyle w:val="Hyperlink"/>
            <w:b/>
          </w:rPr>
          <w:t>Tab</w:t>
        </w:r>
        <w:bookmarkStart w:id="29" w:name="_Hlt233641448"/>
        <w:r w:rsidR="00F232CF">
          <w:rPr>
            <w:rStyle w:val="Hyperlink"/>
            <w:b/>
          </w:rPr>
          <w:t>l</w:t>
        </w:r>
        <w:bookmarkEnd w:id="29"/>
        <w:r w:rsidR="00F232CF">
          <w:rPr>
            <w:rStyle w:val="Hyperlink"/>
            <w:b/>
          </w:rPr>
          <w:t>e 2</w:t>
        </w:r>
      </w:hyperlink>
      <w:r w:rsidR="00980F39">
        <w:t xml:space="preserve">). </w:t>
      </w:r>
      <w:r w:rsidR="00980F39" w:rsidRPr="00A7031A">
        <w:rPr>
          <w:rFonts w:cs="Arial"/>
          <w:szCs w:val="20"/>
          <w:lang w:eastAsia="en-AU"/>
        </w:rPr>
        <w:t xml:space="preserve">A detailed evaluation matrix outlining the evaluation questions, indicators, metrics and data sources for Phase 1 can be found in </w:t>
      </w:r>
      <w:hyperlink w:anchor="AppendixB" w:history="1">
        <w:r w:rsidR="00980F39" w:rsidRPr="00A7031A">
          <w:rPr>
            <w:rStyle w:val="Hyperlink"/>
            <w:rFonts w:cs="Arial"/>
            <w:b/>
            <w:bCs/>
            <w:szCs w:val="20"/>
            <w:lang w:eastAsia="en-AU"/>
          </w:rPr>
          <w:t>Appe</w:t>
        </w:r>
        <w:bookmarkStart w:id="30" w:name="_Hlt233641451"/>
        <w:r w:rsidR="00980F39" w:rsidRPr="00A7031A">
          <w:rPr>
            <w:rStyle w:val="Hyperlink"/>
            <w:rFonts w:cs="Arial"/>
            <w:b/>
            <w:bCs/>
            <w:szCs w:val="20"/>
            <w:lang w:eastAsia="en-AU"/>
          </w:rPr>
          <w:t>n</w:t>
        </w:r>
        <w:bookmarkEnd w:id="30"/>
        <w:r w:rsidR="00980F39" w:rsidRPr="00A7031A">
          <w:rPr>
            <w:rStyle w:val="Hyperlink"/>
            <w:rFonts w:cs="Arial"/>
            <w:b/>
            <w:bCs/>
            <w:szCs w:val="20"/>
            <w:lang w:eastAsia="en-AU"/>
          </w:rPr>
          <w:t xml:space="preserve">dix </w:t>
        </w:r>
        <w:r w:rsidR="00E50575">
          <w:rPr>
            <w:rStyle w:val="Hyperlink"/>
            <w:rFonts w:cs="Arial"/>
            <w:b/>
            <w:bCs/>
            <w:szCs w:val="20"/>
            <w:lang w:eastAsia="en-AU"/>
          </w:rPr>
          <w:t>C</w:t>
        </w:r>
      </w:hyperlink>
      <w:r w:rsidR="00980F39" w:rsidRPr="00A7031A">
        <w:rPr>
          <w:rFonts w:cs="Arial"/>
          <w:szCs w:val="20"/>
          <w:lang w:eastAsia="en-AU"/>
        </w:rPr>
        <w:t xml:space="preserve">. </w:t>
      </w:r>
    </w:p>
    <w:p w14:paraId="66C680CC" w14:textId="37A9B660" w:rsidR="00980F39" w:rsidRPr="00843A16" w:rsidRDefault="00980F39" w:rsidP="00575ECC">
      <w:pPr>
        <w:pStyle w:val="TableCaption"/>
      </w:pPr>
      <w:bookmarkStart w:id="31" w:name="Table2"/>
      <w:r w:rsidRPr="00843A16">
        <w:t xml:space="preserve">Table </w:t>
      </w:r>
      <w:r>
        <w:t>2</w:t>
      </w:r>
      <w:bookmarkEnd w:id="31"/>
      <w:r w:rsidRPr="00843A16">
        <w:t>: NCPF Phase 1 Evaluation</w:t>
      </w:r>
      <w:r w:rsidR="00FF73CD">
        <w:t>,</w:t>
      </w:r>
      <w:r w:rsidRPr="00843A16">
        <w:t xml:space="preserve"> summary of data sources</w:t>
      </w:r>
    </w:p>
    <w:tbl>
      <w:tblPr>
        <w:tblStyle w:val="DPSTableGrid1"/>
        <w:tblpPr w:leftFromText="180" w:rightFromText="180" w:vertAnchor="text" w:tblpY="1"/>
        <w:tblOverlap w:val="never"/>
        <w:tblW w:w="8505" w:type="dxa"/>
        <w:tblLook w:val="04A0" w:firstRow="1" w:lastRow="0" w:firstColumn="1" w:lastColumn="0" w:noHBand="0" w:noVBand="1"/>
      </w:tblPr>
      <w:tblGrid>
        <w:gridCol w:w="1985"/>
        <w:gridCol w:w="6520"/>
      </w:tblGrid>
      <w:tr w:rsidR="00980F39" w:rsidRPr="00843A16" w14:paraId="19F86B18" w14:textId="77777777">
        <w:trPr>
          <w:cnfStyle w:val="100000000000" w:firstRow="1" w:lastRow="0" w:firstColumn="0" w:lastColumn="0" w:oddVBand="0" w:evenVBand="0" w:oddHBand="0" w:evenHBand="0" w:firstRowFirstColumn="0" w:firstRowLastColumn="0" w:lastRowFirstColumn="0" w:lastRowLastColumn="0"/>
          <w:tblHeader/>
        </w:trPr>
        <w:tc>
          <w:tcPr>
            <w:tcW w:w="1985" w:type="dxa"/>
          </w:tcPr>
          <w:p w14:paraId="68480BDE" w14:textId="77777777" w:rsidR="00980F39" w:rsidRPr="00843A16" w:rsidRDefault="00980F39">
            <w:pPr>
              <w:spacing w:after="60" w:line="276" w:lineRule="auto"/>
              <w:rPr>
                <w:rFonts w:cs="Arial"/>
                <w:b/>
                <w:bCs/>
                <w:color w:val="FFFFFF" w:themeColor="background1"/>
                <w:sz w:val="16"/>
                <w:szCs w:val="16"/>
                <w:lang w:eastAsia="en-AU"/>
              </w:rPr>
            </w:pPr>
            <w:r w:rsidRPr="00843A16">
              <w:rPr>
                <w:rFonts w:cs="Arial"/>
                <w:b/>
                <w:bCs/>
                <w:color w:val="FFFFFF" w:themeColor="background1"/>
                <w:sz w:val="16"/>
                <w:szCs w:val="16"/>
                <w:lang w:eastAsia="en-AU"/>
              </w:rPr>
              <w:t>Data source</w:t>
            </w:r>
          </w:p>
        </w:tc>
        <w:tc>
          <w:tcPr>
            <w:tcW w:w="6520" w:type="dxa"/>
          </w:tcPr>
          <w:p w14:paraId="2EFC23DC" w14:textId="77777777" w:rsidR="00980F39" w:rsidRPr="00843A16" w:rsidRDefault="00980F39">
            <w:pPr>
              <w:spacing w:after="60" w:line="276" w:lineRule="auto"/>
              <w:rPr>
                <w:rFonts w:cs="Arial"/>
                <w:b/>
                <w:bCs/>
                <w:color w:val="FFFFFF" w:themeColor="background1"/>
                <w:sz w:val="16"/>
                <w:szCs w:val="16"/>
                <w:lang w:eastAsia="en-AU"/>
              </w:rPr>
            </w:pPr>
            <w:r w:rsidRPr="00843A16">
              <w:rPr>
                <w:rFonts w:cs="Arial"/>
                <w:b/>
                <w:bCs/>
                <w:color w:val="FFFFFF" w:themeColor="background1"/>
                <w:sz w:val="16"/>
                <w:szCs w:val="16"/>
                <w:lang w:eastAsia="en-AU"/>
              </w:rPr>
              <w:t>Description</w:t>
            </w:r>
          </w:p>
        </w:tc>
      </w:tr>
      <w:tr w:rsidR="00980F39" w:rsidRPr="00843A16" w14:paraId="458D2F1D"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6A3125B9"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Rapid literature review</w:t>
            </w:r>
          </w:p>
        </w:tc>
        <w:tc>
          <w:tcPr>
            <w:tcW w:w="6520" w:type="dxa"/>
            <w:shd w:val="clear" w:color="auto" w:fill="auto"/>
          </w:tcPr>
          <w:p w14:paraId="7A811846" w14:textId="658201CA"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Academic and grey literature associated with the NCPF and its measures</w:t>
            </w:r>
          </w:p>
        </w:tc>
      </w:tr>
      <w:tr w:rsidR="00980F39" w:rsidRPr="00843A16" w14:paraId="316C9620"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545544C6"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Desk research</w:t>
            </w:r>
          </w:p>
        </w:tc>
        <w:tc>
          <w:tcPr>
            <w:tcW w:w="6520" w:type="dxa"/>
            <w:shd w:val="clear" w:color="auto" w:fill="auto"/>
          </w:tcPr>
          <w:p w14:paraId="663C4694" w14:textId="478B8FA1" w:rsidR="00980F39" w:rsidRPr="00843A16" w:rsidRDefault="00980F39">
            <w:pPr>
              <w:spacing w:before="60" w:after="60" w:line="240" w:lineRule="auto"/>
              <w:jc w:val="left"/>
              <w:rPr>
                <w:rFonts w:eastAsia="Times New Roman"/>
                <w:sz w:val="16"/>
                <w:szCs w:val="20"/>
                <w:lang w:eastAsia="en-AU" w:bidi="en-US"/>
              </w:rPr>
            </w:pPr>
            <w:r w:rsidRPr="00843A16">
              <w:rPr>
                <w:rFonts w:eastAsia="Arial"/>
                <w:sz w:val="16"/>
                <w:szCs w:val="20"/>
                <w:lang w:eastAsia="en-AU" w:bidi="en-US"/>
              </w:rPr>
              <w:t xml:space="preserve">Documentation from relevant </w:t>
            </w:r>
            <w:r>
              <w:rPr>
                <w:rFonts w:eastAsia="Arial"/>
                <w:sz w:val="16"/>
                <w:szCs w:val="20"/>
                <w:lang w:eastAsia="en-AU" w:bidi="en-US"/>
              </w:rPr>
              <w:t>Australian</w:t>
            </w:r>
            <w:r w:rsidRPr="00843A16">
              <w:rPr>
                <w:rFonts w:eastAsia="Arial"/>
                <w:sz w:val="16"/>
                <w:szCs w:val="20"/>
                <w:lang w:eastAsia="en-AU" w:bidi="en-US"/>
              </w:rPr>
              <w:t xml:space="preserve"> and </w:t>
            </w:r>
            <w:r>
              <w:rPr>
                <w:rFonts w:eastAsia="Arial"/>
                <w:sz w:val="16"/>
                <w:szCs w:val="20"/>
                <w:lang w:eastAsia="en-AU" w:bidi="en-US"/>
              </w:rPr>
              <w:t>state/territory government</w:t>
            </w:r>
            <w:r w:rsidRPr="00843A16">
              <w:rPr>
                <w:rFonts w:eastAsia="Arial"/>
                <w:sz w:val="16"/>
                <w:szCs w:val="20"/>
                <w:lang w:eastAsia="en-AU" w:bidi="en-US"/>
              </w:rPr>
              <w:t>s responsible for the enactment, implementation and/or regulation of the NCPF measures</w:t>
            </w:r>
          </w:p>
        </w:tc>
      </w:tr>
      <w:tr w:rsidR="00980F39" w:rsidRPr="00843A16" w14:paraId="534D97A1"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2DC814DB"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Environmental scan</w:t>
            </w:r>
          </w:p>
        </w:tc>
        <w:tc>
          <w:tcPr>
            <w:tcW w:w="6520" w:type="dxa"/>
            <w:shd w:val="clear" w:color="auto" w:fill="auto"/>
          </w:tcPr>
          <w:p w14:paraId="6FD4D71E" w14:textId="5011E6E2"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An environmental scan and content analysis of compliance with the requirements of the </w:t>
            </w:r>
            <w:r>
              <w:rPr>
                <w:rFonts w:eastAsia="Times New Roman"/>
                <w:sz w:val="16"/>
                <w:szCs w:val="20"/>
                <w:lang w:eastAsia="en-AU" w:bidi="en-US"/>
              </w:rPr>
              <w:t>CGM</w:t>
            </w:r>
            <w:r w:rsidRPr="00843A16">
              <w:rPr>
                <w:rFonts w:eastAsia="Times New Roman"/>
                <w:sz w:val="16"/>
                <w:szCs w:val="20"/>
                <w:lang w:eastAsia="en-AU" w:bidi="en-US"/>
              </w:rPr>
              <w:t xml:space="preserve"> measure using 20 WSP websites and 20 WSP apps</w:t>
            </w:r>
          </w:p>
        </w:tc>
      </w:tr>
      <w:tr w:rsidR="00980F39" w:rsidRPr="00843A16" w14:paraId="423A0B33"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62BECD88"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Stakeholder interviews</w:t>
            </w:r>
          </w:p>
        </w:tc>
        <w:tc>
          <w:tcPr>
            <w:tcW w:w="6520" w:type="dxa"/>
            <w:shd w:val="clear" w:color="auto" w:fill="auto"/>
          </w:tcPr>
          <w:p w14:paraId="4CDFD6A3" w14:textId="59D34C4F" w:rsidR="00980F39" w:rsidRPr="00843A16" w:rsidRDefault="00980F39">
            <w:pPr>
              <w:spacing w:before="60" w:after="60" w:line="240" w:lineRule="auto"/>
              <w:jc w:val="left"/>
              <w:rPr>
                <w:rFonts w:eastAsia="Times New Roman"/>
                <w:sz w:val="16"/>
                <w:szCs w:val="20"/>
                <w:lang w:eastAsia="en-AU" w:bidi="en-US"/>
              </w:rPr>
            </w:pPr>
            <w:r>
              <w:rPr>
                <w:rFonts w:eastAsia="Times New Roman"/>
                <w:sz w:val="16"/>
                <w:szCs w:val="20"/>
                <w:lang w:eastAsia="en-AU" w:bidi="en-US"/>
              </w:rPr>
              <w:t>Twenty-four s</w:t>
            </w:r>
            <w:r w:rsidRPr="00843A16">
              <w:rPr>
                <w:rFonts w:eastAsia="Times New Roman"/>
                <w:sz w:val="16"/>
                <w:szCs w:val="20"/>
                <w:lang w:eastAsia="en-AU" w:bidi="en-US"/>
              </w:rPr>
              <w:t xml:space="preserve">emi-structured interviews with officials from </w:t>
            </w:r>
            <w:r>
              <w:rPr>
                <w:rFonts w:eastAsia="Times New Roman"/>
                <w:sz w:val="16"/>
                <w:szCs w:val="20"/>
                <w:lang w:eastAsia="en-AU" w:bidi="en-US"/>
              </w:rPr>
              <w:t xml:space="preserve">8 </w:t>
            </w:r>
            <w:r w:rsidRPr="00843A16">
              <w:rPr>
                <w:rFonts w:eastAsia="Times New Roman"/>
                <w:sz w:val="16"/>
                <w:szCs w:val="20"/>
                <w:lang w:eastAsia="en-AU" w:bidi="en-US"/>
              </w:rPr>
              <w:t xml:space="preserve">Australian, state and territory </w:t>
            </w:r>
            <w:r>
              <w:rPr>
                <w:rFonts w:eastAsia="Times New Roman"/>
                <w:sz w:val="16"/>
                <w:szCs w:val="20"/>
                <w:lang w:eastAsia="en-AU" w:bidi="en-US"/>
              </w:rPr>
              <w:t>government</w:t>
            </w:r>
            <w:r w:rsidRPr="00843A16">
              <w:rPr>
                <w:rFonts w:eastAsia="Times New Roman"/>
                <w:sz w:val="16"/>
                <w:szCs w:val="20"/>
                <w:lang w:eastAsia="en-AU" w:bidi="en-US"/>
              </w:rPr>
              <w:t xml:space="preserve">al policy and regulatory bodies, 13 WSPs, </w:t>
            </w:r>
            <w:r>
              <w:rPr>
                <w:rFonts w:eastAsia="Times New Roman"/>
                <w:sz w:val="16"/>
                <w:szCs w:val="20"/>
                <w:lang w:eastAsia="en-AU" w:bidi="en-US"/>
              </w:rPr>
              <w:t>one</w:t>
            </w:r>
            <w:r w:rsidRPr="00843A16">
              <w:rPr>
                <w:rFonts w:eastAsia="Times New Roman"/>
                <w:sz w:val="16"/>
                <w:szCs w:val="20"/>
                <w:lang w:eastAsia="en-AU" w:bidi="en-US"/>
              </w:rPr>
              <w:t xml:space="preserve"> peak body for the wagering industry, </w:t>
            </w:r>
            <w:r>
              <w:rPr>
                <w:rFonts w:eastAsia="Times New Roman"/>
                <w:sz w:val="16"/>
                <w:szCs w:val="20"/>
                <w:lang w:eastAsia="en-AU" w:bidi="en-US"/>
              </w:rPr>
              <w:t>one</w:t>
            </w:r>
            <w:r w:rsidRPr="00843A16">
              <w:rPr>
                <w:rFonts w:eastAsia="Times New Roman"/>
                <w:sz w:val="16"/>
                <w:szCs w:val="20"/>
                <w:lang w:eastAsia="en-AU" w:bidi="en-US"/>
              </w:rPr>
              <w:t xml:space="preserve"> public health academic, </w:t>
            </w:r>
            <w:r>
              <w:rPr>
                <w:rFonts w:eastAsia="Times New Roman"/>
                <w:sz w:val="16"/>
                <w:szCs w:val="20"/>
                <w:lang w:eastAsia="en-AU" w:bidi="en-US"/>
              </w:rPr>
              <w:t>one</w:t>
            </w:r>
            <w:r w:rsidRPr="00843A16">
              <w:rPr>
                <w:rFonts w:eastAsia="Times New Roman"/>
                <w:sz w:val="16"/>
                <w:szCs w:val="20"/>
                <w:lang w:eastAsia="en-AU" w:bidi="en-US"/>
              </w:rPr>
              <w:t xml:space="preserve"> help</w:t>
            </w:r>
            <w:r>
              <w:rPr>
                <w:rFonts w:eastAsia="Times New Roman"/>
                <w:sz w:val="16"/>
                <w:szCs w:val="20"/>
                <w:lang w:eastAsia="en-AU" w:bidi="en-US"/>
              </w:rPr>
              <w:t xml:space="preserve"> provider and one gambling harm reduction advocacy organisation</w:t>
            </w:r>
          </w:p>
        </w:tc>
      </w:tr>
      <w:tr w:rsidR="00980F39" w:rsidRPr="00843A16" w14:paraId="563DF580"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47CC7127"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Consumer interviews</w:t>
            </w:r>
          </w:p>
        </w:tc>
        <w:tc>
          <w:tcPr>
            <w:tcW w:w="6520" w:type="dxa"/>
            <w:shd w:val="clear" w:color="auto" w:fill="auto"/>
          </w:tcPr>
          <w:p w14:paraId="091DC5E7" w14:textId="1A23553C"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Semi-structured interview with 30 individuals aged 18 years or older, living in Australia who had lived experience with online wagering and awareness and</w:t>
            </w:r>
            <w:r>
              <w:rPr>
                <w:rFonts w:eastAsia="Times New Roman"/>
                <w:sz w:val="16"/>
                <w:szCs w:val="20"/>
                <w:lang w:eastAsia="en-AU" w:bidi="en-US"/>
              </w:rPr>
              <w:t>/or</w:t>
            </w:r>
            <w:r w:rsidRPr="00843A16">
              <w:rPr>
                <w:rFonts w:eastAsia="Times New Roman"/>
                <w:sz w:val="16"/>
                <w:szCs w:val="20"/>
                <w:lang w:eastAsia="en-AU" w:bidi="en-US"/>
              </w:rPr>
              <w:t xml:space="preserve"> use of the NCPF measures</w:t>
            </w:r>
          </w:p>
        </w:tc>
      </w:tr>
      <w:tr w:rsidR="00980F39" w:rsidRPr="00843A16" w14:paraId="7C847346"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22000D63" w14:textId="77777777"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Consumer survey</w:t>
            </w:r>
          </w:p>
        </w:tc>
        <w:tc>
          <w:tcPr>
            <w:tcW w:w="6520" w:type="dxa"/>
            <w:shd w:val="clear" w:color="auto" w:fill="auto"/>
          </w:tcPr>
          <w:p w14:paraId="770E594A" w14:textId="77777777" w:rsidR="00980F39" w:rsidRPr="00843A16" w:rsidRDefault="00980F39">
            <w:pPr>
              <w:spacing w:before="60" w:after="60" w:line="240" w:lineRule="auto"/>
              <w:jc w:val="left"/>
              <w:rPr>
                <w:rFonts w:eastAsia="Times New Roman"/>
                <w:sz w:val="16"/>
                <w:szCs w:val="20"/>
                <w:lang w:eastAsia="en-AU" w:bidi="en-US"/>
              </w:rPr>
            </w:pPr>
            <w:r>
              <w:rPr>
                <w:rFonts w:eastAsia="Times New Roman"/>
                <w:sz w:val="16"/>
                <w:szCs w:val="20"/>
                <w:lang w:eastAsia="en-AU" w:bidi="en-US"/>
              </w:rPr>
              <w:t>An o</w:t>
            </w:r>
            <w:r w:rsidRPr="00843A16">
              <w:rPr>
                <w:rFonts w:eastAsia="Times New Roman"/>
                <w:sz w:val="16"/>
                <w:szCs w:val="20"/>
                <w:lang w:eastAsia="en-AU" w:bidi="en-US"/>
              </w:rPr>
              <w:t xml:space="preserve">nline survey </w:t>
            </w:r>
            <w:r>
              <w:rPr>
                <w:rFonts w:eastAsia="Times New Roman"/>
                <w:sz w:val="16"/>
                <w:szCs w:val="20"/>
                <w:lang w:eastAsia="en-AU" w:bidi="en-US"/>
              </w:rPr>
              <w:t xml:space="preserve">conducted </w:t>
            </w:r>
            <w:r w:rsidRPr="00843A16">
              <w:rPr>
                <w:rFonts w:eastAsia="Times New Roman"/>
                <w:sz w:val="16"/>
                <w:szCs w:val="20"/>
                <w:lang w:eastAsia="en-AU" w:bidi="en-US"/>
              </w:rPr>
              <w:t>with 698 Australian adults who wagered online in the past 12 months</w:t>
            </w:r>
            <w:r>
              <w:rPr>
                <w:rFonts w:eastAsia="Times New Roman"/>
                <w:sz w:val="16"/>
                <w:szCs w:val="20"/>
                <w:lang w:eastAsia="en-AU" w:bidi="en-US"/>
              </w:rPr>
              <w:t>,</w:t>
            </w:r>
            <w:r w:rsidRPr="00843A16" w:rsidDel="005B47DB">
              <w:rPr>
                <w:rFonts w:eastAsia="Times New Roman"/>
                <w:sz w:val="16"/>
                <w:szCs w:val="20"/>
                <w:lang w:eastAsia="en-AU" w:bidi="en-US"/>
              </w:rPr>
              <w:t xml:space="preserve"> recruited </w:t>
            </w:r>
            <w:r>
              <w:rPr>
                <w:rFonts w:eastAsia="Times New Roman"/>
                <w:sz w:val="16"/>
                <w:szCs w:val="20"/>
                <w:lang w:eastAsia="en-AU" w:bidi="en-US"/>
              </w:rPr>
              <w:t xml:space="preserve">through </w:t>
            </w:r>
            <w:r w:rsidRPr="00843A16" w:rsidDel="005B47DB">
              <w:rPr>
                <w:rFonts w:eastAsia="Times New Roman"/>
                <w:sz w:val="16"/>
                <w:szCs w:val="20"/>
                <w:lang w:eastAsia="en-AU" w:bidi="en-US"/>
              </w:rPr>
              <w:t>an online probability-based panel</w:t>
            </w:r>
            <w:r w:rsidRPr="00843A16">
              <w:rPr>
                <w:rFonts w:eastAsia="Times New Roman"/>
                <w:sz w:val="16"/>
                <w:szCs w:val="20"/>
                <w:lang w:eastAsia="en-AU" w:bidi="en-US"/>
              </w:rPr>
              <w:t>. Th</w:t>
            </w:r>
            <w:r>
              <w:rPr>
                <w:rFonts w:eastAsia="Times New Roman"/>
                <w:sz w:val="16"/>
                <w:szCs w:val="20"/>
                <w:lang w:eastAsia="en-AU" w:bidi="en-US"/>
              </w:rPr>
              <w:t>is</w:t>
            </w:r>
            <w:r w:rsidRPr="00843A16">
              <w:rPr>
                <w:rFonts w:eastAsia="Times New Roman"/>
                <w:sz w:val="16"/>
                <w:szCs w:val="20"/>
                <w:lang w:eastAsia="en-AU" w:bidi="en-US"/>
              </w:rPr>
              <w:t xml:space="preserve"> was weighted to a benchmark estimate of a representative sample of last 12-month online wagerers.</w:t>
            </w:r>
          </w:p>
        </w:tc>
      </w:tr>
      <w:tr w:rsidR="00980F39" w:rsidRPr="00843A16" w14:paraId="023DE543" w14:textId="77777777">
        <w:trPr>
          <w:cnfStyle w:val="100000000000" w:firstRow="1" w:lastRow="0" w:firstColumn="0" w:lastColumn="0" w:oddVBand="0" w:evenVBand="0" w:oddHBand="0" w:evenHBand="0" w:firstRowFirstColumn="0" w:firstRowLastColumn="0" w:lastRowFirstColumn="0" w:lastRowLastColumn="0"/>
          <w:tblHeader/>
        </w:trPr>
        <w:tc>
          <w:tcPr>
            <w:tcW w:w="1985" w:type="dxa"/>
            <w:shd w:val="clear" w:color="auto" w:fill="auto"/>
          </w:tcPr>
          <w:p w14:paraId="00474D54" w14:textId="1E4E3E18" w:rsidR="00980F39" w:rsidRPr="00843A16" w:rsidRDefault="00E61C7E">
            <w:pPr>
              <w:spacing w:before="60" w:after="60" w:line="240" w:lineRule="auto"/>
              <w:jc w:val="left"/>
              <w:rPr>
                <w:rFonts w:eastAsia="Times New Roman"/>
                <w:sz w:val="16"/>
                <w:szCs w:val="20"/>
                <w:lang w:eastAsia="en-AU" w:bidi="en-US"/>
              </w:rPr>
            </w:pPr>
            <w:r>
              <w:rPr>
                <w:rFonts w:eastAsia="Times New Roman"/>
                <w:sz w:val="16"/>
                <w:szCs w:val="20"/>
                <w:lang w:eastAsia="en-AU" w:bidi="en-US"/>
              </w:rPr>
              <w:t>Additional</w:t>
            </w:r>
            <w:r w:rsidR="00980F39" w:rsidRPr="00843A16">
              <w:rPr>
                <w:rFonts w:eastAsia="Times New Roman"/>
                <w:sz w:val="16"/>
                <w:szCs w:val="20"/>
                <w:lang w:eastAsia="en-AU" w:bidi="en-US"/>
              </w:rPr>
              <w:t xml:space="preserve"> data </w:t>
            </w:r>
          </w:p>
        </w:tc>
        <w:tc>
          <w:tcPr>
            <w:tcW w:w="6520" w:type="dxa"/>
            <w:shd w:val="clear" w:color="auto" w:fill="auto"/>
          </w:tcPr>
          <w:p w14:paraId="4A6E3D99" w14:textId="58898CCD" w:rsidR="00980F39" w:rsidRPr="00843A16" w:rsidRDefault="00980F39">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National Gambling Prevalence Study Pilot 2024 (AGRC, unpublished data); National Gambling Trends Study 2023 and 202</w:t>
            </w:r>
            <w:r>
              <w:rPr>
                <w:rFonts w:eastAsia="Times New Roman"/>
                <w:sz w:val="16"/>
                <w:szCs w:val="20"/>
                <w:lang w:eastAsia="en-AU" w:bidi="en-US"/>
              </w:rPr>
              <w:t>4</w:t>
            </w:r>
            <w:r w:rsidRPr="00843A16">
              <w:rPr>
                <w:rFonts w:eastAsia="Times New Roman"/>
                <w:sz w:val="16"/>
                <w:szCs w:val="20"/>
                <w:lang w:eastAsia="en-AU" w:bidi="en-US"/>
              </w:rPr>
              <w:t xml:space="preserve"> data (AGRC, unpublished data); H2 Gambling Capital data (2025); Australian Gambling Statistics data (QGSO, 2025); Interactive Gambling Study 2019 (Hing et al., 2021)</w:t>
            </w:r>
            <w:r>
              <w:rPr>
                <w:rFonts w:eastAsia="Times New Roman"/>
                <w:sz w:val="16"/>
                <w:szCs w:val="20"/>
                <w:lang w:eastAsia="en-AU" w:bidi="en-US"/>
              </w:rPr>
              <w:t xml:space="preserve">; template Activity Statements provided for </w:t>
            </w:r>
            <w:r w:rsidR="00536C8E">
              <w:rPr>
                <w:rFonts w:eastAsia="Times New Roman"/>
                <w:sz w:val="16"/>
                <w:szCs w:val="20"/>
                <w:lang w:eastAsia="en-AU" w:bidi="en-US"/>
              </w:rPr>
              <w:t>4</w:t>
            </w:r>
            <w:r>
              <w:rPr>
                <w:rFonts w:eastAsia="Times New Roman"/>
                <w:sz w:val="16"/>
                <w:szCs w:val="20"/>
                <w:lang w:eastAsia="en-AU" w:bidi="en-US"/>
              </w:rPr>
              <w:t xml:space="preserve"> large online wagering operators in Australia</w:t>
            </w:r>
          </w:p>
        </w:tc>
      </w:tr>
    </w:tbl>
    <w:p w14:paraId="63509CFA" w14:textId="7212E82A" w:rsidR="00041FAD" w:rsidRDefault="004B26A3" w:rsidP="00CF6D5E">
      <w:pPr>
        <w:pStyle w:val="BodyText"/>
      </w:pPr>
      <w:r>
        <w:rPr>
          <w:rFonts w:cs="Arial"/>
          <w:lang w:eastAsia="en-AU"/>
        </w:rPr>
        <w:t>F</w:t>
      </w:r>
      <w:r w:rsidRPr="4F980F5E">
        <w:rPr>
          <w:rFonts w:cs="Arial"/>
          <w:lang w:eastAsia="en-AU"/>
        </w:rPr>
        <w:t>or this evaluation</w:t>
      </w:r>
      <w:r>
        <w:rPr>
          <w:rFonts w:cs="Arial"/>
          <w:lang w:eastAsia="en-AU"/>
        </w:rPr>
        <w:t>,</w:t>
      </w:r>
      <w:r w:rsidRPr="4F980F5E">
        <w:rPr>
          <w:rFonts w:cs="Arial"/>
          <w:lang w:eastAsia="en-AU"/>
        </w:rPr>
        <w:t xml:space="preserve"> </w:t>
      </w:r>
      <w:r w:rsidR="00980F39" w:rsidRPr="4F980F5E">
        <w:rPr>
          <w:rFonts w:cs="Arial"/>
          <w:lang w:eastAsia="en-AU"/>
        </w:rPr>
        <w:t xml:space="preserve">AIFS </w:t>
      </w:r>
      <w:r w:rsidR="003E291A">
        <w:rPr>
          <w:rFonts w:cs="Arial"/>
          <w:lang w:eastAsia="en-AU"/>
        </w:rPr>
        <w:t>conducted</w:t>
      </w:r>
      <w:r w:rsidR="003E291A" w:rsidRPr="4F980F5E">
        <w:rPr>
          <w:rFonts w:cs="Arial"/>
          <w:lang w:eastAsia="en-AU"/>
        </w:rPr>
        <w:t xml:space="preserve"> </w:t>
      </w:r>
      <w:r w:rsidR="00980F39" w:rsidRPr="4F980F5E">
        <w:rPr>
          <w:rFonts w:cs="Arial"/>
          <w:lang w:eastAsia="en-AU"/>
        </w:rPr>
        <w:t xml:space="preserve">a consumer survey to inform many of its findings. </w:t>
      </w:r>
      <w:r w:rsidR="00980F39">
        <w:t>Consumer data were collected using both a probability</w:t>
      </w:r>
      <w:r w:rsidRPr="00843A16">
        <w:rPr>
          <w:lang w:eastAsia="en-AU"/>
        </w:rPr>
        <w:t>-</w:t>
      </w:r>
      <w:r w:rsidR="00980F39">
        <w:t>based online panel and an opt</w:t>
      </w:r>
      <w:r w:rsidRPr="00843A16">
        <w:rPr>
          <w:lang w:eastAsia="en-AU"/>
        </w:rPr>
        <w:t>-</w:t>
      </w:r>
      <w:r w:rsidR="00980F39">
        <w:t>in online panel. Due to data quality issues with the opt</w:t>
      </w:r>
      <w:r w:rsidR="00980F39">
        <w:rPr>
          <w:rFonts w:ascii="Cambria Math" w:hAnsi="Cambria Math" w:cs="Cambria Math"/>
        </w:rPr>
        <w:t>‑</w:t>
      </w:r>
      <w:r w:rsidR="00980F39">
        <w:t xml:space="preserve">in panel, the analysis focused on the </w:t>
      </w:r>
      <w:r w:rsidR="00980F39" w:rsidRPr="004B26A3">
        <w:t>probability</w:t>
      </w:r>
      <w:r w:rsidRPr="00843A16">
        <w:rPr>
          <w:lang w:eastAsia="en-AU"/>
        </w:rPr>
        <w:t>-</w:t>
      </w:r>
      <w:r w:rsidR="00980F39" w:rsidRPr="004B26A3">
        <w:t>based panel data.</w:t>
      </w:r>
      <w:r w:rsidR="00E37C48" w:rsidRPr="004B26A3">
        <w:t xml:space="preserve"> </w:t>
      </w:r>
      <w:r w:rsidR="00A54B34" w:rsidRPr="004B26A3">
        <w:t>Interpreting</w:t>
      </w:r>
      <w:r w:rsidR="00A54B34">
        <w:t xml:space="preserve"> the survey data requires a level of caution, as they are self-reported consumer experiences</w:t>
      </w:r>
      <w:r w:rsidR="00160CAA">
        <w:t xml:space="preserve">. They depend on </w:t>
      </w:r>
      <w:r w:rsidR="00A3524F">
        <w:t xml:space="preserve">recall of past experiences and </w:t>
      </w:r>
      <w:r w:rsidR="00160CAA">
        <w:t xml:space="preserve">a clear understanding of the questions. </w:t>
      </w:r>
    </w:p>
    <w:p w14:paraId="3092BA9E" w14:textId="460C5CCA" w:rsidR="00980F39" w:rsidRDefault="00980F39">
      <w:pPr>
        <w:pStyle w:val="BodyText"/>
        <w:rPr>
          <w:lang w:eastAsia="en-AU"/>
        </w:rPr>
      </w:pPr>
      <w:r w:rsidRPr="00843A16">
        <w:rPr>
          <w:lang w:eastAsia="en-AU"/>
        </w:rPr>
        <w:t xml:space="preserve">A low-risk ethics approval was requested and received for the lower-risk research components (Ethics number: NCR-05). A high-risk ethics approval for the consumer interviews and online consumer survey was approved by the AIFS Human Research Ethics Committee (HREC) (Project ID: 2025/05). </w:t>
      </w:r>
    </w:p>
    <w:p w14:paraId="3DE49D08" w14:textId="77777777" w:rsidR="00E3011E" w:rsidRDefault="00E3011E" w:rsidP="00E3011E">
      <w:pPr>
        <w:pStyle w:val="BodyText"/>
        <w:rPr>
          <w:rFonts w:cs="Arial"/>
          <w:szCs w:val="20"/>
          <w:lang w:eastAsia="en-AU"/>
        </w:rPr>
      </w:pPr>
      <w:r>
        <w:t xml:space="preserve">This evaluation has </w:t>
      </w:r>
      <w:r>
        <w:rPr>
          <w:rFonts w:cs="Arial"/>
          <w:szCs w:val="20"/>
          <w:lang w:eastAsia="en-AU"/>
        </w:rPr>
        <w:t>some limitations:</w:t>
      </w:r>
    </w:p>
    <w:p w14:paraId="06691A65" w14:textId="4DFD3793" w:rsidR="00E3011E" w:rsidRPr="005521DE" w:rsidRDefault="00E3011E" w:rsidP="00E3011E">
      <w:pPr>
        <w:pStyle w:val="ListBullet"/>
        <w:rPr>
          <w:lang w:eastAsia="en-AU"/>
        </w:rPr>
      </w:pPr>
      <w:r>
        <w:rPr>
          <w:lang w:eastAsia="en-AU"/>
        </w:rPr>
        <w:t>As noted previously, i</w:t>
      </w:r>
      <w:r w:rsidRPr="0048742C">
        <w:rPr>
          <w:lang w:eastAsia="en-AU"/>
        </w:rPr>
        <w:t xml:space="preserve">t was envisaged that the measures under the NCPF would be implemented </w:t>
      </w:r>
      <w:r>
        <w:rPr>
          <w:lang w:eastAsia="en-AU"/>
        </w:rPr>
        <w:t>within</w:t>
      </w:r>
      <w:r w:rsidRPr="0048742C">
        <w:rPr>
          <w:lang w:eastAsia="en-AU"/>
        </w:rPr>
        <w:t xml:space="preserve"> 18 months from the </w:t>
      </w:r>
      <w:r w:rsidR="00C65242">
        <w:rPr>
          <w:lang w:eastAsia="en-AU"/>
        </w:rPr>
        <w:t xml:space="preserve">National </w:t>
      </w:r>
      <w:r w:rsidRPr="0048742C">
        <w:rPr>
          <w:lang w:eastAsia="en-AU"/>
        </w:rPr>
        <w:t xml:space="preserve">Framework’s commencement. However, measures were implemented </w:t>
      </w:r>
      <w:r>
        <w:rPr>
          <w:lang w:eastAsia="en-AU"/>
        </w:rPr>
        <w:t xml:space="preserve">and refined </w:t>
      </w:r>
      <w:r w:rsidRPr="0048742C">
        <w:rPr>
          <w:lang w:eastAsia="en-AU"/>
        </w:rPr>
        <w:t xml:space="preserve">over </w:t>
      </w:r>
      <w:r>
        <w:rPr>
          <w:lang w:eastAsia="en-AU"/>
        </w:rPr>
        <w:t xml:space="preserve">almost </w:t>
      </w:r>
      <w:r w:rsidRPr="0048742C">
        <w:rPr>
          <w:lang w:eastAsia="en-AU"/>
        </w:rPr>
        <w:t>6 years</w:t>
      </w:r>
      <w:r w:rsidR="00C65242">
        <w:rPr>
          <w:lang w:eastAsia="en-AU"/>
        </w:rPr>
        <w:t>,</w:t>
      </w:r>
      <w:r w:rsidRPr="0048742C">
        <w:rPr>
          <w:lang w:eastAsia="en-AU"/>
        </w:rPr>
        <w:t xml:space="preserve"> and most did not have monitoring data collected. Undertaking an evaluation of multiple measures introduced over a long period with limited data has resulted in evidence gaps. </w:t>
      </w:r>
      <w:r>
        <w:rPr>
          <w:lang w:eastAsia="en-AU"/>
        </w:rPr>
        <w:t xml:space="preserve">These same gaps will also limit the ability to measure changes in wagering behaviour and gambling-related harm in </w:t>
      </w:r>
      <w:r>
        <w:rPr>
          <w:lang w:eastAsia="en-AU"/>
        </w:rPr>
        <w:lastRenderedPageBreak/>
        <w:t xml:space="preserve">the Phase 2 evaluation. While data was sought </w:t>
      </w:r>
      <w:r w:rsidRPr="3F876D50">
        <w:rPr>
          <w:rFonts w:cs="Arial"/>
          <w:lang w:eastAsia="en-AU"/>
        </w:rPr>
        <w:t xml:space="preserve">from government stakeholders and WSPs across jurisdictions, </w:t>
      </w:r>
      <w:r w:rsidR="00EC11F6">
        <w:rPr>
          <w:rFonts w:cs="Arial"/>
          <w:lang w:eastAsia="en-AU"/>
        </w:rPr>
        <w:t xml:space="preserve">the </w:t>
      </w:r>
      <w:r w:rsidRPr="3F876D50">
        <w:rPr>
          <w:rFonts w:cs="Arial"/>
          <w:lang w:eastAsia="en-AU"/>
        </w:rPr>
        <w:t>promotion and compliance information obtained was limited.</w:t>
      </w:r>
    </w:p>
    <w:p w14:paraId="16AA53FE" w14:textId="5A6179FC" w:rsidR="000674A6" w:rsidRPr="000D555C" w:rsidRDefault="00E3011E" w:rsidP="003A548D">
      <w:pPr>
        <w:pStyle w:val="ListBullet"/>
        <w:rPr>
          <w:lang w:eastAsia="en-AU"/>
        </w:rPr>
      </w:pPr>
      <w:r w:rsidRPr="3F876D50">
        <w:rPr>
          <w:rFonts w:cs="Arial"/>
          <w:lang w:eastAsia="en-AU"/>
        </w:rPr>
        <w:t>The NPS (DSS, 2018) consists of 7</w:t>
      </w:r>
      <w:r>
        <w:rPr>
          <w:rFonts w:cs="Arial"/>
          <w:lang w:eastAsia="en-AU"/>
        </w:rPr>
        <w:t>1</w:t>
      </w:r>
      <w:r w:rsidRPr="3F876D50">
        <w:rPr>
          <w:rFonts w:cs="Arial"/>
          <w:lang w:eastAsia="en-AU"/>
        </w:rPr>
        <w:t xml:space="preserve"> principles across the 10 measures</w:t>
      </w:r>
      <w:r>
        <w:rPr>
          <w:rFonts w:cs="Arial"/>
          <w:lang w:eastAsia="en-AU"/>
        </w:rPr>
        <w:t>. The depth of testing</w:t>
      </w:r>
      <w:r w:rsidR="00EC11F6">
        <w:rPr>
          <w:rFonts w:cs="Arial"/>
          <w:lang w:eastAsia="en-AU"/>
        </w:rPr>
        <w:t xml:space="preserve"> for</w:t>
      </w:r>
      <w:r>
        <w:rPr>
          <w:rFonts w:cs="Arial"/>
          <w:lang w:eastAsia="en-AU"/>
        </w:rPr>
        <w:t xml:space="preserve"> each principle across the </w:t>
      </w:r>
      <w:r w:rsidRPr="00074143">
        <w:t>research</w:t>
      </w:r>
      <w:r>
        <w:rPr>
          <w:rFonts w:cs="Arial"/>
          <w:lang w:eastAsia="en-AU"/>
        </w:rPr>
        <w:t xml:space="preserve"> questions varied </w:t>
      </w:r>
      <w:r w:rsidRPr="3F876D50">
        <w:rPr>
          <w:rFonts w:cs="Arial"/>
          <w:lang w:eastAsia="en-AU"/>
        </w:rPr>
        <w:t xml:space="preserve">due </w:t>
      </w:r>
      <w:r w:rsidR="00193056">
        <w:rPr>
          <w:rFonts w:cs="Arial"/>
          <w:lang w:eastAsia="en-AU"/>
        </w:rPr>
        <w:t>to</w:t>
      </w:r>
      <w:r w:rsidRPr="3F876D50">
        <w:rPr>
          <w:rFonts w:cs="Arial"/>
          <w:lang w:eastAsia="en-AU"/>
        </w:rPr>
        <w:t xml:space="preserve"> data </w:t>
      </w:r>
      <w:r>
        <w:rPr>
          <w:rFonts w:cs="Arial"/>
          <w:lang w:eastAsia="en-AU"/>
        </w:rPr>
        <w:t xml:space="preserve">access </w:t>
      </w:r>
      <w:r>
        <w:rPr>
          <w:rFonts w:eastAsia="Arial" w:cs="Arial"/>
        </w:rPr>
        <w:t>and</w:t>
      </w:r>
      <w:r w:rsidR="00EC11F6">
        <w:rPr>
          <w:rFonts w:eastAsia="Arial" w:cs="Arial"/>
        </w:rPr>
        <w:t xml:space="preserve"> the decision to</w:t>
      </w:r>
      <w:r>
        <w:rPr>
          <w:rFonts w:eastAsia="Arial" w:cs="Arial"/>
        </w:rPr>
        <w:t xml:space="preserve"> </w:t>
      </w:r>
      <w:r w:rsidR="00EC11F6">
        <w:rPr>
          <w:rFonts w:eastAsia="Arial" w:cs="Arial"/>
        </w:rPr>
        <w:t xml:space="preserve">prioritise </w:t>
      </w:r>
      <w:r>
        <w:rPr>
          <w:rFonts w:eastAsia="Arial" w:cs="Arial"/>
        </w:rPr>
        <w:t>more prescriptive principles that were easier to measure.</w:t>
      </w:r>
    </w:p>
    <w:p w14:paraId="7E661DC7" w14:textId="1546ECC6" w:rsidR="00EC11F6" w:rsidRDefault="00EC11F6">
      <w:pPr>
        <w:suppressAutoHyphens w:val="0"/>
        <w:spacing w:before="0" w:line="240" w:lineRule="auto"/>
        <w:jc w:val="left"/>
        <w:rPr>
          <w:rFonts w:eastAsia="Times New Roman"/>
          <w:lang w:bidi="en-US"/>
        </w:rPr>
      </w:pPr>
      <w:bookmarkStart w:id="32" w:name="Context"/>
      <w:r>
        <w:br w:type="page"/>
      </w:r>
    </w:p>
    <w:p w14:paraId="2AC3DABB" w14:textId="3821B0C6" w:rsidR="007D7FFA" w:rsidRPr="00843A16" w:rsidRDefault="00FA3801" w:rsidP="00EC11F6">
      <w:pPr>
        <w:pStyle w:val="Heading1Outline"/>
      </w:pPr>
      <w:bookmarkStart w:id="33" w:name="_Context"/>
      <w:bookmarkStart w:id="34" w:name="_Toc225413025"/>
      <w:bookmarkStart w:id="35" w:name="_Toc225413026"/>
      <w:bookmarkStart w:id="36" w:name="_Toc225413027"/>
      <w:bookmarkStart w:id="37" w:name="_Toc225413028"/>
      <w:bookmarkStart w:id="38" w:name="_Toc225413029"/>
      <w:bookmarkStart w:id="39" w:name="_Toc225413030"/>
      <w:bookmarkStart w:id="40" w:name="_Toc225413033"/>
      <w:bookmarkStart w:id="41" w:name="_Toc225413037"/>
      <w:bookmarkStart w:id="42" w:name="_Toc225413038"/>
      <w:bookmarkStart w:id="43" w:name="_Toc225413039"/>
      <w:bookmarkStart w:id="44" w:name="_Toc225413040"/>
      <w:bookmarkStart w:id="45" w:name="_Toc225413041"/>
      <w:bookmarkStart w:id="46" w:name="_Toc225413042"/>
      <w:bookmarkStart w:id="47" w:name="_Toc225413043"/>
      <w:bookmarkStart w:id="48" w:name="_Toc225413122"/>
      <w:bookmarkStart w:id="49" w:name="_Toc225413123"/>
      <w:bookmarkStart w:id="50" w:name="_Toc225413124"/>
      <w:bookmarkStart w:id="51" w:name="_Toc225413125"/>
      <w:bookmarkStart w:id="52" w:name="_Toc225413126"/>
      <w:bookmarkStart w:id="53" w:name="_Toc225413128"/>
      <w:bookmarkStart w:id="54" w:name="_Toc225413129"/>
      <w:bookmarkStart w:id="55" w:name="_Toc225413130"/>
      <w:bookmarkStart w:id="56" w:name="_Toc225413131"/>
      <w:bookmarkStart w:id="57" w:name="_Toc225413132"/>
      <w:bookmarkStart w:id="58" w:name="_Toc225413133"/>
      <w:bookmarkStart w:id="59" w:name="_Toc225413159"/>
      <w:bookmarkStart w:id="60" w:name="_Toc225413160"/>
      <w:bookmarkStart w:id="61" w:name="_Toc225413161"/>
      <w:bookmarkStart w:id="62" w:name="_Toc225413162"/>
      <w:bookmarkStart w:id="63" w:name="_Toc225413164"/>
      <w:bookmarkStart w:id="64" w:name="_Toc225413165"/>
      <w:bookmarkStart w:id="65" w:name="_Toc225413166"/>
      <w:bookmarkStart w:id="66" w:name="_Toc225413167"/>
      <w:bookmarkStart w:id="67" w:name="_Toc225413168"/>
      <w:bookmarkStart w:id="68" w:name="_Toc225413169"/>
      <w:bookmarkStart w:id="69" w:name="_Toc225413170"/>
      <w:bookmarkStart w:id="70" w:name="_Toc225413171"/>
      <w:bookmarkStart w:id="71" w:name="_Toc225413172"/>
      <w:bookmarkStart w:id="72" w:name="_Toc225413173"/>
      <w:bookmarkStart w:id="73" w:name="_Toc225413174"/>
      <w:bookmarkStart w:id="74" w:name="_Toc225413175"/>
      <w:bookmarkStart w:id="75" w:name="_Evaluation_Findings"/>
      <w:bookmarkStart w:id="76" w:name="_Toc213763505"/>
      <w:bookmarkStart w:id="77" w:name="_Toc233643286"/>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843A16">
        <w:lastRenderedPageBreak/>
        <w:t>Eva</w:t>
      </w:r>
      <w:r w:rsidR="00992B99" w:rsidRPr="00843A16">
        <w:t>l</w:t>
      </w:r>
      <w:r w:rsidRPr="00843A16">
        <w:t xml:space="preserve">uation </w:t>
      </w:r>
      <w:bookmarkEnd w:id="76"/>
      <w:r w:rsidR="00EC11F6">
        <w:t>f</w:t>
      </w:r>
      <w:r w:rsidR="00EC11F6" w:rsidRPr="00843A16">
        <w:t>indings</w:t>
      </w:r>
      <w:bookmarkEnd w:id="77"/>
    </w:p>
    <w:p w14:paraId="560C5996" w14:textId="19F1278D" w:rsidR="00D84FCD" w:rsidRPr="00843A16" w:rsidRDefault="008629B5" w:rsidP="006A3DA6">
      <w:pPr>
        <w:pStyle w:val="Heading2"/>
        <w:keepNext w:val="0"/>
        <w:keepLines w:val="0"/>
      </w:pPr>
      <w:bookmarkStart w:id="78" w:name="_Has_the_National"/>
      <w:bookmarkStart w:id="79" w:name="_Toc233643287"/>
      <w:bookmarkEnd w:id="78"/>
      <w:r w:rsidRPr="00843A16">
        <w:t>Has the National Framework been i</w:t>
      </w:r>
      <w:r w:rsidR="009F61FB" w:rsidRPr="00843A16">
        <w:t>mplemented as intended</w:t>
      </w:r>
      <w:r w:rsidRPr="00843A16">
        <w:t>?</w:t>
      </w:r>
      <w:bookmarkEnd w:id="79"/>
    </w:p>
    <w:p w14:paraId="3B043B5A" w14:textId="4FF3916C" w:rsidR="00ED3EA0" w:rsidRPr="00BC4A77" w:rsidRDefault="00ED3EA0" w:rsidP="00575ECC">
      <w:pPr>
        <w:pStyle w:val="BoxHeading1"/>
      </w:pPr>
      <w:r w:rsidRPr="00BC4A77">
        <w:t xml:space="preserve">Key </w:t>
      </w:r>
      <w:r w:rsidR="00254E89">
        <w:t>f</w:t>
      </w:r>
      <w:r w:rsidR="00254E89" w:rsidRPr="00BC4A77">
        <w:t>indings</w:t>
      </w:r>
    </w:p>
    <w:p w14:paraId="3C5376F9" w14:textId="0C125445" w:rsidR="00F523AE" w:rsidRPr="00254E89" w:rsidRDefault="00ED3EA0" w:rsidP="00254E89">
      <w:pPr>
        <w:pStyle w:val="BoxBulletList"/>
        <w:rPr>
          <w:rFonts w:eastAsia="Arial"/>
        </w:rPr>
      </w:pPr>
      <w:r>
        <w:rPr>
          <w:rFonts w:eastAsia="Arial"/>
        </w:rPr>
        <w:t xml:space="preserve">The </w:t>
      </w:r>
      <w:r w:rsidRPr="00254E89">
        <w:rPr>
          <w:rFonts w:eastAsia="Arial"/>
        </w:rPr>
        <w:t>10 NCPF measures were all implemented</w:t>
      </w:r>
      <w:r w:rsidR="00F523AE" w:rsidRPr="00254E89">
        <w:rPr>
          <w:rFonts w:eastAsia="Arial"/>
        </w:rPr>
        <w:t xml:space="preserve"> between February 2018 (pre-</w:t>
      </w:r>
      <w:r w:rsidR="00CD031C" w:rsidRPr="00254E89">
        <w:rPr>
          <w:rFonts w:eastAsia="Arial"/>
        </w:rPr>
        <w:t xml:space="preserve"> </w:t>
      </w:r>
      <w:r w:rsidR="00F523AE" w:rsidRPr="00254E89">
        <w:rPr>
          <w:rFonts w:eastAsia="Arial"/>
        </w:rPr>
        <w:t xml:space="preserve">NPS) and September 2024, </w:t>
      </w:r>
      <w:r w:rsidR="00254E89">
        <w:rPr>
          <w:rFonts w:eastAsia="Arial"/>
        </w:rPr>
        <w:t xml:space="preserve">a </w:t>
      </w:r>
      <w:r w:rsidR="00F523AE" w:rsidRPr="00254E89">
        <w:rPr>
          <w:rFonts w:eastAsia="Arial"/>
        </w:rPr>
        <w:t>significantly longer</w:t>
      </w:r>
      <w:r w:rsidR="00254E89">
        <w:rPr>
          <w:rFonts w:eastAsia="Arial"/>
        </w:rPr>
        <w:t xml:space="preserve"> period</w:t>
      </w:r>
      <w:r w:rsidR="00F523AE" w:rsidRPr="00254E89">
        <w:rPr>
          <w:rFonts w:eastAsia="Arial"/>
        </w:rPr>
        <w:t xml:space="preserve"> than the expected 18-month implementation stated in the NPS. </w:t>
      </w:r>
    </w:p>
    <w:p w14:paraId="6907FBB5" w14:textId="7C716932" w:rsidR="00F523AE" w:rsidRPr="00254E89" w:rsidRDefault="00F523AE" w:rsidP="00254E89">
      <w:pPr>
        <w:pStyle w:val="BoxBulletList"/>
        <w:rPr>
          <w:rFonts w:eastAsiaTheme="minorEastAsia"/>
        </w:rPr>
      </w:pPr>
      <w:r w:rsidRPr="00254E89">
        <w:rPr>
          <w:rFonts w:eastAsiaTheme="minorEastAsia"/>
        </w:rPr>
        <w:t xml:space="preserve">A feasibility study into </w:t>
      </w:r>
      <w:r w:rsidRPr="00254E89">
        <w:rPr>
          <w:rFonts w:eastAsia="Arial"/>
        </w:rPr>
        <w:t xml:space="preserve">a centralised pre-commitment scheme (across operators) was supposed to be commissioned by </w:t>
      </w:r>
      <w:r w:rsidR="009E5CFB">
        <w:rPr>
          <w:rFonts w:eastAsia="Arial"/>
        </w:rPr>
        <w:t xml:space="preserve">the </w:t>
      </w:r>
      <w:r w:rsidRPr="00254E89">
        <w:rPr>
          <w:rFonts w:eastAsia="Arial"/>
        </w:rPr>
        <w:t xml:space="preserve">DSS but remains outstanding. </w:t>
      </w:r>
    </w:p>
    <w:p w14:paraId="72503301" w14:textId="5A3E9220" w:rsidR="00F523AE" w:rsidRPr="00254E89" w:rsidRDefault="00F523AE" w:rsidP="00254E89">
      <w:pPr>
        <w:pStyle w:val="BoxBulletList"/>
        <w:rPr>
          <w:rFonts w:eastAsia="Arial"/>
        </w:rPr>
      </w:pPr>
      <w:r w:rsidRPr="00254E89">
        <w:rPr>
          <w:rFonts w:eastAsia="Arial"/>
        </w:rPr>
        <w:t xml:space="preserve">Implementation delays across the 10 NCPF measures were due to </w:t>
      </w:r>
      <w:r w:rsidR="00472D13" w:rsidRPr="00254E89">
        <w:rPr>
          <w:rFonts w:eastAsia="Arial"/>
        </w:rPr>
        <w:t>the</w:t>
      </w:r>
      <w:r w:rsidR="009E5CFB">
        <w:rPr>
          <w:rFonts w:eastAsia="Arial"/>
        </w:rPr>
        <w:t xml:space="preserve"> complexity </w:t>
      </w:r>
      <w:r w:rsidR="003F47C9">
        <w:rPr>
          <w:rFonts w:eastAsia="Arial"/>
        </w:rPr>
        <w:t xml:space="preserve">in </w:t>
      </w:r>
      <w:r w:rsidR="00472D13" w:rsidRPr="00254E89">
        <w:rPr>
          <w:rFonts w:eastAsia="Arial"/>
        </w:rPr>
        <w:t xml:space="preserve">technical design of some measures, </w:t>
      </w:r>
      <w:r w:rsidRPr="00254E89">
        <w:rPr>
          <w:rFonts w:eastAsia="Arial"/>
        </w:rPr>
        <w:t>COVID-19 disruptions, the need for legislative changes across jurisdictions and the former provider for NSER going into voluntary administration.</w:t>
      </w:r>
    </w:p>
    <w:p w14:paraId="1A118255" w14:textId="77777777" w:rsidR="00FE0645" w:rsidRPr="00254E89" w:rsidRDefault="00FE0645" w:rsidP="00254E89">
      <w:pPr>
        <w:pStyle w:val="BoxBulletList"/>
        <w:rPr>
          <w:rFonts w:eastAsia="Arial"/>
        </w:rPr>
      </w:pPr>
      <w:r w:rsidRPr="00254E89">
        <w:t>Only the Australian Government measures had formal embedded review mechanisms, outside the NCPF evaluation. Some jurisdictions nevertheless undertook reviews and refinements of specific measures.</w:t>
      </w:r>
    </w:p>
    <w:p w14:paraId="2CC1C3AF" w14:textId="1BC072C8" w:rsidR="00FE0645" w:rsidRPr="001B3B3E" w:rsidRDefault="00FE0645" w:rsidP="00254E89">
      <w:pPr>
        <w:pStyle w:val="BoxBulletList"/>
        <w:rPr>
          <w:rFonts w:eastAsia="Arial"/>
        </w:rPr>
      </w:pPr>
      <w:r w:rsidRPr="00254E89">
        <w:t>Delays in implementing the full set of NCPF measures led to delays in their evaluation, which</w:t>
      </w:r>
      <w:r w:rsidR="009E5CFB">
        <w:t>,</w:t>
      </w:r>
      <w:r w:rsidRPr="00254E89">
        <w:t xml:space="preserve"> in turn</w:t>
      </w:r>
      <w:r w:rsidR="009E5CFB">
        <w:t>,</w:t>
      </w:r>
      <w:r w:rsidRPr="00254E89">
        <w:t xml:space="preserve"> deferred</w:t>
      </w:r>
      <w:r w:rsidRPr="00656AB3">
        <w:t xml:space="preserve"> opportunities to refine them. The </w:t>
      </w:r>
      <w:r w:rsidR="009E5CFB">
        <w:t>NPS</w:t>
      </w:r>
      <w:r w:rsidRPr="00656AB3">
        <w:t xml:space="preserve"> lacked a mechanism to adjust the evaluation’s timing or scope, reducing flexibility to support decision</w:t>
      </w:r>
      <w:r w:rsidR="005F34E5">
        <w:t xml:space="preserve"> </w:t>
      </w:r>
      <w:r w:rsidRPr="00656AB3">
        <w:t>making.</w:t>
      </w:r>
    </w:p>
    <w:p w14:paraId="6D739671" w14:textId="2AF5AC11" w:rsidR="0010258C" w:rsidRPr="007B5F30" w:rsidRDefault="007B5F30" w:rsidP="007B5F30">
      <w:pPr>
        <w:pStyle w:val="Heading3"/>
        <w:keepLines w:val="0"/>
      </w:pPr>
      <w:bookmarkStart w:id="80" w:name="_Toc233643288"/>
      <w:r w:rsidRPr="007B5F30">
        <w:t>Full implementation</w:t>
      </w:r>
      <w:bookmarkEnd w:id="80"/>
    </w:p>
    <w:p w14:paraId="459C45A8" w14:textId="3C4F5D29" w:rsidR="00260F2F" w:rsidRDefault="001B4B44" w:rsidP="00F50CA1">
      <w:pPr>
        <w:pStyle w:val="BodyText"/>
        <w:rPr>
          <w:lang w:bidi="ar-SA"/>
        </w:rPr>
      </w:pPr>
      <w:r w:rsidRPr="00843A16">
        <w:rPr>
          <w:lang w:bidi="ar-SA"/>
        </w:rPr>
        <w:t>The</w:t>
      </w:r>
      <w:r w:rsidR="00892C2F" w:rsidRPr="00843A16">
        <w:rPr>
          <w:rFonts w:eastAsia="Arial"/>
          <w:lang w:bidi="ar-SA"/>
        </w:rPr>
        <w:t xml:space="preserve"> </w:t>
      </w:r>
      <w:r w:rsidR="004C35BF">
        <w:rPr>
          <w:lang w:bidi="ar-SA"/>
        </w:rPr>
        <w:t xml:space="preserve">NPS </w:t>
      </w:r>
      <w:r w:rsidR="003A6DE6" w:rsidRPr="00843A16">
        <w:rPr>
          <w:lang w:bidi="ar-SA"/>
        </w:rPr>
        <w:t>(</w:t>
      </w:r>
      <w:r w:rsidR="003A6DE6" w:rsidRPr="00843A16">
        <w:t xml:space="preserve">DSS, 2018) </w:t>
      </w:r>
      <w:r w:rsidR="00CF21E5" w:rsidRPr="00843A16">
        <w:rPr>
          <w:lang w:bidi="ar-SA"/>
        </w:rPr>
        <w:t xml:space="preserve">stated that </w:t>
      </w:r>
      <w:r w:rsidR="00B02C9B">
        <w:rPr>
          <w:lang w:bidi="ar-SA"/>
        </w:rPr>
        <w:t xml:space="preserve">10 consumer protection measures would be implemented. </w:t>
      </w:r>
      <w:r w:rsidR="00305C15">
        <w:rPr>
          <w:lang w:bidi="ar-SA"/>
        </w:rPr>
        <w:t>All measures have been implemented. The NCPF contains 71 principles</w:t>
      </w:r>
      <w:r w:rsidR="002D3251">
        <w:rPr>
          <w:lang w:bidi="ar-SA"/>
        </w:rPr>
        <w:t xml:space="preserve"> across the 10</w:t>
      </w:r>
      <w:r w:rsidR="00D70486">
        <w:rPr>
          <w:lang w:bidi="ar-SA"/>
        </w:rPr>
        <w:t> </w:t>
      </w:r>
      <w:r w:rsidR="002D3251">
        <w:rPr>
          <w:lang w:bidi="ar-SA"/>
        </w:rPr>
        <w:t xml:space="preserve">measures. </w:t>
      </w:r>
      <w:r w:rsidR="00C5323C">
        <w:rPr>
          <w:lang w:bidi="ar-SA"/>
        </w:rPr>
        <w:t xml:space="preserve">Of the 71 principles, </w:t>
      </w:r>
      <w:r w:rsidR="00E24D0E">
        <w:rPr>
          <w:lang w:bidi="ar-SA"/>
        </w:rPr>
        <w:t>6</w:t>
      </w:r>
      <w:r w:rsidR="00C5323C">
        <w:rPr>
          <w:lang w:bidi="ar-SA"/>
        </w:rPr>
        <w:t xml:space="preserve"> </w:t>
      </w:r>
      <w:r w:rsidR="004833D5">
        <w:rPr>
          <w:lang w:bidi="ar-SA"/>
        </w:rPr>
        <w:t xml:space="preserve">principles </w:t>
      </w:r>
      <w:r w:rsidR="005A4944">
        <w:rPr>
          <w:lang w:bidi="ar-SA"/>
        </w:rPr>
        <w:t>relating to</w:t>
      </w:r>
      <w:r w:rsidR="004833D5">
        <w:rPr>
          <w:lang w:bidi="ar-SA"/>
        </w:rPr>
        <w:t xml:space="preserve"> </w:t>
      </w:r>
      <w:r w:rsidR="0013732A">
        <w:rPr>
          <w:lang w:bidi="ar-SA"/>
        </w:rPr>
        <w:t>4</w:t>
      </w:r>
      <w:r w:rsidR="004833D5">
        <w:rPr>
          <w:lang w:bidi="ar-SA"/>
        </w:rPr>
        <w:t xml:space="preserve"> NCPF measures </w:t>
      </w:r>
      <w:r w:rsidR="00510380">
        <w:rPr>
          <w:lang w:bidi="ar-SA"/>
        </w:rPr>
        <w:t>have not been consistently</w:t>
      </w:r>
      <w:r w:rsidR="00FE0D1C">
        <w:rPr>
          <w:lang w:bidi="ar-SA"/>
        </w:rPr>
        <w:t xml:space="preserve"> and/or fully implemented i</w:t>
      </w:r>
      <w:r w:rsidR="00194684">
        <w:t>n some jurisdictions</w:t>
      </w:r>
      <w:r w:rsidR="00D065E9">
        <w:t>.</w:t>
      </w:r>
      <w:r w:rsidR="008679CE">
        <w:t xml:space="preserve"> </w:t>
      </w:r>
      <w:r w:rsidR="00826E8B">
        <w:t xml:space="preserve">This is </w:t>
      </w:r>
      <w:r w:rsidR="003D5D54">
        <w:t xml:space="preserve">more fully explored in the </w:t>
      </w:r>
      <w:hyperlink w:anchor="_Were_the_measures" w:history="1">
        <w:r w:rsidR="003D5D54" w:rsidRPr="00341938">
          <w:rPr>
            <w:rStyle w:val="Hyperlink"/>
          </w:rPr>
          <w:t xml:space="preserve">section on </w:t>
        </w:r>
        <w:r w:rsidR="004E7E03">
          <w:rPr>
            <w:rStyle w:val="Hyperlink"/>
          </w:rPr>
          <w:t>whether</w:t>
        </w:r>
        <w:r w:rsidR="00341938" w:rsidRPr="00341938">
          <w:rPr>
            <w:rStyle w:val="Hyperlink"/>
          </w:rPr>
          <w:t xml:space="preserve"> the measures </w:t>
        </w:r>
        <w:r w:rsidR="00A33819">
          <w:rPr>
            <w:rStyle w:val="Hyperlink"/>
          </w:rPr>
          <w:t xml:space="preserve">were </w:t>
        </w:r>
        <w:r w:rsidR="00341938" w:rsidRPr="00341938">
          <w:rPr>
            <w:rStyle w:val="Hyperlink"/>
          </w:rPr>
          <w:t>implemented consistently</w:t>
        </w:r>
      </w:hyperlink>
      <w:r w:rsidR="00C74FF9">
        <w:t>.</w:t>
      </w:r>
      <w:r w:rsidR="00917B1D">
        <w:t xml:space="preserve"> </w:t>
      </w:r>
    </w:p>
    <w:p w14:paraId="2421A1E8" w14:textId="256C5AD0" w:rsidR="00C617AF" w:rsidDel="00254A73" w:rsidRDefault="5A0F358F" w:rsidP="3B713459">
      <w:pPr>
        <w:pStyle w:val="BodyText"/>
        <w:rPr>
          <w:b/>
          <w:color w:val="241C44" w:themeColor="text2"/>
        </w:rPr>
      </w:pPr>
      <w:r w:rsidRPr="5B3042E8">
        <w:rPr>
          <w:rFonts w:eastAsia="Arial"/>
        </w:rPr>
        <w:t>All principles in</w:t>
      </w:r>
      <w:r w:rsidR="00FF388F">
        <w:rPr>
          <w:rFonts w:eastAsia="Arial"/>
        </w:rPr>
        <w:t xml:space="preserve"> </w:t>
      </w:r>
      <w:hyperlink w:anchor="Table3" w:history="1">
        <w:r w:rsidR="00FF388F" w:rsidRPr="008A588D">
          <w:rPr>
            <w:rStyle w:val="Hyperlink"/>
            <w:rFonts w:eastAsia="Arial"/>
            <w:b/>
            <w:bCs/>
          </w:rPr>
          <w:t>Table 3</w:t>
        </w:r>
      </w:hyperlink>
      <w:r w:rsidR="00FF388F">
        <w:rPr>
          <w:rFonts w:eastAsia="Arial"/>
        </w:rPr>
        <w:t xml:space="preserve">, </w:t>
      </w:r>
      <w:r w:rsidRPr="5B3042E8">
        <w:rPr>
          <w:rFonts w:eastAsia="Arial"/>
        </w:rPr>
        <w:t>except for Principle 38</w:t>
      </w:r>
      <w:r w:rsidR="0097058B">
        <w:rPr>
          <w:rFonts w:eastAsia="Arial"/>
        </w:rPr>
        <w:t>,</w:t>
      </w:r>
      <w:r w:rsidRPr="5B3042E8">
        <w:rPr>
          <w:rFonts w:eastAsia="Arial"/>
        </w:rPr>
        <w:t xml:space="preserve"> were implemented, though implementation varied across jurisdictions due to differing interpretation of these principles</w:t>
      </w:r>
      <w:r w:rsidR="00991B0F">
        <w:rPr>
          <w:rFonts w:eastAsia="Arial"/>
        </w:rPr>
        <w:t>.</w:t>
      </w:r>
      <w:r w:rsidR="00351767">
        <w:rPr>
          <w:rFonts w:eastAsia="Arial"/>
        </w:rPr>
        <w:t xml:space="preserve"> </w:t>
      </w:r>
      <w:r w:rsidRPr="5B3042E8">
        <w:rPr>
          <w:rFonts w:eastAsia="Arial"/>
        </w:rPr>
        <w:t>Principle 38 has not been implemented and remains outstanding.</w:t>
      </w:r>
      <w:r w:rsidR="00F8477C">
        <w:rPr>
          <w:rFonts w:eastAsia="Arial"/>
        </w:rPr>
        <w:t xml:space="preserve"> </w:t>
      </w:r>
      <w:r w:rsidR="00F8477C">
        <w:t xml:space="preserve">See </w:t>
      </w:r>
      <w:hyperlink w:anchor="AppendixA" w:history="1">
        <w:r w:rsidR="00E50575">
          <w:rPr>
            <w:rStyle w:val="Hyperlink"/>
            <w:b/>
            <w:bCs/>
          </w:rPr>
          <w:t>Appendix A</w:t>
        </w:r>
      </w:hyperlink>
      <w:r w:rsidR="00F8477C" w:rsidRPr="00843A16">
        <w:rPr>
          <w:b/>
          <w:bCs/>
        </w:rPr>
        <w:t xml:space="preserve"> </w:t>
      </w:r>
      <w:r w:rsidR="00F8477C" w:rsidRPr="00843A16">
        <w:t>for more detail</w:t>
      </w:r>
      <w:r w:rsidR="003E4255">
        <w:t xml:space="preserve"> on all NPS principles across NCPF measures</w:t>
      </w:r>
      <w:r w:rsidR="00513C00">
        <w:t>.</w:t>
      </w:r>
    </w:p>
    <w:p w14:paraId="37529DCD" w14:textId="77777777" w:rsidR="00320257" w:rsidRDefault="00320257">
      <w:pPr>
        <w:suppressAutoHyphens w:val="0"/>
        <w:spacing w:before="0" w:line="240" w:lineRule="auto"/>
        <w:jc w:val="left"/>
        <w:rPr>
          <w:rFonts w:eastAsia="Times New Roman"/>
          <w:b/>
          <w:color w:val="241C44" w:themeColor="text2"/>
          <w:lang w:bidi="en-US"/>
        </w:rPr>
      </w:pPr>
      <w:r>
        <w:br w:type="page"/>
      </w:r>
    </w:p>
    <w:p w14:paraId="50CD9870" w14:textId="11FD23C9" w:rsidR="00C617AF" w:rsidDel="00254A73" w:rsidRDefault="2F4D1D22" w:rsidP="00575ECC">
      <w:pPr>
        <w:pStyle w:val="TableCaption"/>
      </w:pPr>
      <w:bookmarkStart w:id="81" w:name="Table3"/>
      <w:bookmarkEnd w:id="81"/>
      <w:r w:rsidRPr="1F0D5967">
        <w:lastRenderedPageBreak/>
        <w:t xml:space="preserve">Table </w:t>
      </w:r>
      <w:r w:rsidR="00BA740B">
        <w:t>3</w:t>
      </w:r>
      <w:r w:rsidRPr="1F0D5967">
        <w:t xml:space="preserve">: NPS principles </w:t>
      </w:r>
      <w:r w:rsidRPr="5B3042E8">
        <w:t>implementation</w:t>
      </w:r>
    </w:p>
    <w:tbl>
      <w:tblPr>
        <w:tblStyle w:val="TableGrid8"/>
        <w:tblW w:w="0" w:type="auto"/>
        <w:tblLook w:val="04A0" w:firstRow="1" w:lastRow="0" w:firstColumn="1" w:lastColumn="0" w:noHBand="0" w:noVBand="1"/>
      </w:tblPr>
      <w:tblGrid>
        <w:gridCol w:w="1507"/>
        <w:gridCol w:w="6992"/>
      </w:tblGrid>
      <w:tr w:rsidR="2E7E9CBA" w14:paraId="767A7AAB" w14:textId="77777777" w:rsidTr="6C6604A2">
        <w:trPr>
          <w:cnfStyle w:val="100000000000" w:firstRow="1" w:lastRow="0" w:firstColumn="0" w:lastColumn="0" w:oddVBand="0" w:evenVBand="0" w:oddHBand="0" w:evenHBand="0" w:firstRowFirstColumn="0" w:firstRowLastColumn="0" w:lastRowFirstColumn="0" w:lastRowLastColumn="0"/>
          <w:trHeight w:val="300"/>
        </w:trPr>
        <w:tc>
          <w:tcPr>
            <w:tcW w:w="1560" w:type="dxa"/>
          </w:tcPr>
          <w:p w14:paraId="192516D7" w14:textId="7A76673E" w:rsidR="2E7E9CBA" w:rsidRDefault="2E7E9CBA" w:rsidP="00CF6D5E">
            <w:pPr>
              <w:pStyle w:val="TableColHeadLeft"/>
              <w:keepNext w:val="0"/>
            </w:pPr>
            <w:r w:rsidRPr="2E7E9CBA">
              <w:rPr>
                <w:rFonts w:eastAsia="Arial"/>
              </w:rPr>
              <w:t xml:space="preserve">NCPF </w:t>
            </w:r>
            <w:r w:rsidR="00434B8E" w:rsidRPr="2E7E9CBA">
              <w:rPr>
                <w:rFonts w:eastAsia="Arial"/>
              </w:rPr>
              <w:t>m</w:t>
            </w:r>
            <w:r w:rsidRPr="2E7E9CBA">
              <w:rPr>
                <w:rFonts w:eastAsia="Arial"/>
              </w:rPr>
              <w:t>easure</w:t>
            </w:r>
          </w:p>
        </w:tc>
        <w:tc>
          <w:tcPr>
            <w:tcW w:w="7800" w:type="dxa"/>
          </w:tcPr>
          <w:p w14:paraId="43030AA4" w14:textId="37CC2C43" w:rsidR="2E7E9CBA" w:rsidRDefault="2E7E9CBA" w:rsidP="00CF6D5E">
            <w:pPr>
              <w:pStyle w:val="TableColHeadLeft"/>
              <w:keepNext w:val="0"/>
            </w:pPr>
            <w:r w:rsidRPr="2E7E9CBA">
              <w:rPr>
                <w:rFonts w:eastAsia="Arial"/>
              </w:rPr>
              <w:t xml:space="preserve">NPS </w:t>
            </w:r>
            <w:r w:rsidR="00434B8E" w:rsidRPr="2E7E9CBA">
              <w:rPr>
                <w:rFonts w:eastAsia="Arial"/>
              </w:rPr>
              <w:t>p</w:t>
            </w:r>
            <w:r w:rsidRPr="2E7E9CBA">
              <w:rPr>
                <w:rFonts w:eastAsia="Arial"/>
              </w:rPr>
              <w:t xml:space="preserve">rinciples </w:t>
            </w:r>
          </w:p>
        </w:tc>
      </w:tr>
      <w:tr w:rsidR="2E7E9CBA" w14:paraId="5C5D276E" w14:textId="77777777" w:rsidTr="6C6604A2">
        <w:trPr>
          <w:trHeight w:val="300"/>
        </w:trPr>
        <w:tc>
          <w:tcPr>
            <w:tcW w:w="1560" w:type="dxa"/>
          </w:tcPr>
          <w:p w14:paraId="151B5AD8" w14:textId="418A05C3" w:rsidR="2E7E9CBA" w:rsidRDefault="2E7E9CBA" w:rsidP="00CF6D5E">
            <w:pPr>
              <w:pStyle w:val="TableText"/>
              <w:keepNext w:val="0"/>
            </w:pPr>
            <w:r w:rsidRPr="2E7E9CBA">
              <w:rPr>
                <w:rFonts w:eastAsia="Arial"/>
              </w:rPr>
              <w:t xml:space="preserve">Restrictions on inducements </w:t>
            </w:r>
          </w:p>
        </w:tc>
        <w:tc>
          <w:tcPr>
            <w:tcW w:w="7800" w:type="dxa"/>
          </w:tcPr>
          <w:p w14:paraId="2FB7FFD8" w14:textId="7E480565" w:rsidR="2E7E9CBA" w:rsidRDefault="2E7E9CBA" w:rsidP="00CF6D5E">
            <w:pPr>
              <w:pStyle w:val="TableText"/>
              <w:keepNext w:val="0"/>
            </w:pPr>
            <w:r w:rsidRPr="2E7E9CBA">
              <w:rPr>
                <w:rFonts w:eastAsia="Arial"/>
                <w:b/>
              </w:rPr>
              <w:t>15.</w:t>
            </w:r>
            <w:r w:rsidRPr="2E7E9CBA">
              <w:rPr>
                <w:rFonts w:eastAsia="Arial"/>
              </w:rPr>
              <w:t xml:space="preserve"> All direct marketing to customers may only be sent to customers who provide their express consent to receive this material.</w:t>
            </w:r>
          </w:p>
          <w:p w14:paraId="01189322" w14:textId="2209D93C" w:rsidR="2E7E9CBA" w:rsidRDefault="2E7E9CBA" w:rsidP="00CF6D5E">
            <w:pPr>
              <w:pStyle w:val="TableText"/>
              <w:keepNext w:val="0"/>
            </w:pPr>
            <w:r w:rsidRPr="2E7E9CBA">
              <w:rPr>
                <w:rFonts w:eastAsia="Arial"/>
                <w:b/>
              </w:rPr>
              <w:t>17.</w:t>
            </w:r>
            <w:r w:rsidRPr="2E7E9CBA">
              <w:rPr>
                <w:rFonts w:eastAsia="Arial"/>
              </w:rPr>
              <w:t xml:space="preserve"> No further direct marketing materials may be sent to a consumer from the time their unsubscribe request is received.</w:t>
            </w:r>
          </w:p>
        </w:tc>
      </w:tr>
      <w:tr w:rsidR="2E7E9CBA" w14:paraId="476D52BF" w14:textId="77777777" w:rsidTr="6C6604A2">
        <w:trPr>
          <w:trHeight w:val="300"/>
        </w:trPr>
        <w:tc>
          <w:tcPr>
            <w:tcW w:w="1560" w:type="dxa"/>
          </w:tcPr>
          <w:p w14:paraId="7573D3E5" w14:textId="31FD231A" w:rsidR="2E7E9CBA" w:rsidRDefault="2E7E9CBA" w:rsidP="00CF6D5E">
            <w:pPr>
              <w:pStyle w:val="TableText"/>
              <w:keepNext w:val="0"/>
            </w:pPr>
            <w:r w:rsidRPr="2E7E9CBA">
              <w:rPr>
                <w:rFonts w:eastAsia="Arial"/>
              </w:rPr>
              <w:t>Account closure</w:t>
            </w:r>
          </w:p>
        </w:tc>
        <w:tc>
          <w:tcPr>
            <w:tcW w:w="7800" w:type="dxa"/>
          </w:tcPr>
          <w:p w14:paraId="634F8177" w14:textId="317321B2" w:rsidR="2E7E9CBA" w:rsidRDefault="2E7E9CBA" w:rsidP="00CF6D5E">
            <w:pPr>
              <w:pStyle w:val="TableText"/>
              <w:keepNext w:val="0"/>
              <w:rPr>
                <w:rFonts w:eastAsia="Arial"/>
              </w:rPr>
            </w:pPr>
            <w:r w:rsidRPr="2E7E9CBA">
              <w:rPr>
                <w:rFonts w:eastAsia="Arial"/>
                <w:b/>
              </w:rPr>
              <w:t>24.</w:t>
            </w:r>
            <w:r w:rsidRPr="2E7E9CBA">
              <w:rPr>
                <w:rFonts w:eastAsia="Arial"/>
              </w:rPr>
              <w:t xml:space="preserve"> An interactive wagering service provider must not directly promote or market to a customer following the closure of the customer’s account.</w:t>
            </w:r>
          </w:p>
        </w:tc>
      </w:tr>
      <w:tr w:rsidR="2E7E9CBA" w14:paraId="76376C06" w14:textId="77777777" w:rsidTr="6C6604A2">
        <w:trPr>
          <w:trHeight w:val="300"/>
        </w:trPr>
        <w:tc>
          <w:tcPr>
            <w:tcW w:w="1560" w:type="dxa"/>
          </w:tcPr>
          <w:p w14:paraId="16508EFD" w14:textId="63C428DE" w:rsidR="2E7E9CBA" w:rsidRDefault="2E7E9CBA" w:rsidP="00CF6D5E">
            <w:pPr>
              <w:pStyle w:val="TableText"/>
              <w:keepNext w:val="0"/>
            </w:pPr>
            <w:proofErr w:type="gramStart"/>
            <w:r w:rsidRPr="2E7E9CBA">
              <w:rPr>
                <w:rFonts w:eastAsia="Arial"/>
              </w:rPr>
              <w:t>Voluntary</w:t>
            </w:r>
            <w:proofErr w:type="gramEnd"/>
            <w:r w:rsidRPr="2E7E9CBA">
              <w:rPr>
                <w:rFonts w:eastAsia="Arial"/>
              </w:rPr>
              <w:t xml:space="preserve"> opt-out pre-commitment scheme</w:t>
            </w:r>
          </w:p>
        </w:tc>
        <w:tc>
          <w:tcPr>
            <w:tcW w:w="7800" w:type="dxa"/>
          </w:tcPr>
          <w:p w14:paraId="08F505FE" w14:textId="575B21DD" w:rsidR="2E7E9CBA" w:rsidRDefault="2E7E9CBA" w:rsidP="00CF6D5E">
            <w:pPr>
              <w:pStyle w:val="TableText"/>
              <w:keepNext w:val="0"/>
            </w:pPr>
            <w:r w:rsidRPr="2E7E9CBA">
              <w:rPr>
                <w:rFonts w:eastAsia="Arial"/>
                <w:b/>
              </w:rPr>
              <w:t>35.</w:t>
            </w:r>
            <w:r w:rsidRPr="2E7E9CBA">
              <w:rPr>
                <w:rFonts w:eastAsia="Arial" w:cs="Arial"/>
                <w:szCs w:val="16"/>
              </w:rPr>
              <w:t xml:space="preserve"> Customers must be able to choose the </w:t>
            </w:r>
            <w:proofErr w:type="gramStart"/>
            <w:r w:rsidRPr="2E7E9CBA">
              <w:rPr>
                <w:rFonts w:eastAsia="Arial" w:cs="Arial"/>
                <w:szCs w:val="16"/>
              </w:rPr>
              <w:t>time period</w:t>
            </w:r>
            <w:proofErr w:type="gramEnd"/>
            <w:r w:rsidRPr="2E7E9CBA">
              <w:rPr>
                <w:rFonts w:eastAsia="Arial" w:cs="Arial"/>
                <w:szCs w:val="16"/>
              </w:rPr>
              <w:t xml:space="preserve"> for their deposit limit from a range of periods, including daily, weekly, fortnightly and monthly.  </w:t>
            </w:r>
          </w:p>
          <w:p w14:paraId="5A5DF0E9" w14:textId="76532C37" w:rsidR="2E7E9CBA" w:rsidRDefault="2E7E9CBA" w:rsidP="00CF6D5E">
            <w:pPr>
              <w:pStyle w:val="TableText"/>
              <w:keepNext w:val="0"/>
            </w:pPr>
            <w:r w:rsidRPr="2E7E9CBA">
              <w:rPr>
                <w:rFonts w:eastAsia="Arial"/>
                <w:b/>
              </w:rPr>
              <w:t>38.</w:t>
            </w:r>
            <w:r w:rsidRPr="2E7E9CBA">
              <w:rPr>
                <w:rFonts w:eastAsia="Arial" w:cs="Arial"/>
                <w:szCs w:val="16"/>
              </w:rPr>
              <w:t xml:space="preserve"> Governments will assess the feasibility and costs of a centralised pre-commitment system, </w:t>
            </w:r>
            <w:proofErr w:type="gramStart"/>
            <w:r w:rsidRPr="2E7E9CBA">
              <w:rPr>
                <w:rFonts w:eastAsia="Arial" w:cs="Arial"/>
                <w:szCs w:val="16"/>
              </w:rPr>
              <w:t>taking into account</w:t>
            </w:r>
            <w:proofErr w:type="gramEnd"/>
            <w:r w:rsidRPr="2E7E9CBA">
              <w:rPr>
                <w:rFonts w:eastAsia="Arial" w:cs="Arial"/>
                <w:szCs w:val="16"/>
              </w:rPr>
              <w:t xml:space="preserve"> the costs and benefits for consumers (feasibility study).  </w:t>
            </w:r>
          </w:p>
        </w:tc>
      </w:tr>
      <w:tr w:rsidR="2E7E9CBA" w14:paraId="58D4EB84" w14:textId="77777777" w:rsidTr="6C6604A2">
        <w:trPr>
          <w:trHeight w:val="300"/>
        </w:trPr>
        <w:tc>
          <w:tcPr>
            <w:tcW w:w="1560" w:type="dxa"/>
          </w:tcPr>
          <w:p w14:paraId="57621AD7" w14:textId="3F98E41E" w:rsidR="2E7E9CBA" w:rsidRDefault="2E7E9CBA" w:rsidP="00CF6D5E">
            <w:pPr>
              <w:pStyle w:val="TableText"/>
              <w:keepNext w:val="0"/>
            </w:pPr>
            <w:r w:rsidRPr="2E7E9CBA">
              <w:rPr>
                <w:rFonts w:eastAsia="Arial"/>
              </w:rPr>
              <w:t>Activity statements</w:t>
            </w:r>
          </w:p>
        </w:tc>
        <w:tc>
          <w:tcPr>
            <w:tcW w:w="7800" w:type="dxa"/>
          </w:tcPr>
          <w:p w14:paraId="12537EFC" w14:textId="071B7208" w:rsidR="2E7E9CBA" w:rsidRDefault="2E7E9CBA" w:rsidP="00CF6D5E">
            <w:pPr>
              <w:pStyle w:val="TableText"/>
              <w:keepNext w:val="0"/>
            </w:pPr>
            <w:r w:rsidRPr="2E7E9CBA">
              <w:rPr>
                <w:rFonts w:eastAsia="Arial"/>
                <w:b/>
              </w:rPr>
              <w:t>47.</w:t>
            </w:r>
            <w:r w:rsidRPr="2E7E9CBA">
              <w:rPr>
                <w:rFonts w:eastAsia="Arial" w:cs="Arial"/>
                <w:szCs w:val="16"/>
              </w:rPr>
              <w:t xml:space="preserve"> Activity must not include any promotional or direct marketing information. They should use red text to show losses and black to show wins (no use of green text).  </w:t>
            </w:r>
          </w:p>
        </w:tc>
      </w:tr>
    </w:tbl>
    <w:p w14:paraId="711297D8" w14:textId="76568032" w:rsidR="00883419" w:rsidRPr="00883419" w:rsidRDefault="00883419" w:rsidP="00883419">
      <w:pPr>
        <w:pStyle w:val="Heading3"/>
        <w:keepLines w:val="0"/>
      </w:pPr>
      <w:bookmarkStart w:id="82" w:name="_Toc233643289"/>
      <w:r w:rsidRPr="00883419">
        <w:t>Timeliness of implementation</w:t>
      </w:r>
      <w:bookmarkEnd w:id="82"/>
    </w:p>
    <w:p w14:paraId="6BD9D033" w14:textId="77777777" w:rsidR="00237D2F" w:rsidRDefault="00122BD0" w:rsidP="007B4F4B">
      <w:pPr>
        <w:pStyle w:val="BodyText"/>
        <w:rPr>
          <w:rFonts w:eastAsia="Arial"/>
        </w:rPr>
      </w:pPr>
      <w:r>
        <w:rPr>
          <w:lang w:bidi="ar-SA"/>
        </w:rPr>
        <w:t xml:space="preserve">The NPS stated that </w:t>
      </w:r>
      <w:r w:rsidR="00EB502F">
        <w:rPr>
          <w:lang w:bidi="ar-SA"/>
        </w:rPr>
        <w:t xml:space="preserve">the measures would be </w:t>
      </w:r>
      <w:r w:rsidR="00BA0370" w:rsidRPr="00843A16">
        <w:rPr>
          <w:rFonts w:eastAsia="Arial"/>
        </w:rPr>
        <w:t>progressively introduced over 18 months from 26</w:t>
      </w:r>
      <w:r w:rsidR="009A7925">
        <w:rPr>
          <w:rFonts w:eastAsia="Arial"/>
        </w:rPr>
        <w:t> </w:t>
      </w:r>
      <w:r w:rsidR="00BA0370" w:rsidRPr="00843A16">
        <w:rPr>
          <w:rFonts w:eastAsia="Arial"/>
        </w:rPr>
        <w:t>November 2018</w:t>
      </w:r>
      <w:r w:rsidR="00CA2756">
        <w:rPr>
          <w:rFonts w:eastAsia="Arial"/>
        </w:rPr>
        <w:t xml:space="preserve">. </w:t>
      </w:r>
      <w:r w:rsidR="001D65FF">
        <w:rPr>
          <w:rFonts w:eastAsia="Arial"/>
        </w:rPr>
        <w:t>T</w:t>
      </w:r>
      <w:r w:rsidR="000261BF">
        <w:rPr>
          <w:rFonts w:eastAsia="Arial"/>
        </w:rPr>
        <w:t xml:space="preserve">he 10 NCPF measures were implemented (and some refined) from February 2018 (pre-NPS) until September 2024. </w:t>
      </w:r>
      <w:r w:rsidR="00F23799">
        <w:rPr>
          <w:rFonts w:eastAsia="Arial"/>
        </w:rPr>
        <w:t xml:space="preserve">In particular, the first 6 measures were implemented on time. The last 4 measures (activity statements, CGM, staff training and the NSER) were not implemented within the 18-month </w:t>
      </w:r>
      <w:proofErr w:type="gramStart"/>
      <w:r w:rsidR="00F23799">
        <w:rPr>
          <w:rFonts w:eastAsia="Arial"/>
        </w:rPr>
        <w:t>time period</w:t>
      </w:r>
      <w:proofErr w:type="gramEnd"/>
      <w:r w:rsidR="000C6998">
        <w:rPr>
          <w:rFonts w:eastAsia="Arial"/>
        </w:rPr>
        <w:t>.</w:t>
      </w:r>
      <w:r w:rsidR="00F23799">
        <w:rPr>
          <w:rFonts w:eastAsia="Arial"/>
        </w:rPr>
        <w:t xml:space="preserve"> </w:t>
      </w:r>
      <w:r w:rsidR="000C6998">
        <w:rPr>
          <w:rFonts w:eastAsia="Arial"/>
        </w:rPr>
        <w:t>T</w:t>
      </w:r>
      <w:r w:rsidR="00F23799">
        <w:rPr>
          <w:rFonts w:eastAsia="Arial"/>
        </w:rPr>
        <w:t xml:space="preserve">hey were </w:t>
      </w:r>
      <w:r w:rsidR="00B74B34">
        <w:rPr>
          <w:rFonts w:eastAsia="Arial"/>
        </w:rPr>
        <w:t xml:space="preserve">generally </w:t>
      </w:r>
      <w:r w:rsidR="00F23799">
        <w:rPr>
          <w:rFonts w:eastAsia="Arial"/>
        </w:rPr>
        <w:t>delivered 6</w:t>
      </w:r>
      <w:r w:rsidR="00971741">
        <w:rPr>
          <w:rFonts w:eastAsia="Arial"/>
        </w:rPr>
        <w:t> </w:t>
      </w:r>
      <w:r w:rsidR="00F23799">
        <w:rPr>
          <w:rFonts w:eastAsia="Arial"/>
        </w:rPr>
        <w:t xml:space="preserve">months after completion of trialling and testing of the features of the measures. </w:t>
      </w:r>
    </w:p>
    <w:p w14:paraId="787D8E52" w14:textId="57A7ED5B" w:rsidR="0012020E" w:rsidRPr="00843A16" w:rsidRDefault="0012020E" w:rsidP="007B4F4B">
      <w:pPr>
        <w:pStyle w:val="BodyText"/>
        <w:rPr>
          <w:rFonts w:eastAsia="Arial"/>
          <w:szCs w:val="20"/>
        </w:rPr>
      </w:pPr>
      <w:r w:rsidRPr="00843A16">
        <w:rPr>
          <w:rFonts w:eastAsia="Arial"/>
        </w:rPr>
        <w:t xml:space="preserve">Some </w:t>
      </w:r>
      <w:r w:rsidR="002D2809">
        <w:rPr>
          <w:rFonts w:eastAsia="Arial"/>
        </w:rPr>
        <w:t xml:space="preserve">WSPs and </w:t>
      </w:r>
      <w:r w:rsidRPr="00843A16">
        <w:rPr>
          <w:rFonts w:eastAsia="Arial"/>
        </w:rPr>
        <w:t>state</w:t>
      </w:r>
      <w:r w:rsidR="00405805">
        <w:rPr>
          <w:rFonts w:eastAsia="Arial"/>
        </w:rPr>
        <w:t xml:space="preserve"> and</w:t>
      </w:r>
      <w:r w:rsidR="00AA3D8F">
        <w:rPr>
          <w:rFonts w:eastAsia="Arial"/>
        </w:rPr>
        <w:t xml:space="preserve"> </w:t>
      </w:r>
      <w:r w:rsidRPr="00843A16">
        <w:rPr>
          <w:rFonts w:eastAsia="Arial"/>
        </w:rPr>
        <w:t xml:space="preserve">territory regulators noted </w:t>
      </w:r>
      <w:r w:rsidR="00D7244E">
        <w:rPr>
          <w:rFonts w:eastAsia="Arial"/>
        </w:rPr>
        <w:t xml:space="preserve">it was not realistic for all the measures to be implemented in </w:t>
      </w:r>
      <w:r w:rsidRPr="00843A16">
        <w:rPr>
          <w:rFonts w:eastAsia="Arial"/>
        </w:rPr>
        <w:t>18</w:t>
      </w:r>
      <w:r w:rsidR="0025380A">
        <w:rPr>
          <w:rFonts w:eastAsia="Arial"/>
        </w:rPr>
        <w:t> </w:t>
      </w:r>
      <w:r w:rsidRPr="00843A16">
        <w:rPr>
          <w:rFonts w:eastAsia="Arial"/>
        </w:rPr>
        <w:t>months.</w:t>
      </w:r>
      <w:r w:rsidR="002760F2">
        <w:rPr>
          <w:rFonts w:eastAsia="Arial"/>
        </w:rPr>
        <w:t xml:space="preserve"> </w:t>
      </w:r>
      <w:r w:rsidR="00310050">
        <w:rPr>
          <w:rFonts w:eastAsia="Arial"/>
        </w:rPr>
        <w:t>This was due to t</w:t>
      </w:r>
      <w:r w:rsidR="00A25DDD">
        <w:rPr>
          <w:rFonts w:eastAsia="Arial"/>
        </w:rPr>
        <w:t xml:space="preserve">he complexity of implementation </w:t>
      </w:r>
      <w:r w:rsidR="0034621C">
        <w:rPr>
          <w:rFonts w:eastAsia="Arial"/>
        </w:rPr>
        <w:t>involving</w:t>
      </w:r>
      <w:r w:rsidR="00A25DDD">
        <w:rPr>
          <w:rFonts w:eastAsia="Arial"/>
        </w:rPr>
        <w:t xml:space="preserve"> different regulatory </w:t>
      </w:r>
      <w:r w:rsidR="00A01508">
        <w:rPr>
          <w:rFonts w:eastAsia="Arial"/>
        </w:rPr>
        <w:t>regimes</w:t>
      </w:r>
      <w:r w:rsidR="00145B65">
        <w:rPr>
          <w:rFonts w:eastAsia="Arial"/>
        </w:rPr>
        <w:t xml:space="preserve"> </w:t>
      </w:r>
      <w:r w:rsidR="00B26524">
        <w:rPr>
          <w:rFonts w:eastAsia="Arial"/>
        </w:rPr>
        <w:t xml:space="preserve">across </w:t>
      </w:r>
      <w:r w:rsidR="0034621C">
        <w:rPr>
          <w:rFonts w:eastAsia="Arial"/>
        </w:rPr>
        <w:t xml:space="preserve">the </w:t>
      </w:r>
      <w:r w:rsidR="00B26524">
        <w:rPr>
          <w:rFonts w:eastAsia="Arial"/>
        </w:rPr>
        <w:t>jurisdictions</w:t>
      </w:r>
      <w:r w:rsidR="002A0955">
        <w:rPr>
          <w:rFonts w:eastAsia="Arial"/>
        </w:rPr>
        <w:t>,</w:t>
      </w:r>
      <w:r w:rsidR="00CB6A24">
        <w:rPr>
          <w:rFonts w:eastAsia="Arial"/>
        </w:rPr>
        <w:t xml:space="preserve"> as well as </w:t>
      </w:r>
      <w:r w:rsidR="00C52A25">
        <w:rPr>
          <w:rFonts w:eastAsia="Arial"/>
        </w:rPr>
        <w:t xml:space="preserve">the </w:t>
      </w:r>
      <w:r w:rsidR="00310050">
        <w:rPr>
          <w:rFonts w:eastAsia="Arial"/>
        </w:rPr>
        <w:t>technical design features of the reforms</w:t>
      </w:r>
      <w:r w:rsidR="00B126B0">
        <w:rPr>
          <w:rFonts w:eastAsia="Arial"/>
        </w:rPr>
        <w:t xml:space="preserve"> (</w:t>
      </w:r>
      <w:r w:rsidR="00E355B9">
        <w:rPr>
          <w:rFonts w:eastAsia="Arial"/>
          <w:i/>
          <w:iCs/>
        </w:rPr>
        <w:t>Interactive Gambling Act 2001 (</w:t>
      </w:r>
      <w:proofErr w:type="spellStart"/>
      <w:r w:rsidR="00E355B9">
        <w:rPr>
          <w:rFonts w:eastAsia="Arial"/>
          <w:i/>
          <w:iCs/>
        </w:rPr>
        <w:t>Cth</w:t>
      </w:r>
      <w:proofErr w:type="spellEnd"/>
      <w:r w:rsidR="00E355B9">
        <w:rPr>
          <w:rFonts w:eastAsia="Arial"/>
          <w:i/>
          <w:iCs/>
        </w:rPr>
        <w:t xml:space="preserve">), </w:t>
      </w:r>
      <w:r w:rsidR="004F199C">
        <w:rPr>
          <w:rFonts w:eastAsia="Arial"/>
          <w:i/>
          <w:iCs/>
        </w:rPr>
        <w:t xml:space="preserve">Betting and Racing Act </w:t>
      </w:r>
      <w:r w:rsidR="00BB1297">
        <w:rPr>
          <w:rFonts w:eastAsia="Arial"/>
          <w:i/>
          <w:iCs/>
        </w:rPr>
        <w:t>1998 (NSW))</w:t>
      </w:r>
      <w:r w:rsidR="00310050">
        <w:rPr>
          <w:rFonts w:eastAsia="Arial"/>
        </w:rPr>
        <w:t>.</w:t>
      </w:r>
    </w:p>
    <w:p w14:paraId="03C9E11F" w14:textId="6C54B973" w:rsidR="0012020E" w:rsidRPr="00843A16" w:rsidRDefault="0012020E" w:rsidP="0012020E">
      <w:pPr>
        <w:pStyle w:val="Quote"/>
        <w:keepNext/>
        <w:keepLines/>
      </w:pPr>
      <w:r w:rsidRPr="00843A16">
        <w:t xml:space="preserve">I think there just needs to be a bit more appreciation that to build technical changes into a product, particularly the ones that are consumer facing, it needs to be perfect … before it goes live, so it </w:t>
      </w:r>
      <w:r w:rsidR="00237D2F" w:rsidRPr="00843A16">
        <w:t>doesn</w:t>
      </w:r>
      <w:r w:rsidR="00237D2F">
        <w:t>’</w:t>
      </w:r>
      <w:r w:rsidR="00237D2F" w:rsidRPr="00843A16">
        <w:t xml:space="preserve">t </w:t>
      </w:r>
      <w:r w:rsidRPr="00843A16">
        <w:t xml:space="preserve">cause friction with our consumers. </w:t>
      </w:r>
      <w:r w:rsidR="00804CBF">
        <w:t>(</w:t>
      </w:r>
      <w:r w:rsidRPr="00843A16">
        <w:t>WSP, large corporate bookmaker, NT licensed</w:t>
      </w:r>
      <w:r w:rsidR="00804CBF">
        <w:t>)</w:t>
      </w:r>
    </w:p>
    <w:p w14:paraId="17847517" w14:textId="60571E99" w:rsidR="00473AAE" w:rsidRDefault="004A1B83" w:rsidP="00F57368">
      <w:pPr>
        <w:pStyle w:val="BodyText"/>
        <w:rPr>
          <w:rFonts w:eastAsia="Arial"/>
        </w:rPr>
      </w:pPr>
      <w:r>
        <w:rPr>
          <w:rFonts w:eastAsia="Arial"/>
        </w:rPr>
        <w:t xml:space="preserve">Unexpected events </w:t>
      </w:r>
      <w:r w:rsidR="002D2809">
        <w:rPr>
          <w:rFonts w:eastAsia="Arial"/>
        </w:rPr>
        <w:t xml:space="preserve">also </w:t>
      </w:r>
      <w:r w:rsidR="001579CC">
        <w:rPr>
          <w:rFonts w:eastAsia="Arial"/>
        </w:rPr>
        <w:t>delayed the</w:t>
      </w:r>
      <w:r>
        <w:rPr>
          <w:rFonts w:eastAsia="Arial"/>
        </w:rPr>
        <w:t xml:space="preserve"> </w:t>
      </w:r>
      <w:r w:rsidR="002318AE">
        <w:rPr>
          <w:rFonts w:eastAsia="Arial"/>
        </w:rPr>
        <w:t>implementation</w:t>
      </w:r>
      <w:r w:rsidR="00B3051E">
        <w:rPr>
          <w:rFonts w:eastAsia="Arial"/>
        </w:rPr>
        <w:t xml:space="preserve"> of NCPF measures</w:t>
      </w:r>
      <w:r w:rsidR="005F331E">
        <w:rPr>
          <w:rFonts w:eastAsia="Arial"/>
        </w:rPr>
        <w:t>. These include</w:t>
      </w:r>
      <w:r w:rsidR="00237D2F">
        <w:rPr>
          <w:rFonts w:eastAsia="Arial"/>
        </w:rPr>
        <w:t>d</w:t>
      </w:r>
      <w:r w:rsidR="005F331E">
        <w:rPr>
          <w:rFonts w:eastAsia="Arial"/>
        </w:rPr>
        <w:t xml:space="preserve"> </w:t>
      </w:r>
      <w:r w:rsidR="00B3051E">
        <w:rPr>
          <w:rFonts w:eastAsia="Arial"/>
        </w:rPr>
        <w:t xml:space="preserve">disruptions caused by </w:t>
      </w:r>
      <w:r>
        <w:rPr>
          <w:rFonts w:eastAsia="Arial"/>
        </w:rPr>
        <w:t>COVID-19</w:t>
      </w:r>
      <w:r w:rsidR="00DA5460">
        <w:rPr>
          <w:rFonts w:eastAsia="Arial"/>
        </w:rPr>
        <w:t xml:space="preserve">, </w:t>
      </w:r>
      <w:r w:rsidR="00EC71E6">
        <w:rPr>
          <w:rFonts w:eastAsia="Arial"/>
        </w:rPr>
        <w:t>procuring appropriate research for CGM</w:t>
      </w:r>
      <w:r w:rsidR="005F331E">
        <w:rPr>
          <w:rFonts w:eastAsia="Arial"/>
        </w:rPr>
        <w:t xml:space="preserve"> and</w:t>
      </w:r>
      <w:r w:rsidR="00EC71E6">
        <w:rPr>
          <w:rFonts w:eastAsia="Arial"/>
        </w:rPr>
        <w:t xml:space="preserve"> </w:t>
      </w:r>
      <w:r w:rsidR="00C048C7">
        <w:rPr>
          <w:rFonts w:eastAsia="Arial"/>
        </w:rPr>
        <w:t xml:space="preserve">the </w:t>
      </w:r>
      <w:r w:rsidR="00B3051E">
        <w:rPr>
          <w:rFonts w:eastAsia="Arial"/>
        </w:rPr>
        <w:t>first NSER</w:t>
      </w:r>
      <w:r w:rsidR="00C048C7">
        <w:rPr>
          <w:rFonts w:eastAsia="Arial"/>
        </w:rPr>
        <w:t xml:space="preserve"> developer </w:t>
      </w:r>
      <w:r w:rsidR="003A2419">
        <w:rPr>
          <w:rFonts w:eastAsia="Arial"/>
        </w:rPr>
        <w:t xml:space="preserve">(Big Village) </w:t>
      </w:r>
      <w:r w:rsidR="00C048C7">
        <w:rPr>
          <w:rFonts w:eastAsia="Arial"/>
        </w:rPr>
        <w:t xml:space="preserve">going into </w:t>
      </w:r>
      <w:r w:rsidR="00CE73E0">
        <w:rPr>
          <w:rFonts w:eastAsia="Arial"/>
        </w:rPr>
        <w:t xml:space="preserve">voluntary </w:t>
      </w:r>
      <w:r w:rsidR="0007732C">
        <w:rPr>
          <w:rFonts w:eastAsia="Arial"/>
        </w:rPr>
        <w:t>administration</w:t>
      </w:r>
      <w:r w:rsidR="00237D2F">
        <w:rPr>
          <w:rFonts w:eastAsia="Arial"/>
        </w:rPr>
        <w:t>,</w:t>
      </w:r>
      <w:r w:rsidR="0007732C">
        <w:rPr>
          <w:rFonts w:eastAsia="Arial"/>
        </w:rPr>
        <w:t xml:space="preserve"> </w:t>
      </w:r>
      <w:r w:rsidR="004C5DB5">
        <w:rPr>
          <w:rFonts w:eastAsia="Arial"/>
        </w:rPr>
        <w:t>with the</w:t>
      </w:r>
      <w:r w:rsidR="00CE73E0">
        <w:rPr>
          <w:rFonts w:eastAsia="Arial"/>
        </w:rPr>
        <w:t xml:space="preserve"> A</w:t>
      </w:r>
      <w:r w:rsidR="00E5495B">
        <w:rPr>
          <w:rFonts w:eastAsia="Arial"/>
        </w:rPr>
        <w:t xml:space="preserve">ustralian </w:t>
      </w:r>
      <w:r w:rsidR="00CE73E0">
        <w:rPr>
          <w:rFonts w:eastAsia="Arial"/>
        </w:rPr>
        <w:t>C</w:t>
      </w:r>
      <w:r w:rsidR="00E5495B">
        <w:rPr>
          <w:rFonts w:eastAsia="Arial"/>
        </w:rPr>
        <w:t xml:space="preserve">ommunications and </w:t>
      </w:r>
      <w:r w:rsidR="00CE73E0">
        <w:rPr>
          <w:rFonts w:eastAsia="Arial"/>
        </w:rPr>
        <w:t>M</w:t>
      </w:r>
      <w:r w:rsidR="00E5495B">
        <w:rPr>
          <w:rFonts w:eastAsia="Arial"/>
        </w:rPr>
        <w:t xml:space="preserve">edia </w:t>
      </w:r>
      <w:r w:rsidR="00CE73E0">
        <w:rPr>
          <w:rFonts w:eastAsia="Arial"/>
        </w:rPr>
        <w:t>A</w:t>
      </w:r>
      <w:r w:rsidR="00E5495B">
        <w:rPr>
          <w:rFonts w:eastAsia="Arial"/>
        </w:rPr>
        <w:t>uthority (ACMA)</w:t>
      </w:r>
      <w:r w:rsidR="00CE73E0">
        <w:rPr>
          <w:rFonts w:eastAsia="Arial"/>
        </w:rPr>
        <w:t xml:space="preserve"> having to source a new provider for this work</w:t>
      </w:r>
      <w:r w:rsidR="00AF592B">
        <w:rPr>
          <w:rFonts w:eastAsia="Arial"/>
        </w:rPr>
        <w:t xml:space="preserve"> (</w:t>
      </w:r>
      <w:proofErr w:type="spellStart"/>
      <w:r w:rsidR="00AF592B">
        <w:rPr>
          <w:rFonts w:eastAsia="Arial"/>
        </w:rPr>
        <w:t>Dataworks</w:t>
      </w:r>
      <w:proofErr w:type="spellEnd"/>
      <w:r w:rsidR="00AF592B">
        <w:rPr>
          <w:rFonts w:eastAsia="Arial"/>
        </w:rPr>
        <w:t xml:space="preserve"> Group, formerly IXUP</w:t>
      </w:r>
      <w:r w:rsidR="00E33A2A">
        <w:rPr>
          <w:rFonts w:eastAsia="Arial"/>
        </w:rPr>
        <w:t xml:space="preserve"> Limited</w:t>
      </w:r>
      <w:r w:rsidR="00AF592B">
        <w:rPr>
          <w:rFonts w:eastAsia="Arial"/>
        </w:rPr>
        <w:t xml:space="preserve">) </w:t>
      </w:r>
      <w:r w:rsidR="00E33A2A">
        <w:rPr>
          <w:rFonts w:eastAsia="Arial"/>
        </w:rPr>
        <w:t>(Eccles, 2025)</w:t>
      </w:r>
      <w:r w:rsidR="00CE73E0">
        <w:rPr>
          <w:rFonts w:eastAsia="Arial"/>
        </w:rPr>
        <w:t>.</w:t>
      </w:r>
    </w:p>
    <w:p w14:paraId="7F1420E1" w14:textId="6096BF67" w:rsidR="0091633C" w:rsidRPr="00883419" w:rsidRDefault="0091633C" w:rsidP="0091633C">
      <w:pPr>
        <w:pStyle w:val="Heading3"/>
        <w:keepLines w:val="0"/>
      </w:pPr>
      <w:bookmarkStart w:id="83" w:name="_Toc233643290"/>
      <w:r>
        <w:t>Governance mechanisms</w:t>
      </w:r>
      <w:bookmarkEnd w:id="83"/>
    </w:p>
    <w:p w14:paraId="0D79E3F4" w14:textId="24371B69" w:rsidR="00285868" w:rsidRDefault="00CB46FD" w:rsidP="00F50CA1">
      <w:pPr>
        <w:pStyle w:val="BodyText"/>
        <w:rPr>
          <w:rFonts w:eastAsia="Arial"/>
        </w:rPr>
      </w:pPr>
      <w:r>
        <w:rPr>
          <w:rFonts w:eastAsia="Arial"/>
        </w:rPr>
        <w:t>The NCPF was implemented with the assistance of an Implementation Governance Committee (IGC)</w:t>
      </w:r>
      <w:r w:rsidR="00285868" w:rsidRPr="00843A16">
        <w:rPr>
          <w:rFonts w:eastAsia="Arial"/>
        </w:rPr>
        <w:t xml:space="preserve">. </w:t>
      </w:r>
      <w:r>
        <w:rPr>
          <w:rFonts w:eastAsia="Arial"/>
        </w:rPr>
        <w:t xml:space="preserve">It was established </w:t>
      </w:r>
      <w:r w:rsidR="00ED3C4D">
        <w:rPr>
          <w:rFonts w:eastAsia="Arial"/>
        </w:rPr>
        <w:t xml:space="preserve">in 2019 with representatives from every jurisdiction </w:t>
      </w:r>
      <w:r>
        <w:rPr>
          <w:rFonts w:eastAsia="Arial"/>
        </w:rPr>
        <w:t xml:space="preserve">and </w:t>
      </w:r>
      <w:r w:rsidR="00ED3C4D">
        <w:rPr>
          <w:rFonts w:eastAsia="Arial"/>
        </w:rPr>
        <w:t xml:space="preserve">was </w:t>
      </w:r>
      <w:r w:rsidR="00CD4E85">
        <w:rPr>
          <w:rFonts w:eastAsia="Arial"/>
        </w:rPr>
        <w:t xml:space="preserve">chaired by </w:t>
      </w:r>
      <w:r w:rsidR="00237D2F">
        <w:rPr>
          <w:rFonts w:eastAsia="Arial"/>
        </w:rPr>
        <w:t xml:space="preserve">the </w:t>
      </w:r>
      <w:r w:rsidR="00285868" w:rsidRPr="22C2F511">
        <w:rPr>
          <w:rFonts w:eastAsia="Arial"/>
        </w:rPr>
        <w:t xml:space="preserve">Australian </w:t>
      </w:r>
      <w:r w:rsidR="00285868">
        <w:rPr>
          <w:rFonts w:eastAsia="Arial"/>
        </w:rPr>
        <w:t>Government</w:t>
      </w:r>
      <w:r w:rsidR="00285868" w:rsidRPr="22C2F511">
        <w:rPr>
          <w:rFonts w:eastAsia="Arial"/>
        </w:rPr>
        <w:t>.</w:t>
      </w:r>
      <w:r w:rsidR="00285868">
        <w:rPr>
          <w:rFonts w:eastAsia="Arial"/>
        </w:rPr>
        <w:t xml:space="preserve"> </w:t>
      </w:r>
    </w:p>
    <w:p w14:paraId="783C3A36" w14:textId="331E0519" w:rsidR="00023CD9" w:rsidRPr="00843A16" w:rsidRDefault="008B3846" w:rsidP="00F50CA1">
      <w:pPr>
        <w:pStyle w:val="BodyText"/>
        <w:rPr>
          <w:rFonts w:eastAsia="Arial"/>
        </w:rPr>
      </w:pPr>
      <w:r>
        <w:rPr>
          <w:rFonts w:eastAsia="Arial"/>
        </w:rPr>
        <w:t>S</w:t>
      </w:r>
      <w:r w:rsidR="00023CD9" w:rsidRPr="00843A16">
        <w:rPr>
          <w:rFonts w:eastAsia="Arial"/>
        </w:rPr>
        <w:t xml:space="preserve">tate and territory </w:t>
      </w:r>
      <w:r w:rsidR="006701CF" w:rsidRPr="00843A16">
        <w:rPr>
          <w:rFonts w:eastAsia="Arial"/>
        </w:rPr>
        <w:t>gambling</w:t>
      </w:r>
      <w:r w:rsidR="00023CD9" w:rsidRPr="00843A16">
        <w:rPr>
          <w:rFonts w:eastAsia="Arial"/>
        </w:rPr>
        <w:t xml:space="preserve"> regulators and WSPs noted</w:t>
      </w:r>
      <w:r w:rsidR="00462A89">
        <w:rPr>
          <w:rFonts w:eastAsia="Arial"/>
        </w:rPr>
        <w:t xml:space="preserve"> that</w:t>
      </w:r>
      <w:r w:rsidR="00023CD9" w:rsidRPr="00843A16">
        <w:rPr>
          <w:rFonts w:eastAsia="Arial"/>
        </w:rPr>
        <w:t xml:space="preserve"> there </w:t>
      </w:r>
      <w:r>
        <w:rPr>
          <w:rFonts w:eastAsia="Arial"/>
        </w:rPr>
        <w:t xml:space="preserve">were </w:t>
      </w:r>
      <w:r w:rsidR="005738A4">
        <w:rPr>
          <w:rFonts w:eastAsia="Arial"/>
        </w:rPr>
        <w:t xml:space="preserve">governance </w:t>
      </w:r>
      <w:r w:rsidR="000210EB">
        <w:rPr>
          <w:rFonts w:eastAsia="Arial"/>
        </w:rPr>
        <w:t xml:space="preserve">issues </w:t>
      </w:r>
      <w:r w:rsidR="00023CD9" w:rsidRPr="00843A16">
        <w:rPr>
          <w:rFonts w:eastAsia="Arial"/>
        </w:rPr>
        <w:t xml:space="preserve">around </w:t>
      </w:r>
      <w:r w:rsidR="008A5309" w:rsidRPr="00843A16">
        <w:rPr>
          <w:rFonts w:eastAsia="Arial"/>
        </w:rPr>
        <w:t xml:space="preserve">the implementation of some </w:t>
      </w:r>
      <w:r w:rsidR="00023CD9" w:rsidRPr="00843A16">
        <w:rPr>
          <w:rFonts w:eastAsia="Arial"/>
        </w:rPr>
        <w:t>measure</w:t>
      </w:r>
      <w:r w:rsidR="008A5309" w:rsidRPr="00843A16">
        <w:rPr>
          <w:rFonts w:eastAsia="Arial"/>
        </w:rPr>
        <w:t>s</w:t>
      </w:r>
      <w:r w:rsidR="00023CD9" w:rsidRPr="00843A16">
        <w:rPr>
          <w:rFonts w:eastAsia="Arial"/>
        </w:rPr>
        <w:t xml:space="preserve">. </w:t>
      </w:r>
    </w:p>
    <w:p w14:paraId="18AD3610" w14:textId="59F0F97A" w:rsidR="00023CD9" w:rsidRPr="00843A16" w:rsidRDefault="00023CD9" w:rsidP="00F50CA1">
      <w:pPr>
        <w:pStyle w:val="Quote"/>
      </w:pPr>
      <w:r w:rsidRPr="00843A16">
        <w:t xml:space="preserve">There was a lack of understanding about how each jurisdiction would need to go about implementing [consistent gambling messaging] and how long that would take. And it seemed like nobody was leading the process, the Commonwealth </w:t>
      </w:r>
      <w:r w:rsidR="00D9683A" w:rsidRPr="00843A16">
        <w:lastRenderedPageBreak/>
        <w:t xml:space="preserve">[was] </w:t>
      </w:r>
      <w:r w:rsidRPr="00843A16">
        <w:t xml:space="preserve">just very hands-off. </w:t>
      </w:r>
      <w:r w:rsidR="00804CBF">
        <w:t>(</w:t>
      </w:r>
      <w:r w:rsidR="00F6529B" w:rsidRPr="00843A16">
        <w:t xml:space="preserve">Policy </w:t>
      </w:r>
      <w:r w:rsidR="00804CBF" w:rsidRPr="00843A16">
        <w:t>&amp; regulation stakeholder</w:t>
      </w:r>
      <w:r w:rsidR="00F6529B" w:rsidRPr="00843A16">
        <w:t xml:space="preserve">, </w:t>
      </w:r>
      <w:r w:rsidR="00804485">
        <w:t>s</w:t>
      </w:r>
      <w:r w:rsidR="00BB6B2C">
        <w:t>tate/territory government</w:t>
      </w:r>
      <w:r w:rsidR="00804CBF">
        <w:t>)</w:t>
      </w:r>
    </w:p>
    <w:p w14:paraId="6559F403" w14:textId="76F98808" w:rsidR="00DE07A9" w:rsidRPr="00843A16" w:rsidRDefault="00DE07A9" w:rsidP="00F50CA1">
      <w:pPr>
        <w:pStyle w:val="Quote"/>
      </w:pPr>
      <w:r w:rsidRPr="00843A16">
        <w:t>I think the way that consistent gambling messaging was done would help. Everyone was on the same page</w:t>
      </w:r>
      <w:r w:rsidR="00462A89">
        <w:t xml:space="preserve"> </w:t>
      </w:r>
      <w:r w:rsidRPr="00843A16">
        <w:t>…</w:t>
      </w:r>
      <w:r w:rsidR="00462A89">
        <w:t xml:space="preserve"> </w:t>
      </w:r>
      <w:r w:rsidRPr="00843A16">
        <w:t xml:space="preserve">Had activity statements been done the same as consistent gambling messaging, I think we’d be fine across the board for all the measures. </w:t>
      </w:r>
      <w:r w:rsidR="00804CBF">
        <w:t>(</w:t>
      </w:r>
      <w:r w:rsidRPr="00843A16">
        <w:t xml:space="preserve">Policy </w:t>
      </w:r>
      <w:r w:rsidR="00804CBF" w:rsidRPr="00843A16">
        <w:t>s</w:t>
      </w:r>
      <w:r w:rsidRPr="00843A16">
        <w:t xml:space="preserve">takeholder, </w:t>
      </w:r>
      <w:r w:rsidR="00804485">
        <w:t>s</w:t>
      </w:r>
      <w:r w:rsidR="00BB6B2C">
        <w:t>tate/territory government</w:t>
      </w:r>
      <w:r w:rsidR="00804CBF">
        <w:t>)</w:t>
      </w:r>
    </w:p>
    <w:p w14:paraId="764A123C" w14:textId="26F6E94C" w:rsidR="00BB5ABB" w:rsidRDefault="00320670" w:rsidP="00F50CA1">
      <w:pPr>
        <w:pStyle w:val="BodyText"/>
        <w:rPr>
          <w:rFonts w:eastAsia="Arial"/>
        </w:rPr>
      </w:pPr>
      <w:r w:rsidRPr="7452DEE3">
        <w:rPr>
          <w:rFonts w:eastAsia="Arial"/>
        </w:rPr>
        <w:t xml:space="preserve">These seemingly conflicting statements reflect mixed views by </w:t>
      </w:r>
      <w:r w:rsidR="009A13AF">
        <w:rPr>
          <w:rFonts w:eastAsia="Arial"/>
        </w:rPr>
        <w:t>government</w:t>
      </w:r>
      <w:r w:rsidRPr="7452DEE3">
        <w:rPr>
          <w:rFonts w:eastAsia="Arial"/>
        </w:rPr>
        <w:t xml:space="preserve"> officials about </w:t>
      </w:r>
      <w:r w:rsidR="00076B8C">
        <w:rPr>
          <w:rFonts w:eastAsia="Arial"/>
        </w:rPr>
        <w:t>where responsibility for implementation rested</w:t>
      </w:r>
      <w:r w:rsidR="00346341">
        <w:rPr>
          <w:rFonts w:eastAsia="Arial"/>
        </w:rPr>
        <w:t xml:space="preserve"> and confusion about </w:t>
      </w:r>
      <w:r w:rsidR="00CC6C12">
        <w:rPr>
          <w:rFonts w:eastAsia="Arial"/>
        </w:rPr>
        <w:t>leadership and coordination</w:t>
      </w:r>
      <w:r w:rsidR="00BB5ABB">
        <w:rPr>
          <w:rFonts w:eastAsia="Arial"/>
        </w:rPr>
        <w:t>.</w:t>
      </w:r>
      <w:r w:rsidR="0043508B">
        <w:rPr>
          <w:rFonts w:eastAsia="Arial"/>
        </w:rPr>
        <w:t xml:space="preserve"> </w:t>
      </w:r>
      <w:r w:rsidR="00B93D88">
        <w:rPr>
          <w:rFonts w:eastAsia="Arial"/>
        </w:rPr>
        <w:t>T</w:t>
      </w:r>
      <w:r w:rsidR="0043508B">
        <w:rPr>
          <w:rFonts w:eastAsia="Arial"/>
        </w:rPr>
        <w:t xml:space="preserve">he IGC Terms of Reference </w:t>
      </w:r>
      <w:r w:rsidR="00C16545">
        <w:rPr>
          <w:rFonts w:eastAsia="Arial"/>
        </w:rPr>
        <w:t xml:space="preserve">specified </w:t>
      </w:r>
      <w:r w:rsidR="009434C5">
        <w:rPr>
          <w:rFonts w:eastAsia="Arial"/>
        </w:rPr>
        <w:t xml:space="preserve">that </w:t>
      </w:r>
      <w:r w:rsidR="00DA76EF">
        <w:rPr>
          <w:rFonts w:eastAsia="Arial"/>
        </w:rPr>
        <w:t>IGC members shar</w:t>
      </w:r>
      <w:r w:rsidR="00E66BCA">
        <w:rPr>
          <w:rFonts w:eastAsia="Arial"/>
        </w:rPr>
        <w:t>ed</w:t>
      </w:r>
      <w:r w:rsidR="00DA76EF">
        <w:rPr>
          <w:rFonts w:eastAsia="Arial"/>
        </w:rPr>
        <w:t xml:space="preserve"> responsibility </w:t>
      </w:r>
      <w:r w:rsidR="004A648B">
        <w:rPr>
          <w:rFonts w:eastAsia="Arial"/>
        </w:rPr>
        <w:t xml:space="preserve">for overseeing </w:t>
      </w:r>
      <w:r w:rsidR="00D26223">
        <w:rPr>
          <w:rFonts w:eastAsia="Arial"/>
        </w:rPr>
        <w:t xml:space="preserve">the </w:t>
      </w:r>
      <w:r w:rsidR="004A648B">
        <w:rPr>
          <w:rFonts w:eastAsia="Arial"/>
        </w:rPr>
        <w:t>framework and implement</w:t>
      </w:r>
      <w:r w:rsidR="000B471A">
        <w:rPr>
          <w:rFonts w:eastAsia="Arial"/>
        </w:rPr>
        <w:t>ing the measures</w:t>
      </w:r>
      <w:r w:rsidR="00135755">
        <w:rPr>
          <w:rFonts w:eastAsia="Arial"/>
        </w:rPr>
        <w:t xml:space="preserve"> and</w:t>
      </w:r>
      <w:r w:rsidR="00707CC4">
        <w:rPr>
          <w:rFonts w:eastAsia="Arial"/>
        </w:rPr>
        <w:t xml:space="preserve"> the Commonwealth led </w:t>
      </w:r>
      <w:r w:rsidR="00E66BCA">
        <w:rPr>
          <w:rFonts w:eastAsia="Arial"/>
        </w:rPr>
        <w:t xml:space="preserve">many </w:t>
      </w:r>
      <w:r w:rsidR="00496276">
        <w:rPr>
          <w:rFonts w:eastAsia="Arial"/>
        </w:rPr>
        <w:t>of the</w:t>
      </w:r>
      <w:r w:rsidR="00E66BCA">
        <w:rPr>
          <w:rFonts w:eastAsia="Arial"/>
        </w:rPr>
        <w:t xml:space="preserve"> </w:t>
      </w:r>
      <w:r w:rsidR="00707CC4">
        <w:rPr>
          <w:rFonts w:eastAsia="Arial"/>
        </w:rPr>
        <w:t>process</w:t>
      </w:r>
      <w:r w:rsidR="00E66BCA">
        <w:rPr>
          <w:rFonts w:eastAsia="Arial"/>
        </w:rPr>
        <w:t>es</w:t>
      </w:r>
      <w:r w:rsidR="0048439C">
        <w:rPr>
          <w:rFonts w:eastAsia="Arial"/>
        </w:rPr>
        <w:t xml:space="preserve"> </w:t>
      </w:r>
      <w:r w:rsidR="00496276">
        <w:rPr>
          <w:rFonts w:eastAsia="Arial"/>
        </w:rPr>
        <w:t xml:space="preserve">to develop the measures </w:t>
      </w:r>
      <w:r w:rsidR="0048439C">
        <w:rPr>
          <w:rFonts w:eastAsia="Arial"/>
        </w:rPr>
        <w:t>(</w:t>
      </w:r>
      <w:r w:rsidR="0077621B">
        <w:rPr>
          <w:rFonts w:eastAsia="Arial"/>
        </w:rPr>
        <w:t xml:space="preserve">IGC </w:t>
      </w:r>
      <w:r w:rsidR="0017137B">
        <w:rPr>
          <w:rFonts w:eastAsia="Arial"/>
        </w:rPr>
        <w:t>terms of reference and minutes</w:t>
      </w:r>
      <w:r w:rsidR="009F2730">
        <w:rPr>
          <w:rFonts w:eastAsia="Arial"/>
        </w:rPr>
        <w:t>, DSS 2019</w:t>
      </w:r>
      <w:r w:rsidR="00715981">
        <w:rPr>
          <w:rFonts w:eastAsia="Arial"/>
        </w:rPr>
        <w:t>–</w:t>
      </w:r>
      <w:r w:rsidR="009F2730">
        <w:rPr>
          <w:rFonts w:eastAsia="Arial"/>
        </w:rPr>
        <w:t>23</w:t>
      </w:r>
      <w:r w:rsidR="0017137B">
        <w:rPr>
          <w:rFonts w:eastAsia="Arial"/>
        </w:rPr>
        <w:t>)</w:t>
      </w:r>
      <w:r w:rsidR="00707CC4">
        <w:rPr>
          <w:rFonts w:eastAsia="Arial"/>
        </w:rPr>
        <w:t>.</w:t>
      </w:r>
    </w:p>
    <w:p w14:paraId="5588F87B" w14:textId="7C7CFA45" w:rsidR="001809A8" w:rsidRDefault="00620ABC" w:rsidP="00F50CA1">
      <w:pPr>
        <w:pStyle w:val="BodyText"/>
        <w:rPr>
          <w:rFonts w:eastAsia="Arial"/>
        </w:rPr>
      </w:pPr>
      <w:r>
        <w:rPr>
          <w:rFonts w:eastAsia="Arial"/>
        </w:rPr>
        <w:t xml:space="preserve">The statements also reflect </w:t>
      </w:r>
      <w:r w:rsidR="00BF4E6D">
        <w:rPr>
          <w:rFonts w:eastAsia="Arial"/>
        </w:rPr>
        <w:t xml:space="preserve">mixed views on </w:t>
      </w:r>
      <w:r w:rsidR="00320670" w:rsidRPr="7452DEE3">
        <w:rPr>
          <w:rFonts w:eastAsia="Arial"/>
        </w:rPr>
        <w:t xml:space="preserve">the most </w:t>
      </w:r>
      <w:r w:rsidR="00D4290E">
        <w:rPr>
          <w:rFonts w:eastAsia="Arial"/>
        </w:rPr>
        <w:t>available</w:t>
      </w:r>
      <w:r w:rsidR="00D4290E" w:rsidRPr="7452DEE3">
        <w:rPr>
          <w:rFonts w:eastAsia="Arial"/>
        </w:rPr>
        <w:t xml:space="preserve"> </w:t>
      </w:r>
      <w:r w:rsidR="00B23DD0">
        <w:rPr>
          <w:rFonts w:eastAsia="Arial"/>
        </w:rPr>
        <w:t xml:space="preserve">mechanisms </w:t>
      </w:r>
      <w:r w:rsidR="00320670" w:rsidRPr="7452DEE3">
        <w:rPr>
          <w:rFonts w:eastAsia="Arial"/>
        </w:rPr>
        <w:t>to adopt</w:t>
      </w:r>
      <w:r w:rsidR="0F5F8D6D" w:rsidRPr="7452DEE3">
        <w:rPr>
          <w:rFonts w:eastAsia="Arial"/>
        </w:rPr>
        <w:t xml:space="preserve"> when implementing measures</w:t>
      </w:r>
      <w:r w:rsidR="0012066A">
        <w:rPr>
          <w:rFonts w:eastAsia="Arial"/>
        </w:rPr>
        <w:t>, such a</w:t>
      </w:r>
      <w:r w:rsidR="000F1CC2">
        <w:rPr>
          <w:rFonts w:eastAsia="Arial"/>
        </w:rPr>
        <w:t>s</w:t>
      </w:r>
      <w:r w:rsidR="00E002BA">
        <w:rPr>
          <w:rFonts w:eastAsia="Arial"/>
        </w:rPr>
        <w:t xml:space="preserve"> the appropriateness of</w:t>
      </w:r>
      <w:r w:rsidR="0012066A">
        <w:rPr>
          <w:rFonts w:eastAsia="Arial"/>
        </w:rPr>
        <w:t xml:space="preserve"> </w:t>
      </w:r>
      <w:r w:rsidR="00836499">
        <w:rPr>
          <w:rFonts w:eastAsia="Arial"/>
        </w:rPr>
        <w:t>highly specific</w:t>
      </w:r>
      <w:r w:rsidR="00AB3E27">
        <w:rPr>
          <w:rFonts w:eastAsia="Arial"/>
        </w:rPr>
        <w:t xml:space="preserve"> guidance </w:t>
      </w:r>
      <w:r w:rsidR="0012066A">
        <w:rPr>
          <w:rFonts w:eastAsia="Arial"/>
        </w:rPr>
        <w:t xml:space="preserve">compared to allowing more </w:t>
      </w:r>
      <w:r w:rsidR="00251C36">
        <w:rPr>
          <w:rFonts w:eastAsia="Arial"/>
        </w:rPr>
        <w:t xml:space="preserve">discretion. </w:t>
      </w:r>
    </w:p>
    <w:p w14:paraId="2FFD3506" w14:textId="6A89CDD0" w:rsidR="00320670" w:rsidRDefault="00370BD6" w:rsidP="00F50CA1">
      <w:pPr>
        <w:pStyle w:val="BodyText"/>
        <w:rPr>
          <w:rFonts w:eastAsia="Arial"/>
        </w:rPr>
      </w:pPr>
      <w:r>
        <w:rPr>
          <w:rFonts w:eastAsia="Arial"/>
        </w:rPr>
        <w:t>T</w:t>
      </w:r>
      <w:r w:rsidR="00CB6219">
        <w:rPr>
          <w:rFonts w:eastAsia="Arial"/>
        </w:rPr>
        <w:t xml:space="preserve">here are trade-offs when using each approach. For example, </w:t>
      </w:r>
      <w:r w:rsidR="00493931">
        <w:rPr>
          <w:rFonts w:eastAsia="Arial"/>
        </w:rPr>
        <w:t xml:space="preserve">the </w:t>
      </w:r>
      <w:r w:rsidR="698C74A2" w:rsidRPr="7452DEE3">
        <w:rPr>
          <w:rFonts w:eastAsia="Arial"/>
        </w:rPr>
        <w:t>CGM</w:t>
      </w:r>
      <w:r w:rsidR="00493931">
        <w:rPr>
          <w:rFonts w:eastAsia="Arial"/>
        </w:rPr>
        <w:t xml:space="preserve"> measure </w:t>
      </w:r>
      <w:r w:rsidR="003F2708">
        <w:rPr>
          <w:rFonts w:eastAsia="Arial"/>
        </w:rPr>
        <w:t xml:space="preserve">had highly specific </w:t>
      </w:r>
      <w:r w:rsidR="2E77DCEE" w:rsidRPr="7452DEE3">
        <w:rPr>
          <w:rFonts w:eastAsia="Arial"/>
        </w:rPr>
        <w:t>guid</w:t>
      </w:r>
      <w:r w:rsidR="00D416BE">
        <w:rPr>
          <w:rFonts w:eastAsia="Arial"/>
        </w:rPr>
        <w:t>elines</w:t>
      </w:r>
      <w:r w:rsidR="2E77DCEE" w:rsidRPr="7452DEE3">
        <w:rPr>
          <w:rFonts w:eastAsia="Arial"/>
        </w:rPr>
        <w:t xml:space="preserve"> </w:t>
      </w:r>
      <w:r w:rsidR="003F2708">
        <w:rPr>
          <w:rFonts w:eastAsia="Arial"/>
        </w:rPr>
        <w:t xml:space="preserve">issued </w:t>
      </w:r>
      <w:r w:rsidR="00AA1440">
        <w:rPr>
          <w:rFonts w:eastAsia="Arial"/>
        </w:rPr>
        <w:t xml:space="preserve">to </w:t>
      </w:r>
      <w:r w:rsidR="698C74A2" w:rsidRPr="7452DEE3">
        <w:rPr>
          <w:rFonts w:eastAsia="Arial"/>
        </w:rPr>
        <w:t>WSPs</w:t>
      </w:r>
      <w:r w:rsidR="001F5567">
        <w:rPr>
          <w:rFonts w:eastAsia="Arial"/>
        </w:rPr>
        <w:t xml:space="preserve"> (DSS, 2022a; </w:t>
      </w:r>
      <w:r w:rsidR="0054462A">
        <w:rPr>
          <w:rFonts w:eastAsia="Arial"/>
        </w:rPr>
        <w:t>2022</w:t>
      </w:r>
      <w:r w:rsidR="00472568">
        <w:rPr>
          <w:rFonts w:eastAsia="Arial"/>
        </w:rPr>
        <w:t>b</w:t>
      </w:r>
      <w:r w:rsidR="001F5567">
        <w:rPr>
          <w:rFonts w:eastAsia="Arial"/>
        </w:rPr>
        <w:t>; 202</w:t>
      </w:r>
      <w:r w:rsidR="009B1A30">
        <w:rPr>
          <w:rFonts w:eastAsia="Arial"/>
        </w:rPr>
        <w:t>4</w:t>
      </w:r>
      <w:r w:rsidR="001F5567">
        <w:rPr>
          <w:rFonts w:eastAsia="Arial"/>
        </w:rPr>
        <w:t>)</w:t>
      </w:r>
      <w:r w:rsidR="00737A24">
        <w:rPr>
          <w:rFonts w:eastAsia="Arial"/>
        </w:rPr>
        <w:t>.</w:t>
      </w:r>
      <w:r w:rsidR="00AA1440">
        <w:rPr>
          <w:rFonts w:eastAsia="Arial"/>
        </w:rPr>
        <w:t xml:space="preserve"> </w:t>
      </w:r>
      <w:r w:rsidR="00737A24">
        <w:rPr>
          <w:rFonts w:eastAsia="Arial"/>
        </w:rPr>
        <w:t>H</w:t>
      </w:r>
      <w:r w:rsidR="00AA1440">
        <w:rPr>
          <w:rFonts w:eastAsia="Arial"/>
        </w:rPr>
        <w:t xml:space="preserve">owever, </w:t>
      </w:r>
      <w:r w:rsidR="005A1A08">
        <w:rPr>
          <w:rFonts w:eastAsia="Arial"/>
        </w:rPr>
        <w:t>WSPs</w:t>
      </w:r>
      <w:r w:rsidR="00AA1440">
        <w:rPr>
          <w:rFonts w:eastAsia="Arial"/>
        </w:rPr>
        <w:t xml:space="preserve"> </w:t>
      </w:r>
      <w:r w:rsidR="00322E58">
        <w:rPr>
          <w:rFonts w:eastAsia="Arial"/>
        </w:rPr>
        <w:t>reported</w:t>
      </w:r>
      <w:r w:rsidR="001F5567">
        <w:rPr>
          <w:rFonts w:eastAsia="Arial"/>
        </w:rPr>
        <w:t xml:space="preserve"> </w:t>
      </w:r>
      <w:r w:rsidR="001F57E7">
        <w:rPr>
          <w:rFonts w:eastAsia="Arial"/>
        </w:rPr>
        <w:t xml:space="preserve">that </w:t>
      </w:r>
      <w:r w:rsidR="001F5567">
        <w:rPr>
          <w:rFonts w:eastAsia="Arial"/>
        </w:rPr>
        <w:t>they</w:t>
      </w:r>
      <w:r w:rsidR="00322E58">
        <w:rPr>
          <w:rFonts w:eastAsia="Arial"/>
        </w:rPr>
        <w:t xml:space="preserve"> found</w:t>
      </w:r>
      <w:r w:rsidR="00AA1440">
        <w:rPr>
          <w:rFonts w:eastAsia="Arial"/>
        </w:rPr>
        <w:t xml:space="preserve"> some aspects impractical </w:t>
      </w:r>
      <w:r w:rsidR="00F70492">
        <w:rPr>
          <w:rFonts w:eastAsia="Arial"/>
        </w:rPr>
        <w:t>to follow</w:t>
      </w:r>
      <w:r w:rsidR="008743A0">
        <w:rPr>
          <w:rFonts w:eastAsia="Arial"/>
        </w:rPr>
        <w:t xml:space="preserve"> despite </w:t>
      </w:r>
      <w:r w:rsidR="00920212">
        <w:rPr>
          <w:rFonts w:eastAsia="Arial"/>
        </w:rPr>
        <w:t xml:space="preserve">providing input </w:t>
      </w:r>
      <w:r w:rsidR="00117C7F">
        <w:rPr>
          <w:rFonts w:eastAsia="Arial"/>
        </w:rPr>
        <w:t xml:space="preserve">to </w:t>
      </w:r>
      <w:r w:rsidR="00AD4F75">
        <w:rPr>
          <w:rFonts w:eastAsia="Arial"/>
        </w:rPr>
        <w:t>the guidelines</w:t>
      </w:r>
      <w:r w:rsidR="698C74A2" w:rsidRPr="7452DEE3">
        <w:rPr>
          <w:rFonts w:eastAsia="Arial"/>
        </w:rPr>
        <w:t>. By contrast</w:t>
      </w:r>
      <w:r w:rsidR="15560C2C" w:rsidRPr="7452DEE3">
        <w:rPr>
          <w:rFonts w:eastAsia="Arial"/>
        </w:rPr>
        <w:t xml:space="preserve">, </w:t>
      </w:r>
      <w:r w:rsidR="00322E58">
        <w:rPr>
          <w:rFonts w:eastAsia="Arial"/>
        </w:rPr>
        <w:t xml:space="preserve">the guidance for implementing </w:t>
      </w:r>
      <w:r w:rsidR="00AB2BCE">
        <w:rPr>
          <w:rFonts w:eastAsia="Arial"/>
        </w:rPr>
        <w:t>a</w:t>
      </w:r>
      <w:r w:rsidR="15560C2C" w:rsidRPr="7452DEE3">
        <w:rPr>
          <w:rFonts w:eastAsia="Arial"/>
        </w:rPr>
        <w:t>ctivity</w:t>
      </w:r>
      <w:r w:rsidR="00E8575B">
        <w:rPr>
          <w:rFonts w:eastAsia="Arial"/>
        </w:rPr>
        <w:t xml:space="preserve"> </w:t>
      </w:r>
      <w:r w:rsidR="00AB2BCE">
        <w:rPr>
          <w:rFonts w:eastAsia="Arial"/>
        </w:rPr>
        <w:t>s</w:t>
      </w:r>
      <w:r w:rsidR="15560C2C" w:rsidRPr="7452DEE3">
        <w:rPr>
          <w:rFonts w:eastAsia="Arial"/>
        </w:rPr>
        <w:t>tatement</w:t>
      </w:r>
      <w:r w:rsidR="002515CD">
        <w:rPr>
          <w:rFonts w:eastAsia="Arial"/>
        </w:rPr>
        <w:t xml:space="preserve"> </w:t>
      </w:r>
      <w:r w:rsidR="5ECF2392" w:rsidRPr="7452DEE3">
        <w:rPr>
          <w:rFonts w:eastAsia="Arial"/>
        </w:rPr>
        <w:t xml:space="preserve">gave </w:t>
      </w:r>
      <w:r w:rsidR="393F6207" w:rsidRPr="7452DEE3">
        <w:rPr>
          <w:rFonts w:eastAsia="Arial"/>
        </w:rPr>
        <w:t xml:space="preserve">WSPs </w:t>
      </w:r>
      <w:r w:rsidR="273F02DB" w:rsidRPr="7452DEE3">
        <w:rPr>
          <w:rFonts w:eastAsia="Arial"/>
        </w:rPr>
        <w:t xml:space="preserve">discretion on how to design the statements. </w:t>
      </w:r>
      <w:r w:rsidR="00625478">
        <w:rPr>
          <w:rFonts w:eastAsia="Arial"/>
        </w:rPr>
        <w:t xml:space="preserve">In both cases, </w:t>
      </w:r>
      <w:r w:rsidR="00322E58">
        <w:rPr>
          <w:rFonts w:eastAsia="Arial"/>
        </w:rPr>
        <w:t>this evaluation found</w:t>
      </w:r>
      <w:r w:rsidR="00625478">
        <w:rPr>
          <w:rFonts w:eastAsia="Arial"/>
        </w:rPr>
        <w:t xml:space="preserve"> a lack of consistency </w:t>
      </w:r>
      <w:r w:rsidR="00574450">
        <w:rPr>
          <w:rFonts w:eastAsia="Arial"/>
        </w:rPr>
        <w:t>in the operation of the measures.</w:t>
      </w:r>
      <w:r w:rsidR="006D1449">
        <w:rPr>
          <w:rFonts w:eastAsia="Arial"/>
        </w:rPr>
        <w:t xml:space="preserve"> </w:t>
      </w:r>
    </w:p>
    <w:p w14:paraId="13D3B54C" w14:textId="74EF6278" w:rsidR="008363DE" w:rsidRDefault="008D595A" w:rsidP="00F60CED">
      <w:pPr>
        <w:pStyle w:val="BodyText"/>
        <w:keepNext/>
      </w:pPr>
      <w:r>
        <w:t xml:space="preserve">Implementation guidance </w:t>
      </w:r>
      <w:r w:rsidR="009851F1">
        <w:t xml:space="preserve">for </w:t>
      </w:r>
      <w:r w:rsidR="00290E9B">
        <w:t>the Australian Government measures</w:t>
      </w:r>
      <w:r w:rsidR="00BB744B">
        <w:t xml:space="preserve"> (restrictions on credit and payday lenders, customer identity verification and the NSER) was developed and </w:t>
      </w:r>
      <w:r w:rsidR="001E7CA6">
        <w:t xml:space="preserve">communicated by the Commonwealth. </w:t>
      </w:r>
      <w:r w:rsidR="00DA4E37">
        <w:t>For the first 3 of these measures, this g</w:t>
      </w:r>
      <w:r w:rsidR="0074182E">
        <w:t xml:space="preserve">uidance </w:t>
      </w:r>
      <w:r w:rsidR="008363DE">
        <w:t>was largely contained in legislation.</w:t>
      </w:r>
      <w:r w:rsidR="00BD117A">
        <w:t xml:space="preserve"> The NSER has resources available to </w:t>
      </w:r>
      <w:r w:rsidR="00C67DC8">
        <w:t xml:space="preserve">WSPs through the ACMA website. </w:t>
      </w:r>
    </w:p>
    <w:p w14:paraId="6F974167" w14:textId="53B77261" w:rsidR="00E73503" w:rsidRDefault="00AA78A0" w:rsidP="00F60CED">
      <w:pPr>
        <w:pStyle w:val="BodyText"/>
        <w:keepNext/>
      </w:pPr>
      <w:r>
        <w:t>F</w:t>
      </w:r>
      <w:r w:rsidR="0074182E">
        <w:t xml:space="preserve">or the </w:t>
      </w:r>
      <w:r>
        <w:t xml:space="preserve">state and territory </w:t>
      </w:r>
      <w:r w:rsidR="0074182E">
        <w:t>measures</w:t>
      </w:r>
      <w:r>
        <w:t>, s</w:t>
      </w:r>
      <w:r w:rsidR="008D2927">
        <w:t>takeholder resources such as plans, definitions, frequently asked questions</w:t>
      </w:r>
      <w:r w:rsidR="00EC5E02">
        <w:t>, prototypes</w:t>
      </w:r>
      <w:r w:rsidR="0020413C">
        <w:t xml:space="preserve"> (for activity statements) and </w:t>
      </w:r>
      <w:r w:rsidR="00EC5E02">
        <w:t>training modules</w:t>
      </w:r>
      <w:r w:rsidR="0020413C">
        <w:t xml:space="preserve"> (for staff training)</w:t>
      </w:r>
      <w:r w:rsidR="008D2927">
        <w:t xml:space="preserve"> </w:t>
      </w:r>
      <w:r w:rsidR="0020413C">
        <w:t xml:space="preserve">were </w:t>
      </w:r>
      <w:r w:rsidR="009851F1">
        <w:t xml:space="preserve">developed </w:t>
      </w:r>
      <w:r w:rsidR="00875218">
        <w:t xml:space="preserve">by the IGC </w:t>
      </w:r>
      <w:r w:rsidR="00E73503">
        <w:t xml:space="preserve">after receiving input from experts and WSPs. </w:t>
      </w:r>
      <w:r w:rsidR="008E4CE9">
        <w:t>R</w:t>
      </w:r>
      <w:r w:rsidR="0020007E">
        <w:t xml:space="preserve">esources </w:t>
      </w:r>
      <w:r w:rsidR="008E4CE9">
        <w:t xml:space="preserve">for activity statements, </w:t>
      </w:r>
      <w:r w:rsidR="000D5870">
        <w:t xml:space="preserve">CGM and staff training are </w:t>
      </w:r>
      <w:r w:rsidR="007E6797">
        <w:t xml:space="preserve">hosted on the DSS </w:t>
      </w:r>
      <w:r w:rsidR="00875967">
        <w:t>webs</w:t>
      </w:r>
      <w:r w:rsidR="007E6797">
        <w:t>ite</w:t>
      </w:r>
      <w:r w:rsidR="00F84BEB">
        <w:t>.</w:t>
      </w:r>
      <w:r w:rsidR="0016457C">
        <w:t xml:space="preserve"> </w:t>
      </w:r>
      <w:r w:rsidR="00E64744">
        <w:t xml:space="preserve">State and territory regulators </w:t>
      </w:r>
      <w:proofErr w:type="gramStart"/>
      <w:r w:rsidR="00575442">
        <w:t>are able to</w:t>
      </w:r>
      <w:proofErr w:type="gramEnd"/>
      <w:r w:rsidR="00E64744">
        <w:t xml:space="preserve"> direct WSPs to these resources. </w:t>
      </w:r>
    </w:p>
    <w:p w14:paraId="47F5BAD4" w14:textId="4B96EDA3" w:rsidR="00F60CED" w:rsidRPr="00843A16" w:rsidRDefault="003712E6" w:rsidP="00F60CED">
      <w:pPr>
        <w:pStyle w:val="BodyText"/>
        <w:keepNext/>
      </w:pPr>
      <w:r>
        <w:t>C</w:t>
      </w:r>
      <w:r w:rsidR="00F60CED" w:rsidRPr="00843A16">
        <w:t>onsumer</w:t>
      </w:r>
      <w:r>
        <w:t xml:space="preserve"> interviews </w:t>
      </w:r>
      <w:r w:rsidR="00D05539">
        <w:t xml:space="preserve">revealed that </w:t>
      </w:r>
      <w:r w:rsidR="00847B8F">
        <w:t>where</w:t>
      </w:r>
      <w:r w:rsidR="00F60CED" w:rsidRPr="00843A16">
        <w:t xml:space="preserve"> </w:t>
      </w:r>
      <w:r w:rsidR="00EC20CA">
        <w:t xml:space="preserve">implementation guidance was </w:t>
      </w:r>
      <w:r w:rsidR="00F60CED" w:rsidRPr="00843A16">
        <w:t xml:space="preserve">open to interpretation, </w:t>
      </w:r>
      <w:r w:rsidR="00D05539">
        <w:t xml:space="preserve">WSPs </w:t>
      </w:r>
      <w:r w:rsidR="0029297C">
        <w:t xml:space="preserve">may not be offering the level of protection </w:t>
      </w:r>
      <w:r w:rsidR="001C7DD0">
        <w:t xml:space="preserve">expected. An example is where </w:t>
      </w:r>
      <w:r w:rsidR="00F60CED" w:rsidRPr="00843A16">
        <w:t xml:space="preserve">features </w:t>
      </w:r>
      <w:r w:rsidR="001C7DD0">
        <w:t xml:space="preserve">are </w:t>
      </w:r>
      <w:r w:rsidR="00F60CED" w:rsidRPr="00843A16">
        <w:t>intended to be ‘accessible’ to consumers</w:t>
      </w:r>
      <w:r w:rsidR="00F60CED">
        <w:t xml:space="preserve"> (</w:t>
      </w:r>
      <w:r w:rsidR="00DF1EE1">
        <w:t>e.g.</w:t>
      </w:r>
      <w:r w:rsidR="00F60CED">
        <w:t xml:space="preserve"> </w:t>
      </w:r>
      <w:r w:rsidR="001C7DD0">
        <w:t xml:space="preserve">being able to </w:t>
      </w:r>
      <w:r w:rsidR="00F60CED">
        <w:t>unsubscrib</w:t>
      </w:r>
      <w:r w:rsidR="001C7DD0">
        <w:t>e</w:t>
      </w:r>
      <w:r w:rsidR="00F60CED">
        <w:t xml:space="preserve"> from direct marketing, clos</w:t>
      </w:r>
      <w:r w:rsidR="001C7DD0">
        <w:t>e</w:t>
      </w:r>
      <w:r w:rsidR="00F60CED">
        <w:t xml:space="preserve"> an account, set deposit limits, acces</w:t>
      </w:r>
      <w:r w:rsidR="001C7DD0">
        <w:t>s</w:t>
      </w:r>
      <w:r w:rsidR="00F60CED">
        <w:t xml:space="preserve"> activity statements)</w:t>
      </w:r>
      <w:r w:rsidR="00F60CED" w:rsidRPr="00843A16">
        <w:t>.</w:t>
      </w:r>
    </w:p>
    <w:p w14:paraId="390D368D" w14:textId="226B5EA2" w:rsidR="00F60CED" w:rsidRDefault="00F60CED" w:rsidP="00F60CED">
      <w:pPr>
        <w:pStyle w:val="Quote"/>
      </w:pPr>
      <w:r w:rsidRPr="00843A16">
        <w:t>I reckon, sometimes</w:t>
      </w:r>
      <w:r w:rsidR="00DF1EE1">
        <w:t xml:space="preserve"> </w:t>
      </w:r>
      <w:r w:rsidRPr="00843A16">
        <w:t xml:space="preserve">... they have the unsubscribe button right at the bottom [on direct marketing messages], so you </w:t>
      </w:r>
      <w:proofErr w:type="gramStart"/>
      <w:r w:rsidRPr="00843A16">
        <w:t>actually have</w:t>
      </w:r>
      <w:proofErr w:type="gramEnd"/>
      <w:r w:rsidRPr="00843A16">
        <w:t xml:space="preserve"> to look through it, like look through the whole ad, which can be</w:t>
      </w:r>
      <w:r w:rsidR="00DF1EE1">
        <w:t>,</w:t>
      </w:r>
      <w:r w:rsidRPr="00843A16">
        <w:t xml:space="preserve"> like</w:t>
      </w:r>
      <w:r w:rsidR="00DF1EE1">
        <w:t>,</w:t>
      </w:r>
      <w:r w:rsidRPr="00843A16">
        <w:t xml:space="preserve"> discouraging</w:t>
      </w:r>
      <w:r w:rsidR="00DF1EE1">
        <w:t xml:space="preserve"> </w:t>
      </w:r>
      <w:r w:rsidRPr="00843A16">
        <w:t>…</w:t>
      </w:r>
      <w:r w:rsidR="00DF1EE1">
        <w:t xml:space="preserve"> </w:t>
      </w:r>
      <w:r w:rsidRPr="00843A16">
        <w:t>If they have [the unsubscribe button] like</w:t>
      </w:r>
      <w:r w:rsidR="00DF1EE1">
        <w:t>,</w:t>
      </w:r>
      <w:r w:rsidRPr="00843A16">
        <w:t xml:space="preserve"> in a really hidden kind of [place], that would be kind of detrimental to anyone who </w:t>
      </w:r>
      <w:proofErr w:type="gramStart"/>
      <w:r w:rsidRPr="00843A16">
        <w:t>actually was</w:t>
      </w:r>
      <w:proofErr w:type="gramEnd"/>
      <w:r w:rsidRPr="00843A16">
        <w:t xml:space="preserve"> trying to unsubscribe. </w:t>
      </w:r>
      <w:r w:rsidR="00804CBF">
        <w:t>(</w:t>
      </w:r>
      <w:r w:rsidRPr="00843A16">
        <w:t>P014, moderate-risk gambler, 18</w:t>
      </w:r>
      <w:r w:rsidR="00DF1EE1">
        <w:t>–</w:t>
      </w:r>
      <w:r w:rsidRPr="00843A16">
        <w:t xml:space="preserve">24, female, </w:t>
      </w:r>
      <w:r w:rsidR="00DF1EE1" w:rsidRPr="00843A16">
        <w:t>V</w:t>
      </w:r>
      <w:r w:rsidR="00DF1EE1">
        <w:t>ic</w:t>
      </w:r>
      <w:r w:rsidR="00AA1F64">
        <w:t>)</w:t>
      </w:r>
    </w:p>
    <w:p w14:paraId="098FBC27" w14:textId="459DCA23" w:rsidR="00B71729" w:rsidRDefault="00847B8F" w:rsidP="00847B8F">
      <w:pPr>
        <w:pStyle w:val="BodyText"/>
        <w:rPr>
          <w:rFonts w:eastAsia="Arial"/>
        </w:rPr>
      </w:pPr>
      <w:r>
        <w:rPr>
          <w:rFonts w:eastAsia="Arial"/>
        </w:rPr>
        <w:t xml:space="preserve">Consideration should be given to the </w:t>
      </w:r>
      <w:r w:rsidR="005554F5">
        <w:rPr>
          <w:rFonts w:eastAsia="Arial"/>
        </w:rPr>
        <w:t xml:space="preserve">appropriate </w:t>
      </w:r>
      <w:r>
        <w:rPr>
          <w:rFonts w:eastAsia="Arial"/>
        </w:rPr>
        <w:t xml:space="preserve">balance </w:t>
      </w:r>
      <w:r w:rsidR="00322E58">
        <w:rPr>
          <w:rFonts w:eastAsia="Arial"/>
        </w:rPr>
        <w:t xml:space="preserve">between </w:t>
      </w:r>
      <w:r w:rsidR="00505702">
        <w:rPr>
          <w:rFonts w:eastAsia="Arial"/>
        </w:rPr>
        <w:t>a</w:t>
      </w:r>
      <w:r w:rsidR="00454065">
        <w:rPr>
          <w:rFonts w:eastAsia="Arial"/>
        </w:rPr>
        <w:t xml:space="preserve"> prescriptive approach and allowing for discretion</w:t>
      </w:r>
      <w:r>
        <w:rPr>
          <w:rFonts w:eastAsia="Arial"/>
        </w:rPr>
        <w:t xml:space="preserve"> when issuing guidance that </w:t>
      </w:r>
      <w:r w:rsidR="00E51860">
        <w:rPr>
          <w:rFonts w:eastAsia="Arial"/>
        </w:rPr>
        <w:t xml:space="preserve">produces </w:t>
      </w:r>
      <w:r>
        <w:rPr>
          <w:rFonts w:eastAsia="Arial"/>
        </w:rPr>
        <w:t xml:space="preserve">consistent, effective </w:t>
      </w:r>
      <w:r w:rsidR="003238BC">
        <w:rPr>
          <w:rFonts w:eastAsia="Arial"/>
        </w:rPr>
        <w:t xml:space="preserve">protection tools </w:t>
      </w:r>
      <w:r w:rsidR="004906C0">
        <w:rPr>
          <w:rFonts w:eastAsia="Arial"/>
        </w:rPr>
        <w:lastRenderedPageBreak/>
        <w:t xml:space="preserve">and guidance </w:t>
      </w:r>
      <w:r>
        <w:rPr>
          <w:rFonts w:eastAsia="Arial"/>
        </w:rPr>
        <w:t xml:space="preserve">that </w:t>
      </w:r>
      <w:r w:rsidR="00492940">
        <w:rPr>
          <w:rFonts w:eastAsia="Arial"/>
        </w:rPr>
        <w:t xml:space="preserve">anticipates </w:t>
      </w:r>
      <w:r>
        <w:rPr>
          <w:rFonts w:eastAsia="Arial"/>
        </w:rPr>
        <w:t xml:space="preserve">technology changes. </w:t>
      </w:r>
      <w:r w:rsidR="00063AEF">
        <w:rPr>
          <w:rFonts w:eastAsia="Arial"/>
        </w:rPr>
        <w:t xml:space="preserve">Some </w:t>
      </w:r>
      <w:r w:rsidR="00C815F1">
        <w:rPr>
          <w:rFonts w:eastAsia="Arial"/>
        </w:rPr>
        <w:t xml:space="preserve">measures </w:t>
      </w:r>
      <w:r w:rsidR="0067369F">
        <w:rPr>
          <w:rFonts w:eastAsia="Arial"/>
        </w:rPr>
        <w:t xml:space="preserve">lend themselves to </w:t>
      </w:r>
      <w:r w:rsidR="003964D9">
        <w:rPr>
          <w:rFonts w:eastAsia="Arial"/>
        </w:rPr>
        <w:t xml:space="preserve">a </w:t>
      </w:r>
      <w:r w:rsidR="009F4842">
        <w:rPr>
          <w:rFonts w:eastAsia="Arial"/>
        </w:rPr>
        <w:t xml:space="preserve">prescriptive </w:t>
      </w:r>
      <w:r w:rsidR="003964D9">
        <w:rPr>
          <w:rFonts w:eastAsia="Arial"/>
        </w:rPr>
        <w:t xml:space="preserve">approach </w:t>
      </w:r>
      <w:r w:rsidR="002C362A">
        <w:rPr>
          <w:rFonts w:eastAsia="Arial"/>
        </w:rPr>
        <w:t xml:space="preserve">as </w:t>
      </w:r>
      <w:r w:rsidR="00884B95">
        <w:rPr>
          <w:rFonts w:eastAsia="Arial"/>
        </w:rPr>
        <w:t>they are largely binary</w:t>
      </w:r>
      <w:r w:rsidR="00DF1EE1">
        <w:rPr>
          <w:rFonts w:eastAsia="Arial"/>
        </w:rPr>
        <w:t xml:space="preserve">; </w:t>
      </w:r>
      <w:r w:rsidR="00884B95">
        <w:rPr>
          <w:rFonts w:eastAsia="Arial"/>
        </w:rPr>
        <w:t xml:space="preserve">for example, </w:t>
      </w:r>
      <w:r w:rsidR="005D6108">
        <w:rPr>
          <w:rFonts w:eastAsia="Arial"/>
        </w:rPr>
        <w:t>credit is either offered or it is not.</w:t>
      </w:r>
      <w:r w:rsidR="00E10F49">
        <w:rPr>
          <w:rStyle w:val="FootnoteReference"/>
          <w:rFonts w:eastAsia="Arial"/>
        </w:rPr>
        <w:footnoteReference w:id="5"/>
      </w:r>
      <w:r w:rsidR="005D6108">
        <w:rPr>
          <w:rFonts w:eastAsia="Arial"/>
        </w:rPr>
        <w:t xml:space="preserve"> </w:t>
      </w:r>
    </w:p>
    <w:p w14:paraId="6217F08D" w14:textId="3FEAB1CD" w:rsidR="004140B1" w:rsidRPr="00AC36FF" w:rsidRDefault="00751B34" w:rsidP="00847B8F">
      <w:pPr>
        <w:pStyle w:val="BodyText"/>
        <w:rPr>
          <w:rFonts w:eastAsia="Arial"/>
        </w:rPr>
      </w:pPr>
      <w:r>
        <w:rPr>
          <w:rFonts w:eastAsia="Arial"/>
        </w:rPr>
        <w:t xml:space="preserve">Measures such as activity statements and CGM </w:t>
      </w:r>
      <w:r w:rsidR="00A922B6">
        <w:rPr>
          <w:rFonts w:eastAsia="Arial"/>
        </w:rPr>
        <w:t xml:space="preserve">have </w:t>
      </w:r>
      <w:r w:rsidR="00AD1144">
        <w:rPr>
          <w:rFonts w:eastAsia="Arial"/>
        </w:rPr>
        <w:t>several</w:t>
      </w:r>
      <w:r w:rsidR="00A922B6">
        <w:rPr>
          <w:rFonts w:eastAsia="Arial"/>
        </w:rPr>
        <w:t xml:space="preserve"> elements</w:t>
      </w:r>
      <w:r w:rsidR="006D0BF2">
        <w:rPr>
          <w:rFonts w:eastAsia="Arial"/>
        </w:rPr>
        <w:t xml:space="preserve"> </w:t>
      </w:r>
      <w:r w:rsidR="00B66C19">
        <w:rPr>
          <w:rFonts w:eastAsia="Arial"/>
        </w:rPr>
        <w:t>where variation can occur</w:t>
      </w:r>
      <w:r w:rsidR="00E86B8E">
        <w:rPr>
          <w:rFonts w:eastAsia="Arial"/>
        </w:rPr>
        <w:t xml:space="preserve"> such as </w:t>
      </w:r>
      <w:r w:rsidR="004E0FAC">
        <w:rPr>
          <w:rFonts w:eastAsia="Arial"/>
        </w:rPr>
        <w:t>fr</w:t>
      </w:r>
      <w:r w:rsidR="006D16FC">
        <w:rPr>
          <w:rFonts w:eastAsia="Arial"/>
        </w:rPr>
        <w:t>equency, design</w:t>
      </w:r>
      <w:r w:rsidR="00DA07A0">
        <w:rPr>
          <w:rFonts w:eastAsia="Arial"/>
        </w:rPr>
        <w:t xml:space="preserve"> and </w:t>
      </w:r>
      <w:r w:rsidR="00284DE0">
        <w:rPr>
          <w:rFonts w:eastAsia="Arial"/>
        </w:rPr>
        <w:t>delivery medium</w:t>
      </w:r>
      <w:r w:rsidR="00DA07A0">
        <w:rPr>
          <w:rFonts w:eastAsia="Arial"/>
        </w:rPr>
        <w:t xml:space="preserve">. </w:t>
      </w:r>
      <w:r w:rsidR="00387DFF">
        <w:rPr>
          <w:rFonts w:eastAsia="Arial"/>
        </w:rPr>
        <w:t>These</w:t>
      </w:r>
      <w:r w:rsidR="00E44C30">
        <w:rPr>
          <w:rFonts w:eastAsia="Arial"/>
        </w:rPr>
        <w:t xml:space="preserve"> measures need guidance that is </w:t>
      </w:r>
      <w:r w:rsidR="006A4911">
        <w:rPr>
          <w:rFonts w:eastAsia="Arial"/>
        </w:rPr>
        <w:t xml:space="preserve">sufficiently </w:t>
      </w:r>
      <w:r w:rsidR="004D254C">
        <w:rPr>
          <w:rFonts w:eastAsia="Arial"/>
        </w:rPr>
        <w:t>prescriptive</w:t>
      </w:r>
      <w:r w:rsidR="009F26B2">
        <w:rPr>
          <w:rFonts w:eastAsia="Arial"/>
        </w:rPr>
        <w:t xml:space="preserve"> so</w:t>
      </w:r>
      <w:r w:rsidR="009E38DB">
        <w:rPr>
          <w:rFonts w:eastAsia="Arial"/>
        </w:rPr>
        <w:t xml:space="preserve"> WSPs understand its intent and regula</w:t>
      </w:r>
      <w:r w:rsidR="009353B8">
        <w:rPr>
          <w:rFonts w:eastAsia="Arial"/>
        </w:rPr>
        <w:t xml:space="preserve">tors </w:t>
      </w:r>
      <w:r w:rsidR="009F26B2">
        <w:rPr>
          <w:rFonts w:eastAsia="Arial"/>
        </w:rPr>
        <w:t xml:space="preserve">can </w:t>
      </w:r>
      <w:r w:rsidR="00D42549">
        <w:rPr>
          <w:rFonts w:eastAsia="Arial"/>
        </w:rPr>
        <w:t>take enforcement action where WSPs are not compliant with this intent.</w:t>
      </w:r>
    </w:p>
    <w:p w14:paraId="19F688ED" w14:textId="77777777" w:rsidR="006F0797" w:rsidRPr="00883419" w:rsidRDefault="006F0797" w:rsidP="006F0797">
      <w:pPr>
        <w:pStyle w:val="Heading3"/>
        <w:keepLines w:val="0"/>
      </w:pPr>
      <w:bookmarkStart w:id="84" w:name="_Toc233643291"/>
      <w:r>
        <w:t>Resourcing for i</w:t>
      </w:r>
      <w:r w:rsidRPr="00883419">
        <w:t>mplementation</w:t>
      </w:r>
      <w:bookmarkEnd w:id="84"/>
      <w:r>
        <w:t xml:space="preserve"> </w:t>
      </w:r>
    </w:p>
    <w:p w14:paraId="21EFA2B9" w14:textId="4EC280DF" w:rsidR="006F0797" w:rsidRDefault="006F0797" w:rsidP="006F0797">
      <w:pPr>
        <w:pStyle w:val="BodyText"/>
        <w:rPr>
          <w:rFonts w:eastAsia="Arial"/>
        </w:rPr>
      </w:pPr>
      <w:r>
        <w:rPr>
          <w:rFonts w:eastAsia="Arial"/>
        </w:rPr>
        <w:t>The</w:t>
      </w:r>
      <w:r w:rsidRPr="00843A16">
        <w:rPr>
          <w:rFonts w:eastAsia="Arial"/>
        </w:rPr>
        <w:t xml:space="preserve"> implement</w:t>
      </w:r>
      <w:r>
        <w:rPr>
          <w:rFonts w:eastAsia="Arial"/>
        </w:rPr>
        <w:t xml:space="preserve">ation of </w:t>
      </w:r>
      <w:r w:rsidRPr="00843A16">
        <w:rPr>
          <w:rFonts w:eastAsia="Arial"/>
        </w:rPr>
        <w:t>the NCPF and its 10 measures</w:t>
      </w:r>
      <w:r>
        <w:rPr>
          <w:rFonts w:eastAsia="Arial"/>
        </w:rPr>
        <w:t xml:space="preserve"> required significant</w:t>
      </w:r>
      <w:r w:rsidRPr="00843A16">
        <w:rPr>
          <w:rFonts w:eastAsia="Arial"/>
        </w:rPr>
        <w:t xml:space="preserve"> efforts and resourcing by jurisdictions</w:t>
      </w:r>
      <w:r>
        <w:rPr>
          <w:rFonts w:eastAsia="Arial"/>
        </w:rPr>
        <w:t xml:space="preserve"> and </w:t>
      </w:r>
      <w:r w:rsidRPr="00843A16">
        <w:rPr>
          <w:rFonts w:eastAsia="Arial"/>
        </w:rPr>
        <w:t>industry. The IGC held 18 regular meetings, 9 extraordinary meetings, 7</w:t>
      </w:r>
      <w:r w:rsidR="00D70486">
        <w:rPr>
          <w:rFonts w:eastAsia="Arial"/>
        </w:rPr>
        <w:t> </w:t>
      </w:r>
      <w:r w:rsidRPr="00843A16">
        <w:rPr>
          <w:rFonts w:eastAsia="Arial"/>
        </w:rPr>
        <w:t>industry briefings and various bilateral meetings</w:t>
      </w:r>
      <w:r>
        <w:rPr>
          <w:rFonts w:eastAsia="Arial"/>
        </w:rPr>
        <w:t xml:space="preserve"> until 2023</w:t>
      </w:r>
      <w:r w:rsidRPr="00843A16">
        <w:rPr>
          <w:rFonts w:eastAsia="Arial"/>
        </w:rPr>
        <w:t xml:space="preserve"> (DSS internal communications). </w:t>
      </w:r>
    </w:p>
    <w:p w14:paraId="014256A6" w14:textId="2318ABA0" w:rsidR="006F0797" w:rsidRDefault="006F0797" w:rsidP="006F0797">
      <w:pPr>
        <w:pStyle w:val="BodyText"/>
        <w:rPr>
          <w:rFonts w:eastAsia="Arial"/>
        </w:rPr>
      </w:pPr>
      <w:r w:rsidRPr="22C2F511">
        <w:rPr>
          <w:rFonts w:eastAsia="Arial"/>
        </w:rPr>
        <w:t>An Implementation Working Group (IWG) was also established</w:t>
      </w:r>
      <w:r>
        <w:rPr>
          <w:rFonts w:eastAsia="Arial"/>
        </w:rPr>
        <w:t xml:space="preserve"> </w:t>
      </w:r>
      <w:r w:rsidRPr="22C2F511">
        <w:rPr>
          <w:rFonts w:eastAsia="Arial"/>
        </w:rPr>
        <w:t>during the implementation period</w:t>
      </w:r>
      <w:r>
        <w:rPr>
          <w:rFonts w:eastAsia="Arial"/>
        </w:rPr>
        <w:t xml:space="preserve"> for the staff training measure. The IWG was comprised of </w:t>
      </w:r>
      <w:r w:rsidRPr="00843A16">
        <w:rPr>
          <w:rFonts w:eastAsia="Arial"/>
        </w:rPr>
        <w:t>people with lived experience</w:t>
      </w:r>
      <w:r w:rsidR="00C77D5E">
        <w:rPr>
          <w:rFonts w:eastAsia="Arial"/>
        </w:rPr>
        <w:t xml:space="preserve"> of gambling harm</w:t>
      </w:r>
      <w:r w:rsidRPr="00843A16">
        <w:rPr>
          <w:rFonts w:eastAsia="Arial"/>
        </w:rPr>
        <w:t>, WSPs and</w:t>
      </w:r>
      <w:r>
        <w:rPr>
          <w:rFonts w:eastAsia="Arial"/>
        </w:rPr>
        <w:t xml:space="preserve"> representatives from</w:t>
      </w:r>
      <w:r w:rsidRPr="00843A16">
        <w:rPr>
          <w:rFonts w:eastAsia="Arial"/>
        </w:rPr>
        <w:t xml:space="preserve"> jurisdictions</w:t>
      </w:r>
      <w:r>
        <w:rPr>
          <w:rFonts w:eastAsia="Arial"/>
        </w:rPr>
        <w:t xml:space="preserve">. It </w:t>
      </w:r>
      <w:r w:rsidRPr="00843A16">
        <w:rPr>
          <w:rFonts w:eastAsia="Arial"/>
        </w:rPr>
        <w:t>held 11 meetings</w:t>
      </w:r>
      <w:r>
        <w:rPr>
          <w:rFonts w:eastAsia="Arial"/>
        </w:rPr>
        <w:t xml:space="preserve"> (DSS internal communications)</w:t>
      </w:r>
      <w:r w:rsidRPr="00843A16">
        <w:rPr>
          <w:rFonts w:eastAsia="Arial"/>
        </w:rPr>
        <w:t xml:space="preserve">. </w:t>
      </w:r>
    </w:p>
    <w:p w14:paraId="6902BDB3" w14:textId="7D7E8B4D" w:rsidR="006F0797" w:rsidRPr="00843A16" w:rsidRDefault="006F0797" w:rsidP="006F0797">
      <w:pPr>
        <w:pStyle w:val="BodyText"/>
        <w:rPr>
          <w:rFonts w:eastAsia="Arial"/>
        </w:rPr>
      </w:pPr>
      <w:r w:rsidRPr="00843A16">
        <w:rPr>
          <w:rFonts w:eastAsia="Arial"/>
        </w:rPr>
        <w:t>Jurisdictions develop</w:t>
      </w:r>
      <w:r>
        <w:rPr>
          <w:rFonts w:eastAsia="Arial"/>
        </w:rPr>
        <w:t>ed</w:t>
      </w:r>
      <w:r w:rsidRPr="00843A16">
        <w:rPr>
          <w:rFonts w:eastAsia="Arial"/>
        </w:rPr>
        <w:t xml:space="preserve"> legislation, regulations and guidance and then resource</w:t>
      </w:r>
      <w:r>
        <w:rPr>
          <w:rFonts w:eastAsia="Arial"/>
        </w:rPr>
        <w:t>d</w:t>
      </w:r>
      <w:r w:rsidRPr="00843A16">
        <w:rPr>
          <w:rFonts w:eastAsia="Arial"/>
        </w:rPr>
        <w:t xml:space="preserve"> compliance teams. Statutory reviews were undertaken for </w:t>
      </w:r>
      <w:r w:rsidR="008E4F3F">
        <w:rPr>
          <w:rFonts w:eastAsia="Arial"/>
        </w:rPr>
        <w:t xml:space="preserve">the </w:t>
      </w:r>
      <w:r>
        <w:rPr>
          <w:rFonts w:eastAsia="Arial"/>
        </w:rPr>
        <w:t>3</w:t>
      </w:r>
      <w:r w:rsidRPr="00843A16">
        <w:rPr>
          <w:rFonts w:eastAsia="Arial"/>
        </w:rPr>
        <w:t xml:space="preserve"> </w:t>
      </w:r>
      <w:r w:rsidR="008E4F3F">
        <w:rPr>
          <w:rFonts w:eastAsia="Arial"/>
        </w:rPr>
        <w:t xml:space="preserve">Australian Government </w:t>
      </w:r>
      <w:r w:rsidRPr="00843A16">
        <w:rPr>
          <w:rFonts w:eastAsia="Arial"/>
        </w:rPr>
        <w:t>measures (prohibition of lines of credit, payday lenders</w:t>
      </w:r>
      <w:r>
        <w:rPr>
          <w:rFonts w:eastAsia="Arial"/>
        </w:rPr>
        <w:t xml:space="preserve"> and </w:t>
      </w:r>
      <w:r w:rsidRPr="00843A16">
        <w:rPr>
          <w:rFonts w:eastAsia="Arial"/>
        </w:rPr>
        <w:t>the NSER</w:t>
      </w:r>
      <w:r>
        <w:rPr>
          <w:rFonts w:eastAsia="Arial"/>
        </w:rPr>
        <w:t xml:space="preserve">). </w:t>
      </w:r>
    </w:p>
    <w:p w14:paraId="293459FE" w14:textId="516085F1" w:rsidR="006F0797" w:rsidRDefault="006F0797" w:rsidP="006F0797">
      <w:pPr>
        <w:pStyle w:val="BodyText"/>
        <w:rPr>
          <w:rFonts w:eastAsia="Arial"/>
        </w:rPr>
      </w:pPr>
      <w:r w:rsidRPr="00843A16">
        <w:rPr>
          <w:rFonts w:eastAsia="Arial"/>
        </w:rPr>
        <w:t xml:space="preserve">Trialling and testing </w:t>
      </w:r>
      <w:r>
        <w:rPr>
          <w:rFonts w:eastAsia="Arial"/>
        </w:rPr>
        <w:t>were required</w:t>
      </w:r>
      <w:r w:rsidRPr="00843A16">
        <w:rPr>
          <w:rFonts w:eastAsia="Arial"/>
        </w:rPr>
        <w:t xml:space="preserve"> to help develop some measures and </w:t>
      </w:r>
      <w:r>
        <w:rPr>
          <w:rFonts w:eastAsia="Arial"/>
        </w:rPr>
        <w:t xml:space="preserve">third-party </w:t>
      </w:r>
      <w:r w:rsidRPr="00843A16">
        <w:rPr>
          <w:rFonts w:eastAsia="Arial"/>
        </w:rPr>
        <w:t xml:space="preserve">service providers were contracted to operate the NSER and </w:t>
      </w:r>
      <w:r>
        <w:rPr>
          <w:rFonts w:eastAsia="Arial"/>
        </w:rPr>
        <w:t xml:space="preserve">provide </w:t>
      </w:r>
      <w:r w:rsidRPr="00843A16">
        <w:rPr>
          <w:rFonts w:eastAsia="Arial"/>
        </w:rPr>
        <w:t xml:space="preserve">staff training. People with lived experience and WSPs provided vital input to </w:t>
      </w:r>
      <w:r>
        <w:rPr>
          <w:rFonts w:eastAsia="Arial"/>
        </w:rPr>
        <w:t xml:space="preserve">develop the NCPF </w:t>
      </w:r>
      <w:r w:rsidRPr="00843A16">
        <w:rPr>
          <w:rFonts w:eastAsia="Arial"/>
        </w:rPr>
        <w:t>measure</w:t>
      </w:r>
      <w:r>
        <w:rPr>
          <w:rFonts w:eastAsia="Arial"/>
        </w:rPr>
        <w:t>s</w:t>
      </w:r>
      <w:r w:rsidRPr="00843A16">
        <w:rPr>
          <w:rFonts w:eastAsia="Arial"/>
        </w:rPr>
        <w:t>. Wagering operators contribute to the cost of the NSER by paying a cost</w:t>
      </w:r>
      <w:r w:rsidR="00005BE0">
        <w:rPr>
          <w:rFonts w:eastAsia="Arial"/>
        </w:rPr>
        <w:t>-</w:t>
      </w:r>
      <w:r w:rsidRPr="00843A16">
        <w:rPr>
          <w:rFonts w:eastAsia="Arial"/>
        </w:rPr>
        <w:t xml:space="preserve">recovery levy (ACMA, 2025). </w:t>
      </w:r>
    </w:p>
    <w:p w14:paraId="023B95FE" w14:textId="6A100F19" w:rsidR="00450C6E" w:rsidRPr="00883419" w:rsidRDefault="002F75A2" w:rsidP="00450C6E">
      <w:pPr>
        <w:pStyle w:val="Heading3"/>
        <w:keepLines w:val="0"/>
      </w:pPr>
      <w:bookmarkStart w:id="85" w:name="_Toc233643292"/>
      <w:r>
        <w:t>Review and update of measures</w:t>
      </w:r>
      <w:bookmarkEnd w:id="85"/>
    </w:p>
    <w:p w14:paraId="3571A131" w14:textId="7EFF5799" w:rsidR="00C94ABF" w:rsidRDefault="002825DB" w:rsidP="00C06551">
      <w:pPr>
        <w:pStyle w:val="BodyText"/>
        <w:rPr>
          <w:rFonts w:eastAsia="Segoe UI"/>
        </w:rPr>
      </w:pPr>
      <w:r w:rsidRPr="00843A16">
        <w:rPr>
          <w:rFonts w:eastAsia="Segoe UI"/>
        </w:rPr>
        <w:t xml:space="preserve">The NPS noted that </w:t>
      </w:r>
      <w:r w:rsidR="3A33B071" w:rsidRPr="20EFEB94">
        <w:rPr>
          <w:rFonts w:eastAsia="Segoe UI"/>
        </w:rPr>
        <w:t>‘</w:t>
      </w:r>
      <w:r w:rsidRPr="00843A16">
        <w:rPr>
          <w:rFonts w:eastAsia="Segoe UI"/>
        </w:rPr>
        <w:t xml:space="preserve">the National Framework would be regularly reviewed, updated and refined </w:t>
      </w:r>
      <w:r w:rsidR="0055289B">
        <w:rPr>
          <w:rFonts w:eastAsia="Segoe UI"/>
        </w:rPr>
        <w:t xml:space="preserve">as part of its continuous improvement, </w:t>
      </w:r>
      <w:r w:rsidRPr="00843A16">
        <w:rPr>
          <w:rFonts w:eastAsia="Segoe UI"/>
        </w:rPr>
        <w:t xml:space="preserve">to keep pace with best-practice and the changing </w:t>
      </w:r>
      <w:r w:rsidR="0055289B">
        <w:rPr>
          <w:rFonts w:eastAsia="Segoe UI"/>
        </w:rPr>
        <w:t>gambling</w:t>
      </w:r>
      <w:r w:rsidRPr="00843A16">
        <w:rPr>
          <w:rFonts w:eastAsia="Segoe UI"/>
        </w:rPr>
        <w:t xml:space="preserve"> </w:t>
      </w:r>
      <w:r w:rsidRPr="20EFEB94">
        <w:rPr>
          <w:rFonts w:eastAsia="Segoe UI"/>
        </w:rPr>
        <w:t>environment</w:t>
      </w:r>
      <w:r w:rsidR="059D7590" w:rsidRPr="20EFEB94">
        <w:rPr>
          <w:rFonts w:eastAsia="Segoe UI"/>
        </w:rPr>
        <w:t>’</w:t>
      </w:r>
      <w:r w:rsidR="0055289B">
        <w:rPr>
          <w:rFonts w:eastAsia="Segoe UI"/>
        </w:rPr>
        <w:t xml:space="preserve"> (DSS, 20</w:t>
      </w:r>
      <w:r w:rsidR="00D5620C">
        <w:rPr>
          <w:rFonts w:eastAsia="Segoe UI"/>
        </w:rPr>
        <w:t>18</w:t>
      </w:r>
      <w:r w:rsidR="007D0587">
        <w:rPr>
          <w:rFonts w:eastAsia="Segoe UI"/>
        </w:rPr>
        <w:t>,</w:t>
      </w:r>
      <w:r w:rsidR="0055289B">
        <w:rPr>
          <w:rFonts w:eastAsia="Segoe UI"/>
        </w:rPr>
        <w:t xml:space="preserve"> p</w:t>
      </w:r>
      <w:r w:rsidR="007705AB">
        <w:rPr>
          <w:rFonts w:eastAsia="Segoe UI"/>
        </w:rPr>
        <w:t>.</w:t>
      </w:r>
      <w:r w:rsidR="0055289B">
        <w:rPr>
          <w:rFonts w:eastAsia="Segoe UI"/>
        </w:rPr>
        <w:t xml:space="preserve"> 1)</w:t>
      </w:r>
      <w:r w:rsidR="0094418D">
        <w:rPr>
          <w:rFonts w:eastAsia="Segoe UI"/>
        </w:rPr>
        <w:t>. The NPS further state</w:t>
      </w:r>
      <w:r w:rsidR="002F75A2">
        <w:rPr>
          <w:rFonts w:eastAsia="Segoe UI"/>
        </w:rPr>
        <w:t>d</w:t>
      </w:r>
      <w:r w:rsidR="0094418D">
        <w:rPr>
          <w:rFonts w:eastAsia="Segoe UI"/>
        </w:rPr>
        <w:t xml:space="preserve"> that the IGC will be </w:t>
      </w:r>
      <w:r w:rsidR="7832E94E" w:rsidRPr="20EFEB94">
        <w:rPr>
          <w:rFonts w:eastAsia="Segoe UI"/>
        </w:rPr>
        <w:t>‘</w:t>
      </w:r>
      <w:r w:rsidR="0094418D">
        <w:rPr>
          <w:rFonts w:eastAsia="Segoe UI"/>
        </w:rPr>
        <w:t xml:space="preserve">responsible for assessing, monitoring and </w:t>
      </w:r>
      <w:r w:rsidR="00C06551">
        <w:rPr>
          <w:rFonts w:eastAsia="Segoe UI"/>
        </w:rPr>
        <w:t>determining</w:t>
      </w:r>
      <w:r w:rsidR="0094418D">
        <w:rPr>
          <w:rFonts w:eastAsia="Segoe UI"/>
        </w:rPr>
        <w:t xml:space="preserve"> proposed changes to the National Framework, in accordance with the principles for maintaining consistency</w:t>
      </w:r>
      <w:r w:rsidR="7F6A0C62" w:rsidRPr="20EFEB94">
        <w:rPr>
          <w:rFonts w:eastAsia="Segoe UI"/>
        </w:rPr>
        <w:t>’</w:t>
      </w:r>
      <w:r w:rsidR="007D0587">
        <w:rPr>
          <w:rFonts w:eastAsia="Segoe UI"/>
        </w:rPr>
        <w:t xml:space="preserve"> </w:t>
      </w:r>
      <w:r w:rsidR="00C06551">
        <w:rPr>
          <w:rFonts w:eastAsia="Segoe UI"/>
        </w:rPr>
        <w:t xml:space="preserve">(DSS, 2018, </w:t>
      </w:r>
      <w:r w:rsidR="00063182">
        <w:rPr>
          <w:rFonts w:eastAsia="Segoe UI"/>
        </w:rPr>
        <w:t xml:space="preserve">p. </w:t>
      </w:r>
      <w:r w:rsidR="00C06551">
        <w:rPr>
          <w:rFonts w:eastAsia="Segoe UI"/>
        </w:rPr>
        <w:t xml:space="preserve">20). </w:t>
      </w:r>
    </w:p>
    <w:p w14:paraId="3BAABAEC" w14:textId="3D54D1DC" w:rsidR="00711CDE" w:rsidRDefault="002825DB" w:rsidP="00C06551">
      <w:pPr>
        <w:pStyle w:val="BodyText"/>
        <w:rPr>
          <w:rFonts w:eastAsia="Segoe UI"/>
        </w:rPr>
      </w:pPr>
      <w:r w:rsidRPr="00843A16">
        <w:rPr>
          <w:rFonts w:eastAsia="Segoe UI"/>
        </w:rPr>
        <w:t>Mechanisms for refin</w:t>
      </w:r>
      <w:r w:rsidR="00B36FF7">
        <w:rPr>
          <w:rFonts w:eastAsia="Segoe UI"/>
        </w:rPr>
        <w:t>ing</w:t>
      </w:r>
      <w:r w:rsidR="00F211BC">
        <w:rPr>
          <w:rFonts w:eastAsia="Segoe UI"/>
        </w:rPr>
        <w:t xml:space="preserve"> </w:t>
      </w:r>
      <w:r w:rsidR="00774857">
        <w:rPr>
          <w:rFonts w:eastAsia="Segoe UI"/>
        </w:rPr>
        <w:t xml:space="preserve">3 </w:t>
      </w:r>
      <w:r w:rsidR="00F211BC">
        <w:rPr>
          <w:rFonts w:eastAsia="Segoe UI"/>
        </w:rPr>
        <w:t xml:space="preserve">Commonwealth measures </w:t>
      </w:r>
      <w:r w:rsidRPr="00843A16">
        <w:rPr>
          <w:rFonts w:eastAsia="Segoe UI"/>
        </w:rPr>
        <w:t>were built into the NPS</w:t>
      </w:r>
      <w:r w:rsidR="000C2A06" w:rsidRPr="00843A16">
        <w:rPr>
          <w:rFonts w:eastAsia="Segoe UI"/>
        </w:rPr>
        <w:t>: credit</w:t>
      </w:r>
      <w:r w:rsidR="00774857">
        <w:rPr>
          <w:rFonts w:eastAsia="Segoe UI"/>
        </w:rPr>
        <w:t xml:space="preserve"> betting</w:t>
      </w:r>
      <w:r w:rsidR="000C2A06" w:rsidRPr="00843A16">
        <w:rPr>
          <w:rFonts w:eastAsia="Segoe UI"/>
        </w:rPr>
        <w:t xml:space="preserve"> prohibitions, customer verification and </w:t>
      </w:r>
      <w:r w:rsidR="00F32E13" w:rsidRPr="00843A16">
        <w:rPr>
          <w:rFonts w:eastAsia="Segoe UI"/>
        </w:rPr>
        <w:t>the NSER</w:t>
      </w:r>
      <w:r w:rsidR="00FA4AE4">
        <w:rPr>
          <w:rFonts w:eastAsia="Segoe UI"/>
        </w:rPr>
        <w:t xml:space="preserve"> (DSS, 2018)</w:t>
      </w:r>
      <w:r w:rsidR="008B5E97" w:rsidRPr="00843A16" w:rsidDel="008E3264">
        <w:rPr>
          <w:rFonts w:eastAsia="Segoe UI"/>
        </w:rPr>
        <w:t xml:space="preserve">. </w:t>
      </w:r>
      <w:r w:rsidR="002166A9">
        <w:rPr>
          <w:rFonts w:eastAsia="Segoe UI"/>
        </w:rPr>
        <w:t>These mechanisms were statutory reviews</w:t>
      </w:r>
      <w:r w:rsidR="003605F1">
        <w:rPr>
          <w:rFonts w:eastAsia="Segoe UI"/>
        </w:rPr>
        <w:t>,</w:t>
      </w:r>
      <w:r w:rsidR="002166A9">
        <w:rPr>
          <w:rFonts w:eastAsia="Segoe UI"/>
        </w:rPr>
        <w:t xml:space="preserve"> which </w:t>
      </w:r>
      <w:r w:rsidR="003605F1">
        <w:rPr>
          <w:rFonts w:eastAsia="Segoe UI"/>
        </w:rPr>
        <w:t>are</w:t>
      </w:r>
      <w:r w:rsidR="009A67B4">
        <w:rPr>
          <w:rFonts w:eastAsia="Segoe UI"/>
        </w:rPr>
        <w:t xml:space="preserve"> review</w:t>
      </w:r>
      <w:r w:rsidR="003605F1">
        <w:rPr>
          <w:rFonts w:eastAsia="Segoe UI"/>
        </w:rPr>
        <w:t>s</w:t>
      </w:r>
      <w:r w:rsidR="009A67B4">
        <w:rPr>
          <w:rFonts w:eastAsia="Segoe UI"/>
        </w:rPr>
        <w:t xml:space="preserve"> mandated in </w:t>
      </w:r>
      <w:r w:rsidR="00611D93">
        <w:rPr>
          <w:rFonts w:eastAsia="Segoe UI"/>
        </w:rPr>
        <w:t>legislation</w:t>
      </w:r>
      <w:r w:rsidR="009A67B4">
        <w:rPr>
          <w:rFonts w:eastAsia="Segoe UI"/>
        </w:rPr>
        <w:t xml:space="preserve"> </w:t>
      </w:r>
      <w:r w:rsidR="003605F1">
        <w:rPr>
          <w:rFonts w:eastAsia="Segoe UI"/>
        </w:rPr>
        <w:t xml:space="preserve">requiring </w:t>
      </w:r>
      <w:r w:rsidR="009A67B4">
        <w:rPr>
          <w:rFonts w:eastAsia="Segoe UI"/>
        </w:rPr>
        <w:t xml:space="preserve">the effectiveness of </w:t>
      </w:r>
      <w:r w:rsidR="003605F1">
        <w:rPr>
          <w:rFonts w:eastAsia="Segoe UI"/>
        </w:rPr>
        <w:t xml:space="preserve">an </w:t>
      </w:r>
      <w:r w:rsidR="009A67B4">
        <w:rPr>
          <w:rFonts w:eastAsia="Segoe UI"/>
        </w:rPr>
        <w:t>Act to be examine</w:t>
      </w:r>
      <w:r w:rsidR="006015B2">
        <w:rPr>
          <w:rFonts w:eastAsia="Segoe UI"/>
        </w:rPr>
        <w:t>d</w:t>
      </w:r>
      <w:r w:rsidR="009A67B4">
        <w:rPr>
          <w:rFonts w:eastAsia="Segoe UI"/>
        </w:rPr>
        <w:t xml:space="preserve"> after a set time, with the findings </w:t>
      </w:r>
      <w:r w:rsidR="001B7159">
        <w:rPr>
          <w:rFonts w:eastAsia="Segoe UI"/>
        </w:rPr>
        <w:t xml:space="preserve">usually </w:t>
      </w:r>
      <w:r w:rsidR="009A67B4">
        <w:rPr>
          <w:rFonts w:eastAsia="Segoe UI"/>
        </w:rPr>
        <w:t>reported</w:t>
      </w:r>
      <w:r w:rsidR="001B7159">
        <w:rPr>
          <w:rFonts w:eastAsia="Segoe UI"/>
        </w:rPr>
        <w:t xml:space="preserve"> publicly</w:t>
      </w:r>
      <w:r w:rsidR="00964DD4">
        <w:rPr>
          <w:rFonts w:eastAsia="Segoe UI"/>
        </w:rPr>
        <w:t>.</w:t>
      </w:r>
    </w:p>
    <w:p w14:paraId="4B03E5A6" w14:textId="169AAD33" w:rsidR="008B3FAB" w:rsidRDefault="0055052C" w:rsidP="00C07328">
      <w:pPr>
        <w:pStyle w:val="BodyText"/>
        <w:rPr>
          <w:rFonts w:eastAsia="Arial"/>
        </w:rPr>
      </w:pPr>
      <w:r>
        <w:rPr>
          <w:rFonts w:eastAsia="Segoe UI"/>
        </w:rPr>
        <w:t xml:space="preserve">The other measures were not subject to </w:t>
      </w:r>
      <w:r w:rsidR="00031D90">
        <w:rPr>
          <w:rFonts w:eastAsia="Segoe UI"/>
        </w:rPr>
        <w:t xml:space="preserve">cross-jurisdictional </w:t>
      </w:r>
      <w:r w:rsidR="007758F8">
        <w:rPr>
          <w:rFonts w:eastAsia="Segoe UI"/>
        </w:rPr>
        <w:t>review and refinement</w:t>
      </w:r>
      <w:r w:rsidR="00E44FC6">
        <w:rPr>
          <w:rFonts w:eastAsia="Segoe UI"/>
        </w:rPr>
        <w:t xml:space="preserve">, </w:t>
      </w:r>
      <w:r w:rsidR="008D02AF">
        <w:rPr>
          <w:rFonts w:eastAsia="Segoe UI"/>
        </w:rPr>
        <w:t xml:space="preserve">although </w:t>
      </w:r>
      <w:r w:rsidR="00031D90">
        <w:rPr>
          <w:rFonts w:eastAsia="Segoe UI"/>
        </w:rPr>
        <w:t>several jurisdictions</w:t>
      </w:r>
      <w:r w:rsidR="008D02AF">
        <w:rPr>
          <w:rFonts w:eastAsia="Segoe UI"/>
        </w:rPr>
        <w:t xml:space="preserve"> did </w:t>
      </w:r>
      <w:r w:rsidR="00477DE6">
        <w:rPr>
          <w:rFonts w:eastAsia="Segoe UI"/>
        </w:rPr>
        <w:t>refine measures</w:t>
      </w:r>
      <w:r w:rsidR="00031D90">
        <w:rPr>
          <w:rFonts w:eastAsia="Segoe UI"/>
        </w:rPr>
        <w:t xml:space="preserve"> individually</w:t>
      </w:r>
      <w:r w:rsidR="00B147B2">
        <w:rPr>
          <w:rFonts w:eastAsia="Segoe UI"/>
        </w:rPr>
        <w:t xml:space="preserve">. </w:t>
      </w:r>
      <w:r w:rsidR="00C06BCC">
        <w:rPr>
          <w:rFonts w:eastAsia="Segoe UI"/>
        </w:rPr>
        <w:t xml:space="preserve">Victoria </w:t>
      </w:r>
      <w:r w:rsidR="00B147B2" w:rsidRPr="00843A16">
        <w:t xml:space="preserve">updated </w:t>
      </w:r>
      <w:r w:rsidR="00031D90">
        <w:t xml:space="preserve">their </w:t>
      </w:r>
      <w:r w:rsidR="00AA671D">
        <w:t xml:space="preserve">guidance for </w:t>
      </w:r>
      <w:r w:rsidR="00B147B2" w:rsidRPr="00843A16">
        <w:t xml:space="preserve">operators </w:t>
      </w:r>
      <w:r w:rsidR="00031D90">
        <w:t>to</w:t>
      </w:r>
      <w:r w:rsidR="00AA671D">
        <w:t xml:space="preserve"> </w:t>
      </w:r>
      <w:r w:rsidR="0005726C">
        <w:t>impose</w:t>
      </w:r>
      <w:r w:rsidR="00B147B2" w:rsidRPr="00843A16">
        <w:t xml:space="preserve"> stricter requirements for the content of activity statements (</w:t>
      </w:r>
      <w:r w:rsidR="009312D7" w:rsidRPr="00843A16">
        <w:t xml:space="preserve">Victorian Gambling and Casino Control Commission </w:t>
      </w:r>
      <w:r w:rsidR="009312D7">
        <w:t>[</w:t>
      </w:r>
      <w:r w:rsidR="00B147B2" w:rsidRPr="00843A16">
        <w:t>VGCCC</w:t>
      </w:r>
      <w:r w:rsidR="009312D7">
        <w:t>]</w:t>
      </w:r>
      <w:r w:rsidR="00B147B2" w:rsidRPr="00843A16">
        <w:t xml:space="preserve">, 2023). </w:t>
      </w:r>
      <w:r w:rsidR="00477DE6">
        <w:t>It</w:t>
      </w:r>
      <w:r w:rsidR="00AB4E7D">
        <w:t xml:space="preserve"> also refined </w:t>
      </w:r>
      <w:r w:rsidR="00522260">
        <w:t xml:space="preserve">its </w:t>
      </w:r>
      <w:r w:rsidR="00A4627C">
        <w:t xml:space="preserve">guidance </w:t>
      </w:r>
      <w:r w:rsidR="00522260">
        <w:t>on</w:t>
      </w:r>
      <w:r w:rsidR="00A4627C">
        <w:t xml:space="preserve"> direct marketing, moving from </w:t>
      </w:r>
      <w:r w:rsidR="009A1543">
        <w:t xml:space="preserve">an </w:t>
      </w:r>
      <w:r w:rsidR="00B147B2">
        <w:t>opt-out</w:t>
      </w:r>
      <w:r w:rsidR="00B147B2" w:rsidRPr="00843A16">
        <w:t xml:space="preserve"> to </w:t>
      </w:r>
      <w:r w:rsidR="00B147B2">
        <w:t>opt-</w:t>
      </w:r>
      <w:r w:rsidR="00B147B2" w:rsidRPr="00843A16">
        <w:t xml:space="preserve">in model (Victoria </w:t>
      </w:r>
      <w:r w:rsidR="00B147B2">
        <w:t>Government</w:t>
      </w:r>
      <w:r w:rsidR="00B147B2" w:rsidRPr="00843A16">
        <w:t xml:space="preserve"> Gazette, 2022).</w:t>
      </w:r>
      <w:r w:rsidR="00C06BCC">
        <w:rPr>
          <w:rFonts w:eastAsia="Segoe UI"/>
        </w:rPr>
        <w:t xml:space="preserve"> </w:t>
      </w:r>
      <w:r w:rsidR="00DF63FE">
        <w:rPr>
          <w:rFonts w:eastAsia="Segoe UI"/>
        </w:rPr>
        <w:t>South Australia adopted this model</w:t>
      </w:r>
      <w:r w:rsidR="000B5C1F">
        <w:rPr>
          <w:rFonts w:eastAsia="Segoe UI"/>
        </w:rPr>
        <w:t xml:space="preserve"> of direct marketing</w:t>
      </w:r>
      <w:r w:rsidR="00DF63FE">
        <w:rPr>
          <w:rFonts w:eastAsia="Segoe UI"/>
        </w:rPr>
        <w:t xml:space="preserve"> </w:t>
      </w:r>
      <w:r w:rsidR="00366EE9">
        <w:rPr>
          <w:rFonts w:eastAsia="Segoe UI"/>
        </w:rPr>
        <w:t xml:space="preserve">in the </w:t>
      </w:r>
      <w:r w:rsidR="000B5C1F">
        <w:rPr>
          <w:rFonts w:eastAsia="Segoe UI"/>
          <w:i/>
          <w:iCs/>
        </w:rPr>
        <w:t>Authorised Betting Operations Gambling Code of Practice</w:t>
      </w:r>
      <w:r w:rsidR="00366EE9">
        <w:rPr>
          <w:rFonts w:eastAsia="Segoe UI"/>
        </w:rPr>
        <w:t xml:space="preserve"> on 30 March 2023</w:t>
      </w:r>
      <w:r w:rsidR="00AB2AB8">
        <w:rPr>
          <w:rFonts w:eastAsia="Segoe UI"/>
        </w:rPr>
        <w:t>.</w:t>
      </w:r>
      <w:r w:rsidR="00366EE9">
        <w:rPr>
          <w:rFonts w:eastAsia="Segoe UI"/>
        </w:rPr>
        <w:t xml:space="preserve"> </w:t>
      </w:r>
      <w:r w:rsidR="00D07A34">
        <w:rPr>
          <w:rFonts w:eastAsia="Segoe UI"/>
        </w:rPr>
        <w:t xml:space="preserve">Western Australia </w:t>
      </w:r>
      <w:r w:rsidR="00AB2AB8">
        <w:rPr>
          <w:rFonts w:eastAsia="Segoe UI"/>
        </w:rPr>
        <w:t xml:space="preserve">also </w:t>
      </w:r>
      <w:r w:rsidR="00D07A34">
        <w:rPr>
          <w:rFonts w:eastAsia="Segoe UI"/>
        </w:rPr>
        <w:t>adopted this</w:t>
      </w:r>
      <w:r w:rsidR="00522260">
        <w:rPr>
          <w:rFonts w:eastAsia="Segoe UI"/>
        </w:rPr>
        <w:t xml:space="preserve"> </w:t>
      </w:r>
      <w:r w:rsidR="00C04702">
        <w:rPr>
          <w:rFonts w:eastAsia="Segoe UI"/>
        </w:rPr>
        <w:t xml:space="preserve">model </w:t>
      </w:r>
      <w:r w:rsidR="00D07A34">
        <w:rPr>
          <w:rFonts w:eastAsia="Segoe UI"/>
        </w:rPr>
        <w:t xml:space="preserve">on </w:t>
      </w:r>
      <w:r w:rsidR="007B24A9">
        <w:rPr>
          <w:rFonts w:eastAsia="Segoe UI"/>
        </w:rPr>
        <w:lastRenderedPageBreak/>
        <w:t>6</w:t>
      </w:r>
      <w:r w:rsidR="00725EB3">
        <w:rPr>
          <w:rFonts w:eastAsia="Segoe UI"/>
        </w:rPr>
        <w:t> </w:t>
      </w:r>
      <w:r w:rsidR="007B24A9">
        <w:rPr>
          <w:rFonts w:eastAsia="Segoe UI"/>
        </w:rPr>
        <w:t xml:space="preserve">February 2025 </w:t>
      </w:r>
      <w:r w:rsidR="00C04702">
        <w:rPr>
          <w:rFonts w:eastAsia="Segoe UI"/>
        </w:rPr>
        <w:t xml:space="preserve">when they </w:t>
      </w:r>
      <w:r w:rsidR="00323288">
        <w:rPr>
          <w:rFonts w:eastAsia="Segoe UI"/>
        </w:rPr>
        <w:t xml:space="preserve">amended the </w:t>
      </w:r>
      <w:r w:rsidR="00323288">
        <w:rPr>
          <w:rFonts w:eastAsia="Segoe UI"/>
          <w:i/>
          <w:iCs/>
        </w:rPr>
        <w:t>Betting Control Regulations</w:t>
      </w:r>
      <w:r w:rsidR="0085390D">
        <w:rPr>
          <w:rFonts w:eastAsia="Segoe UI"/>
          <w:i/>
          <w:iCs/>
        </w:rPr>
        <w:t xml:space="preserve"> 1978</w:t>
      </w:r>
      <w:r w:rsidR="00287276">
        <w:rPr>
          <w:rFonts w:eastAsia="Segoe UI"/>
          <w:i/>
          <w:iCs/>
        </w:rPr>
        <w:t xml:space="preserve"> </w:t>
      </w:r>
      <w:r w:rsidR="007B24A9">
        <w:rPr>
          <w:rFonts w:eastAsia="Segoe UI"/>
        </w:rPr>
        <w:t>to legislate</w:t>
      </w:r>
      <w:r w:rsidR="00C04702">
        <w:rPr>
          <w:rFonts w:eastAsia="Segoe UI"/>
        </w:rPr>
        <w:t xml:space="preserve"> the NCPF</w:t>
      </w:r>
      <w:r w:rsidR="007B24A9">
        <w:rPr>
          <w:rFonts w:eastAsia="Segoe UI"/>
        </w:rPr>
        <w:t>.</w:t>
      </w:r>
      <w:r w:rsidR="00C04702">
        <w:rPr>
          <w:rFonts w:eastAsia="Segoe UI"/>
        </w:rPr>
        <w:t xml:space="preserve"> </w:t>
      </w:r>
      <w:r w:rsidR="00C07328">
        <w:rPr>
          <w:rFonts w:eastAsia="Segoe UI"/>
        </w:rPr>
        <w:t xml:space="preserve">NSW issued guidance on </w:t>
      </w:r>
      <w:r w:rsidR="00D06481" w:rsidRPr="00843A16">
        <w:rPr>
          <w:rFonts w:eastAsia="Arial"/>
        </w:rPr>
        <w:t>the volume and tone</w:t>
      </w:r>
      <w:r w:rsidR="007B24A9">
        <w:rPr>
          <w:rFonts w:eastAsia="Arial"/>
        </w:rPr>
        <w:t xml:space="preserve"> requirements</w:t>
      </w:r>
      <w:r w:rsidR="00AF6B74" w:rsidRPr="00843A16">
        <w:rPr>
          <w:rFonts w:eastAsia="Arial"/>
        </w:rPr>
        <w:t xml:space="preserve"> </w:t>
      </w:r>
      <w:r w:rsidR="004F6EC2" w:rsidRPr="00843A16">
        <w:rPr>
          <w:rFonts w:eastAsia="Arial"/>
        </w:rPr>
        <w:t>for de</w:t>
      </w:r>
      <w:r w:rsidR="00F1149B" w:rsidRPr="00843A16">
        <w:rPr>
          <w:rFonts w:eastAsia="Arial"/>
        </w:rPr>
        <w:t>livering the CGM taglines</w:t>
      </w:r>
      <w:r w:rsidR="00642E1E" w:rsidRPr="00843A16">
        <w:rPr>
          <w:rFonts w:eastAsia="Arial"/>
        </w:rPr>
        <w:t xml:space="preserve"> (</w:t>
      </w:r>
      <w:r w:rsidR="00AB3276" w:rsidRPr="00843A16">
        <w:rPr>
          <w:rFonts w:eastAsia="Arial"/>
        </w:rPr>
        <w:t>Liquor &amp; Gaming NSW, 2023)</w:t>
      </w:r>
      <w:r w:rsidR="005A6177" w:rsidRPr="00843A16">
        <w:rPr>
          <w:rFonts w:eastAsia="Arial"/>
        </w:rPr>
        <w:t>.</w:t>
      </w:r>
      <w:r w:rsidR="00A40363" w:rsidRPr="00843A16">
        <w:rPr>
          <w:rFonts w:eastAsia="Arial"/>
        </w:rPr>
        <w:t xml:space="preserve"> </w:t>
      </w:r>
    </w:p>
    <w:p w14:paraId="78EA1FE1" w14:textId="532FD622" w:rsidR="00112552" w:rsidRPr="00843A16" w:rsidRDefault="000B14E1" w:rsidP="00C07328">
      <w:pPr>
        <w:pStyle w:val="BodyText"/>
        <w:rPr>
          <w:rFonts w:eastAsia="Arial"/>
        </w:rPr>
      </w:pPr>
      <w:r>
        <w:t xml:space="preserve">It </w:t>
      </w:r>
      <w:r w:rsidR="007035A6">
        <w:t xml:space="preserve">is reasonable to assert that there was a missed opportunity to review the </w:t>
      </w:r>
      <w:r w:rsidR="00945AEE">
        <w:t>remaining</w:t>
      </w:r>
      <w:r w:rsidR="00112552">
        <w:t xml:space="preserve"> measures </w:t>
      </w:r>
      <w:r w:rsidR="00874AC6">
        <w:t>earlier</w:t>
      </w:r>
      <w:r w:rsidR="00112552">
        <w:t xml:space="preserve"> </w:t>
      </w:r>
      <w:proofErr w:type="gramStart"/>
      <w:r w:rsidR="007035A6">
        <w:t>in order to</w:t>
      </w:r>
      <w:proofErr w:type="gramEnd"/>
      <w:r w:rsidR="007035A6">
        <w:t xml:space="preserve"> </w:t>
      </w:r>
      <w:r w:rsidR="00E730A6">
        <w:t xml:space="preserve">identify and make changes to </w:t>
      </w:r>
      <w:r w:rsidR="00EE1656">
        <w:rPr>
          <w:rFonts w:eastAsia="Segoe UI"/>
        </w:rPr>
        <w:t>improv</w:t>
      </w:r>
      <w:r w:rsidR="00B74FF8">
        <w:rPr>
          <w:rFonts w:eastAsia="Segoe UI"/>
        </w:rPr>
        <w:t>e</w:t>
      </w:r>
      <w:r w:rsidR="00112552">
        <w:rPr>
          <w:rFonts w:eastAsia="Segoe UI"/>
        </w:rPr>
        <w:t xml:space="preserve"> the</w:t>
      </w:r>
      <w:r w:rsidR="00E730A6">
        <w:rPr>
          <w:rFonts w:eastAsia="Segoe UI"/>
        </w:rPr>
        <w:t>ir</w:t>
      </w:r>
      <w:r w:rsidR="00112552">
        <w:rPr>
          <w:rFonts w:eastAsia="Segoe UI"/>
        </w:rPr>
        <w:t xml:space="preserve"> effectiveness.</w:t>
      </w:r>
      <w:r w:rsidR="0091650E">
        <w:rPr>
          <w:rFonts w:eastAsia="Segoe UI"/>
        </w:rPr>
        <w:t xml:space="preserve"> </w:t>
      </w:r>
      <w:r w:rsidR="00EB5129">
        <w:rPr>
          <w:rFonts w:eastAsia="Segoe UI"/>
        </w:rPr>
        <w:t>As outlined later in the report, m</w:t>
      </w:r>
      <w:r w:rsidR="00B07AA1">
        <w:rPr>
          <w:rFonts w:eastAsia="Segoe UI"/>
        </w:rPr>
        <w:t>easures to address deficiencies</w:t>
      </w:r>
      <w:r w:rsidR="005E4FAA">
        <w:rPr>
          <w:rFonts w:eastAsia="Segoe UI"/>
        </w:rPr>
        <w:t xml:space="preserve"> such as confusion over </w:t>
      </w:r>
      <w:r w:rsidR="00701F58">
        <w:rPr>
          <w:rFonts w:eastAsia="Segoe UI"/>
        </w:rPr>
        <w:t>account closure</w:t>
      </w:r>
      <w:r w:rsidR="00BE4D30">
        <w:rPr>
          <w:rFonts w:eastAsia="Segoe UI"/>
        </w:rPr>
        <w:t>,</w:t>
      </w:r>
      <w:r w:rsidR="00701F58">
        <w:rPr>
          <w:rFonts w:eastAsia="Segoe UI"/>
        </w:rPr>
        <w:t xml:space="preserve"> </w:t>
      </w:r>
      <w:r w:rsidR="001D3F55">
        <w:rPr>
          <w:rFonts w:eastAsia="Segoe UI"/>
        </w:rPr>
        <w:t xml:space="preserve">account suspension, self-exclusion </w:t>
      </w:r>
      <w:r w:rsidR="00F37035">
        <w:rPr>
          <w:rFonts w:eastAsia="Segoe UI"/>
        </w:rPr>
        <w:t xml:space="preserve">and taking a break could have been identified and addressed in a </w:t>
      </w:r>
      <w:proofErr w:type="gramStart"/>
      <w:r w:rsidR="00F37035">
        <w:rPr>
          <w:rFonts w:eastAsia="Segoe UI"/>
        </w:rPr>
        <w:t>more timely</w:t>
      </w:r>
      <w:proofErr w:type="gramEnd"/>
      <w:r w:rsidR="00F37035">
        <w:rPr>
          <w:rFonts w:eastAsia="Segoe UI"/>
        </w:rPr>
        <w:t xml:space="preserve"> manner. </w:t>
      </w:r>
    </w:p>
    <w:p w14:paraId="027EF597" w14:textId="4C83E552" w:rsidR="00380D4F" w:rsidRPr="00843A16" w:rsidRDefault="00A81D75" w:rsidP="00074143">
      <w:pPr>
        <w:pStyle w:val="Heading2"/>
      </w:pPr>
      <w:bookmarkStart w:id="86" w:name="_Were_the_measures_1"/>
      <w:bookmarkStart w:id="87" w:name="_Toc233643293"/>
      <w:bookmarkEnd w:id="86"/>
      <w:r>
        <w:t>W</w:t>
      </w:r>
      <w:r w:rsidR="00F24A3D">
        <w:t>ere the measures pr</w:t>
      </w:r>
      <w:r w:rsidR="005E02C9">
        <w:t>omot</w:t>
      </w:r>
      <w:r w:rsidR="00AB0132">
        <w:t>ed consistent</w:t>
      </w:r>
      <w:r w:rsidR="00E5039A">
        <w:t>ly</w:t>
      </w:r>
      <w:r w:rsidR="00AB0132">
        <w:t xml:space="preserve"> and what has been the level of awareness and uptake?</w:t>
      </w:r>
      <w:bookmarkEnd w:id="87"/>
    </w:p>
    <w:p w14:paraId="0346A2A1" w14:textId="77777777" w:rsidR="00161BB7" w:rsidRPr="00843A16" w:rsidRDefault="00161BB7" w:rsidP="00575ECC">
      <w:pPr>
        <w:pStyle w:val="BoxHeading1"/>
      </w:pPr>
      <w:r w:rsidRPr="00843A16">
        <w:t>Key findings</w:t>
      </w:r>
    </w:p>
    <w:p w14:paraId="29656429" w14:textId="24C9704D" w:rsidR="0033497A" w:rsidRDefault="00161BB7" w:rsidP="0004207B">
      <w:pPr>
        <w:pStyle w:val="BoxBulletList"/>
        <w:rPr>
          <w:rFonts w:eastAsia="Arial"/>
        </w:rPr>
      </w:pPr>
      <w:r>
        <w:rPr>
          <w:rFonts w:eastAsia="Arial"/>
        </w:rPr>
        <w:t xml:space="preserve">Promotion and education of the NCPF measures by </w:t>
      </w:r>
      <w:r w:rsidR="0033497A">
        <w:rPr>
          <w:rFonts w:eastAsia="Arial"/>
        </w:rPr>
        <w:t>governments</w:t>
      </w:r>
      <w:r>
        <w:rPr>
          <w:rFonts w:eastAsia="Arial"/>
        </w:rPr>
        <w:t xml:space="preserve"> and WSPs </w:t>
      </w:r>
      <w:r w:rsidR="00892A77">
        <w:rPr>
          <w:rFonts w:eastAsia="Arial"/>
        </w:rPr>
        <w:t xml:space="preserve">have </w:t>
      </w:r>
      <w:r>
        <w:rPr>
          <w:rFonts w:eastAsia="Arial"/>
        </w:rPr>
        <w:t xml:space="preserve">been limited. Awareness of the measures is generally low, especially for measures that WSPs are not required to actively promote under the </w:t>
      </w:r>
      <w:r w:rsidR="00EF14F5">
        <w:rPr>
          <w:rFonts w:eastAsia="Arial"/>
        </w:rPr>
        <w:t>f</w:t>
      </w:r>
      <w:r>
        <w:rPr>
          <w:rFonts w:eastAsia="Arial"/>
        </w:rPr>
        <w:t xml:space="preserve">ramework. </w:t>
      </w:r>
    </w:p>
    <w:p w14:paraId="31C043AD" w14:textId="4531844D" w:rsidR="0033497A" w:rsidRDefault="0033497A" w:rsidP="0004207B">
      <w:pPr>
        <w:pStyle w:val="BoxBulletList"/>
        <w:rPr>
          <w:rFonts w:eastAsia="Arial"/>
        </w:rPr>
      </w:pPr>
      <w:r>
        <w:rPr>
          <w:rFonts w:eastAsia="Arial"/>
        </w:rPr>
        <w:t>There is low uptake of measures that require customer activation (</w:t>
      </w:r>
      <w:r w:rsidR="00892A77">
        <w:rPr>
          <w:rFonts w:eastAsia="Arial"/>
        </w:rPr>
        <w:t>e.g.</w:t>
      </w:r>
      <w:r>
        <w:rPr>
          <w:rFonts w:eastAsia="Arial"/>
        </w:rPr>
        <w:t xml:space="preserve"> deposit limits, account closure and NSER registration). Use of activity statements that require customer engagement is also low. </w:t>
      </w:r>
    </w:p>
    <w:p w14:paraId="37F101F7" w14:textId="67D8C85F" w:rsidR="0033497A" w:rsidRDefault="0033497A" w:rsidP="0004207B">
      <w:pPr>
        <w:pStyle w:val="BoxBulletList"/>
        <w:rPr>
          <w:rFonts w:eastAsia="Arial"/>
        </w:rPr>
      </w:pPr>
      <w:r>
        <w:rPr>
          <w:rFonts w:eastAsia="Arial"/>
        </w:rPr>
        <w:t xml:space="preserve">There is agreement from WSPs, consumers and a </w:t>
      </w:r>
      <w:r w:rsidR="005E30FC">
        <w:rPr>
          <w:rFonts w:eastAsia="Arial"/>
        </w:rPr>
        <w:t xml:space="preserve">key </w:t>
      </w:r>
      <w:r>
        <w:rPr>
          <w:rFonts w:eastAsia="Arial"/>
        </w:rPr>
        <w:t>harm advocacy body about the need for more promotion and education of the measures.</w:t>
      </w:r>
    </w:p>
    <w:p w14:paraId="3C17C23C" w14:textId="5C6D0B90" w:rsidR="005F4185" w:rsidRPr="008F1023" w:rsidRDefault="005F4185" w:rsidP="005F4185">
      <w:pPr>
        <w:pStyle w:val="BoxHeading2"/>
      </w:pPr>
      <w:r>
        <w:t>Recommendations</w:t>
      </w:r>
    </w:p>
    <w:p w14:paraId="5C7D6568" w14:textId="6DCFB219" w:rsidR="00973656" w:rsidRPr="00741FEB" w:rsidRDefault="00973656" w:rsidP="00973656">
      <w:pPr>
        <w:pStyle w:val="BoxBulletList"/>
        <w:rPr>
          <w:rFonts w:eastAsia="Arial"/>
          <w:color w:val="005BA3" w:themeColor="accent4"/>
        </w:rPr>
      </w:pPr>
      <w:r w:rsidRPr="00741FEB">
        <w:rPr>
          <w:rFonts w:eastAsia="Arial"/>
          <w:b/>
          <w:color w:val="005BA3" w:themeColor="accent4"/>
        </w:rPr>
        <w:t>Recommendation 1a:</w:t>
      </w:r>
      <w:r w:rsidRPr="00741FEB">
        <w:rPr>
          <w:rFonts w:eastAsia="Arial"/>
          <w:color w:val="005BA3" w:themeColor="accent4"/>
        </w:rPr>
        <w:t xml:space="preserve">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0058318C" w:rsidRPr="00741FEB">
        <w:rPr>
          <w:rFonts w:eastAsia="Arial"/>
          <w:color w:val="005BA3" w:themeColor="accent4"/>
        </w:rPr>
        <w:t>R</w:t>
      </w:r>
      <w:r w:rsidRPr="00741FEB">
        <w:rPr>
          <w:rFonts w:eastAsia="Arial"/>
          <w:color w:val="005BA3" w:themeColor="accent4"/>
        </w:rPr>
        <w:t xml:space="preserve">egular whole-of-community awareness campaigns </w:t>
      </w:r>
      <w:r w:rsidR="00A16EFF">
        <w:rPr>
          <w:rFonts w:eastAsia="Arial"/>
          <w:color w:val="005BA3" w:themeColor="accent4"/>
        </w:rPr>
        <w:t>should</w:t>
      </w:r>
      <w:r w:rsidR="00892A77">
        <w:rPr>
          <w:rFonts w:eastAsia="Arial"/>
          <w:color w:val="005BA3" w:themeColor="accent4"/>
        </w:rPr>
        <w:t xml:space="preserve"> </w:t>
      </w:r>
      <w:r w:rsidR="001F6A28">
        <w:rPr>
          <w:rFonts w:eastAsia="Arial"/>
          <w:color w:val="005BA3" w:themeColor="accent4"/>
        </w:rPr>
        <w:t xml:space="preserve">be </w:t>
      </w:r>
      <w:r w:rsidR="00376F77">
        <w:rPr>
          <w:rFonts w:eastAsia="Arial"/>
          <w:color w:val="005BA3" w:themeColor="accent4"/>
        </w:rPr>
        <w:t>conduct</w:t>
      </w:r>
      <w:r w:rsidR="001F6A28">
        <w:rPr>
          <w:rFonts w:eastAsia="Arial"/>
          <w:color w:val="005BA3" w:themeColor="accent4"/>
        </w:rPr>
        <w:t xml:space="preserve">ed </w:t>
      </w:r>
      <w:r w:rsidRPr="00741FEB">
        <w:rPr>
          <w:color w:val="005BA3" w:themeColor="accent4"/>
        </w:rPr>
        <w:t>to promote</w:t>
      </w:r>
      <w:r w:rsidR="00C163F0" w:rsidRPr="00741FEB">
        <w:rPr>
          <w:color w:val="005BA3" w:themeColor="accent4"/>
        </w:rPr>
        <w:t xml:space="preserve"> </w:t>
      </w:r>
      <w:r w:rsidR="0058485C" w:rsidRPr="00741FEB">
        <w:rPr>
          <w:color w:val="005BA3" w:themeColor="accent4"/>
        </w:rPr>
        <w:t xml:space="preserve">the </w:t>
      </w:r>
      <w:r w:rsidRPr="00741FEB">
        <w:rPr>
          <w:color w:val="005BA3" w:themeColor="accent4"/>
        </w:rPr>
        <w:t>NCPF, with supplementary campaigns targeted towards high-risk consumers</w:t>
      </w:r>
      <w:r w:rsidRPr="00741FEB" w:rsidDel="00B060A1">
        <w:rPr>
          <w:color w:val="005BA3" w:themeColor="accent4"/>
        </w:rPr>
        <w:t xml:space="preserve"> explaining how consumers can activate and engage with measures.</w:t>
      </w:r>
      <w:r w:rsidRPr="00741FEB">
        <w:rPr>
          <w:color w:val="005BA3" w:themeColor="accent4"/>
        </w:rPr>
        <w:t xml:space="preserve"> </w:t>
      </w:r>
    </w:p>
    <w:p w14:paraId="51A82989" w14:textId="7A512849" w:rsidR="00973656" w:rsidRPr="00741FEB" w:rsidRDefault="00973656" w:rsidP="00973656">
      <w:pPr>
        <w:pStyle w:val="BoxBulletList"/>
        <w:rPr>
          <w:rFonts w:eastAsia="Arial"/>
          <w:color w:val="005BA3" w:themeColor="accent4"/>
        </w:rPr>
      </w:pPr>
      <w:r w:rsidRPr="00741FEB">
        <w:rPr>
          <w:rFonts w:eastAsia="Arial"/>
          <w:b/>
          <w:color w:val="005BA3" w:themeColor="accent4"/>
        </w:rPr>
        <w:t xml:space="preserve">Recommendation 1b: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00613236" w:rsidRPr="00741FEB">
        <w:rPr>
          <w:rFonts w:eastAsia="Arial"/>
          <w:color w:val="005BA3" w:themeColor="accent4"/>
        </w:rPr>
        <w:t>R</w:t>
      </w:r>
      <w:r w:rsidRPr="00741FEB">
        <w:rPr>
          <w:rFonts w:eastAsia="Arial"/>
          <w:color w:val="005BA3" w:themeColor="accent4"/>
        </w:rPr>
        <w:t xml:space="preserve">egular education campaigns </w:t>
      </w:r>
      <w:r w:rsidR="00C902C9" w:rsidRPr="00741FEB">
        <w:rPr>
          <w:rFonts w:eastAsia="Arial"/>
          <w:color w:val="005BA3" w:themeColor="accent4"/>
        </w:rPr>
        <w:t xml:space="preserve">should be </w:t>
      </w:r>
      <w:r w:rsidR="00282C09">
        <w:rPr>
          <w:rFonts w:eastAsia="Arial"/>
          <w:color w:val="005BA3" w:themeColor="accent4"/>
        </w:rPr>
        <w:t>conducted</w:t>
      </w:r>
      <w:r w:rsidR="00C902C9" w:rsidRPr="00741FEB">
        <w:rPr>
          <w:rFonts w:eastAsia="Arial"/>
          <w:color w:val="005BA3" w:themeColor="accent4"/>
        </w:rPr>
        <w:t xml:space="preserve"> </w:t>
      </w:r>
      <w:r w:rsidRPr="00741FEB">
        <w:rPr>
          <w:rFonts w:eastAsia="Arial"/>
          <w:color w:val="005BA3" w:themeColor="accent4"/>
        </w:rPr>
        <w:t xml:space="preserve">to promote </w:t>
      </w:r>
      <w:r w:rsidRPr="00741FEB" w:rsidDel="00C902C9">
        <w:rPr>
          <w:rFonts w:eastAsia="Arial"/>
          <w:color w:val="005BA3" w:themeColor="accent4"/>
        </w:rPr>
        <w:t xml:space="preserve">the NCPF and </w:t>
      </w:r>
      <w:r w:rsidRPr="00741FEB">
        <w:rPr>
          <w:rFonts w:eastAsia="Arial"/>
          <w:color w:val="005BA3" w:themeColor="accent4"/>
        </w:rPr>
        <w:t xml:space="preserve">how consumers can activate and engage with </w:t>
      </w:r>
      <w:r w:rsidR="002647E8">
        <w:rPr>
          <w:rFonts w:eastAsia="Arial"/>
          <w:color w:val="005BA3" w:themeColor="accent4"/>
        </w:rPr>
        <w:t xml:space="preserve">the NCPF </w:t>
      </w:r>
      <w:r w:rsidRPr="00741FEB">
        <w:rPr>
          <w:rFonts w:eastAsia="Arial"/>
          <w:color w:val="005BA3" w:themeColor="accent4"/>
        </w:rPr>
        <w:t xml:space="preserve">measures. These campaigns should focus on health professionals, financial counsellors, bank employees and frontline assistance workers so they can direct clients to the NCPF measures. </w:t>
      </w:r>
    </w:p>
    <w:p w14:paraId="3638EED8" w14:textId="53F0550E" w:rsidR="0033497A" w:rsidRPr="00741FEB" w:rsidRDefault="0033497A" w:rsidP="00973656">
      <w:pPr>
        <w:pStyle w:val="BoxBulletList"/>
        <w:rPr>
          <w:rFonts w:eastAsia="Arial"/>
          <w:color w:val="005BA3" w:themeColor="accent4"/>
        </w:rPr>
      </w:pPr>
      <w:r w:rsidRPr="00741FEB">
        <w:rPr>
          <w:rFonts w:eastAsia="Arial"/>
          <w:b/>
          <w:color w:val="005BA3" w:themeColor="accent4"/>
        </w:rPr>
        <w:t xml:space="preserve">Recommendation 1c: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Pr="00741FEB">
        <w:rPr>
          <w:rFonts w:eastAsia="Arial"/>
          <w:color w:val="005BA3" w:themeColor="accent4"/>
        </w:rPr>
        <w:t xml:space="preserve">Promotion and education campaigns should be evaluated to measure their effectiveness </w:t>
      </w:r>
      <w:r w:rsidR="00A16EFF">
        <w:rPr>
          <w:rFonts w:eastAsia="Arial"/>
          <w:color w:val="005BA3" w:themeColor="accent4"/>
        </w:rPr>
        <w:t>at</w:t>
      </w:r>
      <w:r w:rsidR="00A16EFF" w:rsidRPr="00741FEB">
        <w:rPr>
          <w:rFonts w:eastAsia="Arial"/>
          <w:color w:val="005BA3" w:themeColor="accent4"/>
        </w:rPr>
        <w:t xml:space="preserve"> </w:t>
      </w:r>
      <w:r w:rsidRPr="00741FEB">
        <w:rPr>
          <w:rFonts w:eastAsia="Arial"/>
          <w:color w:val="005BA3" w:themeColor="accent4"/>
        </w:rPr>
        <w:t xml:space="preserve">increasing consumer awareness and </w:t>
      </w:r>
      <w:r w:rsidR="00973656" w:rsidRPr="00741FEB">
        <w:rPr>
          <w:rFonts w:eastAsia="Arial"/>
          <w:color w:val="005BA3" w:themeColor="accent4"/>
        </w:rPr>
        <w:t>engagement with the NCPF.</w:t>
      </w:r>
      <w:r w:rsidRPr="00741FEB">
        <w:rPr>
          <w:rFonts w:eastAsia="Arial"/>
          <w:color w:val="005BA3" w:themeColor="accent4"/>
        </w:rPr>
        <w:t xml:space="preserve"> </w:t>
      </w:r>
    </w:p>
    <w:p w14:paraId="48A81502" w14:textId="5E694035" w:rsidR="0033497A" w:rsidRPr="00741FEB" w:rsidRDefault="0033497A" w:rsidP="00973656">
      <w:pPr>
        <w:pStyle w:val="BoxBulletList"/>
        <w:rPr>
          <w:rFonts w:eastAsia="Arial"/>
          <w:color w:val="005BA3" w:themeColor="accent4"/>
        </w:rPr>
      </w:pPr>
      <w:r w:rsidRPr="00741FEB">
        <w:rPr>
          <w:rFonts w:eastAsia="Arial"/>
          <w:b/>
          <w:color w:val="005BA3" w:themeColor="accent4"/>
        </w:rPr>
        <w:t>Recommendation 1d:</w:t>
      </w:r>
      <w:r w:rsidRPr="00741FEB">
        <w:rPr>
          <w:rFonts w:eastAsia="Arial"/>
          <w:color w:val="005BA3" w:themeColor="accent4"/>
        </w:rPr>
        <w:t xml:space="preserve">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Pr="00741FEB">
        <w:rPr>
          <w:rFonts w:eastAsia="Arial"/>
          <w:color w:val="005BA3" w:themeColor="accent4"/>
        </w:rPr>
        <w:t xml:space="preserve">Australian governments should ensure fact sheets and guides for consumers explaining how the NCPF tools work and the protection they offer </w:t>
      </w:r>
      <w:r w:rsidR="00AA2DEF" w:rsidRPr="00741FEB">
        <w:rPr>
          <w:rFonts w:eastAsia="Arial"/>
          <w:color w:val="005BA3" w:themeColor="accent4"/>
        </w:rPr>
        <w:t xml:space="preserve">are </w:t>
      </w:r>
      <w:r w:rsidRPr="00741FEB">
        <w:rPr>
          <w:rFonts w:eastAsia="Arial"/>
          <w:color w:val="005BA3" w:themeColor="accent4"/>
        </w:rPr>
        <w:t>available online on help-providing sites</w:t>
      </w:r>
      <w:r w:rsidR="00AE6D08">
        <w:rPr>
          <w:rFonts w:eastAsia="Arial"/>
          <w:color w:val="005BA3" w:themeColor="accent4"/>
        </w:rPr>
        <w:t xml:space="preserve"> and other channels</w:t>
      </w:r>
      <w:r w:rsidRPr="00741FEB">
        <w:rPr>
          <w:rFonts w:eastAsia="Arial"/>
          <w:color w:val="005BA3" w:themeColor="accent4"/>
        </w:rPr>
        <w:t>.</w:t>
      </w:r>
      <w:r w:rsidR="00E57305">
        <w:rPr>
          <w:rFonts w:eastAsia="Arial"/>
          <w:color w:val="005BA3" w:themeColor="accent4"/>
        </w:rPr>
        <w:t xml:space="preserve"> These fact sheets should include advice on how consumers can make complaints if they are concerned that WSPs are not compliant with the NCPF measures.</w:t>
      </w:r>
    </w:p>
    <w:p w14:paraId="0F1D2AAF" w14:textId="26F986D6" w:rsidR="00C638D7" w:rsidRDefault="007C4B51" w:rsidP="001B1E75">
      <w:pPr>
        <w:pStyle w:val="BodyText"/>
        <w:rPr>
          <w:rFonts w:eastAsia="Arial"/>
          <w:color w:val="000000" w:themeColor="text1"/>
        </w:rPr>
      </w:pPr>
      <w:r>
        <w:rPr>
          <w:rFonts w:eastAsia="Arial"/>
          <w:color w:val="000000" w:themeColor="text1"/>
        </w:rPr>
        <w:t xml:space="preserve">The theory of change </w:t>
      </w:r>
      <w:r w:rsidR="000E4DFA">
        <w:rPr>
          <w:rFonts w:eastAsia="Arial"/>
          <w:color w:val="000000" w:themeColor="text1"/>
        </w:rPr>
        <w:t xml:space="preserve">for </w:t>
      </w:r>
      <w:r w:rsidR="007773CC">
        <w:rPr>
          <w:rFonts w:eastAsia="Arial"/>
          <w:color w:val="000000" w:themeColor="text1"/>
        </w:rPr>
        <w:t xml:space="preserve">the </w:t>
      </w:r>
      <w:r w:rsidR="00060C4A">
        <w:rPr>
          <w:rFonts w:eastAsia="Arial"/>
          <w:color w:val="000000" w:themeColor="text1"/>
        </w:rPr>
        <w:t xml:space="preserve">NCPF </w:t>
      </w:r>
      <w:r w:rsidR="001F524B">
        <w:rPr>
          <w:rFonts w:eastAsia="Arial"/>
          <w:color w:val="000000" w:themeColor="text1"/>
        </w:rPr>
        <w:t xml:space="preserve">assumes that </w:t>
      </w:r>
      <w:r w:rsidR="00DB3B90">
        <w:rPr>
          <w:rFonts w:eastAsia="Arial"/>
          <w:color w:val="000000" w:themeColor="text1"/>
        </w:rPr>
        <w:t>p</w:t>
      </w:r>
      <w:r w:rsidR="00CE400E">
        <w:rPr>
          <w:rFonts w:eastAsia="Arial"/>
          <w:color w:val="000000" w:themeColor="text1"/>
        </w:rPr>
        <w:t xml:space="preserve">romotion </w:t>
      </w:r>
      <w:r w:rsidR="005E4BD1">
        <w:rPr>
          <w:rFonts w:eastAsia="Arial"/>
          <w:color w:val="000000" w:themeColor="text1"/>
        </w:rPr>
        <w:t xml:space="preserve">and communication </w:t>
      </w:r>
      <w:r w:rsidR="00CE400E">
        <w:rPr>
          <w:rFonts w:eastAsia="Arial"/>
          <w:color w:val="000000" w:themeColor="text1"/>
        </w:rPr>
        <w:t xml:space="preserve">of </w:t>
      </w:r>
      <w:r w:rsidR="005E4BD1">
        <w:rPr>
          <w:rFonts w:eastAsia="Arial"/>
          <w:color w:val="000000" w:themeColor="text1"/>
        </w:rPr>
        <w:t xml:space="preserve">the </w:t>
      </w:r>
      <w:r w:rsidR="00615435">
        <w:rPr>
          <w:rFonts w:eastAsia="Arial"/>
          <w:color w:val="000000" w:themeColor="text1"/>
        </w:rPr>
        <w:t xml:space="preserve">NCPF </w:t>
      </w:r>
      <w:r w:rsidR="005E4BD1">
        <w:rPr>
          <w:rFonts w:eastAsia="Arial"/>
          <w:color w:val="000000" w:themeColor="text1"/>
        </w:rPr>
        <w:t xml:space="preserve">to the community </w:t>
      </w:r>
      <w:r w:rsidR="00A76C76">
        <w:rPr>
          <w:rFonts w:eastAsia="Arial"/>
          <w:color w:val="000000" w:themeColor="text1"/>
        </w:rPr>
        <w:t xml:space="preserve">will </w:t>
      </w:r>
      <w:r w:rsidR="00BD3DCA">
        <w:rPr>
          <w:rFonts w:eastAsia="Arial"/>
          <w:color w:val="000000" w:themeColor="text1"/>
        </w:rPr>
        <w:t xml:space="preserve">increase public awareness of </w:t>
      </w:r>
      <w:r w:rsidR="00A60F81">
        <w:rPr>
          <w:rFonts w:eastAsia="Arial"/>
          <w:color w:val="000000" w:themeColor="text1"/>
        </w:rPr>
        <w:t xml:space="preserve">the </w:t>
      </w:r>
      <w:r w:rsidR="00BD3DCA">
        <w:rPr>
          <w:rFonts w:eastAsia="Arial"/>
          <w:color w:val="000000" w:themeColor="text1"/>
        </w:rPr>
        <w:t>measures.</w:t>
      </w:r>
      <w:r w:rsidR="00B46668">
        <w:rPr>
          <w:rFonts w:eastAsia="Arial"/>
          <w:color w:val="000000" w:themeColor="text1"/>
        </w:rPr>
        <w:t xml:space="preserve"> </w:t>
      </w:r>
      <w:r w:rsidR="00CA2E2D">
        <w:rPr>
          <w:rFonts w:eastAsia="Arial"/>
          <w:color w:val="000000" w:themeColor="text1"/>
        </w:rPr>
        <w:t xml:space="preserve">Awareness </w:t>
      </w:r>
      <w:r w:rsidR="00947038">
        <w:rPr>
          <w:rFonts w:eastAsia="Arial"/>
          <w:color w:val="000000" w:themeColor="text1"/>
        </w:rPr>
        <w:t xml:space="preserve">of the measures </w:t>
      </w:r>
      <w:r w:rsidR="00A60F81">
        <w:rPr>
          <w:rFonts w:eastAsia="Arial"/>
          <w:color w:val="000000" w:themeColor="text1"/>
        </w:rPr>
        <w:t>is</w:t>
      </w:r>
      <w:r w:rsidR="00947038">
        <w:rPr>
          <w:rFonts w:eastAsia="Arial"/>
          <w:color w:val="000000" w:themeColor="text1"/>
        </w:rPr>
        <w:t xml:space="preserve"> </w:t>
      </w:r>
      <w:r w:rsidR="00B46668">
        <w:rPr>
          <w:rFonts w:eastAsia="Arial"/>
          <w:color w:val="000000" w:themeColor="text1"/>
        </w:rPr>
        <w:t>then</w:t>
      </w:r>
      <w:r w:rsidR="00BF18CA">
        <w:rPr>
          <w:rFonts w:eastAsia="Arial"/>
          <w:color w:val="000000" w:themeColor="text1"/>
        </w:rPr>
        <w:t xml:space="preserve"> assumed to</w:t>
      </w:r>
      <w:r w:rsidR="00B46668">
        <w:rPr>
          <w:rFonts w:eastAsia="Arial"/>
          <w:color w:val="000000" w:themeColor="text1"/>
        </w:rPr>
        <w:t xml:space="preserve"> </w:t>
      </w:r>
      <w:r w:rsidR="00CA2E2D">
        <w:rPr>
          <w:rFonts w:eastAsia="Arial"/>
          <w:color w:val="000000" w:themeColor="text1"/>
        </w:rPr>
        <w:t xml:space="preserve">lead to an increase in public confidence </w:t>
      </w:r>
      <w:r w:rsidR="000F259C">
        <w:rPr>
          <w:rFonts w:eastAsia="Arial"/>
          <w:color w:val="000000" w:themeColor="text1"/>
        </w:rPr>
        <w:t xml:space="preserve">of the consumer protection measures </w:t>
      </w:r>
      <w:r w:rsidR="000F259C">
        <w:rPr>
          <w:rFonts w:eastAsia="Arial"/>
          <w:color w:val="000000" w:themeColor="text1"/>
        </w:rPr>
        <w:lastRenderedPageBreak/>
        <w:t>for online wagering.</w:t>
      </w:r>
      <w:r w:rsidR="00B46668">
        <w:rPr>
          <w:rFonts w:eastAsia="Arial"/>
          <w:color w:val="000000" w:themeColor="text1"/>
        </w:rPr>
        <w:t xml:space="preserve"> </w:t>
      </w:r>
      <w:r w:rsidR="00986A8D">
        <w:rPr>
          <w:rFonts w:eastAsia="Arial"/>
          <w:color w:val="000000" w:themeColor="text1"/>
        </w:rPr>
        <w:t>This</w:t>
      </w:r>
      <w:r w:rsidR="00A16EFF">
        <w:rPr>
          <w:rFonts w:eastAsia="Arial"/>
          <w:color w:val="000000" w:themeColor="text1"/>
        </w:rPr>
        <w:t>,</w:t>
      </w:r>
      <w:r w:rsidR="00986A8D">
        <w:rPr>
          <w:rFonts w:eastAsia="Arial"/>
          <w:color w:val="000000" w:themeColor="text1"/>
        </w:rPr>
        <w:t xml:space="preserve"> in turn</w:t>
      </w:r>
      <w:r w:rsidR="00A16EFF">
        <w:rPr>
          <w:rFonts w:eastAsia="Arial"/>
          <w:color w:val="000000" w:themeColor="text1"/>
        </w:rPr>
        <w:t>,</w:t>
      </w:r>
      <w:r w:rsidR="000F259C">
        <w:rPr>
          <w:rFonts w:eastAsia="Arial"/>
          <w:color w:val="000000" w:themeColor="text1"/>
        </w:rPr>
        <w:t xml:space="preserve"> </w:t>
      </w:r>
      <w:r w:rsidR="00BF18CA">
        <w:rPr>
          <w:rFonts w:eastAsia="Arial"/>
          <w:color w:val="000000" w:themeColor="text1"/>
        </w:rPr>
        <w:t xml:space="preserve">should </w:t>
      </w:r>
      <w:r w:rsidR="000F259C">
        <w:rPr>
          <w:rFonts w:eastAsia="Arial"/>
          <w:color w:val="000000" w:themeColor="text1"/>
        </w:rPr>
        <w:t>result in</w:t>
      </w:r>
      <w:r w:rsidR="00BF18CA">
        <w:rPr>
          <w:rFonts w:eastAsia="Arial"/>
          <w:color w:val="000000" w:themeColor="text1"/>
        </w:rPr>
        <w:t xml:space="preserve"> </w:t>
      </w:r>
      <w:r w:rsidR="000F259C">
        <w:rPr>
          <w:rFonts w:eastAsia="Arial"/>
          <w:color w:val="000000" w:themeColor="text1"/>
        </w:rPr>
        <w:t>uptake of the measures</w:t>
      </w:r>
      <w:r w:rsidR="0044469D">
        <w:rPr>
          <w:rFonts w:eastAsia="Arial"/>
          <w:color w:val="000000" w:themeColor="text1"/>
        </w:rPr>
        <w:t xml:space="preserve"> </w:t>
      </w:r>
      <w:r w:rsidR="00472FA1">
        <w:rPr>
          <w:rFonts w:eastAsia="Arial"/>
          <w:color w:val="000000" w:themeColor="text1"/>
        </w:rPr>
        <w:t>increasing</w:t>
      </w:r>
      <w:r w:rsidR="0044469D">
        <w:rPr>
          <w:rFonts w:eastAsia="Arial"/>
          <w:color w:val="000000" w:themeColor="text1"/>
        </w:rPr>
        <w:t xml:space="preserve"> (see </w:t>
      </w:r>
      <w:hyperlink w:anchor="_Appendix_B:_Program" w:history="1">
        <w:r w:rsidR="00E50575">
          <w:rPr>
            <w:rStyle w:val="Hyperlink"/>
            <w:rFonts w:eastAsia="Arial"/>
            <w:b/>
            <w:bCs/>
          </w:rPr>
          <w:t>Appendix B</w:t>
        </w:r>
      </w:hyperlink>
      <w:r w:rsidR="0044469D">
        <w:rPr>
          <w:rFonts w:eastAsia="Arial"/>
          <w:color w:val="000000" w:themeColor="text1"/>
        </w:rPr>
        <w:t>)</w:t>
      </w:r>
      <w:r w:rsidR="000F259C">
        <w:rPr>
          <w:rFonts w:eastAsia="Arial"/>
          <w:color w:val="000000" w:themeColor="text1"/>
        </w:rPr>
        <w:t xml:space="preserve">. </w:t>
      </w:r>
    </w:p>
    <w:p w14:paraId="57C0F6B9" w14:textId="0AD9E875" w:rsidR="0097491F" w:rsidRPr="001C02BA" w:rsidRDefault="003F2EA1" w:rsidP="001B1E75">
      <w:pPr>
        <w:pStyle w:val="BodyText"/>
      </w:pPr>
      <w:r>
        <w:rPr>
          <w:rFonts w:eastAsia="Arial"/>
          <w:color w:val="000000" w:themeColor="text1"/>
        </w:rPr>
        <w:t>T</w:t>
      </w:r>
      <w:r w:rsidR="007A6C16" w:rsidRPr="001C02BA">
        <w:rPr>
          <w:rFonts w:eastAsia="Arial"/>
          <w:color w:val="000000" w:themeColor="text1"/>
        </w:rPr>
        <w:t>he current evaluation does</w:t>
      </w:r>
      <w:r w:rsidR="007A6C16" w:rsidRPr="00AF57B8">
        <w:rPr>
          <w:rFonts w:eastAsia="Arial"/>
          <w:color w:val="000000" w:themeColor="text1"/>
        </w:rPr>
        <w:t xml:space="preserve"> not </w:t>
      </w:r>
      <w:r w:rsidR="006D6DE8" w:rsidRPr="00AF57B8">
        <w:rPr>
          <w:rFonts w:eastAsia="Arial"/>
          <w:color w:val="000000" w:themeColor="text1"/>
        </w:rPr>
        <w:t xml:space="preserve">have evidence of causality </w:t>
      </w:r>
      <w:r w:rsidR="006D6DE8" w:rsidRPr="001C02BA">
        <w:rPr>
          <w:rFonts w:eastAsia="Arial"/>
          <w:color w:val="000000" w:themeColor="text1"/>
        </w:rPr>
        <w:t xml:space="preserve">between </w:t>
      </w:r>
      <w:r w:rsidR="00165CA4">
        <w:rPr>
          <w:rFonts w:eastAsia="Arial"/>
          <w:color w:val="000000" w:themeColor="text1"/>
        </w:rPr>
        <w:t xml:space="preserve">the </w:t>
      </w:r>
      <w:r w:rsidR="006D6DE8" w:rsidRPr="001C02BA">
        <w:rPr>
          <w:rFonts w:eastAsia="Arial"/>
          <w:color w:val="000000" w:themeColor="text1"/>
        </w:rPr>
        <w:t>measure</w:t>
      </w:r>
      <w:r w:rsidR="00165CA4">
        <w:rPr>
          <w:rFonts w:eastAsia="Arial"/>
          <w:color w:val="000000" w:themeColor="text1"/>
        </w:rPr>
        <w:t>s</w:t>
      </w:r>
      <w:r w:rsidR="006D6DE8" w:rsidRPr="001C02BA">
        <w:rPr>
          <w:rFonts w:eastAsia="Arial"/>
          <w:color w:val="000000" w:themeColor="text1"/>
        </w:rPr>
        <w:t xml:space="preserve"> </w:t>
      </w:r>
      <w:r w:rsidR="00165CA4">
        <w:rPr>
          <w:rFonts w:eastAsia="Arial"/>
          <w:color w:val="000000" w:themeColor="text1"/>
        </w:rPr>
        <w:t xml:space="preserve">of </w:t>
      </w:r>
      <w:r w:rsidR="006D6DE8" w:rsidRPr="001C02BA">
        <w:rPr>
          <w:rFonts w:eastAsia="Arial"/>
          <w:color w:val="000000" w:themeColor="text1"/>
        </w:rPr>
        <w:t>promotion and awareness, a</w:t>
      </w:r>
      <w:r w:rsidR="00880369" w:rsidRPr="001C02BA">
        <w:rPr>
          <w:rFonts w:eastAsia="Arial"/>
          <w:color w:val="000000" w:themeColor="text1"/>
        </w:rPr>
        <w:t>n</w:t>
      </w:r>
      <w:r w:rsidR="006D6DE8" w:rsidRPr="001C02BA">
        <w:rPr>
          <w:rFonts w:eastAsia="Arial"/>
          <w:color w:val="000000" w:themeColor="text1"/>
        </w:rPr>
        <w:t>d confidence</w:t>
      </w:r>
      <w:r w:rsidR="006A71A2" w:rsidRPr="001C02BA">
        <w:rPr>
          <w:rFonts w:eastAsia="Arial"/>
          <w:color w:val="000000" w:themeColor="text1"/>
        </w:rPr>
        <w:t xml:space="preserve"> and uptake. </w:t>
      </w:r>
      <w:r w:rsidR="00DC30A3" w:rsidRPr="001C02BA">
        <w:rPr>
          <w:rFonts w:eastAsia="Arial"/>
          <w:color w:val="000000" w:themeColor="text1"/>
        </w:rPr>
        <w:t xml:space="preserve">The evidence presented here only answers whether the </w:t>
      </w:r>
      <w:r w:rsidR="00B46B32">
        <w:rPr>
          <w:rFonts w:eastAsia="Arial"/>
          <w:color w:val="000000" w:themeColor="text1"/>
        </w:rPr>
        <w:t xml:space="preserve">NCPF </w:t>
      </w:r>
      <w:r w:rsidR="00DC30A3" w:rsidRPr="001C02BA">
        <w:rPr>
          <w:rFonts w:eastAsia="Arial"/>
          <w:color w:val="000000" w:themeColor="text1"/>
        </w:rPr>
        <w:t xml:space="preserve">has been </w:t>
      </w:r>
      <w:r w:rsidR="0013761F" w:rsidRPr="001C02BA">
        <w:rPr>
          <w:rFonts w:eastAsia="Arial"/>
          <w:color w:val="000000" w:themeColor="text1"/>
        </w:rPr>
        <w:t xml:space="preserve">promoted as required by the NPS </w:t>
      </w:r>
      <w:r w:rsidR="00526E1E" w:rsidRPr="001C02BA">
        <w:rPr>
          <w:rFonts w:eastAsia="Arial"/>
          <w:color w:val="000000" w:themeColor="text1"/>
        </w:rPr>
        <w:t xml:space="preserve">and the current levels of awareness and uptake </w:t>
      </w:r>
      <w:r w:rsidR="009D7217" w:rsidRPr="001C02BA">
        <w:rPr>
          <w:rFonts w:eastAsia="Arial"/>
          <w:color w:val="000000" w:themeColor="text1"/>
        </w:rPr>
        <w:t xml:space="preserve">among consumers. </w:t>
      </w:r>
    </w:p>
    <w:p w14:paraId="127132BF" w14:textId="7AAB4275" w:rsidR="009A6954" w:rsidRPr="00843A16" w:rsidRDefault="007528A5" w:rsidP="001C02BA">
      <w:pPr>
        <w:pStyle w:val="Heading3"/>
        <w:keepLines w:val="0"/>
      </w:pPr>
      <w:bookmarkStart w:id="88" w:name="_Toc233643294"/>
      <w:r>
        <w:t>Has the</w:t>
      </w:r>
      <w:r w:rsidR="00261411">
        <w:t xml:space="preserve">re been </w:t>
      </w:r>
      <w:r>
        <w:t>consistent promot</w:t>
      </w:r>
      <w:r w:rsidR="00261411">
        <w:t>ion</w:t>
      </w:r>
      <w:r>
        <w:t>, educat</w:t>
      </w:r>
      <w:r w:rsidR="00261411">
        <w:t>ion</w:t>
      </w:r>
      <w:r>
        <w:t xml:space="preserve"> and communicat</w:t>
      </w:r>
      <w:r w:rsidR="00261411">
        <w:t xml:space="preserve">ion of the National Framework </w:t>
      </w:r>
      <w:r w:rsidR="00465D70">
        <w:t>across jurisdictions?</w:t>
      </w:r>
      <w:bookmarkEnd w:id="88"/>
      <w:r w:rsidR="004434BA" w:rsidRPr="00843A16">
        <w:t xml:space="preserve"> </w:t>
      </w:r>
    </w:p>
    <w:p w14:paraId="1F99B51D" w14:textId="7315252B" w:rsidR="00D52588" w:rsidRDefault="003241F6" w:rsidP="00E511D6">
      <w:pPr>
        <w:pStyle w:val="BodyText"/>
        <w:rPr>
          <w:rFonts w:eastAsia="Arial"/>
        </w:rPr>
      </w:pPr>
      <w:r w:rsidRPr="00843A16">
        <w:rPr>
          <w:rFonts w:eastAsia="Arial"/>
        </w:rPr>
        <w:t xml:space="preserve">The NPS </w:t>
      </w:r>
      <w:r w:rsidR="00FE2D50" w:rsidRPr="00843A16">
        <w:rPr>
          <w:rFonts w:eastAsia="Arial"/>
        </w:rPr>
        <w:t xml:space="preserve">states that </w:t>
      </w:r>
      <w:r w:rsidR="003455B9">
        <w:rPr>
          <w:rFonts w:eastAsia="Arial"/>
        </w:rPr>
        <w:t xml:space="preserve">the </w:t>
      </w:r>
      <w:r w:rsidRPr="00843A16">
        <w:rPr>
          <w:rFonts w:eastAsia="Arial"/>
        </w:rPr>
        <w:t>Australian</w:t>
      </w:r>
      <w:r w:rsidR="00C1356E">
        <w:rPr>
          <w:rFonts w:eastAsia="Arial"/>
        </w:rPr>
        <w:t xml:space="preserve">, </w:t>
      </w:r>
      <w:r w:rsidR="003455B9">
        <w:rPr>
          <w:rFonts w:eastAsia="Arial"/>
        </w:rPr>
        <w:t>state and territory</w:t>
      </w:r>
      <w:r w:rsidRPr="00843A16">
        <w:rPr>
          <w:rFonts w:eastAsia="Arial"/>
        </w:rPr>
        <w:t xml:space="preserve"> </w:t>
      </w:r>
      <w:r w:rsidR="002D4637">
        <w:rPr>
          <w:rFonts w:eastAsia="Arial"/>
        </w:rPr>
        <w:t>g</w:t>
      </w:r>
      <w:r w:rsidR="009A13AF">
        <w:rPr>
          <w:rFonts w:eastAsia="Arial"/>
        </w:rPr>
        <w:t>overnment</w:t>
      </w:r>
      <w:r w:rsidRPr="00843A16">
        <w:rPr>
          <w:rFonts w:eastAsia="Arial"/>
        </w:rPr>
        <w:t xml:space="preserve">s </w:t>
      </w:r>
      <w:r w:rsidR="00FE2D50" w:rsidRPr="00843A16">
        <w:rPr>
          <w:rFonts w:eastAsia="Arial"/>
        </w:rPr>
        <w:t xml:space="preserve">are </w:t>
      </w:r>
      <w:r w:rsidR="00E9166A">
        <w:rPr>
          <w:rFonts w:eastAsia="Arial"/>
        </w:rPr>
        <w:t xml:space="preserve">committed </w:t>
      </w:r>
      <w:r w:rsidRPr="00843A16">
        <w:rPr>
          <w:rFonts w:eastAsia="Arial"/>
        </w:rPr>
        <w:t>to</w:t>
      </w:r>
      <w:r w:rsidR="00E20E60">
        <w:rPr>
          <w:rFonts w:eastAsia="Arial"/>
        </w:rPr>
        <w:t xml:space="preserve"> </w:t>
      </w:r>
      <w:r w:rsidR="00230FB4">
        <w:rPr>
          <w:rFonts w:eastAsia="Arial"/>
        </w:rPr>
        <w:t>‘</w:t>
      </w:r>
      <w:r w:rsidR="00E20E60">
        <w:rPr>
          <w:rFonts w:eastAsia="Arial"/>
        </w:rPr>
        <w:t>actively promot</w:t>
      </w:r>
      <w:r w:rsidR="00E9166A">
        <w:rPr>
          <w:rFonts w:eastAsia="Arial"/>
        </w:rPr>
        <w:t>ing</w:t>
      </w:r>
      <w:r w:rsidR="00C5465A">
        <w:rPr>
          <w:rFonts w:eastAsia="Arial"/>
        </w:rPr>
        <w:t xml:space="preserve"> an</w:t>
      </w:r>
      <w:r w:rsidR="00E20E60">
        <w:rPr>
          <w:rFonts w:eastAsia="Arial"/>
        </w:rPr>
        <w:t xml:space="preserve"> awareness and understanding of the </w:t>
      </w:r>
      <w:r w:rsidR="00C5465A">
        <w:rPr>
          <w:rFonts w:eastAsia="Arial"/>
        </w:rPr>
        <w:t>National Framework</w:t>
      </w:r>
      <w:r w:rsidR="00E20E60">
        <w:rPr>
          <w:rFonts w:eastAsia="Arial"/>
        </w:rPr>
        <w:t xml:space="preserve"> by providing information to consumers, the community, </w:t>
      </w:r>
      <w:r w:rsidR="00C5465A">
        <w:rPr>
          <w:rFonts w:eastAsia="Arial"/>
        </w:rPr>
        <w:t>industry</w:t>
      </w:r>
      <w:r w:rsidR="00BE2410">
        <w:rPr>
          <w:rFonts w:eastAsia="Arial"/>
        </w:rPr>
        <w:t>,</w:t>
      </w:r>
      <w:r w:rsidR="00E20E60">
        <w:rPr>
          <w:rFonts w:eastAsia="Arial"/>
        </w:rPr>
        <w:t xml:space="preserve"> and other stakeholders</w:t>
      </w:r>
      <w:r w:rsidR="00230FB4">
        <w:rPr>
          <w:rFonts w:eastAsia="Arial"/>
        </w:rPr>
        <w:t>’</w:t>
      </w:r>
      <w:r w:rsidR="00E20E60">
        <w:rPr>
          <w:rFonts w:eastAsia="Arial"/>
        </w:rPr>
        <w:t xml:space="preserve"> (</w:t>
      </w:r>
      <w:r w:rsidR="00C5465A">
        <w:rPr>
          <w:rFonts w:eastAsia="Arial"/>
        </w:rPr>
        <w:t xml:space="preserve">DSS, </w:t>
      </w:r>
      <w:r w:rsidR="00E20E60">
        <w:rPr>
          <w:rFonts w:eastAsia="Arial"/>
        </w:rPr>
        <w:t>2018, p.</w:t>
      </w:r>
      <w:r w:rsidR="00C5465A">
        <w:rPr>
          <w:rFonts w:eastAsia="Arial"/>
        </w:rPr>
        <w:t xml:space="preserve"> 5).</w:t>
      </w:r>
      <w:r w:rsidRPr="00843A16">
        <w:rPr>
          <w:rFonts w:eastAsia="Arial"/>
        </w:rPr>
        <w:t xml:space="preserve"> </w:t>
      </w:r>
      <w:r w:rsidR="00452088">
        <w:rPr>
          <w:rFonts w:eastAsia="Arial"/>
        </w:rPr>
        <w:t>S</w:t>
      </w:r>
      <w:r w:rsidR="00B949D6">
        <w:rPr>
          <w:rFonts w:eastAsia="Arial"/>
        </w:rPr>
        <w:t xml:space="preserve">ome measures have principles </w:t>
      </w:r>
      <w:r w:rsidR="00781501">
        <w:rPr>
          <w:rFonts w:eastAsia="Arial"/>
        </w:rPr>
        <w:t xml:space="preserve">regarding their </w:t>
      </w:r>
      <w:r w:rsidR="00CA1255">
        <w:rPr>
          <w:rFonts w:eastAsia="Arial"/>
        </w:rPr>
        <w:t>promotion</w:t>
      </w:r>
      <w:r w:rsidR="00FF3480">
        <w:rPr>
          <w:rFonts w:eastAsia="Arial"/>
        </w:rPr>
        <w:t xml:space="preserve"> </w:t>
      </w:r>
      <w:r w:rsidR="00C31572">
        <w:rPr>
          <w:rFonts w:eastAsia="Arial"/>
        </w:rPr>
        <w:t>to consumers</w:t>
      </w:r>
      <w:r w:rsidR="00CA1255">
        <w:rPr>
          <w:rFonts w:eastAsia="Arial"/>
        </w:rPr>
        <w:t>:</w:t>
      </w:r>
    </w:p>
    <w:p w14:paraId="26FE4774" w14:textId="04D28DF5" w:rsidR="00390443" w:rsidRDefault="002F4161" w:rsidP="004B0810">
      <w:pPr>
        <w:pStyle w:val="ListBullet"/>
        <w:rPr>
          <w:rFonts w:eastAsia="Arial"/>
          <w:color w:val="000000" w:themeColor="text1"/>
        </w:rPr>
      </w:pPr>
      <w:r w:rsidRPr="00FB411F">
        <w:rPr>
          <w:rFonts w:eastAsia="Arial"/>
          <w:b/>
          <w:bCs/>
          <w:color w:val="000000" w:themeColor="text1"/>
        </w:rPr>
        <w:t>Deposit limits</w:t>
      </w:r>
      <w:r w:rsidRPr="004B0810">
        <w:rPr>
          <w:rFonts w:eastAsia="Arial"/>
          <w:color w:val="000000" w:themeColor="text1"/>
        </w:rPr>
        <w:t xml:space="preserve">: </w:t>
      </w:r>
    </w:p>
    <w:p w14:paraId="0EC21F32" w14:textId="735535CF" w:rsidR="00CA1255" w:rsidRDefault="002F4161" w:rsidP="00390443">
      <w:pPr>
        <w:pStyle w:val="ListBullet2"/>
        <w:rPr>
          <w:rFonts w:eastAsia="Arial"/>
        </w:rPr>
      </w:pPr>
      <w:r w:rsidRPr="004B0810">
        <w:rPr>
          <w:rFonts w:eastAsia="Arial"/>
        </w:rPr>
        <w:t>A voluntary pre-commitment scheme must be easily accessible and effectively promoted to consumers.</w:t>
      </w:r>
    </w:p>
    <w:p w14:paraId="7B6BC034" w14:textId="3B99F2AF" w:rsidR="00167419" w:rsidRPr="0067546B" w:rsidRDefault="00167419" w:rsidP="00390443">
      <w:pPr>
        <w:pStyle w:val="ListBullet2"/>
        <w:rPr>
          <w:rFonts w:eastAsia="Arial"/>
        </w:rPr>
      </w:pPr>
      <w:r w:rsidRPr="002152BC">
        <w:rPr>
          <w:rFonts w:eastAsia="Arial" w:cs="Arial"/>
        </w:rPr>
        <w:t>A customer must be prompted to set a deposit limit during the account sign-up process</w:t>
      </w:r>
      <w:r w:rsidR="00561564">
        <w:rPr>
          <w:rFonts w:eastAsia="Arial" w:cs="Arial"/>
        </w:rPr>
        <w:t>.</w:t>
      </w:r>
    </w:p>
    <w:p w14:paraId="6287B43E" w14:textId="01956115" w:rsidR="0067546B" w:rsidRDefault="0067546B" w:rsidP="00390443">
      <w:pPr>
        <w:pStyle w:val="ListBullet2"/>
        <w:rPr>
          <w:rFonts w:eastAsia="Arial"/>
        </w:rPr>
      </w:pPr>
      <w:r w:rsidRPr="002152BC">
        <w:rPr>
          <w:rFonts w:eastAsia="Arial" w:cs="Arial"/>
        </w:rPr>
        <w:t>All customers must be prompted to set and review their deposit limit yearly</w:t>
      </w:r>
      <w:r w:rsidR="005365F2">
        <w:rPr>
          <w:rFonts w:eastAsia="Arial" w:cs="Arial"/>
        </w:rPr>
        <w:t>,</w:t>
      </w:r>
      <w:r w:rsidRPr="002152BC">
        <w:rPr>
          <w:rFonts w:eastAsia="Arial" w:cs="Arial"/>
        </w:rPr>
        <w:t xml:space="preserve"> at a minimum, including customers who have chosen not to set a limit (with further enhancement considered after tria</w:t>
      </w:r>
      <w:r w:rsidR="005F3540">
        <w:rPr>
          <w:rFonts w:eastAsia="Arial" w:cs="Arial"/>
        </w:rPr>
        <w:t>l</w:t>
      </w:r>
      <w:r w:rsidRPr="002152BC">
        <w:rPr>
          <w:rFonts w:eastAsia="Arial" w:cs="Arial"/>
        </w:rPr>
        <w:t>ling and testing).</w:t>
      </w:r>
    </w:p>
    <w:p w14:paraId="2814CE53" w14:textId="0DE8847B" w:rsidR="004B0810" w:rsidRPr="005C4614" w:rsidRDefault="00390443" w:rsidP="00390443">
      <w:pPr>
        <w:pStyle w:val="ListBullet2"/>
        <w:rPr>
          <w:rFonts w:eastAsia="Arial"/>
        </w:rPr>
      </w:pPr>
      <w:r w:rsidRPr="002152BC">
        <w:rPr>
          <w:rFonts w:eastAsia="Arial" w:cs="Arial"/>
        </w:rPr>
        <w:t>The availability of the pre-commitment scheme should be promoted beyond initial account sign-up, with education and awareness of the scheme shown on a</w:t>
      </w:r>
      <w:r w:rsidR="005F3540">
        <w:rPr>
          <w:rFonts w:eastAsia="Arial" w:cs="Arial"/>
        </w:rPr>
        <w:t xml:space="preserve"> </w:t>
      </w:r>
      <w:r w:rsidR="00FB411F">
        <w:rPr>
          <w:rFonts w:eastAsia="Arial" w:cs="Arial"/>
        </w:rPr>
        <w:t>WSP’s</w:t>
      </w:r>
      <w:r w:rsidR="00FB411F" w:rsidRPr="002152BC">
        <w:rPr>
          <w:rFonts w:eastAsia="Arial" w:cs="Arial"/>
        </w:rPr>
        <w:t xml:space="preserve"> </w:t>
      </w:r>
      <w:r w:rsidR="00FB411F">
        <w:rPr>
          <w:rFonts w:eastAsia="Arial" w:cs="Arial"/>
        </w:rPr>
        <w:t>website</w:t>
      </w:r>
      <w:r w:rsidRPr="002152BC">
        <w:rPr>
          <w:rFonts w:eastAsia="Arial" w:cs="Arial"/>
        </w:rPr>
        <w:t xml:space="preserve"> and </w:t>
      </w:r>
      <w:r w:rsidR="00FB3B01">
        <w:rPr>
          <w:rFonts w:eastAsia="Arial" w:cs="Arial"/>
        </w:rPr>
        <w:t>their</w:t>
      </w:r>
      <w:r w:rsidR="00FB3B01" w:rsidRPr="002152BC">
        <w:rPr>
          <w:rFonts w:eastAsia="Arial" w:cs="Arial"/>
        </w:rPr>
        <w:t xml:space="preserve"> </w:t>
      </w:r>
      <w:r w:rsidRPr="002152BC">
        <w:rPr>
          <w:rFonts w:eastAsia="Arial" w:cs="Arial"/>
        </w:rPr>
        <w:t>promotional material</w:t>
      </w:r>
      <w:r w:rsidR="005C4614">
        <w:rPr>
          <w:rFonts w:eastAsia="Arial" w:cs="Arial"/>
        </w:rPr>
        <w:t>.</w:t>
      </w:r>
    </w:p>
    <w:p w14:paraId="2BCD050E" w14:textId="30C60D3B" w:rsidR="00465D66" w:rsidRPr="001C02BA" w:rsidRDefault="00465D66" w:rsidP="00F41B94">
      <w:pPr>
        <w:pStyle w:val="ListBullet"/>
        <w:rPr>
          <w:rFonts w:eastAsia="Arial"/>
        </w:rPr>
      </w:pPr>
      <w:r w:rsidRPr="00FB411F">
        <w:rPr>
          <w:rFonts w:eastAsia="Arial"/>
          <w:b/>
          <w:bCs/>
        </w:rPr>
        <w:t>Activity statements</w:t>
      </w:r>
      <w:r>
        <w:rPr>
          <w:rFonts w:eastAsia="Arial"/>
        </w:rPr>
        <w:t xml:space="preserve">: </w:t>
      </w:r>
      <w:r w:rsidR="00165E60">
        <w:rPr>
          <w:rFonts w:eastAsia="Arial"/>
        </w:rPr>
        <w:t xml:space="preserve">must include </w:t>
      </w:r>
      <w:r w:rsidR="00FF3480" w:rsidRPr="00B72AFB">
        <w:rPr>
          <w:rFonts w:eastAsia="Arial" w:cs="Arial"/>
          <w:color w:val="auto"/>
        </w:rPr>
        <w:t>links and information on support services and safe gambling messaging that promotes available consumer protection tools.</w:t>
      </w:r>
    </w:p>
    <w:p w14:paraId="1D52582B" w14:textId="1A04FAA9" w:rsidR="000618EE" w:rsidRPr="005365F2" w:rsidRDefault="00135F14" w:rsidP="005365F2">
      <w:pPr>
        <w:pStyle w:val="ListBullet"/>
        <w:rPr>
          <w:rFonts w:eastAsia="Arial"/>
        </w:rPr>
      </w:pPr>
      <w:r w:rsidRPr="00FB411F">
        <w:rPr>
          <w:rFonts w:eastAsia="Arial"/>
          <w:b/>
          <w:bCs/>
        </w:rPr>
        <w:t>CGM</w:t>
      </w:r>
      <w:r w:rsidRPr="00574B12">
        <w:rPr>
          <w:rFonts w:eastAsia="Arial"/>
        </w:rPr>
        <w:t xml:space="preserve">: </w:t>
      </w:r>
      <w:r w:rsidR="00574B12" w:rsidRPr="005365F2">
        <w:rPr>
          <w:rFonts w:eastAsia="Arial"/>
        </w:rPr>
        <w:t>gambling message(s) must be used in connection with any interactive wagering service, including as it relates to the following: within their customers’ ‘My Account’ window; on their websites and internet applications; on direct marketing materials; on print and broadcast advertising; on any sponsorships and promotional activities.</w:t>
      </w:r>
    </w:p>
    <w:p w14:paraId="4B068B64" w14:textId="7F4D4360" w:rsidR="008B2DF4" w:rsidRPr="005365F2" w:rsidRDefault="008B2DF4" w:rsidP="005365F2">
      <w:pPr>
        <w:pStyle w:val="ListBullet"/>
        <w:rPr>
          <w:rFonts w:eastAsia="Arial"/>
        </w:rPr>
      </w:pPr>
      <w:r w:rsidRPr="007A60DE">
        <w:rPr>
          <w:rFonts w:eastAsia="Arial"/>
          <w:b/>
          <w:bCs/>
        </w:rPr>
        <w:t>NSER</w:t>
      </w:r>
      <w:r w:rsidRPr="005365F2">
        <w:rPr>
          <w:rFonts w:eastAsia="Arial"/>
        </w:rPr>
        <w:t>:</w:t>
      </w:r>
      <w:r w:rsidR="00F41B94" w:rsidRPr="005365F2">
        <w:rPr>
          <w:rFonts w:eastAsia="Arial"/>
        </w:rPr>
        <w:t xml:space="preserve"> </w:t>
      </w:r>
      <w:r w:rsidR="001213A2" w:rsidRPr="005365F2">
        <w:rPr>
          <w:rFonts w:eastAsia="Arial"/>
        </w:rPr>
        <w:t>The NSER is to be effectively promoted so consumers are educated about self-exclusion and aware of the scheme (DSS, 2018).</w:t>
      </w:r>
    </w:p>
    <w:p w14:paraId="680CD04E" w14:textId="63A3505D" w:rsidR="004C12A5" w:rsidRDefault="009D4934" w:rsidP="00E511D6">
      <w:pPr>
        <w:pStyle w:val="BodyText"/>
        <w:rPr>
          <w:rFonts w:eastAsia="Arial"/>
        </w:rPr>
      </w:pPr>
      <w:r>
        <w:rPr>
          <w:rFonts w:eastAsia="Arial"/>
        </w:rPr>
        <w:t xml:space="preserve">Promotion and education </w:t>
      </w:r>
      <w:r w:rsidR="00686271">
        <w:rPr>
          <w:rFonts w:eastAsia="Arial"/>
        </w:rPr>
        <w:t xml:space="preserve">of </w:t>
      </w:r>
      <w:r w:rsidR="00B57CCE">
        <w:rPr>
          <w:rFonts w:eastAsia="Arial"/>
        </w:rPr>
        <w:t xml:space="preserve">the NCPF measures </w:t>
      </w:r>
      <w:r w:rsidR="006E4AF1">
        <w:rPr>
          <w:rFonts w:eastAsia="Arial"/>
        </w:rPr>
        <w:t>occurred through</w:t>
      </w:r>
      <w:r w:rsidR="004C12A5">
        <w:rPr>
          <w:rFonts w:eastAsia="Arial"/>
        </w:rPr>
        <w:t>:</w:t>
      </w:r>
    </w:p>
    <w:p w14:paraId="21F5C4FF" w14:textId="77777777" w:rsidR="004C12A5" w:rsidRDefault="004D4520" w:rsidP="00CF6D5E">
      <w:pPr>
        <w:pStyle w:val="ListBullet"/>
        <w:rPr>
          <w:rFonts w:eastAsia="Arial"/>
        </w:rPr>
      </w:pPr>
      <w:r>
        <w:rPr>
          <w:rFonts w:eastAsia="Arial"/>
        </w:rPr>
        <w:t>government to WSPs (through industry briefings</w:t>
      </w:r>
      <w:r w:rsidR="008E3464">
        <w:rPr>
          <w:rFonts w:eastAsia="Arial"/>
        </w:rPr>
        <w:t xml:space="preserve"> and engagement between regulators and WSPs)</w:t>
      </w:r>
    </w:p>
    <w:p w14:paraId="75B5F50A" w14:textId="77777777" w:rsidR="00B131B8" w:rsidRDefault="004C12A5" w:rsidP="00CF6D5E">
      <w:pPr>
        <w:pStyle w:val="ListBullet"/>
        <w:rPr>
          <w:rFonts w:eastAsia="Arial"/>
        </w:rPr>
      </w:pPr>
      <w:r>
        <w:rPr>
          <w:rFonts w:eastAsia="Arial"/>
        </w:rPr>
        <w:t>government to consumers (</w:t>
      </w:r>
      <w:r w:rsidR="00B131B8">
        <w:rPr>
          <w:rFonts w:eastAsia="Arial"/>
        </w:rPr>
        <w:t>through social media and website)</w:t>
      </w:r>
    </w:p>
    <w:p w14:paraId="7C60473D" w14:textId="77777777" w:rsidR="00B131B8" w:rsidRDefault="00B131B8" w:rsidP="00CF6D5E">
      <w:pPr>
        <w:pStyle w:val="ListBullet"/>
        <w:rPr>
          <w:rFonts w:eastAsia="Arial"/>
        </w:rPr>
      </w:pPr>
      <w:r>
        <w:rPr>
          <w:rFonts w:eastAsia="Arial"/>
        </w:rPr>
        <w:t>WSPs to their own staff (through training)</w:t>
      </w:r>
    </w:p>
    <w:p w14:paraId="7F84FB44" w14:textId="481A616E" w:rsidR="0033110C" w:rsidRDefault="00B131B8" w:rsidP="00CF6D5E">
      <w:pPr>
        <w:pStyle w:val="ListBullet"/>
        <w:rPr>
          <w:rFonts w:eastAsia="Arial"/>
        </w:rPr>
      </w:pPr>
      <w:r>
        <w:rPr>
          <w:rFonts w:eastAsia="Arial"/>
        </w:rPr>
        <w:t xml:space="preserve">WSPs to </w:t>
      </w:r>
      <w:r w:rsidR="0033110C">
        <w:rPr>
          <w:rFonts w:eastAsia="Arial"/>
        </w:rPr>
        <w:t xml:space="preserve">consumers (through </w:t>
      </w:r>
      <w:r w:rsidR="00226FBB">
        <w:rPr>
          <w:rFonts w:eastAsia="Arial"/>
        </w:rPr>
        <w:t xml:space="preserve">their </w:t>
      </w:r>
      <w:r w:rsidR="0033110C">
        <w:rPr>
          <w:rFonts w:eastAsia="Arial"/>
        </w:rPr>
        <w:t>platforms)</w:t>
      </w:r>
    </w:p>
    <w:p w14:paraId="4FF4CCA2" w14:textId="0B4EF953" w:rsidR="00B46826" w:rsidRPr="00074143" w:rsidRDefault="00B64F6B" w:rsidP="00074143">
      <w:pPr>
        <w:pStyle w:val="ListBullet"/>
        <w:rPr>
          <w:b/>
          <w:bCs/>
        </w:rPr>
      </w:pPr>
      <w:r>
        <w:rPr>
          <w:rFonts w:eastAsia="Arial"/>
        </w:rPr>
        <w:t xml:space="preserve">help </w:t>
      </w:r>
      <w:r w:rsidR="00226FBB">
        <w:rPr>
          <w:rFonts w:eastAsia="Arial"/>
        </w:rPr>
        <w:t>providers to consumers (through websites and in</w:t>
      </w:r>
      <w:r w:rsidR="00094A90">
        <w:rPr>
          <w:rFonts w:eastAsia="Arial"/>
        </w:rPr>
        <w:t>-</w:t>
      </w:r>
      <w:r w:rsidR="00226FBB">
        <w:rPr>
          <w:rFonts w:eastAsia="Arial"/>
        </w:rPr>
        <w:t>person</w:t>
      </w:r>
      <w:r w:rsidR="006A1BED">
        <w:rPr>
          <w:rFonts w:eastAsia="Arial"/>
        </w:rPr>
        <w:t xml:space="preserve"> counselling sessions)</w:t>
      </w:r>
      <w:r w:rsidR="00BF6743">
        <w:rPr>
          <w:rFonts w:eastAsia="Arial"/>
        </w:rPr>
        <w:t>.</w:t>
      </w:r>
    </w:p>
    <w:p w14:paraId="5BB75232" w14:textId="6482DCB5" w:rsidR="0081086A" w:rsidRDefault="00626860" w:rsidP="007A60DE">
      <w:pPr>
        <w:pStyle w:val="BodyText"/>
      </w:pPr>
      <w:r>
        <w:t xml:space="preserve">The evaluation </w:t>
      </w:r>
      <w:r w:rsidR="00F87A92">
        <w:t>investigated</w:t>
      </w:r>
      <w:r>
        <w:t xml:space="preserve"> </w:t>
      </w:r>
      <w:r w:rsidR="00684DB5">
        <w:t xml:space="preserve">the </w:t>
      </w:r>
      <w:r w:rsidR="0087195B">
        <w:t xml:space="preserve">level and </w:t>
      </w:r>
      <w:r w:rsidR="00684DB5">
        <w:t xml:space="preserve">effectiveness of </w:t>
      </w:r>
      <w:r w:rsidR="00F87A92">
        <w:t xml:space="preserve">the education, communications and promotion activities. </w:t>
      </w:r>
    </w:p>
    <w:p w14:paraId="31F11CA5" w14:textId="0151AA94" w:rsidR="0021359F" w:rsidRPr="00843A16" w:rsidRDefault="0021359F" w:rsidP="0021359F">
      <w:pPr>
        <w:pStyle w:val="BodyText"/>
        <w:rPr>
          <w:lang w:bidi="ar-SA"/>
        </w:rPr>
      </w:pPr>
      <w:r w:rsidRPr="00843A16">
        <w:rPr>
          <w:lang w:bidi="ar-SA"/>
        </w:rPr>
        <w:lastRenderedPageBreak/>
        <w:t>Interviewed consumers expressed concern that some measures</w:t>
      </w:r>
      <w:r w:rsidR="00B64F6B">
        <w:rPr>
          <w:lang w:bidi="ar-SA"/>
        </w:rPr>
        <w:t>,</w:t>
      </w:r>
      <w:r w:rsidRPr="00843A16">
        <w:rPr>
          <w:lang w:bidi="ar-SA"/>
        </w:rPr>
        <w:t xml:space="preserve"> such as restrictions on inducements, were under-promoted</w:t>
      </w:r>
      <w:r>
        <w:rPr>
          <w:lang w:bidi="ar-SA"/>
        </w:rPr>
        <w:t>, whereas other measures, such as deposit limits</w:t>
      </w:r>
      <w:r w:rsidR="00B64F6B">
        <w:rPr>
          <w:lang w:bidi="ar-SA"/>
        </w:rPr>
        <w:t>,</w:t>
      </w:r>
      <w:r>
        <w:rPr>
          <w:lang w:bidi="ar-SA"/>
        </w:rPr>
        <w:t xml:space="preserve"> were more effectively promoted.</w:t>
      </w:r>
    </w:p>
    <w:p w14:paraId="09E4AA48" w14:textId="46C789F2" w:rsidR="0021359F" w:rsidRPr="00843A16" w:rsidRDefault="0021359F" w:rsidP="0021359F">
      <w:pPr>
        <w:pStyle w:val="Quote"/>
      </w:pPr>
      <w:r w:rsidRPr="00843A16">
        <w:t>Wouldn’t you think if I went searching on an account to say, referrals [or] that sort of stuff, it should link you to either the [</w:t>
      </w:r>
      <w:r>
        <w:t>government</w:t>
      </w:r>
      <w:r w:rsidRPr="00843A16">
        <w:t xml:space="preserve"> entity website] to say, this is what we’ve stopped now, you can’t do it and it should be like on the account to say – even if you search for it under frequent questions and bonus bets or whatever, it should come up and link you to what’s allowed and what’s not allowed, but there is nothing that shows you that. </w:t>
      </w:r>
      <w:r w:rsidR="00B64F6B">
        <w:t>(</w:t>
      </w:r>
      <w:r w:rsidRPr="00843A16">
        <w:t>P003, low-risk</w:t>
      </w:r>
      <w:r>
        <w:t xml:space="preserve"> gambler</w:t>
      </w:r>
      <w:r w:rsidRPr="00843A16">
        <w:t>, 55</w:t>
      </w:r>
      <w:r w:rsidR="00B64F6B">
        <w:t>–</w:t>
      </w:r>
      <w:r w:rsidRPr="00843A16">
        <w:t xml:space="preserve">64, female, </w:t>
      </w:r>
      <w:r w:rsidR="00B64F6B" w:rsidRPr="00843A16">
        <w:t>V</w:t>
      </w:r>
      <w:r w:rsidR="00B64F6B">
        <w:t>ic)</w:t>
      </w:r>
    </w:p>
    <w:p w14:paraId="24653272" w14:textId="463204DF" w:rsidR="0021359F" w:rsidRPr="00843A16" w:rsidRDefault="0021359F" w:rsidP="0021359F">
      <w:pPr>
        <w:pStyle w:val="Quote"/>
      </w:pPr>
      <w:r w:rsidRPr="00843A16">
        <w:t xml:space="preserve">Every time I </w:t>
      </w:r>
      <w:proofErr w:type="gramStart"/>
      <w:r w:rsidRPr="00843A16">
        <w:t>opened up</w:t>
      </w:r>
      <w:proofErr w:type="gramEnd"/>
      <w:r w:rsidRPr="00843A16">
        <w:t xml:space="preserve"> one of these new accounts over the last few years, [the prompt to set a deposit limit] was always the first thing that sort of popped up at the registration process. […] Even the [operators] that </w:t>
      </w:r>
      <w:r w:rsidR="00B64F6B" w:rsidRPr="00843A16">
        <w:t>I</w:t>
      </w:r>
      <w:r w:rsidR="00B64F6B">
        <w:t>’</w:t>
      </w:r>
      <w:r w:rsidR="00B64F6B" w:rsidRPr="00843A16">
        <w:t xml:space="preserve">m </w:t>
      </w:r>
      <w:r w:rsidRPr="00843A16">
        <w:t xml:space="preserve">already signed up to, they still do regular sort of messaging around that [deposit limit setting], […] so it’s like [I’m] </w:t>
      </w:r>
      <w:proofErr w:type="gramStart"/>
      <w:r w:rsidRPr="00843A16">
        <w:t>definitely aware</w:t>
      </w:r>
      <w:proofErr w:type="gramEnd"/>
      <w:r w:rsidRPr="00843A16">
        <w:t xml:space="preserve"> of it. </w:t>
      </w:r>
      <w:r w:rsidR="00B64F6B">
        <w:t>(</w:t>
      </w:r>
      <w:r w:rsidRPr="00843A16">
        <w:t>P025, high-risk gambler, 35</w:t>
      </w:r>
      <w:r w:rsidR="00B64F6B">
        <w:t>–</w:t>
      </w:r>
      <w:r w:rsidRPr="00843A16">
        <w:t>44, male, WA</w:t>
      </w:r>
      <w:r w:rsidR="00B64F6B">
        <w:t>)</w:t>
      </w:r>
    </w:p>
    <w:p w14:paraId="2A5A7679" w14:textId="57C50297" w:rsidR="004569B8" w:rsidRPr="00843A16" w:rsidRDefault="004569B8" w:rsidP="007A60DE">
      <w:pPr>
        <w:pStyle w:val="BodyText"/>
      </w:pPr>
      <w:r w:rsidRPr="009D631B">
        <w:t>A consumer survey conducted for this evaluation showed that</w:t>
      </w:r>
      <w:r w:rsidR="001276D9">
        <w:t xml:space="preserve"> a significant minority</w:t>
      </w:r>
      <w:r w:rsidRPr="009D631B">
        <w:t xml:space="preserve"> </w:t>
      </w:r>
      <w:r w:rsidR="001276D9">
        <w:t>(</w:t>
      </w:r>
      <w:r w:rsidR="008711C6">
        <w:t>46.5%</w:t>
      </w:r>
      <w:r w:rsidR="001276D9">
        <w:t>)</w:t>
      </w:r>
      <w:r w:rsidR="008711C6">
        <w:t xml:space="preserve"> of </w:t>
      </w:r>
      <w:r w:rsidR="00A93CF7">
        <w:t>wagerers</w:t>
      </w:r>
      <w:r w:rsidR="0030082D">
        <w:t xml:space="preserve"> who wagered in the last 12 months </w:t>
      </w:r>
      <w:r w:rsidR="00937EB2">
        <w:t xml:space="preserve">reported that they </w:t>
      </w:r>
      <w:r w:rsidR="00500EDD">
        <w:t>‘agre</w:t>
      </w:r>
      <w:r w:rsidR="00937EB2">
        <w:t>e</w:t>
      </w:r>
      <w:r w:rsidR="00500EDD">
        <w:t>’ or ‘strongly agree’ that WSPs effectively promoted deposit limit setting</w:t>
      </w:r>
      <w:r w:rsidR="00A47383">
        <w:t xml:space="preserve">. However, </w:t>
      </w:r>
      <w:proofErr w:type="gramStart"/>
      <w:r w:rsidR="00A47383">
        <w:t>a majority of</w:t>
      </w:r>
      <w:proofErr w:type="gramEnd"/>
      <w:r w:rsidR="00A47383">
        <w:t xml:space="preserve"> respondents </w:t>
      </w:r>
      <w:r w:rsidR="00044E55">
        <w:t>n</w:t>
      </w:r>
      <w:r w:rsidR="00A47383">
        <w:t xml:space="preserve">either </w:t>
      </w:r>
      <w:r w:rsidR="00615A4E">
        <w:t>agree</w:t>
      </w:r>
      <w:r w:rsidR="00044E55">
        <w:t>d</w:t>
      </w:r>
      <w:r w:rsidR="00615A4E">
        <w:t xml:space="preserve"> </w:t>
      </w:r>
      <w:r w:rsidR="00B92F89">
        <w:t>n</w:t>
      </w:r>
      <w:r w:rsidR="00615A4E">
        <w:t>or disagree</w:t>
      </w:r>
      <w:r w:rsidR="00F715ED">
        <w:t>d</w:t>
      </w:r>
      <w:r w:rsidR="00615A4E">
        <w:t xml:space="preserve"> (</w:t>
      </w:r>
      <w:r w:rsidR="00B12B3D">
        <w:t>39.</w:t>
      </w:r>
      <w:r w:rsidR="001276D9">
        <w:t>7%)</w:t>
      </w:r>
      <w:r w:rsidR="00FF5C75">
        <w:t xml:space="preserve"> or reported </w:t>
      </w:r>
      <w:r w:rsidR="00EA1B63">
        <w:t>some level of disagreement</w:t>
      </w:r>
      <w:r w:rsidR="00FF5C75">
        <w:t xml:space="preserve"> (</w:t>
      </w:r>
      <w:r w:rsidR="00BE123B">
        <w:t xml:space="preserve">13%) </w:t>
      </w:r>
      <w:r w:rsidR="00937EB2">
        <w:t>with this view</w:t>
      </w:r>
      <w:r w:rsidR="00D545F5">
        <w:t>, indicating there may be room for improvement</w:t>
      </w:r>
      <w:r w:rsidR="00937EB2">
        <w:t xml:space="preserve"> </w:t>
      </w:r>
      <w:r w:rsidR="005F535A">
        <w:t xml:space="preserve">in </w:t>
      </w:r>
      <w:r w:rsidR="001D2CCA">
        <w:t>promoting deposit limit setting</w:t>
      </w:r>
      <w:r w:rsidRPr="009D631B">
        <w:t xml:space="preserve"> </w:t>
      </w:r>
      <w:r w:rsidR="006E1CA6">
        <w:t>(</w:t>
      </w:r>
      <w:r w:rsidRPr="009D631B">
        <w:t xml:space="preserve">see </w:t>
      </w:r>
      <w:hyperlink w:anchor="Figure3" w:history="1">
        <w:r w:rsidRPr="004B4382">
          <w:rPr>
            <w:rStyle w:val="Hyperlink"/>
            <w:b/>
          </w:rPr>
          <w:t>Figure 3</w:t>
        </w:r>
      </w:hyperlink>
      <w:r w:rsidR="006E1CA6">
        <w:t>)</w:t>
      </w:r>
      <w:r w:rsidRPr="00843A16">
        <w:t xml:space="preserve">. </w:t>
      </w:r>
    </w:p>
    <w:p w14:paraId="45C7AA9A" w14:textId="3F0FC9A3" w:rsidR="002E49FF" w:rsidRPr="00CF6D5E" w:rsidRDefault="002E49FF" w:rsidP="007A60DE">
      <w:pPr>
        <w:pStyle w:val="FigureCaption"/>
      </w:pPr>
      <w:bookmarkStart w:id="89" w:name="Figure3"/>
      <w:bookmarkEnd w:id="89"/>
      <w:r w:rsidRPr="00CF6D5E">
        <w:t>Figure 3: Agreement on whether online betting operators effectively promote setting deposit limits</w:t>
      </w:r>
    </w:p>
    <w:p w14:paraId="17E8ABF7" w14:textId="77777777" w:rsidR="002E49FF" w:rsidRDefault="002E49FF" w:rsidP="00CF6D5E">
      <w:pPr>
        <w:pStyle w:val="ListBullet"/>
        <w:numPr>
          <w:ilvl w:val="0"/>
          <w:numId w:val="0"/>
        </w:numPr>
        <w:ind w:left="425"/>
      </w:pPr>
      <w:r>
        <w:rPr>
          <w:noProof/>
        </w:rPr>
        <w:drawing>
          <wp:inline distT="0" distB="0" distL="0" distR="0" wp14:anchorId="3D84B82F" wp14:editId="1032D440">
            <wp:extent cx="5110480" cy="1972102"/>
            <wp:effectExtent l="0" t="0" r="13970" b="9525"/>
            <wp:docPr id="20791517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13DDE45" w14:textId="611EFFEA" w:rsidR="002E49FF" w:rsidRDefault="002E49FF" w:rsidP="00776769">
      <w:pPr>
        <w:pStyle w:val="FigureNotes"/>
      </w:pPr>
      <w:r w:rsidRPr="00CF6D5E">
        <w:t xml:space="preserve">Notes: </w:t>
      </w:r>
      <w:r w:rsidR="000622AC">
        <w:t>O</w:t>
      </w:r>
      <w:r w:rsidR="000622AC" w:rsidRPr="00CF6D5E">
        <w:t xml:space="preserve">nline </w:t>
      </w:r>
      <w:r w:rsidRPr="00CF6D5E">
        <w:t xml:space="preserve">wagerers last 12 months (weighted data: </w:t>
      </w:r>
      <w:r w:rsidRPr="007A60DE">
        <w:rPr>
          <w:i/>
          <w:iCs/>
        </w:rPr>
        <w:t>N</w:t>
      </w:r>
      <w:r w:rsidR="000622AC">
        <w:t xml:space="preserve"> </w:t>
      </w:r>
      <w:r w:rsidRPr="00CF6D5E">
        <w:t>=</w:t>
      </w:r>
      <w:r w:rsidR="000622AC">
        <w:t xml:space="preserve"> </w:t>
      </w:r>
      <w:r w:rsidRPr="00CF6D5E">
        <w:t>641). Excludes sample who did not have their own betting account (</w:t>
      </w:r>
      <w:r w:rsidRPr="007A60DE">
        <w:rPr>
          <w:i/>
          <w:iCs/>
        </w:rPr>
        <w:t>n</w:t>
      </w:r>
      <w:r w:rsidR="000622AC">
        <w:t xml:space="preserve"> </w:t>
      </w:r>
      <w:r w:rsidRPr="00CF6D5E">
        <w:t>=</w:t>
      </w:r>
      <w:r w:rsidR="000622AC">
        <w:t xml:space="preserve"> </w:t>
      </w:r>
      <w:r w:rsidRPr="00CF6D5E">
        <w:t xml:space="preserve">20) or </w:t>
      </w:r>
      <w:r w:rsidR="00457A56">
        <w:t xml:space="preserve">did not use a </w:t>
      </w:r>
      <w:r w:rsidRPr="00CF6D5E">
        <w:t>legal online WSP (</w:t>
      </w:r>
      <w:r w:rsidRPr="007A60DE">
        <w:rPr>
          <w:i/>
          <w:iCs/>
        </w:rPr>
        <w:t>n</w:t>
      </w:r>
      <w:r w:rsidR="000622AC">
        <w:t xml:space="preserve"> </w:t>
      </w:r>
      <w:r w:rsidRPr="00CF6D5E">
        <w:t>=</w:t>
      </w:r>
      <w:r w:rsidR="000622AC">
        <w:t xml:space="preserve"> </w:t>
      </w:r>
      <w:r w:rsidRPr="00CF6D5E">
        <w:t>27).</w:t>
      </w:r>
    </w:p>
    <w:p w14:paraId="7EB316E0" w14:textId="205E2EA5" w:rsidR="000622AC" w:rsidRPr="00CF6D5E" w:rsidRDefault="000622AC" w:rsidP="007A60DE">
      <w:pPr>
        <w:pStyle w:val="FigureNotes"/>
      </w:pPr>
      <w:r w:rsidRPr="00CF6D5E">
        <w:t>Source</w:t>
      </w:r>
      <w:r>
        <w:t>:</w:t>
      </w:r>
      <w:r w:rsidRPr="00CF6D5E">
        <w:t xml:space="preserve"> NCPF Online Consumer Survey</w:t>
      </w:r>
    </w:p>
    <w:p w14:paraId="67FF9653" w14:textId="7D4CA452" w:rsidR="00153F6F" w:rsidRDefault="00153F6F" w:rsidP="00E511D6">
      <w:pPr>
        <w:pStyle w:val="BodyText"/>
        <w:rPr>
          <w:rFonts w:eastAsia="Arial"/>
        </w:rPr>
      </w:pPr>
      <w:r>
        <w:rPr>
          <w:rFonts w:eastAsia="Arial"/>
        </w:rPr>
        <w:t>The evaluation also investigate</w:t>
      </w:r>
      <w:r w:rsidR="0062228F">
        <w:rPr>
          <w:rFonts w:eastAsia="Arial"/>
        </w:rPr>
        <w:t>d</w:t>
      </w:r>
      <w:r>
        <w:rPr>
          <w:rFonts w:eastAsia="Arial"/>
        </w:rPr>
        <w:t xml:space="preserve"> </w:t>
      </w:r>
      <w:r w:rsidR="00017DF3">
        <w:rPr>
          <w:rFonts w:eastAsia="Arial"/>
        </w:rPr>
        <w:t>how education, communications and promotion activities could be enhanced</w:t>
      </w:r>
      <w:r w:rsidR="00967E4D">
        <w:rPr>
          <w:rFonts w:eastAsia="Arial"/>
        </w:rPr>
        <w:t>, finding</w:t>
      </w:r>
      <w:r w:rsidR="003D5178">
        <w:rPr>
          <w:rFonts w:eastAsia="Arial"/>
        </w:rPr>
        <w:t xml:space="preserve"> that </w:t>
      </w:r>
      <w:r w:rsidR="00B76BA3">
        <w:rPr>
          <w:rFonts w:eastAsia="Arial"/>
        </w:rPr>
        <w:t xml:space="preserve">government-provided information was helpful along with WSPs </w:t>
      </w:r>
      <w:r w:rsidR="00231D27">
        <w:rPr>
          <w:rFonts w:eastAsia="Arial"/>
        </w:rPr>
        <w:t>continuing to promote measures</w:t>
      </w:r>
      <w:r w:rsidR="00ED13F4">
        <w:rPr>
          <w:rFonts w:eastAsia="Arial"/>
        </w:rPr>
        <w:t>, even if those measures had been in place for some time</w:t>
      </w:r>
      <w:r w:rsidR="009D0964">
        <w:rPr>
          <w:rFonts w:eastAsia="Arial"/>
        </w:rPr>
        <w:t>.</w:t>
      </w:r>
      <w:r w:rsidR="00232734">
        <w:rPr>
          <w:rFonts w:eastAsia="Arial"/>
        </w:rPr>
        <w:t xml:space="preserve"> It </w:t>
      </w:r>
      <w:r w:rsidR="00F43CB9">
        <w:rPr>
          <w:rFonts w:eastAsia="Arial"/>
        </w:rPr>
        <w:t xml:space="preserve">found little evidence </w:t>
      </w:r>
      <w:r w:rsidR="008F5DEB">
        <w:rPr>
          <w:rFonts w:eastAsia="Arial"/>
        </w:rPr>
        <w:t xml:space="preserve">from </w:t>
      </w:r>
      <w:r w:rsidR="00540C45">
        <w:rPr>
          <w:rFonts w:eastAsia="Arial"/>
        </w:rPr>
        <w:t xml:space="preserve">other </w:t>
      </w:r>
      <w:r w:rsidR="00F43CB9">
        <w:rPr>
          <w:rFonts w:eastAsia="Arial"/>
        </w:rPr>
        <w:t xml:space="preserve">evaluations of the effectiveness of education, communications and promotion activities. </w:t>
      </w:r>
      <w:r w:rsidR="00BE5224">
        <w:rPr>
          <w:rFonts w:eastAsia="Arial"/>
        </w:rPr>
        <w:t>More detail is provided below.</w:t>
      </w:r>
    </w:p>
    <w:p w14:paraId="3DF09FA8" w14:textId="598FB0B7" w:rsidR="00572145" w:rsidRPr="00843A16" w:rsidRDefault="003241F6" w:rsidP="00E511D6">
      <w:pPr>
        <w:pStyle w:val="BodyText"/>
      </w:pPr>
      <w:r w:rsidRPr="00843A16">
        <w:rPr>
          <w:rFonts w:eastAsia="Arial"/>
        </w:rPr>
        <w:t>One</w:t>
      </w:r>
      <w:r w:rsidR="00572145" w:rsidRPr="00843A16">
        <w:rPr>
          <w:rFonts w:eastAsia="Arial"/>
        </w:rPr>
        <w:t xml:space="preserve"> WSP noted that official </w:t>
      </w:r>
      <w:r w:rsidR="009A13AF">
        <w:rPr>
          <w:rFonts w:eastAsia="Arial"/>
        </w:rPr>
        <w:t>government</w:t>
      </w:r>
      <w:r w:rsidR="00572145" w:rsidRPr="00843A16">
        <w:rPr>
          <w:rFonts w:eastAsia="Arial"/>
        </w:rPr>
        <w:t xml:space="preserve"> information </w:t>
      </w:r>
      <w:r w:rsidR="00CE4A95">
        <w:rPr>
          <w:rFonts w:eastAsia="Arial"/>
        </w:rPr>
        <w:t xml:space="preserve">on the </w:t>
      </w:r>
      <w:r w:rsidR="00122ECB">
        <w:rPr>
          <w:rFonts w:eastAsia="Arial"/>
        </w:rPr>
        <w:t xml:space="preserve">NSER </w:t>
      </w:r>
      <w:r w:rsidR="00CE4A95">
        <w:rPr>
          <w:rFonts w:eastAsia="Arial"/>
        </w:rPr>
        <w:t xml:space="preserve">website </w:t>
      </w:r>
      <w:r w:rsidRPr="00843A16">
        <w:rPr>
          <w:rFonts w:eastAsia="Arial"/>
        </w:rPr>
        <w:t>helped</w:t>
      </w:r>
      <w:r w:rsidR="00572145" w:rsidRPr="00843A16">
        <w:rPr>
          <w:rFonts w:eastAsia="Arial"/>
        </w:rPr>
        <w:t xml:space="preserve"> consumers </w:t>
      </w:r>
      <w:r w:rsidRPr="00843A16">
        <w:rPr>
          <w:rFonts w:eastAsia="Arial"/>
        </w:rPr>
        <w:t>understand</w:t>
      </w:r>
      <w:r w:rsidR="00572145" w:rsidRPr="00843A16">
        <w:rPr>
          <w:rFonts w:eastAsia="Arial"/>
        </w:rPr>
        <w:t xml:space="preserve"> why </w:t>
      </w:r>
      <w:r w:rsidR="00540C45">
        <w:rPr>
          <w:rFonts w:eastAsia="Arial"/>
        </w:rPr>
        <w:t xml:space="preserve">there were </w:t>
      </w:r>
      <w:r w:rsidR="00572145" w:rsidRPr="00843A16">
        <w:rPr>
          <w:rFonts w:eastAsia="Arial"/>
        </w:rPr>
        <w:t>changes</w:t>
      </w:r>
      <w:r w:rsidR="000A0035">
        <w:rPr>
          <w:rFonts w:eastAsia="Arial"/>
        </w:rPr>
        <w:t xml:space="preserve">. They suggested that </w:t>
      </w:r>
      <w:r w:rsidR="000A455C">
        <w:rPr>
          <w:rFonts w:eastAsia="Arial"/>
        </w:rPr>
        <w:t xml:space="preserve">a similar initiative on </w:t>
      </w:r>
      <w:r w:rsidR="009A13AF">
        <w:rPr>
          <w:rFonts w:eastAsia="Arial"/>
        </w:rPr>
        <w:t>government</w:t>
      </w:r>
      <w:r w:rsidR="000A455C">
        <w:rPr>
          <w:rFonts w:eastAsia="Arial"/>
        </w:rPr>
        <w:t xml:space="preserve"> websites for the other measures would be useful</w:t>
      </w:r>
      <w:r w:rsidR="00572145" w:rsidRPr="00843A16">
        <w:rPr>
          <w:rFonts w:eastAsia="Arial"/>
        </w:rPr>
        <w:t xml:space="preserve">. </w:t>
      </w:r>
    </w:p>
    <w:p w14:paraId="5329BDF5" w14:textId="1E7BEAFE" w:rsidR="00572145" w:rsidRPr="00843A16" w:rsidRDefault="00572145" w:rsidP="00E511D6">
      <w:pPr>
        <w:pStyle w:val="Quote"/>
      </w:pPr>
      <w:r w:rsidRPr="00843A16">
        <w:lastRenderedPageBreak/>
        <w:t xml:space="preserve">I think one thing that might be useful is </w:t>
      </w:r>
      <w:proofErr w:type="gramStart"/>
      <w:r w:rsidRPr="00843A16">
        <w:t>actually having</w:t>
      </w:r>
      <w:proofErr w:type="gramEnd"/>
      <w:r w:rsidRPr="00843A16">
        <w:t xml:space="preserve"> a </w:t>
      </w:r>
      <w:r w:rsidR="009A13AF">
        <w:t>government</w:t>
      </w:r>
      <w:r w:rsidRPr="00843A16">
        <w:t xml:space="preserve"> website directed at consumers, </w:t>
      </w:r>
      <w:proofErr w:type="gramStart"/>
      <w:r w:rsidRPr="00843A16">
        <w:t>similar to</w:t>
      </w:r>
      <w:proofErr w:type="gramEnd"/>
      <w:r w:rsidRPr="00843A16">
        <w:t xml:space="preserve"> what happened with </w:t>
      </w:r>
      <w:proofErr w:type="spellStart"/>
      <w:r w:rsidRPr="00843A16">
        <w:t>Betstop</w:t>
      </w:r>
      <w:proofErr w:type="spellEnd"/>
      <w:r w:rsidRPr="00843A16">
        <w:t xml:space="preserve">. So, </w:t>
      </w:r>
      <w:proofErr w:type="spellStart"/>
      <w:r w:rsidRPr="00843A16">
        <w:t>Betstop</w:t>
      </w:r>
      <w:proofErr w:type="spellEnd"/>
      <w:r w:rsidRPr="00843A16">
        <w:t xml:space="preserve"> </w:t>
      </w:r>
      <w:proofErr w:type="gramStart"/>
      <w:r w:rsidRPr="00843A16">
        <w:t>actually had</w:t>
      </w:r>
      <w:proofErr w:type="gramEnd"/>
      <w:r w:rsidRPr="00843A16">
        <w:t xml:space="preserve"> resources we </w:t>
      </w:r>
      <w:proofErr w:type="gramStart"/>
      <w:r w:rsidRPr="00843A16">
        <w:t>can</w:t>
      </w:r>
      <w:proofErr w:type="gramEnd"/>
      <w:r w:rsidRPr="00843A16">
        <w:t xml:space="preserve"> point them to if they wanted to kind of understand a bit more about it, about the changes, about </w:t>
      </w:r>
      <w:r w:rsidR="00540C45" w:rsidRPr="00843A16">
        <w:t>what</w:t>
      </w:r>
      <w:r w:rsidR="00540C45">
        <w:t>’</w:t>
      </w:r>
      <w:r w:rsidR="00540C45" w:rsidRPr="00843A16">
        <w:t xml:space="preserve">s </w:t>
      </w:r>
      <w:r w:rsidRPr="00843A16">
        <w:t xml:space="preserve">available. That would be quite useful because sending customers to an official </w:t>
      </w:r>
      <w:r w:rsidR="009A13AF">
        <w:t>government</w:t>
      </w:r>
      <w:r w:rsidRPr="00843A16">
        <w:t xml:space="preserve"> information source is always going to be helpful in explaining why these changes are happening. </w:t>
      </w:r>
      <w:r w:rsidR="00540C45">
        <w:t>(</w:t>
      </w:r>
      <w:r w:rsidRPr="00843A16">
        <w:t>WSP, large corporate bookmaker, NT licensed</w:t>
      </w:r>
      <w:r w:rsidR="00540C45">
        <w:t>)</w:t>
      </w:r>
    </w:p>
    <w:p w14:paraId="03EE9E18" w14:textId="091A2B96" w:rsidR="003241F6" w:rsidRPr="00843A16" w:rsidRDefault="003241F6" w:rsidP="00E511D6">
      <w:pPr>
        <w:pStyle w:val="BodyText"/>
      </w:pPr>
      <w:r w:rsidRPr="00843A16">
        <w:t xml:space="preserve">After implementation, promotion of measures </w:t>
      </w:r>
      <w:r w:rsidR="00443833">
        <w:t xml:space="preserve">that consumers </w:t>
      </w:r>
      <w:r w:rsidR="00EE72FA">
        <w:t xml:space="preserve">did not </w:t>
      </w:r>
      <w:r w:rsidR="002C745E">
        <w:t xml:space="preserve">need to initiate or engage with </w:t>
      </w:r>
      <w:r w:rsidRPr="00843A16">
        <w:t>appeared to decline</w:t>
      </w:r>
      <w:r w:rsidR="002C745E">
        <w:t xml:space="preserve"> (</w:t>
      </w:r>
      <w:r w:rsidR="002E2C10">
        <w:t>e.g.</w:t>
      </w:r>
      <w:r w:rsidR="002C745E">
        <w:t xml:space="preserve"> restrictions on credit and payday lending)</w:t>
      </w:r>
      <w:r w:rsidRPr="00843A16">
        <w:t>. One WSP commented that because these measures were mandatory and longstanding, they were rarely discussed with consumers.</w:t>
      </w:r>
      <w:r w:rsidR="00AC2E1D" w:rsidRPr="00843A16">
        <w:t xml:space="preserve"> </w:t>
      </w:r>
      <w:r w:rsidR="00375DB3">
        <w:t xml:space="preserve">Lack of consumer awareness about measures can result in </w:t>
      </w:r>
      <w:r w:rsidR="00AA78F3">
        <w:t xml:space="preserve">consumers not realising when WSPs are breaching their NCPF obligations. </w:t>
      </w:r>
      <w:r w:rsidR="00773EB9">
        <w:t xml:space="preserve">Thus, </w:t>
      </w:r>
      <w:r w:rsidR="00B23682">
        <w:t xml:space="preserve">consumers </w:t>
      </w:r>
      <w:r w:rsidR="00192CE4">
        <w:t xml:space="preserve">are an important part of the compliance monitoring process. </w:t>
      </w:r>
    </w:p>
    <w:p w14:paraId="606A420A" w14:textId="19436003" w:rsidR="00EC5F63" w:rsidRDefault="00EC5F63" w:rsidP="00EC5F63">
      <w:pPr>
        <w:pStyle w:val="BodyText"/>
        <w:rPr>
          <w:rFonts w:eastAsia="Arial"/>
        </w:rPr>
      </w:pPr>
      <w:r>
        <w:rPr>
          <w:rFonts w:eastAsia="Arial"/>
        </w:rPr>
        <w:t xml:space="preserve">This evaluation only found 2 promotion efforts </w:t>
      </w:r>
      <w:r w:rsidR="00442E3E">
        <w:rPr>
          <w:rFonts w:eastAsia="Arial"/>
        </w:rPr>
        <w:t xml:space="preserve">that </w:t>
      </w:r>
      <w:r>
        <w:rPr>
          <w:rFonts w:eastAsia="Arial"/>
        </w:rPr>
        <w:t xml:space="preserve">had been evaluated. A NSER initial promotion campaign was </w:t>
      </w:r>
      <w:r w:rsidR="003B6B12">
        <w:rPr>
          <w:rFonts w:eastAsia="Arial"/>
        </w:rPr>
        <w:t xml:space="preserve">evaluated </w:t>
      </w:r>
      <w:r>
        <w:rPr>
          <w:rFonts w:eastAsia="Arial"/>
        </w:rPr>
        <w:t xml:space="preserve">and found to be effective but was limited in scope and duration (Eccles, 2025). </w:t>
      </w:r>
      <w:r w:rsidR="003B6B12">
        <w:rPr>
          <w:rFonts w:eastAsia="Arial"/>
        </w:rPr>
        <w:t xml:space="preserve">The </w:t>
      </w:r>
      <w:r w:rsidRPr="009E2F7F">
        <w:rPr>
          <w:rFonts w:eastAsia="Arial"/>
        </w:rPr>
        <w:t>DSS coordinated promotion of the National Framework from January to March 2024</w:t>
      </w:r>
      <w:r>
        <w:rPr>
          <w:rFonts w:eastAsia="Arial"/>
        </w:rPr>
        <w:t xml:space="preserve"> using social media and government</w:t>
      </w:r>
      <w:r w:rsidRPr="009E2F7F">
        <w:rPr>
          <w:rFonts w:eastAsia="Arial"/>
        </w:rPr>
        <w:t xml:space="preserve"> websites (DSS internal communication). All posts were linked to the G</w:t>
      </w:r>
      <w:r>
        <w:rPr>
          <w:rFonts w:eastAsia="Arial"/>
        </w:rPr>
        <w:t xml:space="preserve">amblers </w:t>
      </w:r>
      <w:r w:rsidRPr="009E2F7F">
        <w:rPr>
          <w:rFonts w:eastAsia="Arial"/>
        </w:rPr>
        <w:t>H</w:t>
      </w:r>
      <w:r>
        <w:rPr>
          <w:rFonts w:eastAsia="Arial"/>
        </w:rPr>
        <w:t xml:space="preserve">elp </w:t>
      </w:r>
      <w:r w:rsidRPr="009E2F7F">
        <w:rPr>
          <w:rFonts w:eastAsia="Arial"/>
        </w:rPr>
        <w:t>O</w:t>
      </w:r>
      <w:r>
        <w:rPr>
          <w:rFonts w:eastAsia="Arial"/>
        </w:rPr>
        <w:t>nline (GHO)</w:t>
      </w:r>
      <w:r w:rsidRPr="009E2F7F">
        <w:rPr>
          <w:rFonts w:eastAsia="Arial"/>
        </w:rPr>
        <w:t xml:space="preserve"> page</w:t>
      </w:r>
      <w:r>
        <w:rPr>
          <w:rFonts w:eastAsia="Arial"/>
        </w:rPr>
        <w:t xml:space="preserve">. </w:t>
      </w:r>
      <w:r w:rsidR="006832A5">
        <w:rPr>
          <w:rFonts w:eastAsia="Arial"/>
        </w:rPr>
        <w:t xml:space="preserve">Visits to </w:t>
      </w:r>
      <w:r w:rsidR="0014276C">
        <w:rPr>
          <w:rFonts w:eastAsia="Arial"/>
        </w:rPr>
        <w:t>the</w:t>
      </w:r>
      <w:r w:rsidR="00910390">
        <w:rPr>
          <w:rFonts w:eastAsia="Arial"/>
        </w:rPr>
        <w:t xml:space="preserve"> </w:t>
      </w:r>
      <w:r w:rsidRPr="009E2F7F">
        <w:rPr>
          <w:rFonts w:eastAsia="Arial"/>
        </w:rPr>
        <w:t>GHO website</w:t>
      </w:r>
      <w:r>
        <w:rPr>
          <w:rFonts w:eastAsia="Arial"/>
        </w:rPr>
        <w:t xml:space="preserve"> </w:t>
      </w:r>
      <w:r w:rsidR="00910390">
        <w:rPr>
          <w:rFonts w:eastAsia="Arial"/>
        </w:rPr>
        <w:t xml:space="preserve">page </w:t>
      </w:r>
      <w:r w:rsidR="00653E7C">
        <w:rPr>
          <w:rFonts w:eastAsia="Arial"/>
        </w:rPr>
        <w:t>ti</w:t>
      </w:r>
      <w:r w:rsidR="00C2689D">
        <w:rPr>
          <w:rFonts w:eastAsia="Arial"/>
        </w:rPr>
        <w:t>tled</w:t>
      </w:r>
      <w:r w:rsidR="00910390">
        <w:rPr>
          <w:rFonts w:eastAsia="Arial"/>
        </w:rPr>
        <w:t xml:space="preserve"> </w:t>
      </w:r>
      <w:r w:rsidR="005F7CBA">
        <w:rPr>
          <w:rFonts w:eastAsia="Arial"/>
        </w:rPr>
        <w:t>‘</w:t>
      </w:r>
      <w:r w:rsidR="00BE7F28" w:rsidRPr="00A60B00">
        <w:rPr>
          <w:rFonts w:eastAsia="Arial"/>
          <w:i/>
          <w:iCs/>
        </w:rPr>
        <w:t>managing your relationship with online gambling</w:t>
      </w:r>
      <w:r w:rsidR="005F7CBA">
        <w:rPr>
          <w:rFonts w:eastAsia="Arial"/>
          <w:i/>
          <w:iCs/>
        </w:rPr>
        <w:t>’</w:t>
      </w:r>
      <w:r w:rsidR="00BE7F28">
        <w:rPr>
          <w:rFonts w:eastAsia="Arial"/>
        </w:rPr>
        <w:t xml:space="preserve"> </w:t>
      </w:r>
      <w:r w:rsidRPr="009E2F7F">
        <w:rPr>
          <w:rFonts w:eastAsia="Arial"/>
        </w:rPr>
        <w:t>increased by 986% in January 2024 compared to December 2023</w:t>
      </w:r>
      <w:r>
        <w:rPr>
          <w:rFonts w:eastAsia="Arial"/>
        </w:rPr>
        <w:t xml:space="preserve"> (DSS internal communication, 2024)</w:t>
      </w:r>
      <w:r w:rsidRPr="009E2F7F">
        <w:rPr>
          <w:rFonts w:eastAsia="Arial"/>
        </w:rPr>
        <w:t xml:space="preserve">. </w:t>
      </w:r>
    </w:p>
    <w:p w14:paraId="74B71554" w14:textId="370114B3" w:rsidR="0050567F" w:rsidRPr="009C54E6" w:rsidRDefault="009B37A4" w:rsidP="0050567F">
      <w:pPr>
        <w:pStyle w:val="BodyText"/>
        <w:rPr>
          <w:rFonts w:eastAsia="Arial"/>
        </w:rPr>
      </w:pPr>
      <w:r>
        <w:rPr>
          <w:iCs/>
          <w:lang w:bidi="ar-SA"/>
        </w:rPr>
        <w:t>While general education, communications and</w:t>
      </w:r>
      <w:r w:rsidR="0040020F">
        <w:rPr>
          <w:iCs/>
          <w:lang w:bidi="ar-SA"/>
        </w:rPr>
        <w:t xml:space="preserve"> promotion </w:t>
      </w:r>
      <w:r>
        <w:rPr>
          <w:iCs/>
          <w:lang w:bidi="ar-SA"/>
        </w:rPr>
        <w:t>campaigns can help to raise consumer awareness,</w:t>
      </w:r>
      <w:r w:rsidR="0040020F">
        <w:rPr>
          <w:iCs/>
          <w:lang w:bidi="ar-SA"/>
        </w:rPr>
        <w:t xml:space="preserve"> </w:t>
      </w:r>
      <w:r w:rsidRPr="001626D2">
        <w:rPr>
          <w:bCs/>
        </w:rPr>
        <w:t xml:space="preserve">targeting campaigns has the potential to be </w:t>
      </w:r>
      <w:r w:rsidR="002F6324" w:rsidRPr="001626D2">
        <w:rPr>
          <w:bCs/>
        </w:rPr>
        <w:t xml:space="preserve">effective for </w:t>
      </w:r>
      <w:proofErr w:type="gramStart"/>
      <w:r w:rsidR="002F6324" w:rsidRPr="001626D2">
        <w:rPr>
          <w:bCs/>
        </w:rPr>
        <w:t>particular groups</w:t>
      </w:r>
      <w:proofErr w:type="gramEnd"/>
      <w:r w:rsidR="002F6324" w:rsidRPr="007A60DE">
        <w:rPr>
          <w:bCs/>
        </w:rPr>
        <w:t>.</w:t>
      </w:r>
      <w:r w:rsidR="002F6324">
        <w:t xml:space="preserve"> </w:t>
      </w:r>
      <w:r w:rsidR="0050567F">
        <w:rPr>
          <w:rFonts w:eastAsia="Arial"/>
        </w:rPr>
        <w:t>An AGRC study</w:t>
      </w:r>
      <w:r w:rsidR="00553999">
        <w:rPr>
          <w:rFonts w:eastAsia="Arial"/>
        </w:rPr>
        <w:t xml:space="preserve"> (Tillman et al., 2025)</w:t>
      </w:r>
      <w:r w:rsidR="0050567F">
        <w:rPr>
          <w:rFonts w:eastAsia="Arial"/>
        </w:rPr>
        <w:t xml:space="preserve"> found </w:t>
      </w:r>
      <w:r w:rsidR="0050567F" w:rsidRPr="009C54E6">
        <w:rPr>
          <w:rFonts w:eastAsia="Arial"/>
        </w:rPr>
        <w:t xml:space="preserve">the main types of help sought by at-risk regular online bettors </w:t>
      </w:r>
      <w:r w:rsidR="0050567F">
        <w:rPr>
          <w:rFonts w:eastAsia="Arial"/>
        </w:rPr>
        <w:t>were</w:t>
      </w:r>
      <w:r w:rsidR="0050567F" w:rsidRPr="009C54E6">
        <w:rPr>
          <w:rFonts w:eastAsia="Arial"/>
        </w:rPr>
        <w:t xml:space="preserve">:  </w:t>
      </w:r>
    </w:p>
    <w:p w14:paraId="2EBA248A" w14:textId="77777777" w:rsidR="0050567F" w:rsidRPr="009C54E6" w:rsidRDefault="0050567F" w:rsidP="00CF6D5E">
      <w:pPr>
        <w:pStyle w:val="ListBullet"/>
        <w:rPr>
          <w:rFonts w:eastAsia="Arial"/>
        </w:rPr>
      </w:pPr>
      <w:r w:rsidRPr="009C54E6">
        <w:rPr>
          <w:rFonts w:eastAsia="Arial"/>
        </w:rPr>
        <w:t xml:space="preserve">calling a helpline (e.g. Gambler’s Help, Lifeline; 37.9%)  </w:t>
      </w:r>
    </w:p>
    <w:p w14:paraId="361880B3" w14:textId="77777777" w:rsidR="0050567F" w:rsidRPr="009C54E6" w:rsidRDefault="0050567F" w:rsidP="00CF6D5E">
      <w:pPr>
        <w:pStyle w:val="ListBullet"/>
        <w:rPr>
          <w:rFonts w:eastAsia="Arial"/>
        </w:rPr>
      </w:pPr>
      <w:r w:rsidRPr="009C54E6">
        <w:rPr>
          <w:rFonts w:eastAsia="Arial"/>
        </w:rPr>
        <w:t xml:space="preserve">browsing a gambling help related website or forum (35.8%)  </w:t>
      </w:r>
    </w:p>
    <w:p w14:paraId="650E2034" w14:textId="77777777" w:rsidR="0050567F" w:rsidRPr="009C54E6" w:rsidRDefault="0050567F" w:rsidP="00CF6D5E">
      <w:pPr>
        <w:pStyle w:val="ListBullet"/>
        <w:rPr>
          <w:rFonts w:eastAsia="Arial"/>
        </w:rPr>
      </w:pPr>
      <w:r w:rsidRPr="009C54E6">
        <w:rPr>
          <w:rFonts w:eastAsia="Arial"/>
        </w:rPr>
        <w:t xml:space="preserve">seeking help from family, friends or work colleagues (30.5%)  </w:t>
      </w:r>
    </w:p>
    <w:p w14:paraId="69F6482D" w14:textId="77777777" w:rsidR="0050567F" w:rsidRPr="009C54E6" w:rsidRDefault="0050567F" w:rsidP="00CF6D5E">
      <w:pPr>
        <w:pStyle w:val="ListBullet"/>
        <w:rPr>
          <w:rFonts w:eastAsia="Arial"/>
        </w:rPr>
      </w:pPr>
      <w:r w:rsidRPr="009C54E6">
        <w:rPr>
          <w:rFonts w:eastAsia="Arial"/>
        </w:rPr>
        <w:t xml:space="preserve">seeking help from a doctor, psychologist or counsellor (27.4%)  </w:t>
      </w:r>
    </w:p>
    <w:p w14:paraId="283BC5A9" w14:textId="5FCA0171" w:rsidR="0050567F" w:rsidRPr="009E2F7F" w:rsidRDefault="0050567F" w:rsidP="00CF6D5E">
      <w:pPr>
        <w:pStyle w:val="ListBullet"/>
        <w:rPr>
          <w:rFonts w:eastAsia="Arial"/>
        </w:rPr>
      </w:pPr>
      <w:r w:rsidRPr="009C54E6">
        <w:rPr>
          <w:rFonts w:eastAsia="Arial"/>
        </w:rPr>
        <w:t>enrolling in a self-exclusion program (26.3%)</w:t>
      </w:r>
      <w:r w:rsidR="00D8239C">
        <w:rPr>
          <w:rFonts w:eastAsia="Arial"/>
        </w:rPr>
        <w:t>.</w:t>
      </w:r>
    </w:p>
    <w:p w14:paraId="09E06951" w14:textId="583042FA" w:rsidR="005601EB" w:rsidRDefault="004052A0" w:rsidP="00421AEA">
      <w:pPr>
        <w:pStyle w:val="BodyText"/>
        <w:rPr>
          <w:rFonts w:eastAsia="Arial"/>
        </w:rPr>
      </w:pPr>
      <w:r>
        <w:rPr>
          <w:rFonts w:eastAsia="Arial"/>
        </w:rPr>
        <w:t xml:space="preserve">Harm from gambling has been shown to occur across </w:t>
      </w:r>
      <w:r w:rsidR="00993EA6">
        <w:rPr>
          <w:rFonts w:eastAsia="Arial"/>
        </w:rPr>
        <w:t>7</w:t>
      </w:r>
      <w:r>
        <w:rPr>
          <w:rFonts w:eastAsia="Arial"/>
        </w:rPr>
        <w:t xml:space="preserve"> </w:t>
      </w:r>
      <w:r w:rsidR="00975C9F">
        <w:rPr>
          <w:rFonts w:eastAsia="Arial"/>
        </w:rPr>
        <w:t>dimensions</w:t>
      </w:r>
      <w:r w:rsidR="007611E6">
        <w:rPr>
          <w:rFonts w:eastAsia="Arial"/>
        </w:rPr>
        <w:t xml:space="preserve">, including </w:t>
      </w:r>
      <w:r w:rsidR="00975C9F">
        <w:rPr>
          <w:rFonts w:eastAsia="Arial"/>
        </w:rPr>
        <w:t>financial, relationships, psychological, health, cultural, work/study performance and criminal activit</w:t>
      </w:r>
      <w:r w:rsidR="00602FC1">
        <w:rPr>
          <w:rFonts w:eastAsia="Arial"/>
        </w:rPr>
        <w:t>y</w:t>
      </w:r>
      <w:r w:rsidR="00975C9F">
        <w:rPr>
          <w:rFonts w:eastAsia="Arial"/>
        </w:rPr>
        <w:t xml:space="preserve"> (Browne et al</w:t>
      </w:r>
      <w:r w:rsidR="00607E31">
        <w:rPr>
          <w:rFonts w:eastAsia="Arial"/>
        </w:rPr>
        <w:t>.</w:t>
      </w:r>
      <w:r w:rsidR="00975C9F">
        <w:rPr>
          <w:rFonts w:eastAsia="Arial"/>
        </w:rPr>
        <w:t xml:space="preserve">, 2016). </w:t>
      </w:r>
      <w:r w:rsidR="00840975">
        <w:rPr>
          <w:rFonts w:eastAsia="Arial"/>
        </w:rPr>
        <w:t>Thus</w:t>
      </w:r>
      <w:r w:rsidR="00BC31C9">
        <w:rPr>
          <w:rFonts w:eastAsia="Arial"/>
        </w:rPr>
        <w:t>,</w:t>
      </w:r>
      <w:r w:rsidR="00840975">
        <w:rPr>
          <w:rFonts w:eastAsia="Arial"/>
        </w:rPr>
        <w:t xml:space="preserve"> targeting </w:t>
      </w:r>
      <w:r w:rsidR="00B36F72">
        <w:rPr>
          <w:rFonts w:eastAsia="Arial"/>
        </w:rPr>
        <w:t xml:space="preserve">education campaigns at help providers in these sectors </w:t>
      </w:r>
      <w:r w:rsidR="00557307">
        <w:rPr>
          <w:rFonts w:eastAsia="Arial"/>
        </w:rPr>
        <w:t xml:space="preserve">is likely to be </w:t>
      </w:r>
      <w:r w:rsidR="00D7140C">
        <w:rPr>
          <w:rFonts w:eastAsia="Arial"/>
        </w:rPr>
        <w:t>helpful</w:t>
      </w:r>
      <w:r w:rsidR="00607E31">
        <w:rPr>
          <w:rFonts w:eastAsia="Arial"/>
        </w:rPr>
        <w:t>,</w:t>
      </w:r>
      <w:r w:rsidR="00D7140C">
        <w:rPr>
          <w:rFonts w:eastAsia="Arial"/>
        </w:rPr>
        <w:t xml:space="preserve"> </w:t>
      </w:r>
      <w:r w:rsidR="00376BAC">
        <w:rPr>
          <w:rFonts w:eastAsia="Arial"/>
        </w:rPr>
        <w:t>given they support those at risk of harm.</w:t>
      </w:r>
    </w:p>
    <w:p w14:paraId="2C86DAA2" w14:textId="0727AE11" w:rsidR="009A6954" w:rsidRPr="00843A16" w:rsidRDefault="007A738A" w:rsidP="00732D7D">
      <w:pPr>
        <w:pStyle w:val="Heading3"/>
        <w:keepLines w:val="0"/>
      </w:pPr>
      <w:bookmarkStart w:id="90" w:name="_Toc233643295"/>
      <w:r>
        <w:t>What is the level of a</w:t>
      </w:r>
      <w:r w:rsidR="009A6954" w:rsidRPr="00843A16">
        <w:t xml:space="preserve">wareness of </w:t>
      </w:r>
      <w:r w:rsidR="00D609AF">
        <w:t xml:space="preserve">the </w:t>
      </w:r>
      <w:r w:rsidR="009A6954" w:rsidRPr="00843A16">
        <w:t>NCPF measures by consumers</w:t>
      </w:r>
      <w:r w:rsidR="00D609AF">
        <w:t>?</w:t>
      </w:r>
      <w:bookmarkEnd w:id="90"/>
    </w:p>
    <w:p w14:paraId="5947939F" w14:textId="63A62EF4" w:rsidR="00CF5C88" w:rsidRDefault="0022381A" w:rsidP="00E511D6">
      <w:pPr>
        <w:pStyle w:val="BodyText"/>
        <w:rPr>
          <w:lang w:bidi="ar-SA"/>
        </w:rPr>
      </w:pPr>
      <w:r>
        <w:rPr>
          <w:lang w:bidi="ar-SA"/>
        </w:rPr>
        <w:t>Th</w:t>
      </w:r>
      <w:r w:rsidR="007566D3">
        <w:rPr>
          <w:lang w:bidi="ar-SA"/>
        </w:rPr>
        <w:t xml:space="preserve">e findings for consumer awareness of the NCPF measures are limited due to </w:t>
      </w:r>
      <w:r w:rsidR="00DB38DF">
        <w:rPr>
          <w:lang w:bidi="ar-SA"/>
        </w:rPr>
        <w:t xml:space="preserve">a </w:t>
      </w:r>
      <w:r w:rsidR="007566D3">
        <w:rPr>
          <w:lang w:bidi="ar-SA"/>
        </w:rPr>
        <w:t xml:space="preserve">lack of </w:t>
      </w:r>
      <w:r w:rsidR="00C23A51">
        <w:rPr>
          <w:lang w:bidi="ar-SA"/>
        </w:rPr>
        <w:t xml:space="preserve">available </w:t>
      </w:r>
      <w:r w:rsidR="007566D3">
        <w:rPr>
          <w:lang w:bidi="ar-SA"/>
        </w:rPr>
        <w:t>data sources</w:t>
      </w:r>
      <w:r w:rsidR="00DE51E4">
        <w:rPr>
          <w:lang w:bidi="ar-SA"/>
        </w:rPr>
        <w:t>.</w:t>
      </w:r>
      <w:r w:rsidR="002C174D">
        <w:rPr>
          <w:lang w:bidi="ar-SA"/>
        </w:rPr>
        <w:t xml:space="preserve"> Findings are</w:t>
      </w:r>
      <w:r w:rsidR="00C1105A">
        <w:rPr>
          <w:lang w:bidi="ar-SA"/>
        </w:rPr>
        <w:t xml:space="preserve"> </w:t>
      </w:r>
      <w:r w:rsidR="006A6509">
        <w:rPr>
          <w:lang w:bidi="ar-SA"/>
        </w:rPr>
        <w:t xml:space="preserve">mainly </w:t>
      </w:r>
      <w:r w:rsidR="002C174D">
        <w:rPr>
          <w:lang w:bidi="ar-SA"/>
        </w:rPr>
        <w:t>drawn from</w:t>
      </w:r>
      <w:r w:rsidR="00817C55">
        <w:rPr>
          <w:lang w:bidi="ar-SA"/>
        </w:rPr>
        <w:t>:</w:t>
      </w:r>
    </w:p>
    <w:p w14:paraId="3476544A" w14:textId="7AD88B58" w:rsidR="00CF5C88" w:rsidRDefault="00A530D9">
      <w:pPr>
        <w:pStyle w:val="ListBullet"/>
      </w:pPr>
      <w:r>
        <w:t xml:space="preserve">Awareness amongst 30 </w:t>
      </w:r>
      <w:r w:rsidR="00A25A22">
        <w:t xml:space="preserve">interviewed </w:t>
      </w:r>
      <w:r>
        <w:t>regular online wagerers</w:t>
      </w:r>
      <w:r w:rsidR="00845501">
        <w:t xml:space="preserve"> (consumers)</w:t>
      </w:r>
      <w:r w:rsidR="00A25A22">
        <w:t xml:space="preserve">, who were </w:t>
      </w:r>
      <w:r w:rsidR="00927EF0">
        <w:t xml:space="preserve">purposefully </w:t>
      </w:r>
      <w:r w:rsidR="00A25A22">
        <w:t xml:space="preserve">sampled to cover </w:t>
      </w:r>
      <w:r w:rsidR="00927EF0">
        <w:t xml:space="preserve">a range of lived experience </w:t>
      </w:r>
      <w:r w:rsidR="0060422E">
        <w:t xml:space="preserve">of </w:t>
      </w:r>
      <w:r w:rsidR="00D66715">
        <w:t xml:space="preserve">whether they were aware/not aware or had used/not used </w:t>
      </w:r>
      <w:r w:rsidR="0060422E">
        <w:t xml:space="preserve">discretionary </w:t>
      </w:r>
      <w:r w:rsidR="00927EF0">
        <w:t xml:space="preserve">NCPF </w:t>
      </w:r>
      <w:r w:rsidR="00D66715">
        <w:t>measures</w:t>
      </w:r>
      <w:r w:rsidR="00E60D37">
        <w:t xml:space="preserve"> (excluding </w:t>
      </w:r>
      <w:r w:rsidR="0090752F">
        <w:t>the NSER</w:t>
      </w:r>
      <w:r w:rsidR="00E60D37">
        <w:t>)</w:t>
      </w:r>
      <w:r w:rsidR="00D66715">
        <w:t>. Therefore</w:t>
      </w:r>
      <w:r w:rsidR="0060422E">
        <w:t>,</w:t>
      </w:r>
      <w:r w:rsidR="00D66715">
        <w:t xml:space="preserve"> this sample is </w:t>
      </w:r>
      <w:r w:rsidR="00D66715" w:rsidRPr="00886A74">
        <w:rPr>
          <w:b/>
        </w:rPr>
        <w:t>not representative</w:t>
      </w:r>
      <w:r w:rsidR="00D66715">
        <w:t xml:space="preserve"> of </w:t>
      </w:r>
      <w:r w:rsidR="00836316">
        <w:t xml:space="preserve">the </w:t>
      </w:r>
      <w:r w:rsidR="00A37C0E">
        <w:t>wider population of online wagerers in Australia.</w:t>
      </w:r>
      <w:r w:rsidR="0046786D">
        <w:t xml:space="preserve"> </w:t>
      </w:r>
    </w:p>
    <w:p w14:paraId="0B45C374" w14:textId="79643DD9" w:rsidR="00F6507E" w:rsidRDefault="00584821">
      <w:pPr>
        <w:pStyle w:val="ListBullet"/>
      </w:pPr>
      <w:r>
        <w:t xml:space="preserve">Self-reported awareness of the CGM taglines </w:t>
      </w:r>
      <w:r w:rsidR="00002F0F">
        <w:t>by a representative sample of online wagerers</w:t>
      </w:r>
      <w:r w:rsidR="002E76A5">
        <w:t xml:space="preserve"> who had wagered in the last 12 months</w:t>
      </w:r>
      <w:r w:rsidR="00002F0F">
        <w:t xml:space="preserve"> from the NCPF online consumer survey.</w:t>
      </w:r>
    </w:p>
    <w:p w14:paraId="22892B25" w14:textId="15A5ADAA" w:rsidR="00A7127F" w:rsidRPr="00843A16" w:rsidRDefault="009E04DF" w:rsidP="00E511D6">
      <w:pPr>
        <w:pStyle w:val="BodyText"/>
        <w:rPr>
          <w:lang w:bidi="ar-SA"/>
        </w:rPr>
      </w:pPr>
      <w:r>
        <w:rPr>
          <w:lang w:bidi="ar-SA"/>
        </w:rPr>
        <w:lastRenderedPageBreak/>
        <w:t xml:space="preserve">The </w:t>
      </w:r>
      <w:r w:rsidR="00935C7F">
        <w:rPr>
          <w:lang w:bidi="ar-SA"/>
        </w:rPr>
        <w:t xml:space="preserve">National Framework </w:t>
      </w:r>
      <w:r>
        <w:rPr>
          <w:lang w:bidi="ar-SA"/>
        </w:rPr>
        <w:t xml:space="preserve">was designed to operate </w:t>
      </w:r>
      <w:r w:rsidR="00935C7F">
        <w:rPr>
          <w:lang w:bidi="ar-SA"/>
        </w:rPr>
        <w:t>as a suite of 10 consumer protection measures for online wagering</w:t>
      </w:r>
      <w:r>
        <w:rPr>
          <w:lang w:bidi="ar-SA"/>
        </w:rPr>
        <w:t xml:space="preserve">. However, </w:t>
      </w:r>
      <w:r w:rsidR="008F3FE7">
        <w:rPr>
          <w:lang w:bidi="ar-SA"/>
        </w:rPr>
        <w:t xml:space="preserve">general awareness of the </w:t>
      </w:r>
      <w:r w:rsidR="00063910">
        <w:rPr>
          <w:lang w:bidi="ar-SA"/>
        </w:rPr>
        <w:t>f</w:t>
      </w:r>
      <w:r w:rsidR="008F3FE7">
        <w:rPr>
          <w:lang w:bidi="ar-SA"/>
        </w:rPr>
        <w:t>ramework and its measures</w:t>
      </w:r>
      <w:r w:rsidR="00935C7F">
        <w:rPr>
          <w:lang w:bidi="ar-SA"/>
        </w:rPr>
        <w:t xml:space="preserve"> </w:t>
      </w:r>
      <w:r w:rsidR="00A20626">
        <w:rPr>
          <w:lang w:bidi="ar-SA"/>
        </w:rPr>
        <w:t>may not be widespread</w:t>
      </w:r>
      <w:r w:rsidR="00B93080">
        <w:rPr>
          <w:lang w:bidi="ar-SA"/>
        </w:rPr>
        <w:t xml:space="preserve">, based </w:t>
      </w:r>
      <w:r w:rsidR="00445E5F">
        <w:rPr>
          <w:lang w:bidi="ar-SA"/>
        </w:rPr>
        <w:t xml:space="preserve">on </w:t>
      </w:r>
      <w:r w:rsidR="002D1A25">
        <w:rPr>
          <w:lang w:bidi="ar-SA"/>
        </w:rPr>
        <w:t xml:space="preserve">the </w:t>
      </w:r>
      <w:r w:rsidR="00A7127F" w:rsidRPr="00843A16">
        <w:rPr>
          <w:lang w:bidi="ar-SA"/>
        </w:rPr>
        <w:t>consumer</w:t>
      </w:r>
      <w:r w:rsidR="002D4CCA">
        <w:rPr>
          <w:lang w:bidi="ar-SA"/>
        </w:rPr>
        <w:t xml:space="preserve"> interviews</w:t>
      </w:r>
      <w:r w:rsidR="00A7127F" w:rsidRPr="00843A16">
        <w:rPr>
          <w:lang w:bidi="ar-SA"/>
        </w:rPr>
        <w:t>.</w:t>
      </w:r>
    </w:p>
    <w:p w14:paraId="0348FEBD" w14:textId="5BDAEC8B" w:rsidR="00A7127F" w:rsidRPr="00843A16" w:rsidRDefault="00A7127F" w:rsidP="00E511D6">
      <w:pPr>
        <w:pStyle w:val="Quote"/>
      </w:pPr>
      <w:r w:rsidRPr="00843A16">
        <w:t xml:space="preserve">I know the </w:t>
      </w:r>
      <w:r w:rsidR="009A13AF">
        <w:t>government</w:t>
      </w:r>
      <w:r w:rsidRPr="00843A16">
        <w:t xml:space="preserve"> has implemented something, but I’m not too sure what it </w:t>
      </w:r>
      <w:proofErr w:type="gramStart"/>
      <w:r w:rsidRPr="00843A16">
        <w:t>actually is</w:t>
      </w:r>
      <w:proofErr w:type="gramEnd"/>
      <w:r w:rsidRPr="00843A16">
        <w:t xml:space="preserve">, because the thing is with the </w:t>
      </w:r>
      <w:r w:rsidR="009A13AF">
        <w:t>government</w:t>
      </w:r>
      <w:r w:rsidRPr="00843A16">
        <w:t xml:space="preserve">, they seem to have a lot of information that they don’t release to the public until you’ve </w:t>
      </w:r>
      <w:proofErr w:type="gramStart"/>
      <w:r w:rsidRPr="00843A16">
        <w:t>actually been</w:t>
      </w:r>
      <w:proofErr w:type="gramEnd"/>
      <w:r w:rsidRPr="00843A16">
        <w:t xml:space="preserve"> in that situation. I know they’ve got some policy in place but I’m not sure, it’s not literally public knowledge yet</w:t>
      </w:r>
      <w:r w:rsidR="00063910">
        <w:t xml:space="preserve"> </w:t>
      </w:r>
      <w:r w:rsidRPr="00843A16">
        <w:t>... They’re being sort of secretive about it.</w:t>
      </w:r>
      <w:r w:rsidR="00063910">
        <w:t xml:space="preserve"> (</w:t>
      </w:r>
      <w:r w:rsidRPr="00843A16">
        <w:t>P008, moderate-risk gambler, 55</w:t>
      </w:r>
      <w:r w:rsidR="00063910">
        <w:t>–</w:t>
      </w:r>
      <w:r w:rsidRPr="00843A16">
        <w:t>64, female, NSW</w:t>
      </w:r>
      <w:r w:rsidR="00063910">
        <w:t>)</w:t>
      </w:r>
    </w:p>
    <w:p w14:paraId="5DD2F4BA" w14:textId="78B16E9A" w:rsidR="00B56A3D" w:rsidRDefault="00CA773A" w:rsidP="00CB7B11">
      <w:pPr>
        <w:pStyle w:val="BodyText"/>
        <w:spacing w:after="120"/>
        <w:rPr>
          <w:lang w:bidi="ar-SA"/>
        </w:rPr>
      </w:pPr>
      <w:r>
        <w:rPr>
          <w:lang w:bidi="ar-SA"/>
        </w:rPr>
        <w:t>Among interviewed consumers</w:t>
      </w:r>
      <w:r w:rsidR="000C1C10">
        <w:rPr>
          <w:lang w:bidi="ar-SA"/>
        </w:rPr>
        <w:t>,</w:t>
      </w:r>
      <w:r>
        <w:rPr>
          <w:lang w:bidi="ar-SA"/>
        </w:rPr>
        <w:t xml:space="preserve"> </w:t>
      </w:r>
      <w:r w:rsidR="00193090">
        <w:rPr>
          <w:lang w:bidi="ar-SA"/>
        </w:rPr>
        <w:t>a</w:t>
      </w:r>
      <w:r w:rsidR="00DB3DF5" w:rsidRPr="00843A16">
        <w:rPr>
          <w:lang w:bidi="ar-SA"/>
        </w:rPr>
        <w:t xml:space="preserve">wareness was higher for measures </w:t>
      </w:r>
      <w:r w:rsidR="00215935">
        <w:rPr>
          <w:lang w:bidi="ar-SA"/>
        </w:rPr>
        <w:t xml:space="preserve">which required promotion </w:t>
      </w:r>
      <w:r w:rsidR="00B944C6">
        <w:rPr>
          <w:lang w:bidi="ar-SA"/>
        </w:rPr>
        <w:t xml:space="preserve">or </w:t>
      </w:r>
      <w:r w:rsidR="00EE0119">
        <w:rPr>
          <w:lang w:bidi="ar-SA"/>
        </w:rPr>
        <w:t xml:space="preserve">visibility under </w:t>
      </w:r>
      <w:r w:rsidR="00215935">
        <w:rPr>
          <w:lang w:bidi="ar-SA"/>
        </w:rPr>
        <w:t xml:space="preserve">the NPS: </w:t>
      </w:r>
      <w:r w:rsidR="00743A3F">
        <w:rPr>
          <w:lang w:bidi="ar-SA"/>
        </w:rPr>
        <w:t xml:space="preserve">prompts to </w:t>
      </w:r>
      <w:r w:rsidR="004D79AB">
        <w:rPr>
          <w:lang w:bidi="ar-SA"/>
        </w:rPr>
        <w:t>set</w:t>
      </w:r>
      <w:r w:rsidR="00743A3F">
        <w:rPr>
          <w:lang w:bidi="ar-SA"/>
        </w:rPr>
        <w:t>/review</w:t>
      </w:r>
      <w:r w:rsidR="004D79AB">
        <w:rPr>
          <w:lang w:bidi="ar-SA"/>
        </w:rPr>
        <w:t xml:space="preserve"> </w:t>
      </w:r>
      <w:r w:rsidR="00DB3DF5" w:rsidRPr="00843A16">
        <w:rPr>
          <w:lang w:bidi="ar-SA"/>
        </w:rPr>
        <w:t xml:space="preserve">deposit limits, </w:t>
      </w:r>
      <w:r w:rsidR="004D79AB">
        <w:rPr>
          <w:lang w:bidi="ar-SA"/>
        </w:rPr>
        <w:t xml:space="preserve">receiving </w:t>
      </w:r>
      <w:r w:rsidR="00DB3DF5" w:rsidRPr="00843A16">
        <w:rPr>
          <w:lang w:bidi="ar-SA"/>
        </w:rPr>
        <w:t xml:space="preserve">activity statements and </w:t>
      </w:r>
      <w:r w:rsidR="004D79AB">
        <w:rPr>
          <w:lang w:bidi="ar-SA"/>
        </w:rPr>
        <w:t xml:space="preserve">seeing/hearing </w:t>
      </w:r>
      <w:r w:rsidR="00DB3DF5" w:rsidRPr="00843A16">
        <w:rPr>
          <w:lang w:bidi="ar-SA"/>
        </w:rPr>
        <w:t>CGM</w:t>
      </w:r>
      <w:r w:rsidR="004D79AB">
        <w:rPr>
          <w:lang w:bidi="ar-SA"/>
        </w:rPr>
        <w:t>s</w:t>
      </w:r>
      <w:r w:rsidR="00DB3DF5" w:rsidRPr="00843A16">
        <w:rPr>
          <w:lang w:bidi="ar-SA"/>
        </w:rPr>
        <w:t xml:space="preserve">. Interviewed consumers were familiar with </w:t>
      </w:r>
      <w:r w:rsidR="00037177">
        <w:rPr>
          <w:lang w:bidi="ar-SA"/>
        </w:rPr>
        <w:t xml:space="preserve">features </w:t>
      </w:r>
      <w:r w:rsidR="007F710E">
        <w:rPr>
          <w:lang w:bidi="ar-SA"/>
        </w:rPr>
        <w:t>such as</w:t>
      </w:r>
      <w:r w:rsidR="007F710E" w:rsidRPr="00843A16">
        <w:rPr>
          <w:lang w:bidi="ar-SA"/>
        </w:rPr>
        <w:t xml:space="preserve"> </w:t>
      </w:r>
      <w:r w:rsidR="00DB3DF5" w:rsidRPr="00843A16">
        <w:rPr>
          <w:lang w:bidi="ar-SA"/>
        </w:rPr>
        <w:t>customer verification</w:t>
      </w:r>
      <w:r w:rsidR="0058746C">
        <w:rPr>
          <w:lang w:bidi="ar-SA"/>
        </w:rPr>
        <w:t xml:space="preserve">, </w:t>
      </w:r>
      <w:r w:rsidR="00371B65">
        <w:rPr>
          <w:lang w:bidi="ar-SA"/>
        </w:rPr>
        <w:t>account closure</w:t>
      </w:r>
      <w:r w:rsidR="0058746C">
        <w:rPr>
          <w:lang w:bidi="ar-SA"/>
        </w:rPr>
        <w:t xml:space="preserve"> and opting</w:t>
      </w:r>
      <w:r w:rsidR="00271E38">
        <w:rPr>
          <w:lang w:bidi="ar-SA"/>
        </w:rPr>
        <w:t xml:space="preserve"> </w:t>
      </w:r>
      <w:r w:rsidR="0058746C">
        <w:rPr>
          <w:lang w:bidi="ar-SA"/>
        </w:rPr>
        <w:t xml:space="preserve">out of direct marketing. </w:t>
      </w:r>
    </w:p>
    <w:p w14:paraId="06EA7BB9" w14:textId="25140758" w:rsidR="00D37D3C" w:rsidRDefault="00B56A3D" w:rsidP="00CB7B11">
      <w:pPr>
        <w:pStyle w:val="BodyText"/>
        <w:spacing w:after="120"/>
        <w:rPr>
          <w:lang w:bidi="ar-SA"/>
        </w:rPr>
      </w:pPr>
      <w:r>
        <w:rPr>
          <w:lang w:bidi="ar-SA"/>
        </w:rPr>
        <w:t>F</w:t>
      </w:r>
      <w:r w:rsidR="00DB3DF5" w:rsidRPr="00843A16">
        <w:rPr>
          <w:lang w:bidi="ar-SA"/>
        </w:rPr>
        <w:t xml:space="preserve">ew </w:t>
      </w:r>
      <w:r>
        <w:rPr>
          <w:lang w:bidi="ar-SA"/>
        </w:rPr>
        <w:t xml:space="preserve">consumers </w:t>
      </w:r>
      <w:r w:rsidR="00181AC8">
        <w:rPr>
          <w:lang w:bidi="ar-SA"/>
        </w:rPr>
        <w:t xml:space="preserve">appeared to be aware of the detailed requirements of measures such as </w:t>
      </w:r>
      <w:r w:rsidR="00DB3DF5" w:rsidRPr="00843A16">
        <w:rPr>
          <w:lang w:bidi="ar-SA"/>
        </w:rPr>
        <w:t>annual deposit limit prompts</w:t>
      </w:r>
      <w:r w:rsidR="0058746C">
        <w:rPr>
          <w:lang w:bidi="ar-SA"/>
        </w:rPr>
        <w:t>, time</w:t>
      </w:r>
      <w:r w:rsidR="007F710E">
        <w:rPr>
          <w:lang w:bidi="ar-SA"/>
        </w:rPr>
        <w:t xml:space="preserve"> </w:t>
      </w:r>
      <w:r w:rsidR="0058746C">
        <w:rPr>
          <w:lang w:bidi="ar-SA"/>
        </w:rPr>
        <w:t xml:space="preserve">frames around increasing or decreasing deposit limits, </w:t>
      </w:r>
      <w:r w:rsidR="00DB3DF5" w:rsidRPr="00843A16">
        <w:rPr>
          <w:lang w:bidi="ar-SA"/>
        </w:rPr>
        <w:t xml:space="preserve">simplified account closure, </w:t>
      </w:r>
      <w:r w:rsidR="00537AD6">
        <w:rPr>
          <w:lang w:bidi="ar-SA"/>
        </w:rPr>
        <w:t xml:space="preserve">the prohibition </w:t>
      </w:r>
      <w:r w:rsidR="00BC5109">
        <w:rPr>
          <w:lang w:bidi="ar-SA"/>
        </w:rPr>
        <w:t xml:space="preserve">of being encouraged to keep their account open or </w:t>
      </w:r>
      <w:r w:rsidR="003F12DA">
        <w:rPr>
          <w:lang w:bidi="ar-SA"/>
        </w:rPr>
        <w:t xml:space="preserve">receiving </w:t>
      </w:r>
      <w:r w:rsidR="00537AD6">
        <w:rPr>
          <w:lang w:bidi="ar-SA"/>
        </w:rPr>
        <w:t>direct market</w:t>
      </w:r>
      <w:r w:rsidR="003F12DA">
        <w:rPr>
          <w:lang w:bidi="ar-SA"/>
        </w:rPr>
        <w:t>ing</w:t>
      </w:r>
      <w:r w:rsidR="00537AD6">
        <w:rPr>
          <w:lang w:bidi="ar-SA"/>
        </w:rPr>
        <w:t xml:space="preserve"> after closing their account</w:t>
      </w:r>
      <w:r w:rsidR="00636076">
        <w:rPr>
          <w:lang w:bidi="ar-SA"/>
        </w:rPr>
        <w:t xml:space="preserve">. </w:t>
      </w:r>
    </w:p>
    <w:p w14:paraId="3D851A9E" w14:textId="49ED0F8B" w:rsidR="006A0688" w:rsidRPr="00843A16" w:rsidRDefault="002C1E60" w:rsidP="00E511D6">
      <w:pPr>
        <w:pStyle w:val="BodyText"/>
        <w:spacing w:before="0"/>
      </w:pPr>
      <w:hyperlink w:anchor="Figure4" w:history="1">
        <w:r w:rsidRPr="002A4F08">
          <w:rPr>
            <w:rStyle w:val="Hyperlink"/>
            <w:b/>
            <w:bCs/>
          </w:rPr>
          <w:t>Figu</w:t>
        </w:r>
        <w:bookmarkStart w:id="91" w:name="_Hlt233641753"/>
        <w:r w:rsidRPr="002A4F08">
          <w:rPr>
            <w:rStyle w:val="Hyperlink"/>
            <w:b/>
            <w:bCs/>
          </w:rPr>
          <w:t>r</w:t>
        </w:r>
        <w:bookmarkEnd w:id="91"/>
        <w:r w:rsidRPr="002A4F08">
          <w:rPr>
            <w:rStyle w:val="Hyperlink"/>
            <w:b/>
            <w:bCs/>
          </w:rPr>
          <w:t>e 4</w:t>
        </w:r>
      </w:hyperlink>
      <w:r w:rsidR="00533A3F" w:rsidRPr="00843A16">
        <w:t xml:space="preserve"> shows that</w:t>
      </w:r>
      <w:r w:rsidRPr="00843A16">
        <w:t xml:space="preserve"> m</w:t>
      </w:r>
      <w:r w:rsidR="00595353" w:rsidRPr="00843A16">
        <w:t>ost</w:t>
      </w:r>
      <w:r w:rsidR="00DB3DF5" w:rsidRPr="00843A16">
        <w:t xml:space="preserve"> </w:t>
      </w:r>
      <w:r w:rsidR="00595353" w:rsidRPr="00843A16">
        <w:t>Australians</w:t>
      </w:r>
      <w:r w:rsidR="00DB3DF5" w:rsidRPr="00843A16">
        <w:t xml:space="preserve"> </w:t>
      </w:r>
      <w:r w:rsidR="00A228D5" w:rsidRPr="00843A16">
        <w:t xml:space="preserve">who had wagered in the last 12 months </w:t>
      </w:r>
      <w:r w:rsidR="00DB3DF5" w:rsidRPr="00843A16">
        <w:t>were aware of at least one NCPF tagline</w:t>
      </w:r>
      <w:r w:rsidR="00380704" w:rsidRPr="00843A16">
        <w:t xml:space="preserve">, with awareness generally </w:t>
      </w:r>
      <w:r w:rsidR="00E930DD">
        <w:t xml:space="preserve">slightly </w:t>
      </w:r>
      <w:r w:rsidR="00380704" w:rsidRPr="00843A16">
        <w:t>higher among</w:t>
      </w:r>
      <w:r w:rsidR="00331714" w:rsidRPr="00843A16">
        <w:t xml:space="preserve"> more frequent wagerers</w:t>
      </w:r>
      <w:r w:rsidR="00DB3DF5" w:rsidRPr="00843A16">
        <w:t>.</w:t>
      </w:r>
      <w:r w:rsidR="00331714" w:rsidRPr="00843A16">
        <w:t xml:space="preserve"> </w:t>
      </w:r>
      <w:r w:rsidR="003A382F" w:rsidRPr="00843A16">
        <w:t xml:space="preserve">Taglines not </w:t>
      </w:r>
      <w:r w:rsidR="009A79C8">
        <w:t>used</w:t>
      </w:r>
      <w:r w:rsidR="009A79C8" w:rsidRPr="00843A16">
        <w:t xml:space="preserve"> </w:t>
      </w:r>
      <w:r w:rsidR="003A382F" w:rsidRPr="00843A16">
        <w:t xml:space="preserve">on TV/video or radio </w:t>
      </w:r>
      <w:r w:rsidR="00C02AE8">
        <w:t>(</w:t>
      </w:r>
      <w:r w:rsidR="6F6757D6">
        <w:t>‘</w:t>
      </w:r>
      <w:r w:rsidR="00C02AE8">
        <w:t>What are you prepared to lose today? Set a deposit limit</w:t>
      </w:r>
      <w:r w:rsidR="66457C09">
        <w:t>’</w:t>
      </w:r>
      <w:r w:rsidR="00C02AE8">
        <w:t xml:space="preserve"> and </w:t>
      </w:r>
      <w:r w:rsidR="00616C41">
        <w:t>‘</w:t>
      </w:r>
      <w:r w:rsidR="647460B3">
        <w:t>T</w:t>
      </w:r>
      <w:r w:rsidR="00C02AE8">
        <w:t>hink. Is this a bet you really want to place?</w:t>
      </w:r>
      <w:r w:rsidR="32555B6B">
        <w:t>’</w:t>
      </w:r>
      <w:r w:rsidR="00C02AE8">
        <w:t xml:space="preserve">) </w:t>
      </w:r>
      <w:r w:rsidR="003A382F" w:rsidRPr="00843A16">
        <w:t xml:space="preserve">had much lower awareness compared to those </w:t>
      </w:r>
      <w:r w:rsidR="0005392F">
        <w:t xml:space="preserve">shown on TV/video or </w:t>
      </w:r>
      <w:r w:rsidR="00616C41">
        <w:t xml:space="preserve">heard on </w:t>
      </w:r>
      <w:r w:rsidR="0005392F">
        <w:t xml:space="preserve">radio after </w:t>
      </w:r>
      <w:r w:rsidR="00865258">
        <w:t>wagering</w:t>
      </w:r>
      <w:r w:rsidR="0005392F">
        <w:t xml:space="preserve"> advertising</w:t>
      </w:r>
      <w:r w:rsidR="00566F5F">
        <w:t>. This</w:t>
      </w:r>
      <w:r w:rsidR="003A382F" w:rsidRPr="00843A16">
        <w:t xml:space="preserve"> reinforc</w:t>
      </w:r>
      <w:r w:rsidR="00566F5F">
        <w:t>es the</w:t>
      </w:r>
      <w:r w:rsidR="003A382F" w:rsidRPr="00843A16">
        <w:t xml:space="preserve"> earlier evidence that</w:t>
      </w:r>
      <w:r w:rsidR="00331714" w:rsidRPr="00843A16">
        <w:t xml:space="preserve"> </w:t>
      </w:r>
      <w:r w:rsidR="00DD6982" w:rsidRPr="00843A16">
        <w:t>visibility</w:t>
      </w:r>
      <w:r w:rsidR="00244E10" w:rsidRPr="00843A16">
        <w:t xml:space="preserve"> drives awareness.</w:t>
      </w:r>
      <w:r w:rsidR="006A0688" w:rsidRPr="00843A16">
        <w:t xml:space="preserve"> </w:t>
      </w:r>
    </w:p>
    <w:p w14:paraId="72808B74" w14:textId="77777777" w:rsidR="006503EC" w:rsidRDefault="006503EC">
      <w:pPr>
        <w:suppressAutoHyphens w:val="0"/>
        <w:spacing w:before="0" w:line="240" w:lineRule="auto"/>
        <w:jc w:val="left"/>
        <w:rPr>
          <w:rFonts w:eastAsia="Times New Roman" w:cs="Arial"/>
          <w:b/>
          <w:color w:val="2C2341"/>
          <w:lang w:val="en-US" w:eastAsia="ja-JP" w:bidi="en-US"/>
        </w:rPr>
      </w:pPr>
      <w:bookmarkStart w:id="92" w:name="Figure4"/>
      <w:r>
        <w:br w:type="page"/>
      </w:r>
    </w:p>
    <w:p w14:paraId="4EFDC046" w14:textId="3AE807D0" w:rsidR="00DB3DF5" w:rsidRPr="00DB14D1" w:rsidRDefault="00DB3DF5" w:rsidP="007A60DE">
      <w:pPr>
        <w:pStyle w:val="FigureCaption"/>
      </w:pPr>
      <w:r w:rsidRPr="00DB14D1">
        <w:lastRenderedPageBreak/>
        <w:t xml:space="preserve">Figure </w:t>
      </w:r>
      <w:r w:rsidR="002C1E60" w:rsidRPr="00DB14D1">
        <w:t>4</w:t>
      </w:r>
      <w:bookmarkEnd w:id="92"/>
      <w:r w:rsidRPr="00DB14D1">
        <w:t xml:space="preserve">: </w:t>
      </w:r>
      <w:r w:rsidR="009D21BE" w:rsidRPr="00616C41">
        <w:t>Awareness</w:t>
      </w:r>
      <w:r w:rsidR="009D21BE" w:rsidRPr="00DB14D1">
        <w:t xml:space="preserve"> of CGM taglines among </w:t>
      </w:r>
      <w:r w:rsidRPr="00DB14D1">
        <w:t>Australian adults last 12-month</w:t>
      </w:r>
      <w:r w:rsidR="00C26901">
        <w:t>s</w:t>
      </w:r>
      <w:r w:rsidRPr="00DB14D1">
        <w:t xml:space="preserve"> online wagerers and at least monthly online wagerers (</w:t>
      </w:r>
      <w:r w:rsidR="00CF19DC">
        <w:t xml:space="preserve">NCPF Online </w:t>
      </w:r>
      <w:r w:rsidRPr="00DB14D1">
        <w:t>Consumer Survey, 2025)</w:t>
      </w:r>
    </w:p>
    <w:p w14:paraId="1B2A3B06" w14:textId="3862E9EE" w:rsidR="00333BA2" w:rsidRDefault="00333BA2" w:rsidP="00C1105A">
      <w:pPr>
        <w:pStyle w:val="FigureNotes"/>
        <w:spacing w:before="0"/>
        <w:ind w:right="-6"/>
      </w:pPr>
      <w:r w:rsidRPr="00F425B3">
        <w:rPr>
          <w:noProof/>
        </w:rPr>
        <w:drawing>
          <wp:inline distT="0" distB="0" distL="0" distR="0" wp14:anchorId="45B5124C" wp14:editId="5028E8FA">
            <wp:extent cx="5220269" cy="2777319"/>
            <wp:effectExtent l="0" t="0" r="0" b="4445"/>
            <wp:docPr id="13871498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A25AAC4" w14:textId="703233FB" w:rsidR="00CD05AF" w:rsidRDefault="00CD05AF" w:rsidP="00AB459F">
      <w:pPr>
        <w:pStyle w:val="FigureNotes"/>
      </w:pPr>
      <w:r w:rsidRPr="00AB459F">
        <w:t>Notes: Excludes sample who did not have their own betting account (</w:t>
      </w:r>
      <w:r w:rsidRPr="007A60DE">
        <w:rPr>
          <w:i/>
          <w:iCs/>
        </w:rPr>
        <w:t>n</w:t>
      </w:r>
      <w:r w:rsidR="00AB459F" w:rsidRPr="007A60DE">
        <w:rPr>
          <w:i/>
          <w:iCs/>
        </w:rPr>
        <w:t xml:space="preserve"> </w:t>
      </w:r>
      <w:r w:rsidRPr="00AB459F">
        <w:t>=</w:t>
      </w:r>
      <w:r w:rsidR="00AB459F">
        <w:t xml:space="preserve"> </w:t>
      </w:r>
      <w:r w:rsidRPr="00AB459F">
        <w:t xml:space="preserve">20) or </w:t>
      </w:r>
      <w:r w:rsidR="00B9366D" w:rsidRPr="00AB459F">
        <w:t xml:space="preserve">did not use a legal </w:t>
      </w:r>
      <w:r w:rsidRPr="00AB459F">
        <w:t>online WSP (</w:t>
      </w:r>
      <w:r w:rsidRPr="007A60DE">
        <w:rPr>
          <w:i/>
          <w:iCs/>
        </w:rPr>
        <w:t>n</w:t>
      </w:r>
      <w:r w:rsidR="00AB459F">
        <w:t xml:space="preserve"> </w:t>
      </w:r>
      <w:r w:rsidRPr="00AB459F">
        <w:t>=</w:t>
      </w:r>
      <w:r w:rsidR="00AB459F">
        <w:t xml:space="preserve"> </w:t>
      </w:r>
      <w:r w:rsidRPr="00AB459F">
        <w:t>27).</w:t>
      </w:r>
      <w:r w:rsidR="00A31E83" w:rsidRPr="00AB459F">
        <w:t xml:space="preserve"> </w:t>
      </w:r>
      <w:r w:rsidR="00B965F1" w:rsidRPr="00AB459F">
        <w:t>At least monthly adult online wagerers (</w:t>
      </w:r>
      <w:r w:rsidR="00B965F1" w:rsidRPr="007A60DE">
        <w:rPr>
          <w:i/>
          <w:iCs/>
        </w:rPr>
        <w:t>n</w:t>
      </w:r>
      <w:r w:rsidR="00B965F1" w:rsidRPr="00AB459F">
        <w:t xml:space="preserve"> = </w:t>
      </w:r>
      <w:r w:rsidR="005C7859" w:rsidRPr="00AB459F">
        <w:t>328); Last 12-month</w:t>
      </w:r>
      <w:r w:rsidR="00AB459F">
        <w:t>s</w:t>
      </w:r>
      <w:r w:rsidR="005C7859" w:rsidRPr="00AB459F">
        <w:t xml:space="preserve"> adult online wagerers (</w:t>
      </w:r>
      <w:r w:rsidR="005C7859" w:rsidRPr="007A60DE">
        <w:rPr>
          <w:i/>
          <w:iCs/>
        </w:rPr>
        <w:t>n</w:t>
      </w:r>
      <w:r w:rsidR="005C7859" w:rsidRPr="00AB459F">
        <w:t xml:space="preserve"> = 641).</w:t>
      </w:r>
    </w:p>
    <w:p w14:paraId="63AD7BEB" w14:textId="05C0A35C" w:rsidR="00AB459F" w:rsidRPr="00AB459F" w:rsidRDefault="00AB459F" w:rsidP="007A60DE">
      <w:pPr>
        <w:pStyle w:val="FigureNotes"/>
        <w:keepNext/>
      </w:pPr>
      <w:r>
        <w:t>S</w:t>
      </w:r>
      <w:r w:rsidRPr="00AB459F">
        <w:t>ource</w:t>
      </w:r>
      <w:r>
        <w:t>:</w:t>
      </w:r>
      <w:r w:rsidRPr="00AB459F">
        <w:t xml:space="preserve"> 2025 NCPF Online Consumer Survey</w:t>
      </w:r>
    </w:p>
    <w:p w14:paraId="3B461E15" w14:textId="35362121" w:rsidR="008D12C2" w:rsidRPr="00843A16" w:rsidRDefault="009F1D42" w:rsidP="00D51537">
      <w:pPr>
        <w:pStyle w:val="BodyText"/>
      </w:pPr>
      <w:hyperlink w:anchor="Table5" w:history="1">
        <w:r w:rsidRPr="009F1D42">
          <w:rPr>
            <w:rStyle w:val="Hyperlink"/>
            <w:b/>
            <w:bCs/>
          </w:rPr>
          <w:t>Tab</w:t>
        </w:r>
        <w:bookmarkStart w:id="93" w:name="_Hlt233641760"/>
        <w:r w:rsidRPr="009F1D42">
          <w:rPr>
            <w:rStyle w:val="Hyperlink"/>
            <w:b/>
            <w:bCs/>
          </w:rPr>
          <w:t>l</w:t>
        </w:r>
        <w:bookmarkEnd w:id="93"/>
        <w:r w:rsidRPr="009F1D42">
          <w:rPr>
            <w:rStyle w:val="Hyperlink"/>
            <w:b/>
            <w:bCs/>
          </w:rPr>
          <w:t>e</w:t>
        </w:r>
        <w:r>
          <w:rPr>
            <w:rStyle w:val="Hyperlink"/>
            <w:b/>
            <w:bCs/>
          </w:rPr>
          <w:t xml:space="preserve"> </w:t>
        </w:r>
        <w:r w:rsidRPr="009F1D42">
          <w:rPr>
            <w:rStyle w:val="Hyperlink"/>
            <w:b/>
            <w:bCs/>
          </w:rPr>
          <w:t>5</w:t>
        </w:r>
      </w:hyperlink>
      <w:r w:rsidR="002C3790" w:rsidRPr="00843A16">
        <w:t xml:space="preserve"> shows </w:t>
      </w:r>
      <w:r w:rsidR="00DB3DF5" w:rsidRPr="00843A16">
        <w:t xml:space="preserve">that awareness of </w:t>
      </w:r>
      <w:r w:rsidR="00D869A8">
        <w:t>the</w:t>
      </w:r>
      <w:r w:rsidR="00D869A8" w:rsidRPr="00843A16">
        <w:t xml:space="preserve"> </w:t>
      </w:r>
      <w:r w:rsidR="00DB3DF5" w:rsidRPr="00843A16">
        <w:t xml:space="preserve">taglines was higher among low- and non-risk wagerers than among higher-risk groups, suggesting a need for more targeted messaging. </w:t>
      </w:r>
      <w:r w:rsidR="001A34E4" w:rsidRPr="00843A16">
        <w:t xml:space="preserve">Interestingly, </w:t>
      </w:r>
      <w:r w:rsidR="007F11A4" w:rsidRPr="00843A16">
        <w:t xml:space="preserve">the awareness of </w:t>
      </w:r>
      <w:r w:rsidR="006E2060">
        <w:t xml:space="preserve">the tagline with </w:t>
      </w:r>
      <w:r w:rsidR="59845009">
        <w:t>‘</w:t>
      </w:r>
      <w:r w:rsidR="00A13DDE" w:rsidRPr="00843A16">
        <w:t>set a deposit limit</w:t>
      </w:r>
      <w:r w:rsidR="00B430B6" w:rsidRPr="00843A16">
        <w:t>’</w:t>
      </w:r>
      <w:r w:rsidR="00A13DDE" w:rsidRPr="00843A16">
        <w:t xml:space="preserve"> </w:t>
      </w:r>
      <w:r w:rsidR="00A254FB">
        <w:t>was</w:t>
      </w:r>
      <w:r w:rsidR="00A254FB" w:rsidRPr="00843A16">
        <w:t xml:space="preserve"> </w:t>
      </w:r>
      <w:r w:rsidR="007F11A4" w:rsidRPr="00843A16">
        <w:t xml:space="preserve">higher among </w:t>
      </w:r>
      <w:r w:rsidR="00A65634" w:rsidRPr="00843A16">
        <w:t>high-risk</w:t>
      </w:r>
      <w:r w:rsidR="007F11A4" w:rsidRPr="00843A16">
        <w:t xml:space="preserve"> gamblers</w:t>
      </w:r>
      <w:r w:rsidR="00CE4440" w:rsidRPr="00843A16">
        <w:t xml:space="preserve"> than other groups.</w:t>
      </w:r>
      <w:r w:rsidR="006141A3" w:rsidRPr="00843A16">
        <w:t xml:space="preserve"> </w:t>
      </w:r>
    </w:p>
    <w:p w14:paraId="6BD2E72C" w14:textId="43C3EC12" w:rsidR="008A253F" w:rsidRPr="00EF63F5" w:rsidRDefault="008A253F" w:rsidP="007A60DE">
      <w:pPr>
        <w:pStyle w:val="TableCaption"/>
      </w:pPr>
      <w:bookmarkStart w:id="94" w:name="Table5"/>
      <w:bookmarkStart w:id="95" w:name="Table4"/>
      <w:r w:rsidRPr="00EF63F5">
        <w:t xml:space="preserve">Table </w:t>
      </w:r>
      <w:r w:rsidR="0085658B">
        <w:t>5</w:t>
      </w:r>
      <w:bookmarkEnd w:id="94"/>
      <w:bookmarkEnd w:id="95"/>
      <w:r w:rsidRPr="00EF63F5">
        <w:t xml:space="preserve">: </w:t>
      </w:r>
      <w:r w:rsidRPr="008A253F">
        <w:t>Australian adults last 12-month</w:t>
      </w:r>
      <w:r w:rsidR="00A254FB">
        <w:t>s</w:t>
      </w:r>
      <w:r w:rsidRPr="008A253F">
        <w:t xml:space="preserve"> online wagerers awareness of CGM taglines by PGSI at-risk gambling category (NCPF Online Consumer Survey, 2025)</w:t>
      </w:r>
    </w:p>
    <w:tbl>
      <w:tblPr>
        <w:tblStyle w:val="DPSTableGrid2"/>
        <w:tblW w:w="8810" w:type="dxa"/>
        <w:tblBorders>
          <w:top w:val="single" w:sz="4" w:space="0" w:color="auto"/>
          <w:bottom w:val="single" w:sz="4" w:space="0" w:color="auto"/>
          <w:insideH w:val="single" w:sz="4" w:space="0" w:color="auto"/>
        </w:tblBorders>
        <w:tblLook w:val="04A0" w:firstRow="1" w:lastRow="0" w:firstColumn="1" w:lastColumn="0" w:noHBand="0" w:noVBand="1"/>
      </w:tblPr>
      <w:tblGrid>
        <w:gridCol w:w="3483"/>
        <w:gridCol w:w="1004"/>
        <w:gridCol w:w="1003"/>
        <w:gridCol w:w="1314"/>
        <w:gridCol w:w="1003"/>
        <w:gridCol w:w="1003"/>
      </w:tblGrid>
      <w:tr w:rsidR="00CC4C9A" w:rsidRPr="002C23E4" w14:paraId="42F6BF50" w14:textId="4A14C99F" w:rsidTr="002E1A36">
        <w:trPr>
          <w:cnfStyle w:val="100000000000" w:firstRow="1" w:lastRow="0" w:firstColumn="0" w:lastColumn="0" w:oddVBand="0" w:evenVBand="0" w:oddHBand="0" w:evenHBand="0" w:firstRowFirstColumn="0" w:firstRowLastColumn="0" w:lastRowFirstColumn="0" w:lastRowLastColumn="0"/>
        </w:trPr>
        <w:tc>
          <w:tcPr>
            <w:tcW w:w="3483" w:type="dxa"/>
            <w:tcBorders>
              <w:top w:val="single" w:sz="4" w:space="0" w:color="auto"/>
              <w:left w:val="nil"/>
              <w:bottom w:val="single" w:sz="4" w:space="0" w:color="auto"/>
              <w:right w:val="nil"/>
            </w:tcBorders>
            <w:shd w:val="clear" w:color="auto" w:fill="62136D" w:themeFill="accent2"/>
          </w:tcPr>
          <w:p w14:paraId="076CDB26" w14:textId="5A6E7CEB" w:rsidR="00F07503" w:rsidRPr="002C23E4" w:rsidRDefault="00F07503" w:rsidP="00F07503">
            <w:pPr>
              <w:spacing w:before="60" w:after="60" w:line="240" w:lineRule="auto"/>
              <w:jc w:val="left"/>
              <w:rPr>
                <w:rFonts w:eastAsia="Times New Roman"/>
                <w:color w:val="FFFFFF" w:themeColor="background1"/>
                <w:sz w:val="16"/>
                <w:szCs w:val="16"/>
                <w:lang w:val="en-US" w:eastAsia="ja-JP" w:bidi="en-US"/>
              </w:rPr>
            </w:pPr>
            <w:r w:rsidRPr="002C23E4">
              <w:rPr>
                <w:rFonts w:eastAsia="Times New Roman"/>
                <w:color w:val="FFFFFF" w:themeColor="background1"/>
                <w:sz w:val="16"/>
                <w:szCs w:val="16"/>
                <w:lang w:val="en-US" w:eastAsia="ja-JP" w:bidi="en-US"/>
              </w:rPr>
              <w:t>CGM tagline</w:t>
            </w:r>
          </w:p>
        </w:tc>
        <w:tc>
          <w:tcPr>
            <w:tcW w:w="1004" w:type="dxa"/>
          </w:tcPr>
          <w:p w14:paraId="288BA0DA" w14:textId="2AB12831" w:rsidR="00F07503" w:rsidRPr="002C23E4" w:rsidRDefault="00F07503" w:rsidP="00F07503">
            <w:pPr>
              <w:spacing w:before="60" w:after="60" w:line="240" w:lineRule="auto"/>
              <w:jc w:val="center"/>
              <w:rPr>
                <w:rFonts w:eastAsia="Times New Roman"/>
                <w:color w:val="FFFFFF" w:themeColor="background1"/>
                <w:sz w:val="16"/>
                <w:szCs w:val="16"/>
                <w:lang w:val="en-US" w:eastAsia="ja-JP" w:bidi="en-US"/>
              </w:rPr>
            </w:pPr>
            <w:r w:rsidRPr="002C23E4">
              <w:rPr>
                <w:rFonts w:eastAsia="Times New Roman"/>
                <w:color w:val="FFFFFF" w:themeColor="background1"/>
                <w:sz w:val="16"/>
                <w:szCs w:val="16"/>
                <w:lang w:val="en-US" w:eastAsia="ja-JP" w:bidi="en-US"/>
              </w:rPr>
              <w:t>Non-risk</w:t>
            </w:r>
          </w:p>
        </w:tc>
        <w:tc>
          <w:tcPr>
            <w:tcW w:w="1003" w:type="dxa"/>
            <w:shd w:val="clear" w:color="auto" w:fill="62136D" w:themeFill="accent2"/>
          </w:tcPr>
          <w:p w14:paraId="761FF494" w14:textId="695FBAB0" w:rsidR="00F07503" w:rsidRPr="002C23E4" w:rsidRDefault="00F07503" w:rsidP="00F07503">
            <w:pPr>
              <w:spacing w:before="60" w:after="60" w:line="240" w:lineRule="auto"/>
              <w:jc w:val="center"/>
              <w:rPr>
                <w:rFonts w:eastAsia="Times New Roman"/>
                <w:color w:val="FFFFFF" w:themeColor="background1"/>
                <w:sz w:val="16"/>
                <w:szCs w:val="16"/>
                <w:lang w:val="en-US" w:eastAsia="ja-JP" w:bidi="en-US"/>
              </w:rPr>
            </w:pPr>
            <w:proofErr w:type="gramStart"/>
            <w:r w:rsidRPr="002C23E4">
              <w:rPr>
                <w:rFonts w:eastAsia="Times New Roman"/>
                <w:color w:val="FFFFFF" w:themeColor="background1"/>
                <w:sz w:val="16"/>
                <w:szCs w:val="16"/>
                <w:lang w:val="en-US" w:eastAsia="ja-JP" w:bidi="en-US"/>
              </w:rPr>
              <w:t>Low-risk</w:t>
            </w:r>
            <w:proofErr w:type="gramEnd"/>
          </w:p>
        </w:tc>
        <w:tc>
          <w:tcPr>
            <w:tcW w:w="1314" w:type="dxa"/>
          </w:tcPr>
          <w:p w14:paraId="5F95E0B5" w14:textId="1889D871" w:rsidR="00F07503" w:rsidRPr="002C23E4" w:rsidRDefault="00F07503" w:rsidP="00F07503">
            <w:pPr>
              <w:spacing w:before="60" w:after="60" w:line="240" w:lineRule="auto"/>
              <w:jc w:val="center"/>
              <w:rPr>
                <w:rFonts w:eastAsia="Times New Roman"/>
                <w:color w:val="FFFFFF" w:themeColor="background1"/>
                <w:sz w:val="16"/>
                <w:szCs w:val="16"/>
                <w:lang w:val="en-US" w:eastAsia="ja-JP" w:bidi="en-US"/>
              </w:rPr>
            </w:pPr>
            <w:proofErr w:type="gramStart"/>
            <w:r w:rsidRPr="002C23E4">
              <w:rPr>
                <w:rFonts w:eastAsia="Times New Roman"/>
                <w:color w:val="FFFFFF" w:themeColor="background1"/>
                <w:sz w:val="16"/>
                <w:szCs w:val="16"/>
                <w:lang w:val="en-US" w:eastAsia="ja-JP" w:bidi="en-US"/>
              </w:rPr>
              <w:t>Moderate-risk</w:t>
            </w:r>
            <w:proofErr w:type="gramEnd"/>
          </w:p>
        </w:tc>
        <w:tc>
          <w:tcPr>
            <w:tcW w:w="1003" w:type="dxa"/>
          </w:tcPr>
          <w:p w14:paraId="65EC4AF5" w14:textId="7B412D1B" w:rsidR="00F07503" w:rsidRPr="002C23E4" w:rsidRDefault="00F07503" w:rsidP="00F07503">
            <w:pPr>
              <w:spacing w:before="60" w:after="60" w:line="240" w:lineRule="auto"/>
              <w:jc w:val="center"/>
              <w:rPr>
                <w:rFonts w:eastAsia="Times New Roman"/>
                <w:color w:val="FFFFFF" w:themeColor="background1"/>
                <w:sz w:val="16"/>
                <w:szCs w:val="16"/>
                <w:lang w:val="en-US" w:eastAsia="ja-JP" w:bidi="en-US"/>
              </w:rPr>
            </w:pPr>
            <w:r w:rsidRPr="002C23E4">
              <w:rPr>
                <w:rFonts w:eastAsia="Times New Roman"/>
                <w:color w:val="FFFFFF" w:themeColor="background1"/>
                <w:sz w:val="16"/>
                <w:szCs w:val="16"/>
                <w:lang w:val="en-US" w:eastAsia="ja-JP" w:bidi="en-US"/>
              </w:rPr>
              <w:t>High-risk</w:t>
            </w:r>
          </w:p>
        </w:tc>
        <w:tc>
          <w:tcPr>
            <w:tcW w:w="1003" w:type="dxa"/>
          </w:tcPr>
          <w:p w14:paraId="1A87C423" w14:textId="4103B114" w:rsidR="00F07503" w:rsidRPr="002C23E4" w:rsidRDefault="00F07503" w:rsidP="00F07503">
            <w:pPr>
              <w:spacing w:before="60" w:after="60" w:line="240" w:lineRule="auto"/>
              <w:jc w:val="center"/>
              <w:rPr>
                <w:rFonts w:eastAsia="Times New Roman"/>
                <w:color w:val="FFFFFF" w:themeColor="background1"/>
                <w:sz w:val="16"/>
                <w:szCs w:val="16"/>
                <w:lang w:val="en-US" w:eastAsia="ja-JP" w:bidi="en-US"/>
              </w:rPr>
            </w:pPr>
            <w:r w:rsidRPr="002C23E4">
              <w:rPr>
                <w:rFonts w:eastAsia="Times New Roman"/>
                <w:color w:val="FFFFFF" w:themeColor="background1"/>
                <w:sz w:val="16"/>
                <w:szCs w:val="16"/>
                <w:lang w:val="en-US" w:eastAsia="ja-JP" w:bidi="en-US"/>
              </w:rPr>
              <w:t>Any at-risk</w:t>
            </w:r>
          </w:p>
        </w:tc>
      </w:tr>
      <w:tr w:rsidR="00905B6A" w:rsidRPr="002C23E4" w14:paraId="6E6912A1" w14:textId="4F0B580E" w:rsidTr="002E1A36">
        <w:tc>
          <w:tcPr>
            <w:tcW w:w="3483" w:type="dxa"/>
            <w:tcBorders>
              <w:top w:val="single" w:sz="4" w:space="0" w:color="auto"/>
              <w:left w:val="nil"/>
              <w:bottom w:val="single" w:sz="4" w:space="0" w:color="auto"/>
              <w:right w:val="nil"/>
            </w:tcBorders>
          </w:tcPr>
          <w:p w14:paraId="4FC3E6BC" w14:textId="2EDAA0B8"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What’s gambling really costing you?</w:t>
            </w:r>
          </w:p>
        </w:tc>
        <w:tc>
          <w:tcPr>
            <w:tcW w:w="1004" w:type="dxa"/>
          </w:tcPr>
          <w:p w14:paraId="48BF2603" w14:textId="6E77A0E7" w:rsidR="00F07503" w:rsidRPr="002C23E4" w:rsidRDefault="00F07503" w:rsidP="00F07503">
            <w:pPr>
              <w:spacing w:before="60" w:after="60" w:line="240" w:lineRule="auto"/>
              <w:jc w:val="center"/>
              <w:rPr>
                <w:sz w:val="16"/>
                <w:szCs w:val="16"/>
              </w:rPr>
            </w:pPr>
            <w:r w:rsidRPr="002C23E4">
              <w:rPr>
                <w:sz w:val="16"/>
                <w:szCs w:val="16"/>
              </w:rPr>
              <w:t>83.0%</w:t>
            </w:r>
          </w:p>
        </w:tc>
        <w:tc>
          <w:tcPr>
            <w:tcW w:w="1003" w:type="dxa"/>
          </w:tcPr>
          <w:p w14:paraId="2977A7B2" w14:textId="7E64AA43" w:rsidR="00F07503" w:rsidRPr="002C23E4" w:rsidRDefault="00F07503" w:rsidP="00F07503">
            <w:pPr>
              <w:spacing w:before="60" w:after="60" w:line="240" w:lineRule="auto"/>
              <w:jc w:val="center"/>
              <w:rPr>
                <w:sz w:val="16"/>
                <w:szCs w:val="16"/>
              </w:rPr>
            </w:pPr>
            <w:r w:rsidRPr="002C23E4">
              <w:rPr>
                <w:sz w:val="16"/>
                <w:szCs w:val="16"/>
              </w:rPr>
              <w:t>89.4%</w:t>
            </w:r>
          </w:p>
        </w:tc>
        <w:tc>
          <w:tcPr>
            <w:tcW w:w="1314" w:type="dxa"/>
          </w:tcPr>
          <w:p w14:paraId="65DB8CA3" w14:textId="76E4BF5A" w:rsidR="00F07503" w:rsidRPr="002C23E4" w:rsidRDefault="00F07503" w:rsidP="00F07503">
            <w:pPr>
              <w:spacing w:before="60" w:after="60" w:line="240" w:lineRule="auto"/>
              <w:jc w:val="center"/>
              <w:rPr>
                <w:sz w:val="16"/>
                <w:szCs w:val="16"/>
              </w:rPr>
            </w:pPr>
            <w:r w:rsidRPr="002C23E4">
              <w:rPr>
                <w:sz w:val="16"/>
                <w:szCs w:val="16"/>
              </w:rPr>
              <w:t>73.0%</w:t>
            </w:r>
          </w:p>
        </w:tc>
        <w:tc>
          <w:tcPr>
            <w:tcW w:w="1003" w:type="dxa"/>
          </w:tcPr>
          <w:p w14:paraId="3BCDFBEE" w14:textId="408DD901" w:rsidR="00F07503" w:rsidRPr="002C23E4" w:rsidRDefault="00F07503" w:rsidP="00F07503">
            <w:pPr>
              <w:spacing w:before="60" w:after="60" w:line="240" w:lineRule="auto"/>
              <w:jc w:val="center"/>
              <w:rPr>
                <w:sz w:val="16"/>
                <w:szCs w:val="16"/>
              </w:rPr>
            </w:pPr>
            <w:r w:rsidRPr="002C23E4">
              <w:rPr>
                <w:sz w:val="16"/>
                <w:szCs w:val="16"/>
              </w:rPr>
              <w:t>71.9%</w:t>
            </w:r>
          </w:p>
        </w:tc>
        <w:tc>
          <w:tcPr>
            <w:tcW w:w="1003" w:type="dxa"/>
          </w:tcPr>
          <w:p w14:paraId="013DF0C6" w14:textId="1CCAD834" w:rsidR="00F07503" w:rsidRPr="002C23E4" w:rsidRDefault="00F07503" w:rsidP="00F07503">
            <w:pPr>
              <w:spacing w:before="60" w:after="60" w:line="240" w:lineRule="auto"/>
              <w:jc w:val="center"/>
              <w:rPr>
                <w:sz w:val="16"/>
                <w:szCs w:val="16"/>
              </w:rPr>
            </w:pPr>
            <w:r w:rsidRPr="002C23E4">
              <w:rPr>
                <w:sz w:val="16"/>
                <w:szCs w:val="16"/>
              </w:rPr>
              <w:t>80.3%</w:t>
            </w:r>
          </w:p>
        </w:tc>
      </w:tr>
      <w:tr w:rsidR="00905B6A" w:rsidRPr="002C23E4" w14:paraId="3DCC7862" w14:textId="7A837581" w:rsidTr="002E1A36">
        <w:tc>
          <w:tcPr>
            <w:tcW w:w="3483" w:type="dxa"/>
            <w:tcBorders>
              <w:top w:val="single" w:sz="4" w:space="0" w:color="auto"/>
              <w:left w:val="nil"/>
              <w:bottom w:val="single" w:sz="4" w:space="0" w:color="auto"/>
              <w:right w:val="nil"/>
            </w:tcBorders>
          </w:tcPr>
          <w:p w14:paraId="376FA752" w14:textId="14546EF0"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Chances are you’re about to lose.</w:t>
            </w:r>
          </w:p>
        </w:tc>
        <w:tc>
          <w:tcPr>
            <w:tcW w:w="1004" w:type="dxa"/>
          </w:tcPr>
          <w:p w14:paraId="252EEE3C" w14:textId="2CD4F864" w:rsidR="00F07503" w:rsidRPr="002C23E4" w:rsidRDefault="00F07503" w:rsidP="00F07503">
            <w:pPr>
              <w:spacing w:before="60" w:after="60" w:line="240" w:lineRule="auto"/>
              <w:jc w:val="center"/>
              <w:rPr>
                <w:sz w:val="16"/>
                <w:szCs w:val="16"/>
              </w:rPr>
            </w:pPr>
            <w:r w:rsidRPr="002C23E4">
              <w:rPr>
                <w:sz w:val="16"/>
                <w:szCs w:val="16"/>
              </w:rPr>
              <w:t>82.8%</w:t>
            </w:r>
          </w:p>
        </w:tc>
        <w:tc>
          <w:tcPr>
            <w:tcW w:w="1003" w:type="dxa"/>
          </w:tcPr>
          <w:p w14:paraId="5172D7C5" w14:textId="0149E255" w:rsidR="00F07503" w:rsidRPr="002C23E4" w:rsidRDefault="00F07503" w:rsidP="00F07503">
            <w:pPr>
              <w:spacing w:before="60" w:after="60" w:line="240" w:lineRule="auto"/>
              <w:jc w:val="center"/>
              <w:rPr>
                <w:sz w:val="16"/>
                <w:szCs w:val="16"/>
              </w:rPr>
            </w:pPr>
            <w:r w:rsidRPr="002C23E4">
              <w:rPr>
                <w:sz w:val="16"/>
                <w:szCs w:val="16"/>
              </w:rPr>
              <w:t>86.0%</w:t>
            </w:r>
          </w:p>
        </w:tc>
        <w:tc>
          <w:tcPr>
            <w:tcW w:w="1314" w:type="dxa"/>
          </w:tcPr>
          <w:p w14:paraId="7550E643" w14:textId="0A7C8DBB" w:rsidR="00F07503" w:rsidRPr="002C23E4" w:rsidRDefault="00F07503" w:rsidP="00F07503">
            <w:pPr>
              <w:spacing w:before="60" w:after="60" w:line="240" w:lineRule="auto"/>
              <w:jc w:val="center"/>
              <w:rPr>
                <w:sz w:val="16"/>
                <w:szCs w:val="16"/>
              </w:rPr>
            </w:pPr>
            <w:r w:rsidRPr="002C23E4">
              <w:rPr>
                <w:sz w:val="16"/>
                <w:szCs w:val="16"/>
              </w:rPr>
              <w:t>78.5%</w:t>
            </w:r>
          </w:p>
        </w:tc>
        <w:tc>
          <w:tcPr>
            <w:tcW w:w="1003" w:type="dxa"/>
          </w:tcPr>
          <w:p w14:paraId="66579A63" w14:textId="6755F0E9" w:rsidR="00F07503" w:rsidRPr="002C23E4" w:rsidRDefault="00F07503" w:rsidP="00F07503">
            <w:pPr>
              <w:spacing w:before="60" w:after="60" w:line="240" w:lineRule="auto"/>
              <w:jc w:val="center"/>
              <w:rPr>
                <w:sz w:val="16"/>
                <w:szCs w:val="16"/>
              </w:rPr>
            </w:pPr>
            <w:r w:rsidRPr="002C23E4">
              <w:rPr>
                <w:sz w:val="16"/>
                <w:szCs w:val="16"/>
              </w:rPr>
              <w:t>76.4%</w:t>
            </w:r>
          </w:p>
        </w:tc>
        <w:tc>
          <w:tcPr>
            <w:tcW w:w="1003" w:type="dxa"/>
          </w:tcPr>
          <w:p w14:paraId="203FE02F" w14:textId="670805E7" w:rsidR="00F07503" w:rsidRPr="002C23E4" w:rsidRDefault="00F07503" w:rsidP="00F07503">
            <w:pPr>
              <w:spacing w:before="60" w:after="60" w:line="240" w:lineRule="auto"/>
              <w:jc w:val="center"/>
              <w:rPr>
                <w:sz w:val="16"/>
                <w:szCs w:val="16"/>
              </w:rPr>
            </w:pPr>
            <w:r w:rsidRPr="002C23E4">
              <w:rPr>
                <w:sz w:val="16"/>
                <w:szCs w:val="16"/>
              </w:rPr>
              <w:t>81.6%</w:t>
            </w:r>
          </w:p>
        </w:tc>
      </w:tr>
      <w:tr w:rsidR="00905B6A" w:rsidRPr="002C23E4" w14:paraId="115AB2D4" w14:textId="2C77D117" w:rsidTr="002E1A36">
        <w:tc>
          <w:tcPr>
            <w:tcW w:w="3483" w:type="dxa"/>
            <w:tcBorders>
              <w:top w:val="single" w:sz="4" w:space="0" w:color="auto"/>
              <w:left w:val="nil"/>
              <w:bottom w:val="single" w:sz="4" w:space="0" w:color="auto"/>
              <w:right w:val="nil"/>
            </w:tcBorders>
          </w:tcPr>
          <w:p w14:paraId="3510AB61" w14:textId="0630BA98"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You win some. You lose more.</w:t>
            </w:r>
          </w:p>
        </w:tc>
        <w:tc>
          <w:tcPr>
            <w:tcW w:w="1004" w:type="dxa"/>
          </w:tcPr>
          <w:p w14:paraId="72674B8A" w14:textId="39D75C9D" w:rsidR="00F07503" w:rsidRPr="002C23E4" w:rsidRDefault="00F07503" w:rsidP="00F07503">
            <w:pPr>
              <w:spacing w:before="60" w:after="60" w:line="240" w:lineRule="auto"/>
              <w:jc w:val="center"/>
              <w:rPr>
                <w:sz w:val="16"/>
                <w:szCs w:val="16"/>
              </w:rPr>
            </w:pPr>
            <w:r w:rsidRPr="002C23E4">
              <w:rPr>
                <w:sz w:val="16"/>
                <w:szCs w:val="16"/>
              </w:rPr>
              <w:t>75.7%</w:t>
            </w:r>
          </w:p>
        </w:tc>
        <w:tc>
          <w:tcPr>
            <w:tcW w:w="1003" w:type="dxa"/>
          </w:tcPr>
          <w:p w14:paraId="5B8B7D81" w14:textId="1608C9E1" w:rsidR="00F07503" w:rsidRPr="002C23E4" w:rsidRDefault="00F07503" w:rsidP="00F07503">
            <w:pPr>
              <w:spacing w:before="60" w:after="60" w:line="240" w:lineRule="auto"/>
              <w:jc w:val="center"/>
              <w:rPr>
                <w:sz w:val="16"/>
                <w:szCs w:val="16"/>
              </w:rPr>
            </w:pPr>
            <w:r w:rsidRPr="002C23E4">
              <w:rPr>
                <w:sz w:val="16"/>
                <w:szCs w:val="16"/>
              </w:rPr>
              <w:t>80.6%</w:t>
            </w:r>
          </w:p>
        </w:tc>
        <w:tc>
          <w:tcPr>
            <w:tcW w:w="1314" w:type="dxa"/>
          </w:tcPr>
          <w:p w14:paraId="008056FE" w14:textId="6A358438" w:rsidR="00F07503" w:rsidRPr="002C23E4" w:rsidRDefault="00F07503" w:rsidP="00F07503">
            <w:pPr>
              <w:spacing w:before="60" w:after="60" w:line="240" w:lineRule="auto"/>
              <w:jc w:val="center"/>
              <w:rPr>
                <w:sz w:val="16"/>
                <w:szCs w:val="16"/>
              </w:rPr>
            </w:pPr>
            <w:r w:rsidRPr="002C23E4">
              <w:rPr>
                <w:sz w:val="16"/>
                <w:szCs w:val="16"/>
              </w:rPr>
              <w:t>71.2%</w:t>
            </w:r>
          </w:p>
        </w:tc>
        <w:tc>
          <w:tcPr>
            <w:tcW w:w="1003" w:type="dxa"/>
          </w:tcPr>
          <w:p w14:paraId="4B779657" w14:textId="221E3D20" w:rsidR="00F07503" w:rsidRPr="002C23E4" w:rsidRDefault="00F07503" w:rsidP="00F07503">
            <w:pPr>
              <w:spacing w:before="60" w:after="60" w:line="240" w:lineRule="auto"/>
              <w:jc w:val="center"/>
              <w:rPr>
                <w:sz w:val="16"/>
                <w:szCs w:val="16"/>
              </w:rPr>
            </w:pPr>
            <w:r w:rsidRPr="002C23E4">
              <w:rPr>
                <w:sz w:val="16"/>
                <w:szCs w:val="16"/>
              </w:rPr>
              <w:t>69.0%</w:t>
            </w:r>
          </w:p>
        </w:tc>
        <w:tc>
          <w:tcPr>
            <w:tcW w:w="1003" w:type="dxa"/>
          </w:tcPr>
          <w:p w14:paraId="0B9D1CE0" w14:textId="7D1BB3DC" w:rsidR="00F07503" w:rsidRPr="002C23E4" w:rsidRDefault="00F07503" w:rsidP="00F07503">
            <w:pPr>
              <w:spacing w:before="60" w:after="60" w:line="240" w:lineRule="auto"/>
              <w:jc w:val="center"/>
              <w:rPr>
                <w:sz w:val="16"/>
                <w:szCs w:val="16"/>
              </w:rPr>
            </w:pPr>
            <w:r w:rsidRPr="002C23E4">
              <w:rPr>
                <w:sz w:val="16"/>
                <w:szCs w:val="16"/>
              </w:rPr>
              <w:t>75.1%</w:t>
            </w:r>
          </w:p>
        </w:tc>
      </w:tr>
      <w:tr w:rsidR="00905B6A" w:rsidRPr="002C23E4" w14:paraId="4B9713BF" w14:textId="0275FCEF" w:rsidTr="002E1A36">
        <w:tc>
          <w:tcPr>
            <w:tcW w:w="3483" w:type="dxa"/>
            <w:tcBorders>
              <w:top w:val="single" w:sz="4" w:space="0" w:color="auto"/>
              <w:left w:val="nil"/>
              <w:bottom w:val="single" w:sz="4" w:space="0" w:color="auto"/>
              <w:right w:val="nil"/>
            </w:tcBorders>
          </w:tcPr>
          <w:p w14:paraId="4DDE64C9" w14:textId="1672FEB0"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What are you really gambling with?</w:t>
            </w:r>
          </w:p>
        </w:tc>
        <w:tc>
          <w:tcPr>
            <w:tcW w:w="1004" w:type="dxa"/>
          </w:tcPr>
          <w:p w14:paraId="255D2774" w14:textId="2AD00AD1" w:rsidR="00F07503" w:rsidRPr="002C23E4" w:rsidRDefault="00F07503" w:rsidP="00F07503">
            <w:pPr>
              <w:spacing w:before="60" w:after="60" w:line="240" w:lineRule="auto"/>
              <w:jc w:val="center"/>
              <w:rPr>
                <w:sz w:val="16"/>
                <w:szCs w:val="16"/>
              </w:rPr>
            </w:pPr>
            <w:r w:rsidRPr="002C23E4">
              <w:rPr>
                <w:sz w:val="16"/>
                <w:szCs w:val="16"/>
              </w:rPr>
              <w:t>71.2%</w:t>
            </w:r>
          </w:p>
        </w:tc>
        <w:tc>
          <w:tcPr>
            <w:tcW w:w="1003" w:type="dxa"/>
          </w:tcPr>
          <w:p w14:paraId="67CD5732" w14:textId="0A3BAC33" w:rsidR="00F07503" w:rsidRPr="002C23E4" w:rsidRDefault="00F07503" w:rsidP="00F07503">
            <w:pPr>
              <w:spacing w:before="60" w:after="60" w:line="240" w:lineRule="auto"/>
              <w:jc w:val="center"/>
              <w:rPr>
                <w:sz w:val="16"/>
                <w:szCs w:val="16"/>
              </w:rPr>
            </w:pPr>
            <w:r w:rsidRPr="002C23E4">
              <w:rPr>
                <w:sz w:val="16"/>
                <w:szCs w:val="16"/>
              </w:rPr>
              <w:t>84.8%</w:t>
            </w:r>
          </w:p>
        </w:tc>
        <w:tc>
          <w:tcPr>
            <w:tcW w:w="1314" w:type="dxa"/>
          </w:tcPr>
          <w:p w14:paraId="71F414A2" w14:textId="2E49E3D0" w:rsidR="00F07503" w:rsidRPr="002C23E4" w:rsidRDefault="00F07503" w:rsidP="00F07503">
            <w:pPr>
              <w:spacing w:before="60" w:after="60" w:line="240" w:lineRule="auto"/>
              <w:jc w:val="center"/>
              <w:rPr>
                <w:sz w:val="16"/>
                <w:szCs w:val="16"/>
              </w:rPr>
            </w:pPr>
            <w:r w:rsidRPr="002C23E4">
              <w:rPr>
                <w:sz w:val="16"/>
                <w:szCs w:val="16"/>
              </w:rPr>
              <w:t>63.4%</w:t>
            </w:r>
          </w:p>
        </w:tc>
        <w:tc>
          <w:tcPr>
            <w:tcW w:w="1003" w:type="dxa"/>
          </w:tcPr>
          <w:p w14:paraId="72AF6B90" w14:textId="63B580BF" w:rsidR="00F07503" w:rsidRPr="002C23E4" w:rsidRDefault="00F07503" w:rsidP="00F07503">
            <w:pPr>
              <w:spacing w:before="60" w:after="60" w:line="240" w:lineRule="auto"/>
              <w:jc w:val="center"/>
              <w:rPr>
                <w:sz w:val="16"/>
                <w:szCs w:val="16"/>
              </w:rPr>
            </w:pPr>
            <w:r w:rsidRPr="002C23E4">
              <w:rPr>
                <w:sz w:val="16"/>
                <w:szCs w:val="16"/>
              </w:rPr>
              <w:t>70.9%</w:t>
            </w:r>
          </w:p>
        </w:tc>
        <w:tc>
          <w:tcPr>
            <w:tcW w:w="1003" w:type="dxa"/>
          </w:tcPr>
          <w:p w14:paraId="03751D0B" w14:textId="45190597" w:rsidR="00F07503" w:rsidRPr="002C23E4" w:rsidRDefault="00F07503" w:rsidP="00F07503">
            <w:pPr>
              <w:spacing w:before="60" w:after="60" w:line="240" w:lineRule="auto"/>
              <w:jc w:val="center"/>
              <w:rPr>
                <w:sz w:val="16"/>
                <w:szCs w:val="16"/>
              </w:rPr>
            </w:pPr>
            <w:r w:rsidRPr="002C23E4">
              <w:rPr>
                <w:sz w:val="16"/>
                <w:szCs w:val="16"/>
              </w:rPr>
              <w:t>74.6%</w:t>
            </w:r>
          </w:p>
        </w:tc>
      </w:tr>
      <w:tr w:rsidR="00905B6A" w:rsidRPr="002C23E4" w14:paraId="3292D6F2" w14:textId="1BC913DD" w:rsidTr="002E1A36">
        <w:tc>
          <w:tcPr>
            <w:tcW w:w="3483" w:type="dxa"/>
            <w:tcBorders>
              <w:top w:val="single" w:sz="4" w:space="0" w:color="auto"/>
              <w:left w:val="nil"/>
              <w:bottom w:val="single" w:sz="4" w:space="0" w:color="auto"/>
              <w:right w:val="nil"/>
            </w:tcBorders>
          </w:tcPr>
          <w:p w14:paraId="19D54BFC" w14:textId="54A15285"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Imagine what you could be buying instead.</w:t>
            </w:r>
          </w:p>
        </w:tc>
        <w:tc>
          <w:tcPr>
            <w:tcW w:w="1004" w:type="dxa"/>
          </w:tcPr>
          <w:p w14:paraId="1B7C8EB5" w14:textId="6BF84267" w:rsidR="00F07503" w:rsidRPr="002C23E4" w:rsidRDefault="00F07503" w:rsidP="00F07503">
            <w:pPr>
              <w:spacing w:before="60" w:after="60" w:line="240" w:lineRule="auto"/>
              <w:jc w:val="center"/>
              <w:rPr>
                <w:sz w:val="16"/>
                <w:szCs w:val="16"/>
              </w:rPr>
            </w:pPr>
            <w:r w:rsidRPr="002C23E4">
              <w:rPr>
                <w:sz w:val="16"/>
                <w:szCs w:val="16"/>
              </w:rPr>
              <w:t>68.5%</w:t>
            </w:r>
          </w:p>
        </w:tc>
        <w:tc>
          <w:tcPr>
            <w:tcW w:w="1003" w:type="dxa"/>
          </w:tcPr>
          <w:p w14:paraId="26D0C7EF" w14:textId="2E184D60" w:rsidR="00F07503" w:rsidRPr="002C23E4" w:rsidRDefault="00F07503" w:rsidP="00F07503">
            <w:pPr>
              <w:spacing w:before="60" w:after="60" w:line="240" w:lineRule="auto"/>
              <w:jc w:val="center"/>
              <w:rPr>
                <w:sz w:val="16"/>
                <w:szCs w:val="16"/>
              </w:rPr>
            </w:pPr>
            <w:r w:rsidRPr="002C23E4">
              <w:rPr>
                <w:sz w:val="16"/>
                <w:szCs w:val="16"/>
              </w:rPr>
              <w:t>71.4%</w:t>
            </w:r>
          </w:p>
        </w:tc>
        <w:tc>
          <w:tcPr>
            <w:tcW w:w="1314" w:type="dxa"/>
          </w:tcPr>
          <w:p w14:paraId="193CD81F" w14:textId="755D1B56" w:rsidR="00F07503" w:rsidRPr="002C23E4" w:rsidRDefault="00F07503" w:rsidP="00F07503">
            <w:pPr>
              <w:spacing w:before="60" w:after="60" w:line="240" w:lineRule="auto"/>
              <w:jc w:val="center"/>
              <w:rPr>
                <w:sz w:val="16"/>
                <w:szCs w:val="16"/>
              </w:rPr>
            </w:pPr>
            <w:r w:rsidRPr="002C23E4">
              <w:rPr>
                <w:sz w:val="16"/>
                <w:szCs w:val="16"/>
              </w:rPr>
              <w:t>67.0%</w:t>
            </w:r>
          </w:p>
        </w:tc>
        <w:tc>
          <w:tcPr>
            <w:tcW w:w="1003" w:type="dxa"/>
          </w:tcPr>
          <w:p w14:paraId="41C42C44" w14:textId="0FEEACAE" w:rsidR="00F07503" w:rsidRPr="002C23E4" w:rsidRDefault="00F07503" w:rsidP="00F07503">
            <w:pPr>
              <w:spacing w:before="60" w:after="60" w:line="240" w:lineRule="auto"/>
              <w:jc w:val="center"/>
              <w:rPr>
                <w:sz w:val="16"/>
                <w:szCs w:val="16"/>
              </w:rPr>
            </w:pPr>
            <w:r w:rsidRPr="002C23E4">
              <w:rPr>
                <w:sz w:val="16"/>
                <w:szCs w:val="16"/>
              </w:rPr>
              <w:t>68.3%</w:t>
            </w:r>
          </w:p>
        </w:tc>
        <w:tc>
          <w:tcPr>
            <w:tcW w:w="1003" w:type="dxa"/>
          </w:tcPr>
          <w:p w14:paraId="0C0BB88A" w14:textId="52633B31" w:rsidR="00F07503" w:rsidRPr="002C23E4" w:rsidRDefault="00F07503" w:rsidP="00F07503">
            <w:pPr>
              <w:spacing w:before="60" w:after="60" w:line="240" w:lineRule="auto"/>
              <w:jc w:val="center"/>
              <w:rPr>
                <w:sz w:val="16"/>
                <w:szCs w:val="16"/>
              </w:rPr>
            </w:pPr>
            <w:r w:rsidRPr="002C23E4">
              <w:rPr>
                <w:sz w:val="16"/>
                <w:szCs w:val="16"/>
              </w:rPr>
              <w:t>69.3%</w:t>
            </w:r>
          </w:p>
        </w:tc>
      </w:tr>
      <w:tr w:rsidR="00905B6A" w:rsidRPr="002C23E4" w14:paraId="3A2A2061" w14:textId="1D943ECE" w:rsidTr="002E1A36">
        <w:tc>
          <w:tcPr>
            <w:tcW w:w="3483" w:type="dxa"/>
            <w:tcBorders>
              <w:top w:val="single" w:sz="4" w:space="0" w:color="auto"/>
              <w:left w:val="nil"/>
              <w:bottom w:val="single" w:sz="4" w:space="0" w:color="auto"/>
              <w:right w:val="nil"/>
            </w:tcBorders>
          </w:tcPr>
          <w:p w14:paraId="0ECDDD12" w14:textId="4BE79514"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 xml:space="preserve">What are you prepared to lose today? Set a deposit limit. </w:t>
            </w:r>
          </w:p>
        </w:tc>
        <w:tc>
          <w:tcPr>
            <w:tcW w:w="1004" w:type="dxa"/>
          </w:tcPr>
          <w:p w14:paraId="4B550BE4" w14:textId="43E2B88B" w:rsidR="00F07503" w:rsidRPr="002C23E4" w:rsidRDefault="00F07503" w:rsidP="00F07503">
            <w:pPr>
              <w:spacing w:before="60" w:after="60" w:line="240" w:lineRule="auto"/>
              <w:jc w:val="center"/>
              <w:rPr>
                <w:sz w:val="16"/>
                <w:szCs w:val="16"/>
              </w:rPr>
            </w:pPr>
            <w:r w:rsidRPr="002C23E4">
              <w:rPr>
                <w:sz w:val="16"/>
                <w:szCs w:val="16"/>
              </w:rPr>
              <w:t>34.1%</w:t>
            </w:r>
          </w:p>
        </w:tc>
        <w:tc>
          <w:tcPr>
            <w:tcW w:w="1003" w:type="dxa"/>
          </w:tcPr>
          <w:p w14:paraId="0AA6C040" w14:textId="6BCE7BFE" w:rsidR="00F07503" w:rsidRPr="002C23E4" w:rsidRDefault="00F07503" w:rsidP="00F07503">
            <w:pPr>
              <w:spacing w:before="60" w:after="60" w:line="240" w:lineRule="auto"/>
              <w:jc w:val="center"/>
              <w:rPr>
                <w:sz w:val="16"/>
                <w:szCs w:val="16"/>
              </w:rPr>
            </w:pPr>
            <w:r w:rsidRPr="002C23E4">
              <w:rPr>
                <w:sz w:val="16"/>
                <w:szCs w:val="16"/>
              </w:rPr>
              <w:t>42.5%</w:t>
            </w:r>
          </w:p>
        </w:tc>
        <w:tc>
          <w:tcPr>
            <w:tcW w:w="1314" w:type="dxa"/>
          </w:tcPr>
          <w:p w14:paraId="531BCB9B" w14:textId="6B77B4C2" w:rsidR="00F07503" w:rsidRPr="002C23E4" w:rsidRDefault="00F07503" w:rsidP="00F07503">
            <w:pPr>
              <w:spacing w:before="60" w:after="60" w:line="240" w:lineRule="auto"/>
              <w:jc w:val="center"/>
              <w:rPr>
                <w:sz w:val="16"/>
                <w:szCs w:val="16"/>
              </w:rPr>
            </w:pPr>
            <w:r w:rsidRPr="002C23E4">
              <w:rPr>
                <w:sz w:val="16"/>
                <w:szCs w:val="16"/>
              </w:rPr>
              <w:t>35.1%</w:t>
            </w:r>
          </w:p>
        </w:tc>
        <w:tc>
          <w:tcPr>
            <w:tcW w:w="1003" w:type="dxa"/>
          </w:tcPr>
          <w:p w14:paraId="6E883FB0" w14:textId="6A5E6F7C" w:rsidR="00F07503" w:rsidRPr="002C23E4" w:rsidRDefault="00F07503" w:rsidP="00F07503">
            <w:pPr>
              <w:spacing w:before="60" w:after="60" w:line="240" w:lineRule="auto"/>
              <w:jc w:val="center"/>
              <w:rPr>
                <w:sz w:val="16"/>
                <w:szCs w:val="16"/>
              </w:rPr>
            </w:pPr>
            <w:r w:rsidRPr="002C23E4">
              <w:rPr>
                <w:sz w:val="16"/>
                <w:szCs w:val="16"/>
              </w:rPr>
              <w:t>51.9%</w:t>
            </w:r>
          </w:p>
        </w:tc>
        <w:tc>
          <w:tcPr>
            <w:tcW w:w="1003" w:type="dxa"/>
          </w:tcPr>
          <w:p w14:paraId="5B3A14CA" w14:textId="43E7CF60" w:rsidR="00F07503" w:rsidRPr="002C23E4" w:rsidRDefault="00F07503" w:rsidP="00F07503">
            <w:pPr>
              <w:spacing w:before="60" w:after="60" w:line="240" w:lineRule="auto"/>
              <w:jc w:val="center"/>
              <w:rPr>
                <w:sz w:val="16"/>
                <w:szCs w:val="16"/>
              </w:rPr>
            </w:pPr>
            <w:r w:rsidRPr="002C23E4">
              <w:rPr>
                <w:sz w:val="16"/>
                <w:szCs w:val="16"/>
              </w:rPr>
              <w:t>41.5%</w:t>
            </w:r>
          </w:p>
        </w:tc>
      </w:tr>
      <w:tr w:rsidR="00905B6A" w:rsidRPr="002C23E4" w14:paraId="357498D0" w14:textId="303B7BA2" w:rsidTr="002E1A36">
        <w:tc>
          <w:tcPr>
            <w:tcW w:w="3483" w:type="dxa"/>
            <w:tcBorders>
              <w:top w:val="single" w:sz="4" w:space="0" w:color="auto"/>
              <w:left w:val="nil"/>
              <w:bottom w:val="single" w:sz="4" w:space="0" w:color="auto"/>
              <w:right w:val="nil"/>
            </w:tcBorders>
          </w:tcPr>
          <w:p w14:paraId="35786A28" w14:textId="0E4EF52A" w:rsidR="00F07503" w:rsidRPr="002C23E4" w:rsidRDefault="00F07503" w:rsidP="00F07503">
            <w:pPr>
              <w:spacing w:before="60" w:after="60" w:line="240" w:lineRule="auto"/>
              <w:jc w:val="left"/>
              <w:rPr>
                <w:rFonts w:eastAsia="Times New Roman"/>
                <w:sz w:val="16"/>
                <w:szCs w:val="16"/>
                <w:lang w:val="en-US" w:eastAsia="ja-JP" w:bidi="en-US"/>
              </w:rPr>
            </w:pPr>
            <w:r w:rsidRPr="002C23E4">
              <w:rPr>
                <w:sz w:val="16"/>
                <w:szCs w:val="16"/>
              </w:rPr>
              <w:t>Think. Is this a bet you really want to place?</w:t>
            </w:r>
          </w:p>
        </w:tc>
        <w:tc>
          <w:tcPr>
            <w:tcW w:w="1004" w:type="dxa"/>
          </w:tcPr>
          <w:p w14:paraId="5718CA66" w14:textId="2F0B5BDC" w:rsidR="00F07503" w:rsidRPr="002C23E4" w:rsidRDefault="00F07503" w:rsidP="00F07503">
            <w:pPr>
              <w:spacing w:before="60" w:after="60" w:line="240" w:lineRule="auto"/>
              <w:jc w:val="center"/>
              <w:rPr>
                <w:sz w:val="16"/>
                <w:szCs w:val="16"/>
              </w:rPr>
            </w:pPr>
            <w:r w:rsidRPr="002C23E4">
              <w:rPr>
                <w:sz w:val="16"/>
                <w:szCs w:val="16"/>
              </w:rPr>
              <w:t>12.3%</w:t>
            </w:r>
          </w:p>
        </w:tc>
        <w:tc>
          <w:tcPr>
            <w:tcW w:w="1003" w:type="dxa"/>
          </w:tcPr>
          <w:p w14:paraId="678D5EA4" w14:textId="61CFD36C" w:rsidR="00F07503" w:rsidRPr="002C23E4" w:rsidRDefault="00F07503" w:rsidP="00F07503">
            <w:pPr>
              <w:spacing w:before="60" w:after="60" w:line="240" w:lineRule="auto"/>
              <w:jc w:val="center"/>
              <w:rPr>
                <w:sz w:val="16"/>
                <w:szCs w:val="16"/>
              </w:rPr>
            </w:pPr>
            <w:r w:rsidRPr="002C23E4">
              <w:rPr>
                <w:sz w:val="16"/>
                <w:szCs w:val="16"/>
              </w:rPr>
              <w:t>23.3%</w:t>
            </w:r>
          </w:p>
        </w:tc>
        <w:tc>
          <w:tcPr>
            <w:tcW w:w="1314" w:type="dxa"/>
          </w:tcPr>
          <w:p w14:paraId="0A2D4639" w14:textId="7CEEC187" w:rsidR="00F07503" w:rsidRPr="002C23E4" w:rsidRDefault="00F07503" w:rsidP="00F07503">
            <w:pPr>
              <w:spacing w:before="60" w:after="60" w:line="240" w:lineRule="auto"/>
              <w:jc w:val="center"/>
              <w:rPr>
                <w:sz w:val="16"/>
                <w:szCs w:val="16"/>
              </w:rPr>
            </w:pPr>
            <w:r w:rsidRPr="002C23E4">
              <w:rPr>
                <w:sz w:val="16"/>
                <w:szCs w:val="16"/>
              </w:rPr>
              <w:t>10.4%</w:t>
            </w:r>
          </w:p>
        </w:tc>
        <w:tc>
          <w:tcPr>
            <w:tcW w:w="1003" w:type="dxa"/>
          </w:tcPr>
          <w:p w14:paraId="56E88014" w14:textId="6E835C70" w:rsidR="00F07503" w:rsidRPr="002C23E4" w:rsidRDefault="00F07503" w:rsidP="00F07503">
            <w:pPr>
              <w:spacing w:before="60" w:after="60" w:line="240" w:lineRule="auto"/>
              <w:jc w:val="center"/>
              <w:rPr>
                <w:sz w:val="16"/>
                <w:szCs w:val="16"/>
              </w:rPr>
            </w:pPr>
            <w:r w:rsidRPr="002C23E4">
              <w:rPr>
                <w:sz w:val="16"/>
                <w:szCs w:val="16"/>
              </w:rPr>
              <w:t>17.2%</w:t>
            </w:r>
          </w:p>
        </w:tc>
        <w:tc>
          <w:tcPr>
            <w:tcW w:w="1003" w:type="dxa"/>
          </w:tcPr>
          <w:p w14:paraId="7502CDAA" w14:textId="407E3364" w:rsidR="00F07503" w:rsidRPr="002C23E4" w:rsidRDefault="00F07503" w:rsidP="00F07503">
            <w:pPr>
              <w:spacing w:before="60" w:after="60" w:line="240" w:lineRule="auto"/>
              <w:jc w:val="center"/>
              <w:rPr>
                <w:sz w:val="16"/>
                <w:szCs w:val="16"/>
              </w:rPr>
            </w:pPr>
            <w:r w:rsidRPr="002C23E4">
              <w:rPr>
                <w:sz w:val="16"/>
                <w:szCs w:val="16"/>
              </w:rPr>
              <w:t>17.6%</w:t>
            </w:r>
          </w:p>
        </w:tc>
      </w:tr>
      <w:tr w:rsidR="00905B6A" w:rsidRPr="002C23E4" w14:paraId="3107D454" w14:textId="7356FC73" w:rsidTr="002E1A36">
        <w:tc>
          <w:tcPr>
            <w:tcW w:w="3483" w:type="dxa"/>
            <w:tcBorders>
              <w:top w:val="single" w:sz="4" w:space="0" w:color="auto"/>
              <w:left w:val="nil"/>
              <w:bottom w:val="single" w:sz="4" w:space="0" w:color="auto"/>
              <w:right w:val="nil"/>
            </w:tcBorders>
          </w:tcPr>
          <w:p w14:paraId="67474349" w14:textId="061FF805" w:rsidR="00F07503" w:rsidRPr="002C23E4" w:rsidRDefault="00F07503" w:rsidP="00F07503">
            <w:pPr>
              <w:spacing w:before="60" w:after="60" w:line="240" w:lineRule="auto"/>
              <w:jc w:val="left"/>
              <w:rPr>
                <w:rFonts w:eastAsia="Times New Roman"/>
                <w:b/>
                <w:bCs/>
                <w:sz w:val="16"/>
                <w:szCs w:val="16"/>
                <w:lang w:val="en-US" w:eastAsia="ja-JP" w:bidi="en-US"/>
              </w:rPr>
            </w:pPr>
            <w:r w:rsidRPr="002C23E4">
              <w:rPr>
                <w:b/>
                <w:bCs/>
                <w:sz w:val="16"/>
                <w:szCs w:val="16"/>
              </w:rPr>
              <w:t>Aware of any of the above taglines</w:t>
            </w:r>
          </w:p>
        </w:tc>
        <w:tc>
          <w:tcPr>
            <w:tcW w:w="1004" w:type="dxa"/>
          </w:tcPr>
          <w:p w14:paraId="37D91BBE" w14:textId="44866329" w:rsidR="00F07503" w:rsidRPr="002C23E4" w:rsidRDefault="00F07503" w:rsidP="00F07503">
            <w:pPr>
              <w:spacing w:before="60" w:after="60" w:line="240" w:lineRule="auto"/>
              <w:jc w:val="center"/>
              <w:rPr>
                <w:b/>
                <w:bCs/>
                <w:sz w:val="16"/>
                <w:szCs w:val="16"/>
              </w:rPr>
            </w:pPr>
            <w:r w:rsidRPr="002C23E4">
              <w:rPr>
                <w:b/>
                <w:bCs/>
                <w:sz w:val="16"/>
                <w:szCs w:val="16"/>
              </w:rPr>
              <w:t>94.7%</w:t>
            </w:r>
          </w:p>
        </w:tc>
        <w:tc>
          <w:tcPr>
            <w:tcW w:w="1003" w:type="dxa"/>
          </w:tcPr>
          <w:p w14:paraId="33ED489F" w14:textId="729701F2" w:rsidR="00F07503" w:rsidRPr="002C23E4" w:rsidRDefault="00F07503" w:rsidP="00F07503">
            <w:pPr>
              <w:spacing w:before="60" w:after="60" w:line="240" w:lineRule="auto"/>
              <w:jc w:val="center"/>
              <w:rPr>
                <w:b/>
                <w:bCs/>
                <w:sz w:val="16"/>
                <w:szCs w:val="16"/>
              </w:rPr>
            </w:pPr>
            <w:r w:rsidRPr="002C23E4">
              <w:rPr>
                <w:b/>
                <w:bCs/>
                <w:sz w:val="16"/>
                <w:szCs w:val="16"/>
              </w:rPr>
              <w:t>98.3%</w:t>
            </w:r>
          </w:p>
        </w:tc>
        <w:tc>
          <w:tcPr>
            <w:tcW w:w="1314" w:type="dxa"/>
          </w:tcPr>
          <w:p w14:paraId="3134892F" w14:textId="263289E4" w:rsidR="00F07503" w:rsidRPr="002C23E4" w:rsidRDefault="00F07503" w:rsidP="00F07503">
            <w:pPr>
              <w:spacing w:before="60" w:after="60" w:line="240" w:lineRule="auto"/>
              <w:jc w:val="center"/>
              <w:rPr>
                <w:b/>
                <w:bCs/>
                <w:sz w:val="16"/>
                <w:szCs w:val="16"/>
              </w:rPr>
            </w:pPr>
            <w:r w:rsidRPr="002C23E4">
              <w:rPr>
                <w:b/>
                <w:bCs/>
                <w:sz w:val="16"/>
                <w:szCs w:val="16"/>
              </w:rPr>
              <w:t>92.8%</w:t>
            </w:r>
          </w:p>
        </w:tc>
        <w:tc>
          <w:tcPr>
            <w:tcW w:w="1003" w:type="dxa"/>
          </w:tcPr>
          <w:p w14:paraId="206BCB7D" w14:textId="7BE0B5BC" w:rsidR="00F07503" w:rsidRPr="002C23E4" w:rsidRDefault="00F07503" w:rsidP="00F07503">
            <w:pPr>
              <w:spacing w:before="60" w:after="60" w:line="240" w:lineRule="auto"/>
              <w:jc w:val="center"/>
              <w:rPr>
                <w:b/>
                <w:bCs/>
                <w:sz w:val="16"/>
                <w:szCs w:val="16"/>
              </w:rPr>
            </w:pPr>
            <w:r w:rsidRPr="002C23E4">
              <w:rPr>
                <w:b/>
                <w:bCs/>
                <w:sz w:val="16"/>
                <w:szCs w:val="16"/>
              </w:rPr>
              <w:t>96.1%</w:t>
            </w:r>
          </w:p>
        </w:tc>
        <w:tc>
          <w:tcPr>
            <w:tcW w:w="1003" w:type="dxa"/>
          </w:tcPr>
          <w:p w14:paraId="6B1FC821" w14:textId="76A8D931" w:rsidR="00F07503" w:rsidRPr="002C23E4" w:rsidRDefault="00F07503" w:rsidP="00F07503">
            <w:pPr>
              <w:spacing w:before="60" w:after="60" w:line="240" w:lineRule="auto"/>
              <w:jc w:val="center"/>
              <w:rPr>
                <w:b/>
                <w:bCs/>
                <w:sz w:val="16"/>
                <w:szCs w:val="16"/>
              </w:rPr>
            </w:pPr>
            <w:r w:rsidRPr="002C23E4">
              <w:rPr>
                <w:b/>
                <w:bCs/>
                <w:sz w:val="16"/>
                <w:szCs w:val="16"/>
              </w:rPr>
              <w:t>95.9%</w:t>
            </w:r>
          </w:p>
        </w:tc>
      </w:tr>
    </w:tbl>
    <w:p w14:paraId="6F0D60AE" w14:textId="6EAE7DD2" w:rsidR="00E52751" w:rsidRDefault="00E52751" w:rsidP="00A254FB">
      <w:pPr>
        <w:pStyle w:val="TableNotes"/>
      </w:pPr>
      <w:r w:rsidRPr="00FF7BBF">
        <w:t xml:space="preserve">Notes: </w:t>
      </w:r>
      <w:r w:rsidR="005B4D82">
        <w:t>O</w:t>
      </w:r>
      <w:r w:rsidRPr="00FF7BBF">
        <w:t xml:space="preserve">nline wagerers last 12 months (weighted data: </w:t>
      </w:r>
      <w:r w:rsidRPr="007A60DE">
        <w:rPr>
          <w:i/>
          <w:iCs/>
        </w:rPr>
        <w:t>N</w:t>
      </w:r>
      <w:r w:rsidR="005B4D82">
        <w:t xml:space="preserve"> </w:t>
      </w:r>
      <w:r w:rsidRPr="00FF7BBF">
        <w:t>=</w:t>
      </w:r>
      <w:r w:rsidR="005B4D82">
        <w:t xml:space="preserve"> </w:t>
      </w:r>
      <w:r w:rsidR="00617A3A" w:rsidRPr="00FF7BBF">
        <w:t>641</w:t>
      </w:r>
      <w:r w:rsidRPr="00FF7BBF">
        <w:t xml:space="preserve">). Excludes </w:t>
      </w:r>
      <w:proofErr w:type="gramStart"/>
      <w:r w:rsidRPr="00FF7BBF">
        <w:t>sample</w:t>
      </w:r>
      <w:proofErr w:type="gramEnd"/>
      <w:r w:rsidRPr="00FF7BBF">
        <w:t xml:space="preserve"> who did not have their own betting account (</w:t>
      </w:r>
      <w:r w:rsidRPr="007A60DE">
        <w:rPr>
          <w:i/>
          <w:iCs/>
        </w:rPr>
        <w:t>n</w:t>
      </w:r>
      <w:r w:rsidR="005B4D82">
        <w:t xml:space="preserve"> </w:t>
      </w:r>
      <w:r w:rsidRPr="00FF7BBF">
        <w:t>=</w:t>
      </w:r>
      <w:r w:rsidR="005B4D82">
        <w:t xml:space="preserve"> </w:t>
      </w:r>
      <w:r w:rsidRPr="00FF7BBF">
        <w:t>20) or us</w:t>
      </w:r>
      <w:r w:rsidR="00AF0557">
        <w:t>ing</w:t>
      </w:r>
      <w:r w:rsidRPr="00FF7BBF">
        <w:t xml:space="preserve"> a</w:t>
      </w:r>
      <w:r w:rsidR="00AF0557">
        <w:t>n</w:t>
      </w:r>
      <w:r w:rsidRPr="00FF7BBF">
        <w:t xml:space="preserve"> </w:t>
      </w:r>
      <w:r w:rsidR="00AF0557">
        <w:t>il</w:t>
      </w:r>
      <w:r w:rsidRPr="00FF7BBF">
        <w:t>legal online WSP (</w:t>
      </w:r>
      <w:r w:rsidRPr="007A60DE">
        <w:rPr>
          <w:i/>
          <w:iCs/>
        </w:rPr>
        <w:t>n</w:t>
      </w:r>
      <w:r w:rsidR="005B4D82">
        <w:t xml:space="preserve"> </w:t>
      </w:r>
      <w:r w:rsidRPr="00FF7BBF">
        <w:t>=</w:t>
      </w:r>
      <w:r w:rsidR="005B4D82">
        <w:t xml:space="preserve"> </w:t>
      </w:r>
      <w:r w:rsidRPr="00FF7BBF">
        <w:t xml:space="preserve">27). </w:t>
      </w:r>
      <w:r w:rsidR="00E15EE6" w:rsidRPr="00FF7BBF">
        <w:t>Non-risk</w:t>
      </w:r>
      <w:r w:rsidR="00CE6AFC" w:rsidRPr="00FF7BBF">
        <w:t xml:space="preserve"> gambling</w:t>
      </w:r>
      <w:r w:rsidR="00634A0D" w:rsidRPr="00FF7BBF">
        <w:t xml:space="preserve"> </w:t>
      </w:r>
      <w:r w:rsidR="00634A0D" w:rsidRPr="007A60DE">
        <w:rPr>
          <w:i/>
          <w:iCs/>
        </w:rPr>
        <w:t>n</w:t>
      </w:r>
      <w:r w:rsidR="005B4D82">
        <w:t xml:space="preserve"> </w:t>
      </w:r>
      <w:r w:rsidR="00634A0D" w:rsidRPr="00FF7BBF">
        <w:t>=</w:t>
      </w:r>
      <w:r w:rsidR="005B4D82">
        <w:t xml:space="preserve"> </w:t>
      </w:r>
      <w:r w:rsidR="00CD3943" w:rsidRPr="00FF7BBF">
        <w:t>4</w:t>
      </w:r>
      <w:r w:rsidR="00CB0E6B" w:rsidRPr="00FF7BBF">
        <w:t>19</w:t>
      </w:r>
      <w:r w:rsidR="00634A0D" w:rsidRPr="00FF7BBF">
        <w:t xml:space="preserve">; </w:t>
      </w:r>
      <w:r w:rsidR="005B4D82" w:rsidRPr="00FF7BBF">
        <w:t>l</w:t>
      </w:r>
      <w:r w:rsidR="00634A0D" w:rsidRPr="00FF7BBF">
        <w:t xml:space="preserve">ow-risk gambling </w:t>
      </w:r>
      <w:r w:rsidR="00634A0D" w:rsidRPr="007A60DE">
        <w:rPr>
          <w:i/>
          <w:iCs/>
        </w:rPr>
        <w:t>n</w:t>
      </w:r>
      <w:r w:rsidR="005B4D82">
        <w:t xml:space="preserve"> </w:t>
      </w:r>
      <w:r w:rsidR="00634A0D" w:rsidRPr="00FF7BBF">
        <w:t>=</w:t>
      </w:r>
      <w:r w:rsidR="005B4D82">
        <w:t xml:space="preserve"> </w:t>
      </w:r>
      <w:r w:rsidR="00CD3943" w:rsidRPr="00FF7BBF">
        <w:t>1</w:t>
      </w:r>
      <w:r w:rsidR="00CB0E6B" w:rsidRPr="00FF7BBF">
        <w:t>02</w:t>
      </w:r>
      <w:r w:rsidR="00634A0D" w:rsidRPr="00FF7BBF">
        <w:t xml:space="preserve">; </w:t>
      </w:r>
      <w:r w:rsidR="005B4D82" w:rsidRPr="00FF7BBF">
        <w:t>m</w:t>
      </w:r>
      <w:r w:rsidR="00634A0D" w:rsidRPr="00FF7BBF">
        <w:t xml:space="preserve">oderate-risk gambling </w:t>
      </w:r>
      <w:r w:rsidR="00634A0D" w:rsidRPr="007A60DE">
        <w:rPr>
          <w:i/>
          <w:iCs/>
        </w:rPr>
        <w:t>n</w:t>
      </w:r>
      <w:r w:rsidR="005B4D82">
        <w:t xml:space="preserve"> </w:t>
      </w:r>
      <w:r w:rsidR="00634A0D" w:rsidRPr="00FF7BBF">
        <w:t>=</w:t>
      </w:r>
      <w:r w:rsidR="005B4D82">
        <w:t xml:space="preserve"> </w:t>
      </w:r>
      <w:r w:rsidR="00CB0E6B" w:rsidRPr="00FF7BBF">
        <w:t>84</w:t>
      </w:r>
      <w:r w:rsidR="00634A0D" w:rsidRPr="00FF7BBF">
        <w:t xml:space="preserve">; </w:t>
      </w:r>
      <w:r w:rsidR="005B4D82" w:rsidRPr="00FF7BBF">
        <w:t>h</w:t>
      </w:r>
      <w:r w:rsidR="00634A0D" w:rsidRPr="00FF7BBF">
        <w:t>igh-risk gambling n</w:t>
      </w:r>
      <w:r w:rsidR="005B4D82">
        <w:t xml:space="preserve"> </w:t>
      </w:r>
      <w:r w:rsidR="00634A0D" w:rsidRPr="00FF7BBF">
        <w:t>=</w:t>
      </w:r>
      <w:r w:rsidR="005B4D82">
        <w:t xml:space="preserve"> </w:t>
      </w:r>
      <w:r w:rsidR="007F11A2" w:rsidRPr="00FF7BBF">
        <w:t>36</w:t>
      </w:r>
      <w:r w:rsidR="00634A0D" w:rsidRPr="00FF7BBF">
        <w:t>).</w:t>
      </w:r>
    </w:p>
    <w:p w14:paraId="23EE6792" w14:textId="21835C01" w:rsidR="005B4D82" w:rsidRPr="00FF7BBF" w:rsidRDefault="005B4D82" w:rsidP="00A254FB">
      <w:pPr>
        <w:pStyle w:val="TableNotes"/>
        <w:rPr>
          <w:lang w:bidi="ar-SA"/>
        </w:rPr>
      </w:pPr>
      <w:r w:rsidRPr="00FF7BBF">
        <w:t>Source</w:t>
      </w:r>
      <w:r>
        <w:t>:</w:t>
      </w:r>
      <w:r w:rsidRPr="00FF7BBF">
        <w:t xml:space="preserve"> NCPF </w:t>
      </w:r>
      <w:r w:rsidRPr="00A254FB">
        <w:t>Online</w:t>
      </w:r>
      <w:r w:rsidRPr="00FF7BBF">
        <w:t xml:space="preserve"> Consumer Survey</w:t>
      </w:r>
      <w:r>
        <w:t xml:space="preserve"> 2025</w:t>
      </w:r>
    </w:p>
    <w:p w14:paraId="1370E79D" w14:textId="77777777" w:rsidR="00190A29" w:rsidRDefault="00DB3DF5" w:rsidP="00CB7B11">
      <w:pPr>
        <w:pStyle w:val="BodyText"/>
      </w:pPr>
      <w:r w:rsidRPr="00843A16">
        <w:t>Most interviewed consumers recalled CGM</w:t>
      </w:r>
      <w:r w:rsidR="00037CAB">
        <w:t>s</w:t>
      </w:r>
      <w:r w:rsidRPr="00843A16">
        <w:t xml:space="preserve"> from TV ads featuring both text and spoken taglines. While some noticed taglines in </w:t>
      </w:r>
      <w:r w:rsidR="009C2764" w:rsidRPr="00843A16">
        <w:t>wagering</w:t>
      </w:r>
      <w:r w:rsidRPr="00843A16">
        <w:t xml:space="preserve"> apps, many said the text was easy to miss, lacked prominence and did not influence their wagering behaviour.</w:t>
      </w:r>
      <w:r w:rsidR="003D14D5">
        <w:t xml:space="preserve"> </w:t>
      </w:r>
    </w:p>
    <w:p w14:paraId="24C74ADE" w14:textId="10691036" w:rsidR="00A0306B" w:rsidRPr="00CC547D" w:rsidRDefault="00461DFC" w:rsidP="00A0306B">
      <w:pPr>
        <w:pStyle w:val="BodyText"/>
      </w:pPr>
      <w:r>
        <w:t xml:space="preserve">Awareness of the NSER was </w:t>
      </w:r>
      <w:r w:rsidR="00115777">
        <w:t xml:space="preserve">not widespread. </w:t>
      </w:r>
      <w:r w:rsidR="00A0306B">
        <w:t>About 1 in 4 Australian adults (26.5%) were aware of the NSER. Younger adults (aged 18</w:t>
      </w:r>
      <w:r w:rsidR="005B4D82">
        <w:t>–</w:t>
      </w:r>
      <w:r w:rsidR="00A0306B">
        <w:t xml:space="preserve">25) were less likely to be aware of the NSER </w:t>
      </w:r>
      <w:r w:rsidR="005B4D82">
        <w:t>than</w:t>
      </w:r>
      <w:r w:rsidR="00A0306B">
        <w:t xml:space="preserve"> those aged 55 and older (Sakata et al., 2025).</w:t>
      </w:r>
    </w:p>
    <w:p w14:paraId="6F8B59D1" w14:textId="7DB6B61B" w:rsidR="00FE5624" w:rsidRPr="00211A01" w:rsidRDefault="00EB05C6" w:rsidP="00B946E4">
      <w:pPr>
        <w:pStyle w:val="BodyText"/>
        <w:spacing w:after="120"/>
        <w:rPr>
          <w:bCs/>
          <w:color w:val="auto"/>
          <w:lang w:bidi="ar-SA"/>
        </w:rPr>
      </w:pPr>
      <w:r w:rsidRPr="00843A16">
        <w:lastRenderedPageBreak/>
        <w:t xml:space="preserve">Awareness of measures </w:t>
      </w:r>
      <w:r w:rsidR="007B6647">
        <w:t xml:space="preserve">under the National Framework </w:t>
      </w:r>
      <w:r w:rsidRPr="00843A16">
        <w:t xml:space="preserve">is important </w:t>
      </w:r>
      <w:r w:rsidR="005A006E">
        <w:rPr>
          <w:bCs/>
        </w:rPr>
        <w:t xml:space="preserve">so customers understand </w:t>
      </w:r>
      <w:r w:rsidR="001117EF" w:rsidRPr="008230A3">
        <w:rPr>
          <w:bCs/>
          <w:lang w:bidi="ar-SA"/>
        </w:rPr>
        <w:t>how to use the features that offer the best protections to meet their individual circumstances</w:t>
      </w:r>
      <w:r w:rsidR="004A3D71">
        <w:rPr>
          <w:bCs/>
        </w:rPr>
        <w:t>. I</w:t>
      </w:r>
      <w:r w:rsidR="003652FE">
        <w:rPr>
          <w:bCs/>
        </w:rPr>
        <w:t xml:space="preserve">t is also important </w:t>
      </w:r>
      <w:r w:rsidR="005B4D82">
        <w:t xml:space="preserve">that </w:t>
      </w:r>
      <w:r w:rsidR="00F92B1F">
        <w:rPr>
          <w:bCs/>
        </w:rPr>
        <w:t>consumers</w:t>
      </w:r>
      <w:r w:rsidR="00134C0C" w:rsidRPr="008230A3">
        <w:rPr>
          <w:bCs/>
        </w:rPr>
        <w:t xml:space="preserve"> </w:t>
      </w:r>
      <w:r w:rsidR="00A32F36">
        <w:rPr>
          <w:bCs/>
        </w:rPr>
        <w:t xml:space="preserve">understand </w:t>
      </w:r>
      <w:r w:rsidR="00A32F36" w:rsidRPr="008230A3">
        <w:rPr>
          <w:bCs/>
        </w:rPr>
        <w:t xml:space="preserve">the operators’ obligations </w:t>
      </w:r>
      <w:r w:rsidR="005B4D82">
        <w:rPr>
          <w:bCs/>
        </w:rPr>
        <w:t xml:space="preserve">so they </w:t>
      </w:r>
      <w:r w:rsidR="0033428F" w:rsidRPr="00843A16">
        <w:t xml:space="preserve">can complain if WSPs </w:t>
      </w:r>
      <w:r w:rsidR="00EE20DD" w:rsidRPr="00843A16">
        <w:t>are</w:t>
      </w:r>
      <w:r w:rsidR="0033428F" w:rsidRPr="00843A16">
        <w:t xml:space="preserve"> not </w:t>
      </w:r>
      <w:r w:rsidR="0090151E">
        <w:rPr>
          <w:bCs/>
        </w:rPr>
        <w:t xml:space="preserve">meeting </w:t>
      </w:r>
      <w:r w:rsidR="00D37E0A">
        <w:t>the</w:t>
      </w:r>
      <w:r w:rsidR="005B4D82">
        <w:t>m</w:t>
      </w:r>
      <w:r w:rsidR="002023DE">
        <w:rPr>
          <w:bCs/>
        </w:rPr>
        <w:t xml:space="preserve">, especially </w:t>
      </w:r>
      <w:r w:rsidR="00AE41D3">
        <w:t xml:space="preserve">given the </w:t>
      </w:r>
      <w:r w:rsidR="00747793">
        <w:t xml:space="preserve">reliance </w:t>
      </w:r>
      <w:r w:rsidR="006677C5">
        <w:t>that</w:t>
      </w:r>
      <w:r w:rsidR="007A22D8">
        <w:t xml:space="preserve"> compliance activities </w:t>
      </w:r>
      <w:r w:rsidR="006677C5">
        <w:t xml:space="preserve">have </w:t>
      </w:r>
      <w:r w:rsidR="00747793">
        <w:t xml:space="preserve">on </w:t>
      </w:r>
      <w:r w:rsidR="00AE41D3">
        <w:t xml:space="preserve">consumer complaints. </w:t>
      </w:r>
    </w:p>
    <w:p w14:paraId="43682E51" w14:textId="3F1801CA" w:rsidR="009A6954" w:rsidRPr="00843A16" w:rsidRDefault="00D609AF" w:rsidP="00E511D6">
      <w:pPr>
        <w:pStyle w:val="Heading3"/>
        <w:keepNext w:val="0"/>
        <w:keepLines w:val="0"/>
      </w:pPr>
      <w:bookmarkStart w:id="96" w:name="_Toc213763510"/>
      <w:bookmarkStart w:id="97" w:name="_Toc233643296"/>
      <w:r>
        <w:t xml:space="preserve">What is the level of </w:t>
      </w:r>
      <w:r w:rsidR="00690D86">
        <w:t xml:space="preserve">consumer uptake of the </w:t>
      </w:r>
      <w:r>
        <w:t xml:space="preserve">NCPF </w:t>
      </w:r>
      <w:r w:rsidR="009A6954" w:rsidRPr="00843A16">
        <w:t>measures</w:t>
      </w:r>
      <w:bookmarkEnd w:id="96"/>
      <w:r>
        <w:t>?</w:t>
      </w:r>
      <w:bookmarkEnd w:id="97"/>
    </w:p>
    <w:p w14:paraId="2F3DF0EF" w14:textId="657533E6" w:rsidR="00E511D6" w:rsidRPr="00843A16" w:rsidRDefault="00E511D6" w:rsidP="00E511D6">
      <w:pPr>
        <w:pStyle w:val="BodyText"/>
        <w:rPr>
          <w:rFonts w:eastAsia="Arial"/>
          <w:color w:val="000000" w:themeColor="text1"/>
        </w:rPr>
      </w:pPr>
      <w:r w:rsidRPr="00843A16">
        <w:rPr>
          <w:rFonts w:eastAsia="Arial"/>
          <w:color w:val="000000" w:themeColor="text1"/>
        </w:rPr>
        <w:t xml:space="preserve">Some measures need </w:t>
      </w:r>
      <w:r w:rsidR="00A176DF">
        <w:rPr>
          <w:rFonts w:eastAsia="Arial"/>
          <w:color w:val="000000" w:themeColor="text1"/>
        </w:rPr>
        <w:t xml:space="preserve">to be activated </w:t>
      </w:r>
      <w:r w:rsidR="00951658">
        <w:rPr>
          <w:rFonts w:eastAsia="Arial"/>
          <w:color w:val="000000" w:themeColor="text1"/>
        </w:rPr>
        <w:t xml:space="preserve">or </w:t>
      </w:r>
      <w:r w:rsidR="00EB13FF">
        <w:rPr>
          <w:rFonts w:eastAsia="Arial"/>
          <w:color w:val="000000" w:themeColor="text1"/>
        </w:rPr>
        <w:t>engaged with</w:t>
      </w:r>
      <w:r w:rsidR="00EA4416">
        <w:rPr>
          <w:rFonts w:eastAsia="Arial"/>
          <w:color w:val="000000" w:themeColor="text1"/>
        </w:rPr>
        <w:t xml:space="preserve"> </w:t>
      </w:r>
      <w:r w:rsidRPr="00843A16">
        <w:rPr>
          <w:rFonts w:eastAsia="Arial"/>
          <w:color w:val="000000" w:themeColor="text1"/>
        </w:rPr>
        <w:t>by customers</w:t>
      </w:r>
      <w:r>
        <w:rPr>
          <w:rFonts w:eastAsia="Arial"/>
          <w:color w:val="000000" w:themeColor="text1"/>
        </w:rPr>
        <w:t xml:space="preserve"> to provide protection</w:t>
      </w:r>
      <w:r w:rsidRPr="00843A16">
        <w:rPr>
          <w:rFonts w:eastAsia="Arial"/>
          <w:color w:val="000000" w:themeColor="text1"/>
        </w:rPr>
        <w:t xml:space="preserve">. These </w:t>
      </w:r>
      <w:r w:rsidR="00E35F69">
        <w:rPr>
          <w:rFonts w:eastAsia="Arial"/>
          <w:color w:val="000000" w:themeColor="text1"/>
        </w:rPr>
        <w:t xml:space="preserve">discretionary </w:t>
      </w:r>
      <w:r w:rsidRPr="00843A16">
        <w:rPr>
          <w:rFonts w:eastAsia="Arial"/>
          <w:color w:val="000000" w:themeColor="text1"/>
        </w:rPr>
        <w:t xml:space="preserve">measures include setting a deposit limit, closing </w:t>
      </w:r>
      <w:r w:rsidR="00105785">
        <w:rPr>
          <w:rFonts w:eastAsia="Arial"/>
          <w:color w:val="000000" w:themeColor="text1"/>
        </w:rPr>
        <w:t>an</w:t>
      </w:r>
      <w:r w:rsidR="00105785" w:rsidRPr="00843A16">
        <w:rPr>
          <w:rFonts w:eastAsia="Arial"/>
          <w:color w:val="000000" w:themeColor="text1"/>
        </w:rPr>
        <w:t xml:space="preserve"> </w:t>
      </w:r>
      <w:r w:rsidRPr="00843A16">
        <w:rPr>
          <w:rFonts w:eastAsia="Arial"/>
          <w:color w:val="000000" w:themeColor="text1"/>
        </w:rPr>
        <w:t>account, opting out of being sent marketing materials</w:t>
      </w:r>
      <w:r>
        <w:rPr>
          <w:rFonts w:eastAsia="Arial"/>
          <w:color w:val="000000" w:themeColor="text1"/>
        </w:rPr>
        <w:t xml:space="preserve">, using activity statements </w:t>
      </w:r>
      <w:r w:rsidRPr="00843A16">
        <w:rPr>
          <w:rFonts w:eastAsia="Arial"/>
          <w:color w:val="000000" w:themeColor="text1"/>
        </w:rPr>
        <w:t>and registering with the NSER.</w:t>
      </w:r>
    </w:p>
    <w:p w14:paraId="166BDD84" w14:textId="021364CE" w:rsidR="005E34FA" w:rsidRDefault="00541336" w:rsidP="00E511D6">
      <w:pPr>
        <w:pStyle w:val="BodyText"/>
      </w:pPr>
      <w:hyperlink w:anchor="Figure5" w:history="1">
        <w:r w:rsidRPr="002A4F08">
          <w:rPr>
            <w:rStyle w:val="Hyperlink"/>
            <w:b/>
            <w:bCs/>
            <w:lang w:bidi="ar-SA"/>
          </w:rPr>
          <w:t xml:space="preserve">Figure </w:t>
        </w:r>
        <w:bookmarkStart w:id="98" w:name="_Hlt233641763"/>
        <w:r w:rsidR="00C017AF" w:rsidRPr="002A4F08">
          <w:rPr>
            <w:rStyle w:val="Hyperlink"/>
            <w:b/>
            <w:bCs/>
            <w:lang w:bidi="ar-SA"/>
          </w:rPr>
          <w:t>5</w:t>
        </w:r>
        <w:bookmarkEnd w:id="98"/>
      </w:hyperlink>
      <w:r w:rsidR="00C017AF" w:rsidRPr="00843A16">
        <w:rPr>
          <w:lang w:bidi="ar-SA"/>
        </w:rPr>
        <w:t xml:space="preserve"> </w:t>
      </w:r>
      <w:r w:rsidRPr="00843A16">
        <w:rPr>
          <w:lang w:bidi="ar-SA"/>
        </w:rPr>
        <w:t xml:space="preserve">shows </w:t>
      </w:r>
      <w:r w:rsidR="005E34FA" w:rsidRPr="001C02BA">
        <w:t xml:space="preserve">that </w:t>
      </w:r>
      <w:r w:rsidR="00105785">
        <w:t xml:space="preserve">the </w:t>
      </w:r>
      <w:r w:rsidR="005E34FA" w:rsidRPr="001C02BA">
        <w:t>use of 4</w:t>
      </w:r>
      <w:r w:rsidR="000A5D0B">
        <w:t xml:space="preserve"> of the</w:t>
      </w:r>
      <w:r w:rsidR="00105785">
        <w:t>se</w:t>
      </w:r>
      <w:r w:rsidR="000A5D0B">
        <w:t xml:space="preserve"> discretionary</w:t>
      </w:r>
      <w:r w:rsidR="005E34FA" w:rsidRPr="001C02BA">
        <w:t xml:space="preserve"> measures</w:t>
      </w:r>
      <w:r w:rsidR="000A5D0B">
        <w:t xml:space="preserve"> (excluding the NSER)</w:t>
      </w:r>
      <w:r w:rsidR="005E34FA" w:rsidRPr="001C02BA">
        <w:t xml:space="preserve"> almost doubled from 27.8% in 2019 to 55.4% in 2025. </w:t>
      </w:r>
      <w:r w:rsidR="00706354">
        <w:t xml:space="preserve">Survey data is used </w:t>
      </w:r>
      <w:r w:rsidR="004D220C">
        <w:t xml:space="preserve">to judge the </w:t>
      </w:r>
      <w:r w:rsidR="00D87644">
        <w:t>uptake</w:t>
      </w:r>
      <w:r w:rsidR="004D220C">
        <w:t xml:space="preserve"> of t</w:t>
      </w:r>
      <w:r w:rsidR="00804A9A">
        <w:t>hese 4 measures</w:t>
      </w:r>
      <w:r w:rsidR="00B50007">
        <w:t>. The NSER relies on registrant data to ascertain its use.</w:t>
      </w:r>
    </w:p>
    <w:p w14:paraId="431DD3DD" w14:textId="29D3DCC8" w:rsidR="009A6954" w:rsidRPr="00FF7BBF" w:rsidRDefault="009A6954" w:rsidP="007A60DE">
      <w:pPr>
        <w:pStyle w:val="FigureCaption"/>
      </w:pPr>
      <w:bookmarkStart w:id="99" w:name="_Ref213767305"/>
      <w:bookmarkStart w:id="100" w:name="Figure5"/>
      <w:r w:rsidRPr="00FF7BBF">
        <w:t xml:space="preserve">Figure </w:t>
      </w:r>
      <w:bookmarkEnd w:id="99"/>
      <w:r w:rsidR="00C017AF">
        <w:t>5</w:t>
      </w:r>
      <w:bookmarkEnd w:id="100"/>
      <w:r w:rsidRPr="00FF7BBF">
        <w:t xml:space="preserve">: Uptake of </w:t>
      </w:r>
      <w:r w:rsidRPr="004D220C">
        <w:t>NCPF</w:t>
      </w:r>
      <w:r w:rsidRPr="00FF7BBF">
        <w:t xml:space="preserve"> discretionary measures by last 12-month</w:t>
      </w:r>
      <w:r w:rsidR="004D220C">
        <w:t>s</w:t>
      </w:r>
      <w:r w:rsidRPr="00FF7BBF">
        <w:t xml:space="preserve"> online wagerers pre-implementation (2019) and post-implementation (2025)</w:t>
      </w:r>
    </w:p>
    <w:p w14:paraId="6DB3F54D" w14:textId="3DEB524F" w:rsidR="001653E9" w:rsidRDefault="001653E9" w:rsidP="00E511D6">
      <w:pPr>
        <w:pStyle w:val="FigureNotes"/>
        <w:spacing w:before="0"/>
      </w:pPr>
      <w:r>
        <w:rPr>
          <w:noProof/>
        </w:rPr>
        <w:drawing>
          <wp:inline distT="0" distB="0" distL="0" distR="0" wp14:anchorId="07C183D5" wp14:editId="266570A1">
            <wp:extent cx="5253990" cy="2313296"/>
            <wp:effectExtent l="0" t="0" r="3810" b="11430"/>
            <wp:docPr id="2991859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2F432B7" w14:textId="18075E28" w:rsidR="009A6954" w:rsidRPr="00FF7BBF" w:rsidRDefault="009A6954" w:rsidP="00E511D6">
      <w:pPr>
        <w:pStyle w:val="FigureNotes"/>
        <w:spacing w:before="0"/>
      </w:pPr>
      <w:r w:rsidRPr="00FF7BBF">
        <w:t xml:space="preserve">Notes: Weighted figures reported for both the NCPF 2019 </w:t>
      </w:r>
      <w:r w:rsidR="00B35907" w:rsidRPr="00FF7BBF">
        <w:t>(</w:t>
      </w:r>
      <w:r w:rsidR="00B35907" w:rsidRPr="007A60DE">
        <w:rPr>
          <w:i/>
          <w:iCs/>
        </w:rPr>
        <w:t>N</w:t>
      </w:r>
      <w:r w:rsidR="00B35907" w:rsidRPr="00FF7BBF">
        <w:t xml:space="preserve"> = 5,076) </w:t>
      </w:r>
      <w:r w:rsidRPr="00FF7BBF">
        <w:t xml:space="preserve">and </w:t>
      </w:r>
      <w:r w:rsidR="00B35907" w:rsidRPr="00FF7BBF">
        <w:t>NCPF</w:t>
      </w:r>
      <w:r w:rsidRPr="00FF7BBF">
        <w:t xml:space="preserve"> 2025 </w:t>
      </w:r>
      <w:r w:rsidR="00B35907" w:rsidRPr="00FF7BBF">
        <w:t>(</w:t>
      </w:r>
      <w:r w:rsidR="00B35907" w:rsidRPr="007A60DE">
        <w:rPr>
          <w:i/>
          <w:iCs/>
        </w:rPr>
        <w:t>N</w:t>
      </w:r>
      <w:r w:rsidR="00B35907" w:rsidRPr="00FF7BBF">
        <w:t xml:space="preserve"> = 641) </w:t>
      </w:r>
      <w:r w:rsidRPr="00FF7BBF">
        <w:t xml:space="preserve">data. NCPF 2019 survey asked participants about ‘accessing’ activity statements, whereas NCPF 2025 asked participants about ‘using’ activity statements. </w:t>
      </w:r>
    </w:p>
    <w:p w14:paraId="4A7A87EF" w14:textId="27D87B5C" w:rsidR="000F1DF0" w:rsidRDefault="00A5676D" w:rsidP="00BC561E">
      <w:pPr>
        <w:pStyle w:val="BodyText"/>
        <w:spacing w:before="240"/>
      </w:pPr>
      <w:r>
        <w:t xml:space="preserve">The NSER was launched in August 2023. </w:t>
      </w:r>
      <w:r w:rsidR="000A5D0B">
        <w:t>Until</w:t>
      </w:r>
      <w:r w:rsidR="00212954">
        <w:t xml:space="preserve"> the end of June 2024</w:t>
      </w:r>
      <w:r w:rsidR="00900AD1">
        <w:t xml:space="preserve">, 25,972 </w:t>
      </w:r>
      <w:r w:rsidR="00D241BF">
        <w:t xml:space="preserve">people </w:t>
      </w:r>
      <w:r w:rsidR="008645F7">
        <w:t xml:space="preserve">had </w:t>
      </w:r>
      <w:r w:rsidR="0030561E">
        <w:t xml:space="preserve">registered to </w:t>
      </w:r>
      <w:r w:rsidR="00391B86">
        <w:t>self-exclude</w:t>
      </w:r>
      <w:r w:rsidR="0030561E">
        <w:t xml:space="preserve"> from </w:t>
      </w:r>
      <w:r w:rsidR="00391B86">
        <w:t xml:space="preserve">online wagering. </w:t>
      </w:r>
      <w:r w:rsidR="00EE286F">
        <w:t xml:space="preserve">As of 1 </w:t>
      </w:r>
      <w:r w:rsidR="00DF5220">
        <w:t>D</w:t>
      </w:r>
      <w:r w:rsidR="00EE286F">
        <w:t xml:space="preserve">ecember 2025, </w:t>
      </w:r>
      <w:r w:rsidR="007C0366">
        <w:t xml:space="preserve">there were 34,266 active registrations </w:t>
      </w:r>
      <w:r w:rsidR="00527725">
        <w:t xml:space="preserve">and 53,308 Australians had used it </w:t>
      </w:r>
      <w:r w:rsidR="008B071B">
        <w:t>since it</w:t>
      </w:r>
      <w:r w:rsidR="00C608E7">
        <w:t>s</w:t>
      </w:r>
      <w:r w:rsidR="008B071B">
        <w:t xml:space="preserve"> launched</w:t>
      </w:r>
      <w:r w:rsidR="00DF5220">
        <w:t xml:space="preserve">. </w:t>
      </w:r>
    </w:p>
    <w:p w14:paraId="38EE64EF" w14:textId="2DB25BD4" w:rsidR="009760A5" w:rsidRDefault="00A2412E" w:rsidP="00BC561E">
      <w:pPr>
        <w:pStyle w:val="BodyText"/>
        <w:spacing w:before="240"/>
      </w:pPr>
      <w:hyperlink w:anchor="Figure6" w:history="1">
        <w:r w:rsidRPr="002A4F08">
          <w:rPr>
            <w:rStyle w:val="Hyperlink"/>
            <w:b/>
          </w:rPr>
          <w:t>Figu</w:t>
        </w:r>
        <w:bookmarkStart w:id="101" w:name="_Hlt233641765"/>
        <w:r w:rsidRPr="002A4F08">
          <w:rPr>
            <w:rStyle w:val="Hyperlink"/>
            <w:b/>
          </w:rPr>
          <w:t>r</w:t>
        </w:r>
        <w:bookmarkEnd w:id="101"/>
        <w:r w:rsidRPr="002A4F08">
          <w:rPr>
            <w:rStyle w:val="Hyperlink"/>
            <w:b/>
          </w:rPr>
          <w:t>e 6</w:t>
        </w:r>
      </w:hyperlink>
      <w:r w:rsidRPr="00FF7BBF">
        <w:t xml:space="preserve"> shows that moderate- and high-risk </w:t>
      </w:r>
      <w:r w:rsidR="002A7A8B">
        <w:t>gamblers</w:t>
      </w:r>
      <w:r w:rsidRPr="00FF7BBF">
        <w:t xml:space="preserve"> were more likely to </w:t>
      </w:r>
      <w:r w:rsidR="00EC6111">
        <w:t xml:space="preserve">have used at least </w:t>
      </w:r>
      <w:r w:rsidR="00F869D6">
        <w:t>1</w:t>
      </w:r>
      <w:r w:rsidR="00FB0831">
        <w:t> </w:t>
      </w:r>
      <w:r w:rsidR="00EC6111">
        <w:t xml:space="preserve">of </w:t>
      </w:r>
      <w:r w:rsidR="004E0531">
        <w:t xml:space="preserve">the </w:t>
      </w:r>
      <w:r w:rsidR="00F869D6">
        <w:t xml:space="preserve">4 </w:t>
      </w:r>
      <w:r w:rsidR="00FF11B8">
        <w:t xml:space="preserve">non-NSER discretionary </w:t>
      </w:r>
      <w:r w:rsidRPr="00FF7BBF">
        <w:t>measures</w:t>
      </w:r>
      <w:r w:rsidR="003F6903">
        <w:t xml:space="preserve"> </w:t>
      </w:r>
      <w:r w:rsidRPr="00FF7BBF">
        <w:t xml:space="preserve">than low-risk or non-risk wagerers. </w:t>
      </w:r>
      <w:r w:rsidRPr="00843A16">
        <w:t xml:space="preserve">These findings align with the </w:t>
      </w:r>
      <w:r w:rsidR="003411A3">
        <w:t xml:space="preserve">2019 </w:t>
      </w:r>
      <w:r w:rsidRPr="00843A16">
        <w:t xml:space="preserve">Baseline Study (Jenkinson et al., 2019) and the </w:t>
      </w:r>
      <w:r w:rsidR="003411A3">
        <w:t xml:space="preserve">2025 </w:t>
      </w:r>
      <w:r w:rsidRPr="00843A16">
        <w:t xml:space="preserve">Consumer Survey where uptake </w:t>
      </w:r>
      <w:r w:rsidR="003411A3">
        <w:t xml:space="preserve">was </w:t>
      </w:r>
      <w:r w:rsidRPr="00843A16">
        <w:t xml:space="preserve">higher among </w:t>
      </w:r>
      <w:r w:rsidR="00AF4253">
        <w:t>at-risk gamblers than those not at-risk</w:t>
      </w:r>
      <w:r w:rsidRPr="00843A16">
        <w:t xml:space="preserve">. </w:t>
      </w:r>
    </w:p>
    <w:p w14:paraId="19CCC856" w14:textId="747F5F9A" w:rsidR="00A2412E" w:rsidRPr="00843A16" w:rsidRDefault="000A28D7" w:rsidP="00BC561E">
      <w:pPr>
        <w:pStyle w:val="BodyText"/>
        <w:spacing w:before="240"/>
      </w:pPr>
      <w:r>
        <w:t xml:space="preserve">These findings </w:t>
      </w:r>
      <w:r w:rsidR="00F9282A">
        <w:t>reflect the policy design of the NCPF</w:t>
      </w:r>
      <w:r w:rsidR="001351E3">
        <w:t>, which is</w:t>
      </w:r>
      <w:r w:rsidR="00F9282A">
        <w:t xml:space="preserve"> to offer a range of protective tools that </w:t>
      </w:r>
      <w:r w:rsidR="001336FF">
        <w:t xml:space="preserve">can work together to meet the needs of consumers to </w:t>
      </w:r>
      <w:r w:rsidR="009B43A1">
        <w:t xml:space="preserve">try to </w:t>
      </w:r>
      <w:r w:rsidR="001336FF">
        <w:t xml:space="preserve">prevent and protect </w:t>
      </w:r>
      <w:r w:rsidR="006D6ED2">
        <w:t>them from harm</w:t>
      </w:r>
      <w:r w:rsidR="0086134B">
        <w:t xml:space="preserve"> (</w:t>
      </w:r>
      <w:r w:rsidR="005D6F97">
        <w:t>DSS</w:t>
      </w:r>
      <w:r w:rsidR="000A7C0B">
        <w:t>,</w:t>
      </w:r>
      <w:r w:rsidR="005D6F97">
        <w:t xml:space="preserve"> </w:t>
      </w:r>
      <w:r w:rsidR="009438E0">
        <w:t>20</w:t>
      </w:r>
      <w:r w:rsidR="00B3694D">
        <w:t>18</w:t>
      </w:r>
      <w:r w:rsidR="009438E0">
        <w:t>)</w:t>
      </w:r>
      <w:r w:rsidR="006D6ED2">
        <w:t>.</w:t>
      </w:r>
    </w:p>
    <w:p w14:paraId="4FD73CAA" w14:textId="1E198188" w:rsidR="005E34FA" w:rsidRPr="00FF7BBF" w:rsidRDefault="005E34FA" w:rsidP="00E64A20">
      <w:pPr>
        <w:pStyle w:val="FigureCaption"/>
        <w:keepLines w:val="0"/>
        <w:spacing w:before="240"/>
      </w:pPr>
      <w:bookmarkStart w:id="102" w:name="Figure6"/>
      <w:r w:rsidRPr="00FF7BBF">
        <w:lastRenderedPageBreak/>
        <w:t xml:space="preserve">Figure </w:t>
      </w:r>
      <w:r w:rsidR="004830EF">
        <w:t>6</w:t>
      </w:r>
      <w:bookmarkEnd w:id="102"/>
      <w:r w:rsidRPr="00FF7BBF">
        <w:t>: Uptake of NCPF discretionary measures by last 12-month online wagerers in 2025 by PGSI category</w:t>
      </w:r>
    </w:p>
    <w:p w14:paraId="05BC16E4" w14:textId="51D804D3" w:rsidR="001C6D16" w:rsidRDefault="009A0E5D" w:rsidP="00E511D6">
      <w:pPr>
        <w:pStyle w:val="FigureNotes"/>
        <w:spacing w:before="0"/>
      </w:pPr>
      <w:r w:rsidRPr="00F425B3">
        <w:rPr>
          <w:noProof/>
        </w:rPr>
        <w:drawing>
          <wp:inline distT="0" distB="0" distL="0" distR="0" wp14:anchorId="673DF34F" wp14:editId="15CEDD95">
            <wp:extent cx="5322570" cy="2634018"/>
            <wp:effectExtent l="0" t="0" r="11430" b="13970"/>
            <wp:docPr id="38018089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5BA0A97" w14:textId="002D76AA" w:rsidR="004B69D6" w:rsidRDefault="006010BD" w:rsidP="00E511D6">
      <w:pPr>
        <w:pStyle w:val="FigureNotes"/>
        <w:spacing w:before="0"/>
      </w:pPr>
      <w:proofErr w:type="gramStart"/>
      <w:r w:rsidRPr="00FF7BBF">
        <w:t>Notes:–</w:t>
      </w:r>
      <w:proofErr w:type="gramEnd"/>
      <w:r w:rsidRPr="00FF7BBF">
        <w:t xml:space="preserve"> </w:t>
      </w:r>
      <w:r w:rsidR="00AA545C">
        <w:t>O</w:t>
      </w:r>
      <w:r w:rsidR="00AA545C" w:rsidRPr="00FF7BBF">
        <w:t xml:space="preserve">nline </w:t>
      </w:r>
      <w:r w:rsidRPr="00FF7BBF">
        <w:t xml:space="preserve">wagerers last 12 months (weighted data: </w:t>
      </w:r>
      <w:r w:rsidRPr="007A60DE">
        <w:rPr>
          <w:i/>
          <w:iCs/>
        </w:rPr>
        <w:t>N</w:t>
      </w:r>
      <w:r w:rsidR="00AA545C">
        <w:t xml:space="preserve"> </w:t>
      </w:r>
      <w:r w:rsidRPr="00FF7BBF">
        <w:t>=</w:t>
      </w:r>
      <w:r w:rsidR="00AA545C">
        <w:t xml:space="preserve"> </w:t>
      </w:r>
      <w:r w:rsidR="0025315C" w:rsidRPr="00FF7BBF">
        <w:t>641</w:t>
      </w:r>
      <w:r w:rsidRPr="00FF7BBF">
        <w:t>). Excludes sample who did not have their own betting account (</w:t>
      </w:r>
      <w:r w:rsidRPr="007A60DE">
        <w:rPr>
          <w:i/>
          <w:iCs/>
        </w:rPr>
        <w:t>n</w:t>
      </w:r>
      <w:r w:rsidR="00AA545C">
        <w:t xml:space="preserve"> </w:t>
      </w:r>
      <w:r w:rsidRPr="00FF7BBF">
        <w:t>=</w:t>
      </w:r>
      <w:r w:rsidR="00AA545C">
        <w:t xml:space="preserve"> </w:t>
      </w:r>
      <w:r w:rsidRPr="00FF7BBF">
        <w:t xml:space="preserve">20) or </w:t>
      </w:r>
      <w:r w:rsidR="00D14351">
        <w:t xml:space="preserve">did not </w:t>
      </w:r>
      <w:r w:rsidRPr="00FF7BBF">
        <w:t>use a legal online WSP (</w:t>
      </w:r>
      <w:r w:rsidRPr="007A60DE">
        <w:rPr>
          <w:i/>
          <w:iCs/>
        </w:rPr>
        <w:t>n</w:t>
      </w:r>
      <w:r w:rsidR="00AA545C">
        <w:t xml:space="preserve"> </w:t>
      </w:r>
      <w:r w:rsidRPr="00FF7BBF">
        <w:t>=</w:t>
      </w:r>
      <w:r w:rsidR="00AA545C">
        <w:t xml:space="preserve"> </w:t>
      </w:r>
      <w:r w:rsidRPr="00FF7BBF">
        <w:t xml:space="preserve">27). Non-risk gambling </w:t>
      </w:r>
      <w:r w:rsidRPr="007A60DE">
        <w:rPr>
          <w:i/>
          <w:iCs/>
        </w:rPr>
        <w:t>n</w:t>
      </w:r>
      <w:r w:rsidR="00AA545C">
        <w:t xml:space="preserve"> </w:t>
      </w:r>
      <w:r w:rsidRPr="00FF7BBF">
        <w:t>=</w:t>
      </w:r>
      <w:r w:rsidR="00AA545C">
        <w:t xml:space="preserve"> </w:t>
      </w:r>
      <w:r w:rsidR="00571F21" w:rsidRPr="00FF7BBF">
        <w:t>419</w:t>
      </w:r>
      <w:r w:rsidRPr="00FF7BBF">
        <w:t xml:space="preserve">; </w:t>
      </w:r>
      <w:r w:rsidR="00AA545C" w:rsidRPr="00FF7BBF">
        <w:t>l</w:t>
      </w:r>
      <w:r w:rsidRPr="00FF7BBF">
        <w:t xml:space="preserve">ow-risk gambling </w:t>
      </w:r>
      <w:r w:rsidRPr="007A60DE">
        <w:rPr>
          <w:i/>
          <w:iCs/>
        </w:rPr>
        <w:t>n</w:t>
      </w:r>
      <w:r w:rsidR="00AA545C">
        <w:t xml:space="preserve"> </w:t>
      </w:r>
      <w:r w:rsidRPr="00FF7BBF">
        <w:t>=</w:t>
      </w:r>
      <w:r w:rsidR="00AA545C">
        <w:t xml:space="preserve"> </w:t>
      </w:r>
      <w:r w:rsidR="00571F21" w:rsidRPr="00FF7BBF">
        <w:t>102</w:t>
      </w:r>
      <w:r w:rsidRPr="00FF7BBF">
        <w:t xml:space="preserve">; </w:t>
      </w:r>
      <w:r w:rsidR="00AA545C" w:rsidRPr="00FF7BBF">
        <w:t>m</w:t>
      </w:r>
      <w:r w:rsidRPr="00FF7BBF">
        <w:t xml:space="preserve">oderate-risk gambling </w:t>
      </w:r>
      <w:r w:rsidRPr="007A60DE">
        <w:rPr>
          <w:i/>
          <w:iCs/>
        </w:rPr>
        <w:t>n</w:t>
      </w:r>
      <w:r w:rsidR="00AA545C">
        <w:t xml:space="preserve"> </w:t>
      </w:r>
      <w:r w:rsidRPr="00FF7BBF">
        <w:t>=</w:t>
      </w:r>
      <w:r w:rsidR="00AA545C">
        <w:t xml:space="preserve"> </w:t>
      </w:r>
      <w:r w:rsidR="00571F21" w:rsidRPr="00FF7BBF">
        <w:t>84</w:t>
      </w:r>
      <w:r w:rsidRPr="00FF7BBF">
        <w:t xml:space="preserve">; </w:t>
      </w:r>
      <w:r w:rsidR="00AA545C" w:rsidRPr="00FF7BBF">
        <w:t>h</w:t>
      </w:r>
      <w:r w:rsidRPr="00FF7BBF">
        <w:t xml:space="preserve">igh-risk gambling </w:t>
      </w:r>
      <w:r w:rsidRPr="007A60DE">
        <w:rPr>
          <w:i/>
          <w:iCs/>
        </w:rPr>
        <w:t>n</w:t>
      </w:r>
      <w:r w:rsidR="00AA545C">
        <w:t xml:space="preserve"> </w:t>
      </w:r>
      <w:r w:rsidRPr="00FF7BBF">
        <w:t>=</w:t>
      </w:r>
      <w:r w:rsidR="00AA545C">
        <w:t xml:space="preserve"> </w:t>
      </w:r>
      <w:r w:rsidR="00571F21" w:rsidRPr="00FF7BBF">
        <w:t>36</w:t>
      </w:r>
      <w:r w:rsidRPr="00FF7BBF">
        <w:t>).</w:t>
      </w:r>
    </w:p>
    <w:p w14:paraId="356D99DB" w14:textId="17018EFD" w:rsidR="00582D4A" w:rsidRPr="00FF7BBF" w:rsidRDefault="00582D4A" w:rsidP="00E511D6">
      <w:pPr>
        <w:pStyle w:val="FigureNotes"/>
        <w:spacing w:before="0"/>
      </w:pPr>
      <w:r w:rsidRPr="00FF7BBF">
        <w:t>Source</w:t>
      </w:r>
      <w:r>
        <w:t>:</w:t>
      </w:r>
      <w:r w:rsidRPr="00FF7BBF">
        <w:t xml:space="preserve"> NCPF Online Consumer Survey</w:t>
      </w:r>
      <w:r>
        <w:t xml:space="preserve"> </w:t>
      </w:r>
      <w:r w:rsidR="00AA545C">
        <w:t>2025</w:t>
      </w:r>
    </w:p>
    <w:p w14:paraId="06FDC5B5" w14:textId="280D1DDD" w:rsidR="00B730AD" w:rsidRPr="00843A16" w:rsidRDefault="005E34FA" w:rsidP="00E511D6">
      <w:pPr>
        <w:pStyle w:val="BodyText"/>
      </w:pPr>
      <w:r w:rsidRPr="00843A16">
        <w:rPr>
          <w:rStyle w:val="BodyTextChar"/>
          <w:rFonts w:eastAsiaTheme="minorEastAsia"/>
        </w:rPr>
        <w:t xml:space="preserve">Importantly, uptake of a measure does not guarantee it will influence wagering behaviour. For example, </w:t>
      </w:r>
      <w:r w:rsidR="007C33AB" w:rsidRPr="00843A16">
        <w:rPr>
          <w:rStyle w:val="BodyTextChar"/>
          <w:rFonts w:eastAsiaTheme="minorEastAsia"/>
        </w:rPr>
        <w:t xml:space="preserve">customers may </w:t>
      </w:r>
      <w:r w:rsidR="00DE193D">
        <w:rPr>
          <w:rStyle w:val="BodyTextChar"/>
          <w:rFonts w:eastAsiaTheme="minorEastAsia"/>
        </w:rPr>
        <w:t>re</w:t>
      </w:r>
      <w:r w:rsidR="007C33AB" w:rsidRPr="00843A16">
        <w:rPr>
          <w:rStyle w:val="BodyTextChar"/>
          <w:rFonts w:eastAsiaTheme="minorEastAsia"/>
        </w:rPr>
        <w:t xml:space="preserve">open accounts </w:t>
      </w:r>
      <w:r w:rsidR="00DE193D">
        <w:rPr>
          <w:rStyle w:val="BodyTextChar"/>
          <w:rFonts w:eastAsiaTheme="minorEastAsia"/>
        </w:rPr>
        <w:t xml:space="preserve">or open accounts with other wagering operators </w:t>
      </w:r>
      <w:r w:rsidR="007C33AB" w:rsidRPr="00843A16">
        <w:rPr>
          <w:rStyle w:val="BodyTextChar"/>
          <w:rFonts w:eastAsiaTheme="minorEastAsia"/>
        </w:rPr>
        <w:t>after</w:t>
      </w:r>
      <w:r w:rsidR="00DE193D">
        <w:rPr>
          <w:rStyle w:val="BodyTextChar"/>
          <w:rFonts w:eastAsiaTheme="minorEastAsia"/>
        </w:rPr>
        <w:t xml:space="preserve"> having</w:t>
      </w:r>
      <w:r w:rsidR="007C33AB" w:rsidRPr="00843A16">
        <w:rPr>
          <w:rStyle w:val="BodyTextChar"/>
          <w:rFonts w:eastAsiaTheme="minorEastAsia"/>
        </w:rPr>
        <w:t xml:space="preserve"> clos</w:t>
      </w:r>
      <w:r w:rsidR="00751D6B">
        <w:rPr>
          <w:rStyle w:val="BodyTextChar"/>
          <w:rFonts w:eastAsiaTheme="minorEastAsia"/>
        </w:rPr>
        <w:t>ed</w:t>
      </w:r>
      <w:r w:rsidR="007C33AB" w:rsidRPr="00843A16">
        <w:rPr>
          <w:rStyle w:val="BodyTextChar"/>
          <w:rFonts w:eastAsiaTheme="minorEastAsia"/>
        </w:rPr>
        <w:t xml:space="preserve"> </w:t>
      </w:r>
      <w:r w:rsidR="00DE193D">
        <w:rPr>
          <w:rStyle w:val="BodyTextChar"/>
          <w:rFonts w:eastAsiaTheme="minorEastAsia"/>
        </w:rPr>
        <w:t>one</w:t>
      </w:r>
      <w:r w:rsidR="00DE5632">
        <w:rPr>
          <w:rStyle w:val="BodyTextChar"/>
          <w:rFonts w:eastAsiaTheme="minorEastAsia"/>
        </w:rPr>
        <w:t>.</w:t>
      </w:r>
      <w:r w:rsidR="007C33AB">
        <w:rPr>
          <w:rStyle w:val="BodyTextChar"/>
          <w:rFonts w:eastAsiaTheme="minorEastAsia"/>
        </w:rPr>
        <w:t xml:space="preserve"> </w:t>
      </w:r>
      <w:r w:rsidR="007434E6">
        <w:rPr>
          <w:rStyle w:val="BodyTextChar"/>
          <w:rFonts w:eastAsiaTheme="minorEastAsia"/>
        </w:rPr>
        <w:t xml:space="preserve">The design of protection measures </w:t>
      </w:r>
      <w:r w:rsidR="00EA2BF9">
        <w:rPr>
          <w:rStyle w:val="BodyTextChar"/>
          <w:rFonts w:eastAsiaTheme="minorEastAsia"/>
        </w:rPr>
        <w:t>will be further explored in the P</w:t>
      </w:r>
      <w:r w:rsidR="00E91811">
        <w:rPr>
          <w:rStyle w:val="BodyTextChar"/>
          <w:rFonts w:eastAsiaTheme="minorEastAsia"/>
        </w:rPr>
        <w:t xml:space="preserve">hase </w:t>
      </w:r>
      <w:r w:rsidR="00EA2BF9">
        <w:rPr>
          <w:rStyle w:val="BodyTextChar"/>
          <w:rFonts w:eastAsiaTheme="minorEastAsia"/>
        </w:rPr>
        <w:t>2 report.</w:t>
      </w:r>
    </w:p>
    <w:p w14:paraId="2F1FB35F" w14:textId="4067888B" w:rsidR="009A6954" w:rsidRPr="00843A16" w:rsidRDefault="009A6954" w:rsidP="00E511D6">
      <w:pPr>
        <w:pStyle w:val="Heading4"/>
        <w:keepNext w:val="0"/>
        <w:keepLines w:val="0"/>
      </w:pPr>
      <w:r w:rsidRPr="00843A16">
        <w:t>Barriers to uptake</w:t>
      </w:r>
    </w:p>
    <w:p w14:paraId="7885AE30" w14:textId="77777777" w:rsidR="007B7C25" w:rsidRDefault="005E34FA" w:rsidP="00E511D6">
      <w:pPr>
        <w:pStyle w:val="BodyText"/>
        <w:rPr>
          <w:lang w:bidi="ar-SA"/>
        </w:rPr>
      </w:pPr>
      <w:r w:rsidRPr="00843A16">
        <w:rPr>
          <w:lang w:bidi="ar-SA"/>
        </w:rPr>
        <w:t xml:space="preserve">A key barrier </w:t>
      </w:r>
      <w:r w:rsidR="00A034CD">
        <w:rPr>
          <w:lang w:bidi="ar-SA"/>
        </w:rPr>
        <w:t xml:space="preserve">to using consumer protection tools </w:t>
      </w:r>
      <w:r w:rsidRPr="00843A16">
        <w:rPr>
          <w:lang w:bidi="ar-SA"/>
        </w:rPr>
        <w:t xml:space="preserve">is the perception that </w:t>
      </w:r>
      <w:r w:rsidR="00A034CD">
        <w:rPr>
          <w:lang w:bidi="ar-SA"/>
        </w:rPr>
        <w:t xml:space="preserve">they </w:t>
      </w:r>
      <w:r w:rsidRPr="00843A16">
        <w:rPr>
          <w:lang w:bidi="ar-SA"/>
        </w:rPr>
        <w:t xml:space="preserve">are only for people with </w:t>
      </w:r>
      <w:r w:rsidR="00E03161">
        <w:rPr>
          <w:lang w:bidi="ar-SA"/>
        </w:rPr>
        <w:t>‘</w:t>
      </w:r>
      <w:r w:rsidRPr="00843A16">
        <w:rPr>
          <w:lang w:bidi="ar-SA"/>
        </w:rPr>
        <w:t>gambling problems</w:t>
      </w:r>
      <w:r w:rsidR="00E03161">
        <w:rPr>
          <w:lang w:bidi="ar-SA"/>
        </w:rPr>
        <w:t>’</w:t>
      </w:r>
      <w:r w:rsidRPr="00843A16">
        <w:rPr>
          <w:lang w:bidi="ar-SA"/>
        </w:rPr>
        <w:t xml:space="preserve">, rather than safeguards for all. Interviews and previous studies confirm this </w:t>
      </w:r>
      <w:r w:rsidR="008D2D00">
        <w:rPr>
          <w:lang w:bidi="ar-SA"/>
        </w:rPr>
        <w:t xml:space="preserve">misperception, which may be </w:t>
      </w:r>
      <w:r w:rsidR="00254F34">
        <w:rPr>
          <w:lang w:bidi="ar-SA"/>
        </w:rPr>
        <w:t xml:space="preserve">caused by </w:t>
      </w:r>
      <w:r w:rsidRPr="00843A16">
        <w:rPr>
          <w:lang w:bidi="ar-SA"/>
        </w:rPr>
        <w:t>stigma</w:t>
      </w:r>
      <w:r w:rsidR="00254F34">
        <w:rPr>
          <w:lang w:bidi="ar-SA"/>
        </w:rPr>
        <w:t xml:space="preserve"> around gambling harm</w:t>
      </w:r>
      <w:r w:rsidRPr="00843A16">
        <w:rPr>
          <w:lang w:bidi="ar-SA"/>
        </w:rPr>
        <w:t xml:space="preserve"> (</w:t>
      </w:r>
      <w:proofErr w:type="spellStart"/>
      <w:r w:rsidRPr="00843A16">
        <w:rPr>
          <w:lang w:bidi="ar-SA"/>
        </w:rPr>
        <w:t>Gainsbury</w:t>
      </w:r>
      <w:proofErr w:type="spellEnd"/>
      <w:r w:rsidRPr="00843A16">
        <w:rPr>
          <w:lang w:bidi="ar-SA"/>
        </w:rPr>
        <w:t xml:space="preserve"> et al., </w:t>
      </w:r>
      <w:r w:rsidR="009A6954" w:rsidRPr="00843A16">
        <w:rPr>
          <w:lang w:bidi="ar-SA"/>
        </w:rPr>
        <w:t xml:space="preserve">2019; Riley et al., 2024). </w:t>
      </w:r>
    </w:p>
    <w:p w14:paraId="6E31000D" w14:textId="6B2DF98C" w:rsidR="004B69D6" w:rsidRPr="00843A16" w:rsidRDefault="004B69D6" w:rsidP="00E511D6">
      <w:pPr>
        <w:pStyle w:val="BodyText"/>
        <w:rPr>
          <w:lang w:bidi="ar-SA"/>
        </w:rPr>
      </w:pPr>
      <w:r w:rsidRPr="00843A16">
        <w:t xml:space="preserve">Many interviewed consumers acknowledged the value </w:t>
      </w:r>
      <w:r w:rsidR="00390A98">
        <w:t xml:space="preserve">of </w:t>
      </w:r>
      <w:r w:rsidR="008820DB">
        <w:t>protection</w:t>
      </w:r>
      <w:r w:rsidRPr="00843A16">
        <w:t xml:space="preserve"> </w:t>
      </w:r>
      <w:r w:rsidR="005E34FA" w:rsidRPr="00843A16">
        <w:t xml:space="preserve">tools such as </w:t>
      </w:r>
      <w:r w:rsidRPr="00843A16">
        <w:t>deposit limits and activity statements for others</w:t>
      </w:r>
      <w:r w:rsidR="005E34FA" w:rsidRPr="00843A16">
        <w:t xml:space="preserve"> but did not see them as relevant to themselves, even among </w:t>
      </w:r>
      <w:r w:rsidRPr="00843A16">
        <w:t xml:space="preserve">those experiencing </w:t>
      </w:r>
      <w:r w:rsidR="001A208F" w:rsidRPr="00843A16">
        <w:t xml:space="preserve">gambling-related </w:t>
      </w:r>
      <w:r w:rsidR="005E34FA" w:rsidRPr="00843A16">
        <w:t>harm</w:t>
      </w:r>
      <w:r w:rsidRPr="00843A16">
        <w:t xml:space="preserve">. </w:t>
      </w:r>
      <w:r w:rsidR="005E34FA" w:rsidRPr="00843A16">
        <w:t xml:space="preserve">For discretionary measures, the combination of </w:t>
      </w:r>
      <w:r w:rsidR="00085A0B">
        <w:t xml:space="preserve">the </w:t>
      </w:r>
      <w:r w:rsidR="005E34FA" w:rsidRPr="00843A16">
        <w:t xml:space="preserve">stigma </w:t>
      </w:r>
      <w:r w:rsidR="00C418E7" w:rsidRPr="00843A16">
        <w:t xml:space="preserve">associated with </w:t>
      </w:r>
      <w:r w:rsidR="00C53769" w:rsidRPr="00843A16">
        <w:t xml:space="preserve">gambling harm </w:t>
      </w:r>
      <w:r w:rsidR="005E34FA" w:rsidRPr="00843A16">
        <w:t xml:space="preserve">and </w:t>
      </w:r>
      <w:r w:rsidR="00085A0B">
        <w:t>the need to take</w:t>
      </w:r>
      <w:r w:rsidR="00085A0B" w:rsidRPr="00843A16">
        <w:t xml:space="preserve"> </w:t>
      </w:r>
      <w:r w:rsidRPr="00843A16">
        <w:t xml:space="preserve">responsibility </w:t>
      </w:r>
      <w:r w:rsidR="005E34FA" w:rsidRPr="00843A16">
        <w:t>to self-regulate likely contributes</w:t>
      </w:r>
      <w:r w:rsidRPr="00843A16">
        <w:t xml:space="preserve"> to lower uptake among those who </w:t>
      </w:r>
      <w:r w:rsidR="005E34FA" w:rsidRPr="00843A16">
        <w:t xml:space="preserve">need </w:t>
      </w:r>
      <w:r w:rsidR="00336515" w:rsidRPr="00843A16">
        <w:t xml:space="preserve">protection </w:t>
      </w:r>
      <w:r w:rsidR="005E34FA" w:rsidRPr="00843A16">
        <w:t>the most.</w:t>
      </w:r>
      <w:r w:rsidRPr="00843A16">
        <w:t xml:space="preserve"> </w:t>
      </w:r>
    </w:p>
    <w:p w14:paraId="68DBE9EE" w14:textId="3422235F" w:rsidR="004B69D6" w:rsidRPr="00843A16" w:rsidRDefault="004B69D6" w:rsidP="00E511D6">
      <w:pPr>
        <w:pStyle w:val="Quote"/>
      </w:pPr>
      <w:r w:rsidRPr="00843A16">
        <w:t xml:space="preserve">Because I </w:t>
      </w:r>
      <w:r w:rsidR="00085A0B" w:rsidRPr="00843A16">
        <w:t>don</w:t>
      </w:r>
      <w:r w:rsidR="00085A0B">
        <w:t>’</w:t>
      </w:r>
      <w:r w:rsidR="00085A0B" w:rsidRPr="00843A16">
        <w:t xml:space="preserve">t </w:t>
      </w:r>
      <w:r w:rsidRPr="00843A16">
        <w:t xml:space="preserve">really need one, in my opinion. </w:t>
      </w:r>
      <w:r w:rsidR="00085A0B" w:rsidRPr="00843A16">
        <w:t>I</w:t>
      </w:r>
      <w:r w:rsidR="00085A0B">
        <w:t>’</w:t>
      </w:r>
      <w:r w:rsidR="00085A0B" w:rsidRPr="00843A16">
        <w:t xml:space="preserve">m </w:t>
      </w:r>
      <w:r w:rsidRPr="00843A16">
        <w:t>not really [betting] that much and I think maybe if I started to get more out of control, I probably would set [a deposit limit]. But like I said, I</w:t>
      </w:r>
      <w:r w:rsidR="00085A0B">
        <w:t>’</w:t>
      </w:r>
      <w:r w:rsidRPr="00843A16">
        <w:t xml:space="preserve">ve got pretty good </w:t>
      </w:r>
      <w:proofErr w:type="gramStart"/>
      <w:r w:rsidRPr="00843A16">
        <w:t>self-control</w:t>
      </w:r>
      <w:proofErr w:type="gramEnd"/>
      <w:r w:rsidRPr="00843A16">
        <w:t xml:space="preserve"> so I know when to stop anyway. </w:t>
      </w:r>
      <w:r w:rsidR="00085A0B">
        <w:t>(</w:t>
      </w:r>
      <w:r w:rsidRPr="00843A16">
        <w:t>P023, moderate-risk gambler, 18</w:t>
      </w:r>
      <w:r w:rsidR="00085A0B">
        <w:t>–</w:t>
      </w:r>
      <w:r w:rsidRPr="00843A16">
        <w:t xml:space="preserve">24, male, </w:t>
      </w:r>
      <w:r w:rsidR="00085A0B" w:rsidRPr="00843A16">
        <w:t>V</w:t>
      </w:r>
      <w:r w:rsidR="00085A0B">
        <w:t>ic)</w:t>
      </w:r>
    </w:p>
    <w:p w14:paraId="57AA4F5D" w14:textId="72B18857" w:rsidR="009A6954" w:rsidRPr="00843A16" w:rsidRDefault="009A6954" w:rsidP="00E150FD">
      <w:pPr>
        <w:pStyle w:val="Quote"/>
      </w:pPr>
      <w:r w:rsidRPr="00843A16">
        <w:t xml:space="preserve">When I first got them, I was like, ‘oh, </w:t>
      </w:r>
      <w:r w:rsidR="00085A0B" w:rsidRPr="00843A16">
        <w:t>what</w:t>
      </w:r>
      <w:r w:rsidR="00085A0B">
        <w:t>’</w:t>
      </w:r>
      <w:r w:rsidR="00085A0B" w:rsidRPr="00843A16">
        <w:t xml:space="preserve">s </w:t>
      </w:r>
      <w:r w:rsidRPr="00843A16">
        <w:t>this?’…</w:t>
      </w:r>
      <w:r w:rsidR="00085A0B">
        <w:t xml:space="preserve"> </w:t>
      </w:r>
      <w:r w:rsidRPr="00843A16">
        <w:t>then I clicked on it and then I just saw it was like a transaction history of your betting</w:t>
      </w:r>
      <w:r w:rsidR="00085A0B">
        <w:t xml:space="preserve"> </w:t>
      </w:r>
      <w:r w:rsidRPr="00843A16">
        <w:t>... or like a summary or whatever</w:t>
      </w:r>
      <w:r w:rsidR="00085A0B">
        <w:t xml:space="preserve"> </w:t>
      </w:r>
      <w:r w:rsidRPr="00843A16">
        <w:t>…</w:t>
      </w:r>
      <w:r w:rsidR="00085A0B">
        <w:t xml:space="preserve"> </w:t>
      </w:r>
      <w:r w:rsidRPr="00843A16">
        <w:t>like a bank statement</w:t>
      </w:r>
      <w:r w:rsidR="00085A0B">
        <w:t xml:space="preserve"> … </w:t>
      </w:r>
      <w:r w:rsidRPr="00843A16">
        <w:t xml:space="preserve">[but] I </w:t>
      </w:r>
      <w:r w:rsidR="00085A0B" w:rsidRPr="00843A16">
        <w:t>don</w:t>
      </w:r>
      <w:r w:rsidR="00085A0B">
        <w:t>’</w:t>
      </w:r>
      <w:r w:rsidR="00085A0B" w:rsidRPr="00843A16">
        <w:t xml:space="preserve">t </w:t>
      </w:r>
      <w:r w:rsidRPr="00843A16">
        <w:t xml:space="preserve">regularly check them [because] I sort of know what </w:t>
      </w:r>
      <w:r w:rsidR="00085A0B" w:rsidRPr="00843A16">
        <w:t>I</w:t>
      </w:r>
      <w:r w:rsidR="00085A0B">
        <w:t>’</w:t>
      </w:r>
      <w:r w:rsidR="00085A0B" w:rsidRPr="00843A16">
        <w:t xml:space="preserve">ve </w:t>
      </w:r>
      <w:r w:rsidRPr="00843A16">
        <w:t xml:space="preserve">bet in the month </w:t>
      </w:r>
      <w:r w:rsidR="00085A0B" w:rsidRPr="00843A16">
        <w:t>that</w:t>
      </w:r>
      <w:r w:rsidR="00085A0B">
        <w:t>’</w:t>
      </w:r>
      <w:r w:rsidR="00085A0B" w:rsidRPr="00843A16">
        <w:t xml:space="preserve">s </w:t>
      </w:r>
      <w:r w:rsidRPr="00843A16">
        <w:t xml:space="preserve">not really like </w:t>
      </w:r>
      <w:r w:rsidR="00085A0B" w:rsidRPr="00843A16">
        <w:t>it</w:t>
      </w:r>
      <w:r w:rsidR="00085A0B">
        <w:t>’</w:t>
      </w:r>
      <w:r w:rsidR="00085A0B" w:rsidRPr="00843A16">
        <w:t xml:space="preserve">s </w:t>
      </w:r>
      <w:r w:rsidRPr="00843A16">
        <w:t xml:space="preserve">a problem for me. If I felt like </w:t>
      </w:r>
      <w:r w:rsidR="00085A0B" w:rsidRPr="00843A16">
        <w:t>it</w:t>
      </w:r>
      <w:r w:rsidR="00085A0B">
        <w:t>’</w:t>
      </w:r>
      <w:r w:rsidR="00085A0B" w:rsidRPr="00843A16">
        <w:t xml:space="preserve">s </w:t>
      </w:r>
      <w:r w:rsidRPr="00843A16">
        <w:t>a problem [if bet more than expected], then I probably would check</w:t>
      </w:r>
      <w:r w:rsidR="00085A0B">
        <w:t xml:space="preserve"> </w:t>
      </w:r>
      <w:r w:rsidRPr="00843A16">
        <w:t>...</w:t>
      </w:r>
      <w:r w:rsidR="00085A0B">
        <w:t xml:space="preserve"> </w:t>
      </w:r>
      <w:r w:rsidRPr="00843A16">
        <w:t xml:space="preserve">then </w:t>
      </w:r>
      <w:r w:rsidR="00085A0B" w:rsidRPr="00843A16">
        <w:t>I</w:t>
      </w:r>
      <w:r w:rsidR="00085A0B">
        <w:t>’</w:t>
      </w:r>
      <w:r w:rsidR="00085A0B" w:rsidRPr="00843A16">
        <w:t xml:space="preserve">ll </w:t>
      </w:r>
      <w:r w:rsidRPr="00843A16">
        <w:t xml:space="preserve">look at those statements with more </w:t>
      </w:r>
      <w:proofErr w:type="gramStart"/>
      <w:r w:rsidRPr="00843A16">
        <w:t>detail.</w:t>
      </w:r>
      <w:r w:rsidR="00085A0B">
        <w:t>–</w:t>
      </w:r>
      <w:proofErr w:type="gramEnd"/>
      <w:r w:rsidRPr="00843A16">
        <w:t xml:space="preserve"> </w:t>
      </w:r>
      <w:r w:rsidR="00085A0B">
        <w:t>(</w:t>
      </w:r>
      <w:r w:rsidRPr="00843A16">
        <w:t>P025, high-risk</w:t>
      </w:r>
      <w:r w:rsidR="00F013CF">
        <w:t xml:space="preserve"> gambler</w:t>
      </w:r>
      <w:r w:rsidRPr="00843A16">
        <w:t>, 35</w:t>
      </w:r>
      <w:r w:rsidR="00085A0B">
        <w:t>–</w:t>
      </w:r>
      <w:r w:rsidRPr="00843A16">
        <w:t>44, male, WA</w:t>
      </w:r>
      <w:r w:rsidR="00085A0B">
        <w:t>)</w:t>
      </w:r>
    </w:p>
    <w:p w14:paraId="055E3017" w14:textId="08AAEC28" w:rsidR="00E806DB" w:rsidRPr="00843A16" w:rsidRDefault="005E34FA" w:rsidP="00E511D6">
      <w:pPr>
        <w:pStyle w:val="BodyText"/>
      </w:pPr>
      <w:r w:rsidRPr="00843A16">
        <w:lastRenderedPageBreak/>
        <w:t xml:space="preserve">Several interviewed stakeholders have noted that education campaigns could help normalise </w:t>
      </w:r>
      <w:r w:rsidR="000C5856" w:rsidRPr="00843A16">
        <w:t>protection</w:t>
      </w:r>
      <w:r w:rsidRPr="00843A16">
        <w:t xml:space="preserve"> tools and frame them as universal protections. One WSP suggested high-level campaigns with simple messaging to make tools </w:t>
      </w:r>
      <w:r w:rsidR="00FD161A">
        <w:t>m</w:t>
      </w:r>
      <w:r w:rsidRPr="00843A16">
        <w:t xml:space="preserve">ore accessible and appealing. </w:t>
      </w:r>
    </w:p>
    <w:p w14:paraId="0FF60FF6" w14:textId="4EE50468" w:rsidR="00D854C4" w:rsidRPr="00843A16" w:rsidRDefault="00D854C4" w:rsidP="00074143">
      <w:pPr>
        <w:pStyle w:val="Heading2"/>
      </w:pPr>
      <w:bookmarkStart w:id="103" w:name="_How_effectively_have"/>
      <w:bookmarkStart w:id="104" w:name="_Toc233643297"/>
      <w:bookmarkEnd w:id="103"/>
      <w:r w:rsidRPr="00AB2F4D">
        <w:t>How effectively have regulators been monitoring and enforcing operator compliance with the National Framework?</w:t>
      </w:r>
      <w:bookmarkEnd w:id="104"/>
    </w:p>
    <w:p w14:paraId="33D6328F" w14:textId="77777777" w:rsidR="005C33BF" w:rsidRPr="00B422D8" w:rsidRDefault="005C33BF" w:rsidP="007A60DE">
      <w:pPr>
        <w:pStyle w:val="BoxHeading1"/>
      </w:pPr>
      <w:r w:rsidRPr="00843A16">
        <w:t>Key findings</w:t>
      </w:r>
    </w:p>
    <w:p w14:paraId="2E82C39D" w14:textId="3120FE85" w:rsidR="005C33BF" w:rsidRDefault="005C33BF" w:rsidP="0004207B">
      <w:pPr>
        <w:pStyle w:val="BoxBulletList"/>
        <w:rPr>
          <w:rFonts w:eastAsia="Arial"/>
        </w:rPr>
      </w:pPr>
      <w:r>
        <w:rPr>
          <w:rFonts w:eastAsia="Arial"/>
        </w:rPr>
        <w:t>There has been limited regulatory compliance monitoring for the NCPF measures.</w:t>
      </w:r>
      <w:r w:rsidR="00F96801">
        <w:rPr>
          <w:rFonts w:eastAsia="Arial"/>
        </w:rPr>
        <w:t xml:space="preserve"> </w:t>
      </w:r>
      <w:r>
        <w:rPr>
          <w:rFonts w:eastAsia="Arial"/>
        </w:rPr>
        <w:t xml:space="preserve">Responding to customer complaints is the main form of compliance activity. </w:t>
      </w:r>
    </w:p>
    <w:p w14:paraId="69971927" w14:textId="12C430B8" w:rsidR="005C33BF" w:rsidRDefault="005C33BF" w:rsidP="0004207B">
      <w:pPr>
        <w:pStyle w:val="BoxBulletList"/>
        <w:rPr>
          <w:rFonts w:eastAsia="Arial"/>
        </w:rPr>
      </w:pPr>
      <w:r w:rsidRPr="00843A16">
        <w:rPr>
          <w:rFonts w:eastAsia="Arial"/>
        </w:rPr>
        <w:t xml:space="preserve">Proactive compliance activity </w:t>
      </w:r>
      <w:r>
        <w:rPr>
          <w:rFonts w:eastAsia="Arial"/>
        </w:rPr>
        <w:t xml:space="preserve">by regulators </w:t>
      </w:r>
      <w:r w:rsidRPr="00843A16">
        <w:rPr>
          <w:rFonts w:eastAsia="Arial"/>
        </w:rPr>
        <w:t xml:space="preserve">specifically targeting the NCPF measures </w:t>
      </w:r>
      <w:r w:rsidR="00E601D9">
        <w:rPr>
          <w:rFonts w:eastAsia="Arial"/>
        </w:rPr>
        <w:t xml:space="preserve">may be </w:t>
      </w:r>
      <w:r w:rsidRPr="00843A16">
        <w:rPr>
          <w:rFonts w:eastAsia="Arial"/>
        </w:rPr>
        <w:t xml:space="preserve">limited by insufficient resourcing </w:t>
      </w:r>
      <w:r>
        <w:rPr>
          <w:rFonts w:eastAsia="Arial"/>
        </w:rPr>
        <w:t>and/</w:t>
      </w:r>
      <w:r w:rsidRPr="00843A16">
        <w:rPr>
          <w:rFonts w:eastAsia="Arial"/>
        </w:rPr>
        <w:t xml:space="preserve">or prioritisation </w:t>
      </w:r>
      <w:r>
        <w:rPr>
          <w:rFonts w:eastAsia="Arial"/>
        </w:rPr>
        <w:t>of compliance activities</w:t>
      </w:r>
      <w:r w:rsidRPr="00843A16">
        <w:rPr>
          <w:rFonts w:eastAsia="Arial"/>
        </w:rPr>
        <w:t xml:space="preserve"> in the liquor, tobacco or </w:t>
      </w:r>
      <w:r w:rsidRPr="00843A16">
        <w:t xml:space="preserve">land-based </w:t>
      </w:r>
      <w:r w:rsidRPr="00843A16">
        <w:rPr>
          <w:rFonts w:eastAsia="Arial"/>
        </w:rPr>
        <w:t xml:space="preserve">gambling sectors. </w:t>
      </w:r>
    </w:p>
    <w:p w14:paraId="64ACD312" w14:textId="59D0FD85" w:rsidR="005C33BF" w:rsidRDefault="005C33BF" w:rsidP="0004207B">
      <w:pPr>
        <w:pStyle w:val="BoxBulletList"/>
        <w:rPr>
          <w:rFonts w:eastAsia="Arial"/>
        </w:rPr>
      </w:pPr>
      <w:r>
        <w:rPr>
          <w:rFonts w:eastAsia="Arial"/>
        </w:rPr>
        <w:t xml:space="preserve">Investigated complaints mainly involved direct marketing to opted-out customers, inducements for opening an online wagering account, inadequate account closure processes and failures by WSP staff to respond to red flag gambling behaviours. </w:t>
      </w:r>
    </w:p>
    <w:p w14:paraId="552A3493" w14:textId="77777777" w:rsidR="005C33BF" w:rsidRPr="00843A16" w:rsidRDefault="005C33BF" w:rsidP="0004207B">
      <w:pPr>
        <w:pStyle w:val="BoxBulletList"/>
        <w:rPr>
          <w:rFonts w:eastAsia="Arial"/>
        </w:rPr>
      </w:pPr>
      <w:r w:rsidRPr="00843A16">
        <w:rPr>
          <w:rFonts w:eastAsia="Arial"/>
        </w:rPr>
        <w:t xml:space="preserve">Regulators </w:t>
      </w:r>
      <w:r>
        <w:rPr>
          <w:rFonts w:eastAsia="Arial"/>
        </w:rPr>
        <w:t xml:space="preserve">reported </w:t>
      </w:r>
      <w:r w:rsidRPr="00843A16">
        <w:rPr>
          <w:rFonts w:eastAsia="Arial"/>
        </w:rPr>
        <w:t>fac</w:t>
      </w:r>
      <w:r>
        <w:rPr>
          <w:rFonts w:eastAsia="Arial"/>
        </w:rPr>
        <w:t>ing</w:t>
      </w:r>
      <w:r w:rsidRPr="00843A16">
        <w:rPr>
          <w:rFonts w:eastAsia="Arial"/>
        </w:rPr>
        <w:t xml:space="preserve"> challenges gathering information from WSPs to ensure they were complying with the legislative </w:t>
      </w:r>
      <w:r w:rsidRPr="00843A16">
        <w:t>framework requirements</w:t>
      </w:r>
      <w:r>
        <w:t xml:space="preserve">. </w:t>
      </w:r>
      <w:r>
        <w:rPr>
          <w:rFonts w:eastAsia="Arial"/>
        </w:rPr>
        <w:t>T</w:t>
      </w:r>
      <w:r w:rsidRPr="00843A16">
        <w:rPr>
          <w:rFonts w:eastAsia="Arial"/>
        </w:rPr>
        <w:t xml:space="preserve">he time taken by regulators to </w:t>
      </w:r>
      <w:r>
        <w:rPr>
          <w:rFonts w:eastAsia="Arial"/>
        </w:rPr>
        <w:t xml:space="preserve">resolve customer </w:t>
      </w:r>
      <w:r w:rsidRPr="00843A16">
        <w:rPr>
          <w:rFonts w:eastAsia="Arial"/>
        </w:rPr>
        <w:t xml:space="preserve">complaint investigations </w:t>
      </w:r>
      <w:r>
        <w:rPr>
          <w:rFonts w:eastAsia="Arial"/>
        </w:rPr>
        <w:t xml:space="preserve">was often </w:t>
      </w:r>
      <w:r w:rsidRPr="00843A16">
        <w:rPr>
          <w:rFonts w:eastAsia="Arial"/>
        </w:rPr>
        <w:t>significant.</w:t>
      </w:r>
    </w:p>
    <w:p w14:paraId="4F2FDFD7" w14:textId="77777777" w:rsidR="005C33BF" w:rsidRPr="00627ECF" w:rsidRDefault="005C33BF" w:rsidP="0004207B">
      <w:pPr>
        <w:pStyle w:val="BoxBulletList"/>
        <w:rPr>
          <w:rFonts w:eastAsia="Arial"/>
        </w:rPr>
      </w:pPr>
      <w:r>
        <w:rPr>
          <w:rFonts w:eastAsia="Arial"/>
        </w:rPr>
        <w:t>WSPs</w:t>
      </w:r>
      <w:r w:rsidRPr="00627ECF">
        <w:rPr>
          <w:rFonts w:eastAsia="Arial"/>
        </w:rPr>
        <w:t xml:space="preserve"> </w:t>
      </w:r>
      <w:r>
        <w:rPr>
          <w:rFonts w:eastAsia="Arial"/>
        </w:rPr>
        <w:t>noted</w:t>
      </w:r>
      <w:r w:rsidRPr="00627ECF">
        <w:rPr>
          <w:rFonts w:eastAsia="Arial"/>
        </w:rPr>
        <w:t xml:space="preserve"> that jurisdictional </w:t>
      </w:r>
      <w:r>
        <w:rPr>
          <w:rFonts w:eastAsia="Arial"/>
        </w:rPr>
        <w:t xml:space="preserve">legislative </w:t>
      </w:r>
      <w:r w:rsidRPr="00627ECF">
        <w:rPr>
          <w:rFonts w:eastAsia="Arial"/>
        </w:rPr>
        <w:t xml:space="preserve">inconsistencies place a compliance burden on </w:t>
      </w:r>
      <w:r>
        <w:rPr>
          <w:rFonts w:eastAsia="Arial"/>
        </w:rPr>
        <w:t xml:space="preserve">them, with </w:t>
      </w:r>
      <w:r w:rsidRPr="00627ECF">
        <w:rPr>
          <w:rFonts w:eastAsia="Arial"/>
        </w:rPr>
        <w:t xml:space="preserve">this burden </w:t>
      </w:r>
      <w:r>
        <w:rPr>
          <w:rFonts w:eastAsia="Arial"/>
        </w:rPr>
        <w:t xml:space="preserve">potentially </w:t>
      </w:r>
      <w:r w:rsidRPr="00627ECF">
        <w:rPr>
          <w:rFonts w:eastAsia="Arial"/>
        </w:rPr>
        <w:t>fall</w:t>
      </w:r>
      <w:r>
        <w:rPr>
          <w:rFonts w:eastAsia="Arial"/>
        </w:rPr>
        <w:t>ing</w:t>
      </w:r>
      <w:r w:rsidRPr="00627ECF">
        <w:rPr>
          <w:rFonts w:eastAsia="Arial"/>
        </w:rPr>
        <w:t xml:space="preserve"> more heavily on smaller WSPs</w:t>
      </w:r>
      <w:r>
        <w:rPr>
          <w:rFonts w:eastAsia="Arial"/>
        </w:rPr>
        <w:t>.</w:t>
      </w:r>
    </w:p>
    <w:p w14:paraId="7AAB1F48" w14:textId="24D14788" w:rsidR="005C33BF" w:rsidRDefault="005C33BF" w:rsidP="0004207B">
      <w:pPr>
        <w:pStyle w:val="BoxBulletList"/>
        <w:rPr>
          <w:rFonts w:eastAsia="Arial"/>
        </w:rPr>
      </w:pPr>
      <w:r w:rsidRPr="000C6D1D">
        <w:rPr>
          <w:rFonts w:eastAsia="Arial"/>
        </w:rPr>
        <w:t xml:space="preserve">Enforcement penalties for breaches of the NCPF measures vary significantly between jurisdictions. </w:t>
      </w:r>
      <w:r w:rsidR="00841B10">
        <w:rPr>
          <w:rFonts w:eastAsia="Arial"/>
        </w:rPr>
        <w:t xml:space="preserve">Both </w:t>
      </w:r>
      <w:r w:rsidRPr="000C6D1D">
        <w:rPr>
          <w:rFonts w:eastAsia="Arial"/>
        </w:rPr>
        <w:t xml:space="preserve">Point of Consumption and Point of Supply regulation for </w:t>
      </w:r>
      <w:r w:rsidRPr="30B19B14">
        <w:rPr>
          <w:rFonts w:eastAsia="Arial"/>
        </w:rPr>
        <w:t>the NCPF measures do not exist in every jurisdiction</w:t>
      </w:r>
      <w:r w:rsidR="00A2681B">
        <w:rPr>
          <w:rFonts w:eastAsia="Arial"/>
        </w:rPr>
        <w:t>,</w:t>
      </w:r>
      <w:r w:rsidRPr="30B19B14">
        <w:rPr>
          <w:rFonts w:eastAsia="Arial"/>
        </w:rPr>
        <w:t xml:space="preserve"> creating a barrier to </w:t>
      </w:r>
      <w:r w:rsidRPr="000C6D1D">
        <w:rPr>
          <w:rFonts w:eastAsia="Arial"/>
        </w:rPr>
        <w:t>compliance</w:t>
      </w:r>
      <w:r w:rsidR="009D0110" w:rsidRPr="009D0110">
        <w:rPr>
          <w:rFonts w:eastAsia="Arial"/>
        </w:rPr>
        <w:t xml:space="preserve"> </w:t>
      </w:r>
      <w:r w:rsidR="009D0110" w:rsidRPr="30B19B14">
        <w:rPr>
          <w:rFonts w:eastAsia="Arial"/>
        </w:rPr>
        <w:t xml:space="preserve">actions being undertaken </w:t>
      </w:r>
      <w:r w:rsidRPr="30B19B14">
        <w:rPr>
          <w:rFonts w:eastAsia="Arial"/>
        </w:rPr>
        <w:t>in some jurisdictions.</w:t>
      </w:r>
      <w:r w:rsidRPr="000C6D1D">
        <w:rPr>
          <w:rFonts w:eastAsia="Arial"/>
        </w:rPr>
        <w:t xml:space="preserve"> </w:t>
      </w:r>
    </w:p>
    <w:p w14:paraId="3954A4C4" w14:textId="75E1189D" w:rsidR="00085A0B" w:rsidRPr="00085A0B" w:rsidRDefault="00085A0B" w:rsidP="00085A0B">
      <w:pPr>
        <w:pStyle w:val="BoxHeading2"/>
      </w:pPr>
      <w:r>
        <w:t>Recommendations</w:t>
      </w:r>
    </w:p>
    <w:p w14:paraId="7BD9E654" w14:textId="750326E8" w:rsidR="00097993" w:rsidRPr="00CD4774" w:rsidRDefault="00097993" w:rsidP="00097993">
      <w:pPr>
        <w:pStyle w:val="BoxBulletList"/>
        <w:rPr>
          <w:rFonts w:eastAsia="Arial"/>
          <w:color w:val="005BA3" w:themeColor="accent4"/>
        </w:rPr>
      </w:pPr>
      <w:r w:rsidRPr="00ED100A">
        <w:rPr>
          <w:rFonts w:eastAsia="Arial"/>
          <w:b/>
          <w:color w:val="005BA3"/>
        </w:rPr>
        <w:t>Recommendation</w:t>
      </w:r>
      <w:r w:rsidRPr="00CD4774">
        <w:rPr>
          <w:rFonts w:eastAsia="Arial"/>
          <w:b/>
          <w:color w:val="005BA3" w:themeColor="accent4"/>
        </w:rPr>
        <w:t xml:space="preserve"> 2a:</w:t>
      </w:r>
      <w:r w:rsidRPr="00CD4774">
        <w:rPr>
          <w:rFonts w:eastAsia="Arial"/>
          <w:color w:val="005BA3" w:themeColor="accent4"/>
        </w:rPr>
        <w:t xml:space="preserve">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Pr="00CD4774">
        <w:rPr>
          <w:rFonts w:eastAsia="Arial"/>
          <w:color w:val="005BA3" w:themeColor="accent4"/>
        </w:rPr>
        <w:t xml:space="preserve">Regulators should undertake regular, coordinated and proactive compliance activities to ensure systemic non-compliance does not occur. </w:t>
      </w:r>
    </w:p>
    <w:p w14:paraId="71661953" w14:textId="73C0B21C" w:rsidR="00097993" w:rsidRPr="00CD4774" w:rsidRDefault="00097993" w:rsidP="00097993">
      <w:pPr>
        <w:pStyle w:val="BoxBulletList"/>
        <w:rPr>
          <w:rFonts w:eastAsia="Arial"/>
          <w:color w:val="005BA3" w:themeColor="accent4"/>
        </w:rPr>
      </w:pPr>
      <w:r w:rsidRPr="00CD4774">
        <w:rPr>
          <w:rFonts w:eastAsia="Arial"/>
          <w:b/>
          <w:color w:val="005BA3" w:themeColor="accent4"/>
        </w:rPr>
        <w:t>Recommendation 2b:</w:t>
      </w:r>
      <w:r w:rsidRPr="00CD4774">
        <w:rPr>
          <w:rFonts w:eastAsia="Arial"/>
          <w:color w:val="005BA3" w:themeColor="accent4"/>
        </w:rPr>
        <w:t xml:space="preserve">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Pr="00CD4774">
        <w:rPr>
          <w:rFonts w:eastAsia="Arial"/>
          <w:color w:val="005BA3" w:themeColor="accent4"/>
        </w:rPr>
        <w:t xml:space="preserve">Regulators should provide timely and public reporting on their activities, including any penalties issued. </w:t>
      </w:r>
    </w:p>
    <w:p w14:paraId="74E68C3F" w14:textId="3D6FA2E7" w:rsidR="00097993" w:rsidRPr="00CD4774" w:rsidRDefault="00097993" w:rsidP="00097993">
      <w:pPr>
        <w:pStyle w:val="BoxBulletList"/>
        <w:rPr>
          <w:rFonts w:eastAsia="Arial"/>
          <w:color w:val="005BA3" w:themeColor="accent4"/>
        </w:rPr>
      </w:pPr>
      <w:r w:rsidRPr="00CD4774">
        <w:rPr>
          <w:rFonts w:eastAsia="Arial"/>
          <w:b/>
          <w:color w:val="005BA3" w:themeColor="accent4"/>
        </w:rPr>
        <w:t>Recommendation 2c:</w:t>
      </w:r>
      <w:r w:rsidRPr="00CD4774">
        <w:rPr>
          <w:rFonts w:eastAsia="Arial"/>
          <w:color w:val="005BA3" w:themeColor="accent4"/>
        </w:rPr>
        <w:t xml:space="preserve"> </w:t>
      </w:r>
      <w:r w:rsidR="00F15B76" w:rsidRPr="00FF09E1">
        <w:rPr>
          <w:rFonts w:eastAsia="Arial"/>
          <w:color w:val="00437A" w:themeColor="accent4" w:themeShade="BF"/>
        </w:rPr>
        <w:t>(</w:t>
      </w:r>
      <w:r w:rsidR="00F15B76" w:rsidRPr="00F94966">
        <w:rPr>
          <w:rFonts w:ascii="Bauhaus 93" w:eastAsia="Arial" w:hAnsi="Bauhaus 93"/>
          <w:color w:val="0070C0"/>
        </w:rPr>
        <w:t>R</w:t>
      </w:r>
      <w:r w:rsidR="00F15B76" w:rsidRPr="00FF09E1">
        <w:rPr>
          <w:rFonts w:eastAsia="Arial"/>
          <w:color w:val="00437A" w:themeColor="accent4" w:themeShade="BF"/>
        </w:rPr>
        <w:t>)</w:t>
      </w:r>
      <w:r w:rsidR="00F15B76">
        <w:rPr>
          <w:rFonts w:eastAsia="Arial"/>
          <w:color w:val="00437A" w:themeColor="accent4" w:themeShade="BF"/>
        </w:rPr>
        <w:t xml:space="preserve"> </w:t>
      </w:r>
      <w:r w:rsidRPr="00CD4774">
        <w:rPr>
          <w:rFonts w:eastAsia="Arial"/>
          <w:color w:val="005BA3" w:themeColor="accent4"/>
        </w:rPr>
        <w:t xml:space="preserve">The Australian, state and territory governments should mandate that WSPs provide </w:t>
      </w:r>
      <w:r w:rsidR="00BB2DFE">
        <w:rPr>
          <w:rFonts w:eastAsia="Arial"/>
          <w:color w:val="005BA3" w:themeColor="accent4"/>
        </w:rPr>
        <w:t>timely, reliable</w:t>
      </w:r>
      <w:r w:rsidR="00D12D6A">
        <w:rPr>
          <w:rFonts w:eastAsia="Arial"/>
          <w:color w:val="005BA3" w:themeColor="accent4"/>
        </w:rPr>
        <w:t xml:space="preserve"> and detailed information</w:t>
      </w:r>
      <w:r w:rsidRPr="00CD4774">
        <w:rPr>
          <w:rFonts w:eastAsia="Arial"/>
          <w:color w:val="005BA3" w:themeColor="accent4"/>
        </w:rPr>
        <w:t xml:space="preserve"> t</w:t>
      </w:r>
      <w:r w:rsidR="00F8187F">
        <w:rPr>
          <w:rFonts w:eastAsia="Arial"/>
          <w:color w:val="005BA3" w:themeColor="accent4"/>
        </w:rPr>
        <w:t>hat</w:t>
      </w:r>
      <w:r w:rsidRPr="00CD4774">
        <w:rPr>
          <w:rFonts w:eastAsia="Arial"/>
          <w:color w:val="005BA3" w:themeColor="accent4"/>
        </w:rPr>
        <w:t xml:space="preserve"> </w:t>
      </w:r>
      <w:r w:rsidR="007E6B11">
        <w:rPr>
          <w:rFonts w:eastAsia="Arial"/>
          <w:color w:val="005BA3" w:themeColor="accent4"/>
        </w:rPr>
        <w:t>support</w:t>
      </w:r>
      <w:r w:rsidR="00AC3D29">
        <w:rPr>
          <w:rFonts w:eastAsia="Arial"/>
          <w:color w:val="005BA3" w:themeColor="accent4"/>
        </w:rPr>
        <w:t>s</w:t>
      </w:r>
      <w:r w:rsidR="007E6B11">
        <w:rPr>
          <w:rFonts w:eastAsia="Arial"/>
          <w:color w:val="005BA3" w:themeColor="accent4"/>
        </w:rPr>
        <w:t xml:space="preserve"> compliance, evaluation and policy development activities</w:t>
      </w:r>
      <w:r w:rsidRPr="00CD4774">
        <w:rPr>
          <w:rFonts w:eastAsia="Arial"/>
          <w:color w:val="005BA3" w:themeColor="accent4"/>
        </w:rPr>
        <w:t>.</w:t>
      </w:r>
    </w:p>
    <w:p w14:paraId="4B9F39E8" w14:textId="1BA2E8D9" w:rsidR="00097993" w:rsidRPr="00CD4774" w:rsidRDefault="00097993" w:rsidP="00097993">
      <w:pPr>
        <w:pStyle w:val="BoxBulletList"/>
        <w:rPr>
          <w:rFonts w:eastAsia="Arial"/>
          <w:color w:val="62136D" w:themeColor="accent2"/>
        </w:rPr>
      </w:pPr>
      <w:r w:rsidRPr="00CD4774">
        <w:rPr>
          <w:rFonts w:eastAsia="Arial"/>
          <w:b/>
          <w:color w:val="62136D" w:themeColor="accent2"/>
        </w:rPr>
        <w:t>Recommendation 2d:</w:t>
      </w:r>
      <w:r w:rsidRPr="00CD4774">
        <w:rPr>
          <w:rFonts w:eastAsia="Arial"/>
          <w:color w:val="62136D" w:themeColor="accent2"/>
        </w:rPr>
        <w:t xml:space="preserve"> </w:t>
      </w:r>
      <w:r w:rsidR="007F0064" w:rsidRPr="0066537F">
        <w:rPr>
          <w:rFonts w:eastAsia="Arial"/>
          <w:color w:val="7030A0"/>
        </w:rPr>
        <w:t>(</w:t>
      </w:r>
      <w:r w:rsidR="007F0064" w:rsidRPr="0066537F">
        <w:rPr>
          <w:rFonts w:ascii="Bauhaus 93" w:eastAsia="Arial" w:hAnsi="Bauhaus 93"/>
          <w:color w:val="7030A0"/>
        </w:rPr>
        <w:t>N</w:t>
      </w:r>
      <w:r w:rsidR="007F0064" w:rsidRPr="0066537F">
        <w:rPr>
          <w:rFonts w:eastAsia="Arial"/>
          <w:color w:val="7030A0"/>
        </w:rPr>
        <w:t>)</w:t>
      </w:r>
      <w:r w:rsidR="007F0064">
        <w:rPr>
          <w:rFonts w:eastAsia="Arial"/>
          <w:color w:val="7030A0"/>
        </w:rPr>
        <w:t xml:space="preserve"> </w:t>
      </w:r>
      <w:r w:rsidR="002F29B0" w:rsidRPr="00CD4774">
        <w:rPr>
          <w:rFonts w:eastAsia="Arial"/>
          <w:color w:val="62136D" w:themeColor="accent2"/>
        </w:rPr>
        <w:t>S</w:t>
      </w:r>
      <w:r w:rsidRPr="00CD4774">
        <w:rPr>
          <w:rFonts w:eastAsia="Arial"/>
          <w:color w:val="62136D" w:themeColor="accent2"/>
        </w:rPr>
        <w:t>tate and territory governments should harmonise their penalty regimes</w:t>
      </w:r>
      <w:r w:rsidR="00FD7AD7">
        <w:rPr>
          <w:rFonts w:eastAsia="Arial"/>
          <w:color w:val="62136D" w:themeColor="accent2"/>
        </w:rPr>
        <w:t xml:space="preserve">, including </w:t>
      </w:r>
      <w:r w:rsidRPr="00CD4774">
        <w:rPr>
          <w:rFonts w:eastAsia="Arial"/>
          <w:color w:val="62136D" w:themeColor="accent2"/>
        </w:rPr>
        <w:t xml:space="preserve">setting penalty levels to act as a deterrent for non-compliance with legislation. </w:t>
      </w:r>
      <w:r w:rsidR="00A80D3C">
        <w:rPr>
          <w:rFonts w:eastAsia="Arial"/>
          <w:color w:val="62136D" w:themeColor="accent2"/>
        </w:rPr>
        <w:t>All jurisdictions should review the length of time available to undertake investigations and prosecutions</w:t>
      </w:r>
      <w:r w:rsidR="00A80D3C" w:rsidRPr="00CD4774">
        <w:rPr>
          <w:rFonts w:eastAsia="Arial"/>
          <w:color w:val="62136D" w:themeColor="accent2"/>
        </w:rPr>
        <w:t xml:space="preserve">. </w:t>
      </w:r>
      <w:r w:rsidRPr="00CD4774">
        <w:rPr>
          <w:rFonts w:eastAsia="Arial"/>
          <w:color w:val="62136D" w:themeColor="accent2"/>
        </w:rPr>
        <w:t>This would require legislative change.</w:t>
      </w:r>
    </w:p>
    <w:p w14:paraId="367D5E36" w14:textId="0FD1FBFB" w:rsidR="00097993" w:rsidRPr="00CD4774" w:rsidRDefault="00097993" w:rsidP="00097993">
      <w:pPr>
        <w:pStyle w:val="BoxBulletList"/>
        <w:rPr>
          <w:rFonts w:eastAsia="Arial"/>
          <w:color w:val="62136D" w:themeColor="accent2"/>
        </w:rPr>
      </w:pPr>
      <w:r w:rsidRPr="00CD4774">
        <w:rPr>
          <w:rFonts w:eastAsia="Arial"/>
          <w:b/>
          <w:color w:val="62136D" w:themeColor="accent2"/>
        </w:rPr>
        <w:t>Recommendation 2e</w:t>
      </w:r>
      <w:r w:rsidR="005C33BF" w:rsidRPr="00CD4774">
        <w:rPr>
          <w:rFonts w:eastAsia="Arial"/>
          <w:b/>
          <w:color w:val="62136D" w:themeColor="accent2"/>
        </w:rPr>
        <w:t>:</w:t>
      </w:r>
      <w:r w:rsidR="005C33BF" w:rsidRPr="00CD4774">
        <w:rPr>
          <w:rFonts w:eastAsia="Arial"/>
          <w:color w:val="62136D" w:themeColor="accent2"/>
        </w:rPr>
        <w:t xml:space="preserve"> </w:t>
      </w:r>
      <w:r w:rsidR="007F0064" w:rsidRPr="0066537F">
        <w:rPr>
          <w:rFonts w:eastAsia="Arial"/>
          <w:color w:val="7030A0"/>
        </w:rPr>
        <w:t>(</w:t>
      </w:r>
      <w:r w:rsidR="007F0064" w:rsidRPr="0066537F">
        <w:rPr>
          <w:rFonts w:ascii="Bauhaus 93" w:eastAsia="Arial" w:hAnsi="Bauhaus 93"/>
          <w:color w:val="7030A0"/>
        </w:rPr>
        <w:t>N</w:t>
      </w:r>
      <w:r w:rsidR="007F0064" w:rsidRPr="0066537F">
        <w:rPr>
          <w:rFonts w:eastAsia="Arial"/>
          <w:color w:val="7030A0"/>
        </w:rPr>
        <w:t>)</w:t>
      </w:r>
      <w:r w:rsidR="007F0064">
        <w:rPr>
          <w:rFonts w:eastAsia="Arial"/>
          <w:color w:val="7030A0"/>
        </w:rPr>
        <w:t xml:space="preserve"> </w:t>
      </w:r>
      <w:r w:rsidR="005C33BF" w:rsidRPr="00CD4774">
        <w:rPr>
          <w:rFonts w:eastAsia="Arial"/>
          <w:color w:val="62136D" w:themeColor="accent2"/>
        </w:rPr>
        <w:t xml:space="preserve">State and territory governments should adopt a Point of Consumption regulatory approach to enhance the consumer protections offered by the </w:t>
      </w:r>
      <w:r w:rsidR="005C33BF" w:rsidRPr="00CD4774">
        <w:rPr>
          <w:rFonts w:eastAsia="Arial"/>
          <w:color w:val="62136D" w:themeColor="accent2"/>
        </w:rPr>
        <w:lastRenderedPageBreak/>
        <w:t xml:space="preserve">NCPF measures and </w:t>
      </w:r>
      <w:r w:rsidR="007A7BB6">
        <w:rPr>
          <w:rFonts w:eastAsia="Arial"/>
          <w:color w:val="62136D" w:themeColor="accent2"/>
        </w:rPr>
        <w:t>the</w:t>
      </w:r>
      <w:r w:rsidR="005C33BF" w:rsidRPr="00CD4774">
        <w:rPr>
          <w:rFonts w:eastAsia="Arial"/>
          <w:color w:val="62136D" w:themeColor="accent2"/>
        </w:rPr>
        <w:t xml:space="preserve"> framework, so all Australian consumers have a consistent minimum level of protection. </w:t>
      </w:r>
      <w:r w:rsidR="004A39E6" w:rsidRPr="00CD4774">
        <w:rPr>
          <w:rFonts w:eastAsia="Arial"/>
          <w:color w:val="62136D" w:themeColor="accent2"/>
        </w:rPr>
        <w:t>This would require legislative change.</w:t>
      </w:r>
    </w:p>
    <w:p w14:paraId="7A6A7C53" w14:textId="79EB5555" w:rsidR="008D7B9B" w:rsidRPr="00CD4774" w:rsidRDefault="00097993" w:rsidP="0004207B">
      <w:pPr>
        <w:pStyle w:val="BoxBulletList"/>
        <w:rPr>
          <w:rFonts w:eastAsia="Arial"/>
          <w:color w:val="62136D" w:themeColor="accent2"/>
        </w:rPr>
      </w:pPr>
      <w:r w:rsidRPr="00CD4774">
        <w:rPr>
          <w:rFonts w:eastAsia="Arial"/>
          <w:b/>
          <w:bCs/>
          <w:color w:val="62136D" w:themeColor="accent2"/>
        </w:rPr>
        <w:t xml:space="preserve">Recommendation 2f: </w:t>
      </w:r>
      <w:r w:rsidR="007F0064" w:rsidRPr="0066537F">
        <w:rPr>
          <w:rFonts w:eastAsia="Arial"/>
          <w:color w:val="7030A0"/>
        </w:rPr>
        <w:t>(</w:t>
      </w:r>
      <w:r w:rsidR="007F0064" w:rsidRPr="0066537F">
        <w:rPr>
          <w:rFonts w:ascii="Bauhaus 93" w:eastAsia="Arial" w:hAnsi="Bauhaus 93"/>
          <w:color w:val="7030A0"/>
        </w:rPr>
        <w:t>N</w:t>
      </w:r>
      <w:r w:rsidR="007F0064" w:rsidRPr="0066537F">
        <w:rPr>
          <w:rFonts w:eastAsia="Arial"/>
          <w:color w:val="7030A0"/>
        </w:rPr>
        <w:t>)</w:t>
      </w:r>
      <w:r w:rsidR="007F0064">
        <w:rPr>
          <w:rFonts w:eastAsia="Arial"/>
          <w:color w:val="7030A0"/>
        </w:rPr>
        <w:t xml:space="preserve"> </w:t>
      </w:r>
      <w:r w:rsidRPr="00CD4774">
        <w:rPr>
          <w:rFonts w:eastAsia="Arial"/>
          <w:color w:val="62136D" w:themeColor="accent2"/>
        </w:rPr>
        <w:t>The Australian,</w:t>
      </w:r>
      <w:r w:rsidRPr="00CD4774">
        <w:rPr>
          <w:rFonts w:eastAsia="Arial"/>
          <w:b/>
          <w:bCs/>
          <w:color w:val="62136D" w:themeColor="accent2"/>
        </w:rPr>
        <w:t xml:space="preserve"> </w:t>
      </w:r>
      <w:r w:rsidRPr="00CD4774">
        <w:rPr>
          <w:rFonts w:eastAsia="Arial"/>
          <w:color w:val="62136D" w:themeColor="accent2"/>
        </w:rPr>
        <w:t xml:space="preserve">state and territory governments should review funding to regulators </w:t>
      </w:r>
      <w:r w:rsidR="00BB4691" w:rsidRPr="00CD4774">
        <w:rPr>
          <w:rFonts w:eastAsia="Arial"/>
          <w:color w:val="62136D" w:themeColor="accent2"/>
        </w:rPr>
        <w:t xml:space="preserve">to ensure </w:t>
      </w:r>
      <w:r w:rsidRPr="00CD4774">
        <w:rPr>
          <w:rFonts w:eastAsia="Arial"/>
          <w:color w:val="62136D" w:themeColor="accent2"/>
        </w:rPr>
        <w:t xml:space="preserve">compliance activities </w:t>
      </w:r>
      <w:r w:rsidR="005D0533" w:rsidRPr="00CD4774">
        <w:rPr>
          <w:rFonts w:eastAsia="Arial"/>
          <w:color w:val="62136D" w:themeColor="accent2"/>
        </w:rPr>
        <w:t xml:space="preserve">are sufficient to protect </w:t>
      </w:r>
      <w:r w:rsidRPr="00CD4774">
        <w:rPr>
          <w:rFonts w:eastAsia="Arial"/>
          <w:color w:val="62136D" w:themeColor="accent2"/>
        </w:rPr>
        <w:t>consumer</w:t>
      </w:r>
      <w:r w:rsidR="005D0533" w:rsidRPr="00CD4774">
        <w:rPr>
          <w:rFonts w:eastAsia="Arial"/>
          <w:color w:val="62136D" w:themeColor="accent2"/>
        </w:rPr>
        <w:t>s from</w:t>
      </w:r>
      <w:r w:rsidR="00CB7684" w:rsidRPr="00CD4774">
        <w:rPr>
          <w:rFonts w:eastAsia="Arial"/>
          <w:color w:val="62136D" w:themeColor="accent2"/>
        </w:rPr>
        <w:t xml:space="preserve"> gambling</w:t>
      </w:r>
      <w:r w:rsidR="005D0533" w:rsidRPr="00CD4774">
        <w:rPr>
          <w:rFonts w:eastAsia="Arial"/>
          <w:color w:val="62136D" w:themeColor="accent2"/>
        </w:rPr>
        <w:t xml:space="preserve"> risk and harm</w:t>
      </w:r>
      <w:r w:rsidRPr="00CD4774">
        <w:rPr>
          <w:rFonts w:eastAsia="Arial"/>
          <w:color w:val="62136D" w:themeColor="accent2"/>
        </w:rPr>
        <w:t>.</w:t>
      </w:r>
    </w:p>
    <w:p w14:paraId="07937299" w14:textId="53CB89BF" w:rsidR="00745212" w:rsidRDefault="00D854C4" w:rsidP="00D854C4">
      <w:pPr>
        <w:pStyle w:val="BodyText"/>
        <w:rPr>
          <w:rFonts w:eastAsia="Arial"/>
        </w:rPr>
      </w:pPr>
      <w:r w:rsidRPr="00843A16">
        <w:rPr>
          <w:rFonts w:eastAsia="Arial"/>
        </w:rPr>
        <w:t xml:space="preserve">Under the NPS, the </w:t>
      </w:r>
      <w:r w:rsidR="008B2BEE">
        <w:rPr>
          <w:rFonts w:eastAsia="Arial"/>
        </w:rPr>
        <w:t>Australian</w:t>
      </w:r>
      <w:r w:rsidRPr="00843A16">
        <w:rPr>
          <w:rFonts w:eastAsia="Arial"/>
        </w:rPr>
        <w:t xml:space="preserve"> </w:t>
      </w:r>
      <w:r w:rsidR="009A13AF">
        <w:rPr>
          <w:rFonts w:eastAsia="Arial"/>
        </w:rPr>
        <w:t>Government</w:t>
      </w:r>
      <w:r w:rsidRPr="00843A16">
        <w:rPr>
          <w:rFonts w:eastAsia="Arial"/>
        </w:rPr>
        <w:t xml:space="preserve"> is responsible for monitoring and enforcing compliance for 4 measures: prohibition of lines of credit, payday lenders, customer verification and the NSER</w:t>
      </w:r>
      <w:r w:rsidR="0034216A">
        <w:rPr>
          <w:rFonts w:eastAsia="Arial"/>
        </w:rPr>
        <w:t xml:space="preserve"> (DSS, 2018)</w:t>
      </w:r>
      <w:r w:rsidRPr="00843A16">
        <w:rPr>
          <w:rFonts w:eastAsia="Arial"/>
        </w:rPr>
        <w:t xml:space="preserve">. </w:t>
      </w:r>
    </w:p>
    <w:p w14:paraId="5DDF00B5" w14:textId="6AEFBC1F" w:rsidR="00D854C4" w:rsidRPr="00843A16" w:rsidRDefault="00D854C4" w:rsidP="00D854C4">
      <w:pPr>
        <w:pStyle w:val="BodyText"/>
        <w:rPr>
          <w:rFonts w:eastAsia="Arial"/>
        </w:rPr>
      </w:pPr>
      <w:r w:rsidRPr="00843A16">
        <w:rPr>
          <w:rFonts w:eastAsia="Arial"/>
        </w:rPr>
        <w:t xml:space="preserve">State and </w:t>
      </w:r>
      <w:r w:rsidR="001428BE">
        <w:rPr>
          <w:rFonts w:eastAsia="Arial"/>
        </w:rPr>
        <w:t>t</w:t>
      </w:r>
      <w:r w:rsidR="00272E9F" w:rsidRPr="00843A16">
        <w:rPr>
          <w:rFonts w:eastAsia="Arial"/>
        </w:rPr>
        <w:t xml:space="preserve">erritory </w:t>
      </w:r>
      <w:r w:rsidR="009A13AF">
        <w:rPr>
          <w:rFonts w:eastAsia="Arial"/>
        </w:rPr>
        <w:t>government</w:t>
      </w:r>
      <w:r w:rsidR="00272E9F">
        <w:rPr>
          <w:rFonts w:eastAsia="Arial"/>
        </w:rPr>
        <w:t>s</w:t>
      </w:r>
      <w:r w:rsidR="00272E9F" w:rsidRPr="00843A16">
        <w:rPr>
          <w:rFonts w:eastAsia="Arial"/>
        </w:rPr>
        <w:t xml:space="preserve"> </w:t>
      </w:r>
      <w:r w:rsidRPr="00843A16">
        <w:rPr>
          <w:rFonts w:eastAsia="Arial"/>
        </w:rPr>
        <w:t>are responsible for monitoring and enforcing compliance for 6</w:t>
      </w:r>
      <w:r w:rsidR="00BE2410">
        <w:rPr>
          <w:rFonts w:eastAsia="Arial"/>
        </w:rPr>
        <w:t> </w:t>
      </w:r>
      <w:r w:rsidRPr="00843A16">
        <w:rPr>
          <w:rFonts w:eastAsia="Arial"/>
        </w:rPr>
        <w:t xml:space="preserve">measures: the restrictions on inducements, account closure, the voluntary opt-out pre-commitment scheme, activity statements, </w:t>
      </w:r>
      <w:r w:rsidR="00BD6B00">
        <w:rPr>
          <w:rFonts w:eastAsia="Arial"/>
        </w:rPr>
        <w:t>CGM</w:t>
      </w:r>
      <w:r w:rsidRPr="00843A16">
        <w:rPr>
          <w:rFonts w:eastAsia="Arial"/>
        </w:rPr>
        <w:t xml:space="preserve"> and staff training measures (</w:t>
      </w:r>
      <w:r w:rsidR="004524AE">
        <w:rPr>
          <w:rFonts w:eastAsia="Arial"/>
        </w:rPr>
        <w:t>s</w:t>
      </w:r>
      <w:r w:rsidR="004524AE" w:rsidRPr="00843A16">
        <w:rPr>
          <w:rFonts w:eastAsia="Arial"/>
        </w:rPr>
        <w:t xml:space="preserve">ee </w:t>
      </w:r>
      <w:hyperlink w:anchor="Table1" w:history="1">
        <w:r w:rsidRPr="00796175">
          <w:rPr>
            <w:rStyle w:val="Hyperlink"/>
            <w:rFonts w:eastAsia="Arial"/>
            <w:b/>
          </w:rPr>
          <w:t>Ta</w:t>
        </w:r>
        <w:bookmarkStart w:id="105" w:name="_Hlt233641769"/>
        <w:r w:rsidRPr="00796175">
          <w:rPr>
            <w:rStyle w:val="Hyperlink"/>
            <w:rFonts w:eastAsia="Arial"/>
            <w:b/>
          </w:rPr>
          <w:t>b</w:t>
        </w:r>
        <w:bookmarkEnd w:id="105"/>
        <w:r w:rsidRPr="00796175">
          <w:rPr>
            <w:rStyle w:val="Hyperlink"/>
            <w:rFonts w:eastAsia="Arial"/>
            <w:b/>
          </w:rPr>
          <w:t>l</w:t>
        </w:r>
        <w:bookmarkStart w:id="106" w:name="_Hlt220065699"/>
        <w:r w:rsidRPr="00796175">
          <w:rPr>
            <w:rStyle w:val="Hyperlink"/>
            <w:rFonts w:eastAsia="Arial"/>
            <w:b/>
          </w:rPr>
          <w:t>e</w:t>
        </w:r>
        <w:bookmarkEnd w:id="106"/>
        <w:r w:rsidRPr="00796175">
          <w:rPr>
            <w:rStyle w:val="Hyperlink"/>
            <w:rFonts w:eastAsia="Arial"/>
            <w:b/>
          </w:rPr>
          <w:t xml:space="preserve"> 1</w:t>
        </w:r>
      </w:hyperlink>
      <w:r w:rsidRPr="00843A16">
        <w:rPr>
          <w:rFonts w:eastAsia="Arial"/>
        </w:rPr>
        <w:t xml:space="preserve"> for more detail). </w:t>
      </w:r>
    </w:p>
    <w:p w14:paraId="4F2B05CE" w14:textId="139DA467" w:rsidR="00D854C4" w:rsidRPr="00843A16" w:rsidRDefault="00D854C4" w:rsidP="00D854C4">
      <w:pPr>
        <w:pStyle w:val="BodyText"/>
        <w:rPr>
          <w:rFonts w:eastAsia="Arial"/>
        </w:rPr>
      </w:pPr>
      <w:r w:rsidRPr="00843A16">
        <w:rPr>
          <w:rFonts w:eastAsia="Arial"/>
        </w:rPr>
        <w:t>Compliance activities affect WSPs, regulators and consumers. WSPs must ensure that they are complying with gambling legislation, regulations and guidelines. The role of regulators is to check that WSPs are acting within</w:t>
      </w:r>
      <w:r w:rsidR="00CE78A3">
        <w:rPr>
          <w:rFonts w:eastAsia="Arial"/>
        </w:rPr>
        <w:t xml:space="preserve"> the</w:t>
      </w:r>
      <w:r w:rsidRPr="00843A16">
        <w:rPr>
          <w:rFonts w:eastAsia="Arial"/>
        </w:rPr>
        <w:t xml:space="preserve"> legislative framework. The framework is designed to protect consumers</w:t>
      </w:r>
      <w:r w:rsidR="00EC1939">
        <w:rPr>
          <w:rFonts w:eastAsia="Arial"/>
        </w:rPr>
        <w:t>,</w:t>
      </w:r>
      <w:r w:rsidRPr="00843A16">
        <w:rPr>
          <w:rFonts w:eastAsia="Arial"/>
        </w:rPr>
        <w:t xml:space="preserve"> so they </w:t>
      </w:r>
      <w:r w:rsidR="00EC1939">
        <w:rPr>
          <w:rFonts w:eastAsia="Arial"/>
        </w:rPr>
        <w:t>can</w:t>
      </w:r>
      <w:r w:rsidRPr="00843A16">
        <w:rPr>
          <w:rFonts w:eastAsia="Arial"/>
        </w:rPr>
        <w:t xml:space="preserve"> make complaints if WSPs are not complying with the legislation. </w:t>
      </w:r>
    </w:p>
    <w:p w14:paraId="68E021AE" w14:textId="5B7BC31D" w:rsidR="00D854C4" w:rsidRPr="00843A16" w:rsidRDefault="00D854C4" w:rsidP="00D854C4">
      <w:pPr>
        <w:pStyle w:val="Heading3"/>
      </w:pPr>
      <w:bookmarkStart w:id="107" w:name="_Toc233643298"/>
      <w:r w:rsidRPr="00843A16">
        <w:t>Regulator</w:t>
      </w:r>
      <w:r w:rsidR="00D526D2">
        <w:t>s</w:t>
      </w:r>
      <w:r w:rsidR="00091AA7">
        <w:t>’</w:t>
      </w:r>
      <w:r w:rsidRPr="00843A16">
        <w:t xml:space="preserve"> compliance approaches</w:t>
      </w:r>
      <w:bookmarkEnd w:id="107"/>
    </w:p>
    <w:p w14:paraId="3DF4B394" w14:textId="5CCC6342" w:rsidR="002800A1" w:rsidRDefault="002800A1" w:rsidP="00D854C4">
      <w:pPr>
        <w:pStyle w:val="BodyText"/>
        <w:rPr>
          <w:rFonts w:eastAsiaTheme="minorEastAsia" w:cs="Arial"/>
          <w:color w:val="1572A2"/>
          <w:kern w:val="32"/>
          <w:sz w:val="26"/>
          <w:szCs w:val="26"/>
          <w:lang w:bidi="ar-SA"/>
        </w:rPr>
      </w:pPr>
      <w:r>
        <w:rPr>
          <w:rFonts w:eastAsiaTheme="minorEastAsia" w:cs="Arial"/>
          <w:color w:val="1572A2"/>
          <w:kern w:val="32"/>
          <w:sz w:val="26"/>
          <w:szCs w:val="26"/>
          <w:lang w:bidi="ar-SA"/>
        </w:rPr>
        <w:t xml:space="preserve">Compliance </w:t>
      </w:r>
      <w:r w:rsidRPr="00BC4A77">
        <w:rPr>
          <w:rFonts w:eastAsiaTheme="minorEastAsia" w:cs="Arial"/>
          <w:color w:val="1572A2"/>
          <w:kern w:val="32"/>
          <w:sz w:val="26"/>
          <w:szCs w:val="26"/>
          <w:lang w:bidi="ar-SA"/>
        </w:rPr>
        <w:t xml:space="preserve">activities </w:t>
      </w:r>
    </w:p>
    <w:p w14:paraId="32CE1752" w14:textId="65362794" w:rsidR="00D854C4" w:rsidRPr="00843A16" w:rsidRDefault="00D854C4" w:rsidP="002D2A9D">
      <w:pPr>
        <w:pStyle w:val="BodyText"/>
        <w:rPr>
          <w:rFonts w:eastAsia="Arial"/>
        </w:rPr>
      </w:pPr>
      <w:r w:rsidRPr="00843A16">
        <w:rPr>
          <w:rFonts w:eastAsia="Arial"/>
        </w:rPr>
        <w:t xml:space="preserve">There is a range of compliance activities that can be undertaken by jurisdictions. One of the interviewed </w:t>
      </w:r>
      <w:r w:rsidR="0093128A" w:rsidRPr="00843A16">
        <w:rPr>
          <w:rFonts w:eastAsia="Arial"/>
        </w:rPr>
        <w:t xml:space="preserve">regulators </w:t>
      </w:r>
      <w:r w:rsidRPr="00843A16">
        <w:rPr>
          <w:rFonts w:eastAsia="Arial"/>
        </w:rPr>
        <w:t>stated:</w:t>
      </w:r>
    </w:p>
    <w:p w14:paraId="27617A6F" w14:textId="40C12734" w:rsidR="00D854C4" w:rsidRPr="00843A16" w:rsidRDefault="00D854C4" w:rsidP="00D854C4">
      <w:pPr>
        <w:pStyle w:val="Quote"/>
      </w:pPr>
      <w:r w:rsidRPr="00843A16">
        <w:t xml:space="preserve">We’ve utilised a range of measures, so </w:t>
      </w:r>
      <w:r w:rsidR="004524AE" w:rsidRPr="00843A16">
        <w:t>there</w:t>
      </w:r>
      <w:r w:rsidR="004524AE">
        <w:t>’</w:t>
      </w:r>
      <w:r w:rsidR="004524AE" w:rsidRPr="00843A16">
        <w:t xml:space="preserve">s </w:t>
      </w:r>
      <w:r w:rsidRPr="00843A16">
        <w:t xml:space="preserve">proactive audits, receiving and responding to consumer complaints and other intelligence sources to investigate potential breaches, gathering information and sharing that information too between regulators and or other jurisdictions. So, this assists with that or integrated and consistent approach. </w:t>
      </w:r>
      <w:r w:rsidR="004524AE">
        <w:t>(</w:t>
      </w:r>
      <w:r w:rsidRPr="00843A16">
        <w:t xml:space="preserve">Policy </w:t>
      </w:r>
      <w:r w:rsidR="004524AE" w:rsidRPr="00843A16">
        <w:t>s</w:t>
      </w:r>
      <w:r w:rsidRPr="00843A16">
        <w:t xml:space="preserve">takeholder, </w:t>
      </w:r>
      <w:r w:rsidR="00B95535">
        <w:t>s</w:t>
      </w:r>
      <w:r w:rsidR="00BB6B2C">
        <w:t>tate/territory government</w:t>
      </w:r>
      <w:r w:rsidR="004524AE">
        <w:t>)</w:t>
      </w:r>
    </w:p>
    <w:p w14:paraId="61A2BF67" w14:textId="794B0CF6" w:rsidR="00D854C4" w:rsidRPr="00843A16" w:rsidRDefault="008D5539" w:rsidP="00D854C4">
      <w:pPr>
        <w:pStyle w:val="BodyText"/>
        <w:rPr>
          <w:rFonts w:eastAsia="Arial"/>
        </w:rPr>
      </w:pPr>
      <w:r>
        <w:rPr>
          <w:rFonts w:eastAsia="Arial"/>
        </w:rPr>
        <w:t xml:space="preserve">This evaluation </w:t>
      </w:r>
      <w:r w:rsidR="00D52BBD">
        <w:rPr>
          <w:rFonts w:eastAsia="Arial"/>
        </w:rPr>
        <w:t xml:space="preserve">found </w:t>
      </w:r>
      <w:r w:rsidR="00D854C4" w:rsidRPr="00843A16">
        <w:rPr>
          <w:rFonts w:eastAsia="Arial"/>
        </w:rPr>
        <w:t xml:space="preserve">that limited compliance activities </w:t>
      </w:r>
      <w:r w:rsidR="000C508D">
        <w:rPr>
          <w:rFonts w:eastAsia="Arial"/>
        </w:rPr>
        <w:t xml:space="preserve">were </w:t>
      </w:r>
      <w:r w:rsidR="00C31A9F">
        <w:rPr>
          <w:rFonts w:eastAsia="Arial"/>
        </w:rPr>
        <w:t xml:space="preserve">conducted </w:t>
      </w:r>
      <w:r w:rsidR="007F5283">
        <w:rPr>
          <w:rFonts w:eastAsia="Arial"/>
        </w:rPr>
        <w:t xml:space="preserve">for </w:t>
      </w:r>
      <w:r w:rsidR="00D854C4" w:rsidRPr="00843A16">
        <w:rPr>
          <w:rFonts w:eastAsia="Arial"/>
        </w:rPr>
        <w:t>the NCPF measures</w:t>
      </w:r>
      <w:r w:rsidR="002A72AE">
        <w:rPr>
          <w:rFonts w:eastAsia="Arial"/>
        </w:rPr>
        <w:t xml:space="preserve"> in most jurisdictions</w:t>
      </w:r>
      <w:r w:rsidR="00451420">
        <w:rPr>
          <w:rFonts w:eastAsia="Arial"/>
        </w:rPr>
        <w:t xml:space="preserve">, with </w:t>
      </w:r>
      <w:r w:rsidR="0093128A">
        <w:rPr>
          <w:rFonts w:eastAsia="Arial"/>
        </w:rPr>
        <w:t xml:space="preserve">regular </w:t>
      </w:r>
      <w:r w:rsidR="00451420">
        <w:rPr>
          <w:rFonts w:eastAsia="Arial"/>
        </w:rPr>
        <w:t>a</w:t>
      </w:r>
      <w:r w:rsidR="00D854C4" w:rsidRPr="00843A16">
        <w:rPr>
          <w:rFonts w:eastAsia="Arial"/>
        </w:rPr>
        <w:t xml:space="preserve">udits only undertaken by a minority. </w:t>
      </w:r>
      <w:r w:rsidR="00CA42FB" w:rsidRPr="002D2A9D">
        <w:rPr>
          <w:rFonts w:eastAsia="Arial"/>
        </w:rPr>
        <w:t xml:space="preserve">Regulators </w:t>
      </w:r>
      <w:r w:rsidR="00CA42FB">
        <w:rPr>
          <w:rFonts w:eastAsia="Arial"/>
        </w:rPr>
        <w:t xml:space="preserve">noted that they had </w:t>
      </w:r>
      <w:r w:rsidR="00CA42FB" w:rsidRPr="002D2A9D">
        <w:rPr>
          <w:rFonts w:eastAsia="Arial"/>
        </w:rPr>
        <w:t>finite resources available</w:t>
      </w:r>
      <w:r w:rsidR="00CA42FB">
        <w:rPr>
          <w:rFonts w:eastAsia="Arial"/>
        </w:rPr>
        <w:t xml:space="preserve"> and used </w:t>
      </w:r>
      <w:r w:rsidR="00CA42FB" w:rsidRPr="002D2A9D">
        <w:rPr>
          <w:rFonts w:eastAsia="Arial"/>
        </w:rPr>
        <w:t>risk</w:t>
      </w:r>
      <w:r w:rsidR="00CA42FB">
        <w:rPr>
          <w:rFonts w:eastAsia="Arial" w:cs="Arial"/>
        </w:rPr>
        <w:t>-</w:t>
      </w:r>
      <w:r w:rsidR="00CA42FB" w:rsidRPr="002D2A9D">
        <w:rPr>
          <w:rFonts w:eastAsia="Arial"/>
        </w:rPr>
        <w:t xml:space="preserve">based compliance methodologies </w:t>
      </w:r>
      <w:r w:rsidR="00CA42FB">
        <w:rPr>
          <w:rFonts w:eastAsia="Arial"/>
        </w:rPr>
        <w:t xml:space="preserve">to target their activities. </w:t>
      </w:r>
      <w:proofErr w:type="gramStart"/>
      <w:r w:rsidR="00CA42FB">
        <w:rPr>
          <w:rFonts w:eastAsia="Arial"/>
        </w:rPr>
        <w:t>In particular, they</w:t>
      </w:r>
      <w:proofErr w:type="gramEnd"/>
      <w:r w:rsidR="00CA42FB">
        <w:rPr>
          <w:rFonts w:eastAsia="Arial"/>
        </w:rPr>
        <w:t xml:space="preserve"> noted that more </w:t>
      </w:r>
      <w:r w:rsidR="00CA42FB" w:rsidRPr="002D2A9D">
        <w:rPr>
          <w:rFonts w:eastAsia="Arial"/>
        </w:rPr>
        <w:t>resourc</w:t>
      </w:r>
      <w:r w:rsidR="00CA42FB">
        <w:rPr>
          <w:rFonts w:eastAsia="Arial"/>
        </w:rPr>
        <w:t xml:space="preserve">ing for </w:t>
      </w:r>
      <w:r w:rsidR="00CA42FB" w:rsidRPr="002D2A9D">
        <w:rPr>
          <w:rFonts w:eastAsia="Arial"/>
        </w:rPr>
        <w:t xml:space="preserve">intensive enforcement activities </w:t>
      </w:r>
      <w:r w:rsidR="00CA42FB">
        <w:rPr>
          <w:rFonts w:eastAsia="Arial"/>
        </w:rPr>
        <w:t xml:space="preserve">was </w:t>
      </w:r>
      <w:r w:rsidR="00CA42FB" w:rsidRPr="002D2A9D">
        <w:rPr>
          <w:rFonts w:eastAsia="Arial"/>
        </w:rPr>
        <w:t xml:space="preserve">directed </w:t>
      </w:r>
      <w:r w:rsidR="00054428">
        <w:rPr>
          <w:rFonts w:eastAsia="Arial"/>
        </w:rPr>
        <w:t xml:space="preserve">towards </w:t>
      </w:r>
      <w:r w:rsidR="00CA42FB" w:rsidRPr="002D2A9D">
        <w:rPr>
          <w:rFonts w:eastAsia="Arial"/>
        </w:rPr>
        <w:t xml:space="preserve">where the risk of compliance failures and associated harm </w:t>
      </w:r>
      <w:r w:rsidR="00CA42FB">
        <w:rPr>
          <w:rFonts w:eastAsia="Arial"/>
        </w:rPr>
        <w:t>was</w:t>
      </w:r>
      <w:r w:rsidR="00CA42FB" w:rsidRPr="002D2A9D">
        <w:rPr>
          <w:rFonts w:eastAsia="Arial"/>
        </w:rPr>
        <w:t xml:space="preserve"> highest.</w:t>
      </w:r>
      <w:r w:rsidR="00881F59">
        <w:rPr>
          <w:rFonts w:eastAsia="Arial"/>
        </w:rPr>
        <w:t xml:space="preserve"> </w:t>
      </w:r>
    </w:p>
    <w:p w14:paraId="3B95AC68" w14:textId="085EB81E" w:rsidR="00D854C4" w:rsidRPr="00843A16" w:rsidRDefault="00D854C4" w:rsidP="00D854C4">
      <w:pPr>
        <w:pStyle w:val="BodyText"/>
        <w:rPr>
          <w:rFonts w:eastAsia="Arial"/>
        </w:rPr>
      </w:pPr>
      <w:r w:rsidRPr="00843A16">
        <w:rPr>
          <w:rFonts w:eastAsia="Arial"/>
        </w:rPr>
        <w:t xml:space="preserve">Complaints from customers appeared to be the main </w:t>
      </w:r>
      <w:r w:rsidR="00E00895">
        <w:rPr>
          <w:rFonts w:eastAsia="Arial"/>
        </w:rPr>
        <w:t>trigger</w:t>
      </w:r>
      <w:r w:rsidR="00E00895" w:rsidRPr="00843A16">
        <w:rPr>
          <w:rFonts w:eastAsia="Arial"/>
        </w:rPr>
        <w:t xml:space="preserve"> </w:t>
      </w:r>
      <w:r w:rsidRPr="00843A16">
        <w:rPr>
          <w:rFonts w:eastAsia="Arial"/>
        </w:rPr>
        <w:t>for regulators assessing WSP compliance with the NCPF</w:t>
      </w:r>
      <w:r w:rsidR="0077757C">
        <w:rPr>
          <w:rFonts w:eastAsia="Arial"/>
        </w:rPr>
        <w:t xml:space="preserve"> </w:t>
      </w:r>
      <w:r w:rsidR="0060162D">
        <w:rPr>
          <w:rFonts w:eastAsia="Arial"/>
        </w:rPr>
        <w:t>–</w:t>
      </w:r>
      <w:r w:rsidR="0077757C">
        <w:rPr>
          <w:rFonts w:eastAsia="Arial"/>
        </w:rPr>
        <w:t xml:space="preserve"> </w:t>
      </w:r>
      <w:r w:rsidR="00AE18DD">
        <w:rPr>
          <w:rFonts w:eastAsia="Arial"/>
        </w:rPr>
        <w:t xml:space="preserve">a </w:t>
      </w:r>
      <w:r w:rsidRPr="00843A16">
        <w:rPr>
          <w:rFonts w:eastAsia="Arial"/>
        </w:rPr>
        <w:t xml:space="preserve">reactive form of compliance action. The main </w:t>
      </w:r>
      <w:r w:rsidR="0077757C">
        <w:rPr>
          <w:rFonts w:eastAsia="Arial"/>
        </w:rPr>
        <w:t>types</w:t>
      </w:r>
      <w:r w:rsidR="0077757C" w:rsidRPr="00843A16">
        <w:rPr>
          <w:rFonts w:eastAsia="Arial"/>
        </w:rPr>
        <w:t xml:space="preserve"> </w:t>
      </w:r>
      <w:r w:rsidRPr="00843A16">
        <w:rPr>
          <w:rFonts w:eastAsia="Arial"/>
        </w:rPr>
        <w:t xml:space="preserve">of complaints </w:t>
      </w:r>
      <w:r w:rsidR="0077757C">
        <w:rPr>
          <w:rFonts w:eastAsia="Arial"/>
        </w:rPr>
        <w:t>were</w:t>
      </w:r>
      <w:r w:rsidRPr="00843A16">
        <w:rPr>
          <w:rFonts w:eastAsia="Arial"/>
        </w:rPr>
        <w:t>:</w:t>
      </w:r>
    </w:p>
    <w:p w14:paraId="7803F163" w14:textId="7A802BAA" w:rsidR="00D854C4" w:rsidRPr="00843A16" w:rsidRDefault="00054428" w:rsidP="00D854C4">
      <w:pPr>
        <w:pStyle w:val="ListBullet"/>
        <w:jc w:val="both"/>
        <w:rPr>
          <w:rFonts w:eastAsia="Arial"/>
          <w:color w:val="auto"/>
        </w:rPr>
      </w:pPr>
      <w:r>
        <w:rPr>
          <w:rFonts w:eastAsia="Arial"/>
          <w:color w:val="auto"/>
        </w:rPr>
        <w:t xml:space="preserve">Customers still receiving </w:t>
      </w:r>
      <w:r w:rsidR="00D854C4" w:rsidRPr="3F876D50">
        <w:rPr>
          <w:rFonts w:eastAsia="Arial"/>
          <w:color w:val="auto"/>
        </w:rPr>
        <w:t>direct marketing despite opting out of it</w:t>
      </w:r>
      <w:r w:rsidR="00D132E0" w:rsidRPr="3F876D50">
        <w:rPr>
          <w:rFonts w:eastAsia="Arial"/>
          <w:color w:val="auto"/>
        </w:rPr>
        <w:t xml:space="preserve"> or closing their account</w:t>
      </w:r>
      <w:r>
        <w:rPr>
          <w:rFonts w:eastAsia="Arial"/>
          <w:color w:val="auto"/>
        </w:rPr>
        <w:t>.</w:t>
      </w:r>
    </w:p>
    <w:p w14:paraId="15C9BD8F" w14:textId="221801A9" w:rsidR="00D132E0" w:rsidRDefault="00054428" w:rsidP="00D854C4">
      <w:pPr>
        <w:pStyle w:val="ListBullet"/>
        <w:jc w:val="both"/>
        <w:rPr>
          <w:rFonts w:eastAsia="Arial"/>
          <w:color w:val="auto"/>
        </w:rPr>
      </w:pPr>
      <w:r>
        <w:rPr>
          <w:rFonts w:eastAsia="Arial"/>
          <w:color w:val="auto"/>
        </w:rPr>
        <w:t>C</w:t>
      </w:r>
      <w:r w:rsidRPr="3F876D50">
        <w:rPr>
          <w:rFonts w:eastAsia="Arial"/>
          <w:color w:val="auto"/>
        </w:rPr>
        <w:t xml:space="preserve">ustomers </w:t>
      </w:r>
      <w:r w:rsidR="00D854C4" w:rsidRPr="3F876D50">
        <w:rPr>
          <w:rFonts w:eastAsia="Arial"/>
          <w:color w:val="auto"/>
        </w:rPr>
        <w:t>being offered inducements to sign up to online wagering accounts</w:t>
      </w:r>
      <w:r>
        <w:rPr>
          <w:rFonts w:eastAsia="Arial"/>
          <w:color w:val="auto"/>
        </w:rPr>
        <w:t>.</w:t>
      </w:r>
    </w:p>
    <w:p w14:paraId="07ABC960" w14:textId="0E046F43" w:rsidR="00D854C4" w:rsidRPr="00E11393" w:rsidRDefault="00054428" w:rsidP="00E11393">
      <w:pPr>
        <w:pStyle w:val="ListBullet"/>
        <w:jc w:val="both"/>
        <w:rPr>
          <w:rFonts w:eastAsia="Arial"/>
          <w:color w:val="auto"/>
        </w:rPr>
      </w:pPr>
      <w:r>
        <w:rPr>
          <w:rFonts w:eastAsia="Arial"/>
          <w:color w:val="auto"/>
        </w:rPr>
        <w:t>A</w:t>
      </w:r>
      <w:r w:rsidRPr="3F876D50">
        <w:rPr>
          <w:rFonts w:eastAsia="Arial"/>
          <w:color w:val="auto"/>
        </w:rPr>
        <w:t xml:space="preserve">ccount </w:t>
      </w:r>
      <w:r w:rsidR="00D854C4" w:rsidRPr="3F876D50">
        <w:rPr>
          <w:rFonts w:eastAsia="Arial"/>
          <w:color w:val="auto"/>
        </w:rPr>
        <w:t>closures not being undertaken to the satisfaction of the customer</w:t>
      </w:r>
      <w:r w:rsidR="00E118E1">
        <w:rPr>
          <w:rFonts w:eastAsia="Arial"/>
          <w:color w:val="auto"/>
        </w:rPr>
        <w:t>.</w:t>
      </w:r>
    </w:p>
    <w:p w14:paraId="475BD5CF" w14:textId="1ECB4683" w:rsidR="00D854C4" w:rsidRPr="00843A16" w:rsidRDefault="00D854C4" w:rsidP="00D854C4">
      <w:pPr>
        <w:pStyle w:val="BodyText"/>
      </w:pPr>
      <w:r w:rsidRPr="00843A16">
        <w:t>Some regulators reported challenges with gathering information from WSPs to ensure they were complying with the legislative regime</w:t>
      </w:r>
      <w:r w:rsidR="008A6F1D">
        <w:t xml:space="preserve"> with respect </w:t>
      </w:r>
      <w:r w:rsidR="00EF1BDF">
        <w:t>to</w:t>
      </w:r>
      <w:r w:rsidR="008A6F1D">
        <w:t xml:space="preserve"> </w:t>
      </w:r>
      <w:r w:rsidR="004D1CF5">
        <w:t>staff training</w:t>
      </w:r>
      <w:r w:rsidRPr="00843A16">
        <w:t>. This was even more problematic for the staff of operators not licen</w:t>
      </w:r>
      <w:r w:rsidR="0047785B">
        <w:t>s</w:t>
      </w:r>
      <w:r w:rsidRPr="00843A16">
        <w:t xml:space="preserve">ed in the regulator’s jurisdiction. </w:t>
      </w:r>
    </w:p>
    <w:p w14:paraId="29264B34" w14:textId="46931080" w:rsidR="00D854C4" w:rsidRPr="00843A16" w:rsidRDefault="00D854C4" w:rsidP="00D854C4">
      <w:pPr>
        <w:pStyle w:val="Quote"/>
      </w:pPr>
      <w:r w:rsidRPr="00843A16">
        <w:t xml:space="preserve">Basically, when </w:t>
      </w:r>
      <w:r w:rsidR="00D0594D" w:rsidRPr="00843A16">
        <w:t>they</w:t>
      </w:r>
      <w:r w:rsidR="00D0594D">
        <w:t>’</w:t>
      </w:r>
      <w:r w:rsidR="00D0594D" w:rsidRPr="00843A16">
        <w:t xml:space="preserve">re </w:t>
      </w:r>
      <w:r w:rsidRPr="00843A16">
        <w:t>[WSPs are] working from other jurisdictions</w:t>
      </w:r>
      <w:r w:rsidR="00D0594D">
        <w:t xml:space="preserve"> </w:t>
      </w:r>
      <w:r w:rsidRPr="00843A16">
        <w:t xml:space="preserve">... we can get the records from the wagering provider as they should have it, but what </w:t>
      </w:r>
      <w:r w:rsidR="00D0594D" w:rsidRPr="00843A16">
        <w:t>we</w:t>
      </w:r>
      <w:r w:rsidR="00D0594D">
        <w:t>’</w:t>
      </w:r>
      <w:r w:rsidR="00D0594D" w:rsidRPr="00843A16">
        <w:t xml:space="preserve">re </w:t>
      </w:r>
      <w:r w:rsidRPr="00843A16">
        <w:lastRenderedPageBreak/>
        <w:t>finding is how do we confirm</w:t>
      </w:r>
      <w:r w:rsidR="00D0594D">
        <w:t xml:space="preserve"> </w:t>
      </w:r>
      <w:r w:rsidRPr="00843A16">
        <w:t>…</w:t>
      </w:r>
      <w:r w:rsidR="00D0594D">
        <w:t xml:space="preserve"> </w:t>
      </w:r>
      <w:r w:rsidRPr="00843A16">
        <w:t xml:space="preserve">that </w:t>
      </w:r>
      <w:r w:rsidR="00D0594D" w:rsidRPr="00843A16">
        <w:t>they</w:t>
      </w:r>
      <w:r w:rsidR="00D0594D">
        <w:t>’</w:t>
      </w:r>
      <w:r w:rsidR="00D0594D" w:rsidRPr="00843A16">
        <w:t xml:space="preserve">ve </w:t>
      </w:r>
      <w:proofErr w:type="gramStart"/>
      <w:r w:rsidRPr="00843A16">
        <w:t>actually completed</w:t>
      </w:r>
      <w:proofErr w:type="gramEnd"/>
      <w:r w:rsidRPr="00843A16">
        <w:t xml:space="preserve"> the training? </w:t>
      </w:r>
      <w:r w:rsidR="00D0594D">
        <w:t>(</w:t>
      </w:r>
      <w:r w:rsidRPr="00843A16">
        <w:t xml:space="preserve">Policy &amp; </w:t>
      </w:r>
      <w:r w:rsidR="00D0594D" w:rsidRPr="00843A16">
        <w:t>regulation stakeholders</w:t>
      </w:r>
      <w:r w:rsidRPr="00843A16">
        <w:t xml:space="preserve">, </w:t>
      </w:r>
      <w:r w:rsidR="00B95535">
        <w:t>s</w:t>
      </w:r>
      <w:r w:rsidR="00BB6B2C">
        <w:t>tate/territory government</w:t>
      </w:r>
      <w:r w:rsidR="00D0594D">
        <w:t>)</w:t>
      </w:r>
    </w:p>
    <w:p w14:paraId="55ED2B21" w14:textId="23C12CF1" w:rsidR="00D931D0" w:rsidRDefault="00D854C4" w:rsidP="00945DCD">
      <w:pPr>
        <w:pStyle w:val="BodyText"/>
        <w:rPr>
          <w:rFonts w:eastAsia="Arial"/>
        </w:rPr>
      </w:pPr>
      <w:r w:rsidRPr="00945DCD">
        <w:rPr>
          <w:rFonts w:eastAsia="Arial"/>
        </w:rPr>
        <w:t xml:space="preserve">The burden </w:t>
      </w:r>
      <w:r w:rsidR="00764420">
        <w:rPr>
          <w:rFonts w:eastAsia="Arial"/>
        </w:rPr>
        <w:t>of</w:t>
      </w:r>
      <w:r w:rsidR="00764420" w:rsidRPr="00945DCD">
        <w:rPr>
          <w:rFonts w:eastAsia="Arial"/>
        </w:rPr>
        <w:t xml:space="preserve"> </w:t>
      </w:r>
      <w:r w:rsidRPr="00945DCD">
        <w:rPr>
          <w:rFonts w:eastAsia="Arial"/>
        </w:rPr>
        <w:t xml:space="preserve">seeking information </w:t>
      </w:r>
      <w:r w:rsidR="00764420">
        <w:rPr>
          <w:rFonts w:eastAsia="Arial"/>
        </w:rPr>
        <w:t xml:space="preserve">for </w:t>
      </w:r>
      <w:r w:rsidR="00581DF2" w:rsidRPr="00945DCD">
        <w:rPr>
          <w:rFonts w:eastAsia="Arial"/>
        </w:rPr>
        <w:t>assessing WSPs’</w:t>
      </w:r>
      <w:r w:rsidRPr="00945DCD">
        <w:rPr>
          <w:rFonts w:eastAsia="Arial"/>
        </w:rPr>
        <w:t xml:space="preserve"> compl</w:t>
      </w:r>
      <w:r w:rsidR="00581DF2" w:rsidRPr="00945DCD">
        <w:rPr>
          <w:rFonts w:eastAsia="Arial"/>
        </w:rPr>
        <w:t>iance</w:t>
      </w:r>
      <w:r w:rsidRPr="00945DCD">
        <w:rPr>
          <w:rFonts w:eastAsia="Arial"/>
        </w:rPr>
        <w:t xml:space="preserve"> with the NCPF measures currently sits with state and territory gambling regulators. </w:t>
      </w:r>
      <w:r w:rsidR="00B971A8" w:rsidRPr="00945DCD">
        <w:t>T</w:t>
      </w:r>
      <w:r w:rsidR="002C2225" w:rsidRPr="00945DCD">
        <w:t xml:space="preserve">his </w:t>
      </w:r>
      <w:r w:rsidR="00D931D0">
        <w:t xml:space="preserve">issue </w:t>
      </w:r>
      <w:r w:rsidR="002C2225" w:rsidRPr="00945DCD">
        <w:t xml:space="preserve">could be addressed by requiring </w:t>
      </w:r>
      <w:r w:rsidRPr="00945DCD">
        <w:rPr>
          <w:rFonts w:eastAsia="Arial"/>
        </w:rPr>
        <w:t xml:space="preserve">WSPs to regularly report to regulators </w:t>
      </w:r>
      <w:r w:rsidR="00D931D0">
        <w:rPr>
          <w:rFonts w:eastAsia="Arial"/>
        </w:rPr>
        <w:t>on</w:t>
      </w:r>
      <w:r w:rsidRPr="00945DCD">
        <w:rPr>
          <w:rFonts w:eastAsia="Arial"/>
        </w:rPr>
        <w:t xml:space="preserve"> how they are complying with the NCPF measures.</w:t>
      </w:r>
    </w:p>
    <w:p w14:paraId="0A95D870" w14:textId="042F6A5C" w:rsidR="00D854C4" w:rsidRPr="00945DCD" w:rsidRDefault="009C4A41" w:rsidP="00945DCD">
      <w:pPr>
        <w:pStyle w:val="BodyText"/>
        <w:rPr>
          <w:rFonts w:eastAsia="Arial"/>
        </w:rPr>
      </w:pPr>
      <w:r w:rsidRPr="00945DCD">
        <w:t xml:space="preserve">Australian WSPs are already undertaking some external compliance reporting, as seen by the </w:t>
      </w:r>
      <w:r w:rsidR="00D854C4" w:rsidRPr="00945DCD">
        <w:rPr>
          <w:rFonts w:eastAsia="Arial"/>
        </w:rPr>
        <w:t xml:space="preserve">legislated requirement </w:t>
      </w:r>
      <w:r w:rsidRPr="00945DCD">
        <w:t>that they</w:t>
      </w:r>
      <w:r w:rsidR="00D854C4" w:rsidRPr="00945DCD">
        <w:rPr>
          <w:rFonts w:eastAsia="Arial"/>
        </w:rPr>
        <w:t xml:space="preserve"> report unusual transactions that appear suspicious as well as various types of funds transfers to </w:t>
      </w:r>
      <w:r w:rsidR="006F0978">
        <w:rPr>
          <w:rFonts w:eastAsia="Arial"/>
        </w:rPr>
        <w:t>the Australian Transaction Report</w:t>
      </w:r>
      <w:r w:rsidR="00300F19">
        <w:rPr>
          <w:rFonts w:eastAsia="Arial"/>
        </w:rPr>
        <w:t>s and</w:t>
      </w:r>
      <w:r w:rsidR="006F0978">
        <w:rPr>
          <w:rFonts w:eastAsia="Arial"/>
        </w:rPr>
        <w:t xml:space="preserve"> </w:t>
      </w:r>
      <w:r w:rsidR="00300F19">
        <w:rPr>
          <w:rFonts w:eastAsia="Arial"/>
        </w:rPr>
        <w:t xml:space="preserve">Analysis Centre </w:t>
      </w:r>
      <w:r w:rsidR="00D854C4" w:rsidRPr="00945DCD">
        <w:rPr>
          <w:rFonts w:eastAsia="Arial"/>
        </w:rPr>
        <w:t xml:space="preserve">(AUSTRAC, 2025). This reporting is used to assist with compliance activities around money laundering, terrorism financing and tax evasion. </w:t>
      </w:r>
    </w:p>
    <w:p w14:paraId="319CFA02" w14:textId="01E527CF" w:rsidR="00D854C4" w:rsidRPr="00945DCD" w:rsidRDefault="00D854C4" w:rsidP="00945DCD">
      <w:pPr>
        <w:pStyle w:val="BodyText"/>
        <w:rPr>
          <w:rFonts w:eastAsia="Arial"/>
        </w:rPr>
      </w:pPr>
      <w:r w:rsidRPr="00945DCD">
        <w:rPr>
          <w:rFonts w:eastAsia="Arial"/>
        </w:rPr>
        <w:t>Several international jurisdictions</w:t>
      </w:r>
      <w:r w:rsidR="0058134F">
        <w:rPr>
          <w:rFonts w:eastAsia="Arial"/>
        </w:rPr>
        <w:t xml:space="preserve">, </w:t>
      </w:r>
      <w:r w:rsidR="0058134F" w:rsidRPr="00945DCD">
        <w:rPr>
          <w:rFonts w:eastAsia="Arial"/>
        </w:rPr>
        <w:t>such as the UK and Sweden</w:t>
      </w:r>
      <w:r w:rsidR="0058134F">
        <w:rPr>
          <w:rFonts w:eastAsia="Arial"/>
        </w:rPr>
        <w:t>,</w:t>
      </w:r>
      <w:r w:rsidRPr="00945DCD">
        <w:rPr>
          <w:rFonts w:eastAsia="Arial"/>
        </w:rPr>
        <w:t xml:space="preserve"> mandate that WSPs provide regular reporting to their regulators (United Kingdom Gambling Commission</w:t>
      </w:r>
      <w:r w:rsidR="00042233">
        <w:rPr>
          <w:rFonts w:eastAsia="Arial"/>
        </w:rPr>
        <w:t xml:space="preserve"> [UKGC]</w:t>
      </w:r>
      <w:r w:rsidRPr="00945DCD">
        <w:rPr>
          <w:rFonts w:eastAsia="Arial"/>
        </w:rPr>
        <w:t>, 2025</w:t>
      </w:r>
      <w:r w:rsidR="00FF2C8F">
        <w:rPr>
          <w:rFonts w:eastAsia="Arial"/>
        </w:rPr>
        <w:t>b</w:t>
      </w:r>
      <w:r w:rsidRPr="00945DCD">
        <w:rPr>
          <w:rFonts w:eastAsia="Arial"/>
        </w:rPr>
        <w:t xml:space="preserve">; Swedish Gambling </w:t>
      </w:r>
      <w:r w:rsidR="00F66F17" w:rsidRPr="00945DCD">
        <w:rPr>
          <w:rFonts w:eastAsia="Arial"/>
        </w:rPr>
        <w:t>Authority</w:t>
      </w:r>
      <w:r w:rsidRPr="00945DCD">
        <w:rPr>
          <w:rFonts w:eastAsia="Arial"/>
        </w:rPr>
        <w:t xml:space="preserve">, </w:t>
      </w:r>
      <w:r w:rsidR="00F66F17" w:rsidRPr="00945DCD">
        <w:rPr>
          <w:rFonts w:eastAsia="Arial"/>
        </w:rPr>
        <w:t>2018</w:t>
      </w:r>
      <w:r w:rsidRPr="00945DCD">
        <w:rPr>
          <w:rFonts w:eastAsia="Arial"/>
        </w:rPr>
        <w:t>)</w:t>
      </w:r>
      <w:r w:rsidR="0058134F">
        <w:rPr>
          <w:rFonts w:eastAsia="Arial"/>
        </w:rPr>
        <w:t>.</w:t>
      </w:r>
    </w:p>
    <w:p w14:paraId="6E2FF6D7" w14:textId="77777777" w:rsidR="00D854C4" w:rsidRPr="00843A16" w:rsidRDefault="00D854C4" w:rsidP="00D854C4">
      <w:pPr>
        <w:pStyle w:val="BodyText"/>
        <w:rPr>
          <w:rFonts w:eastAsia="Arial"/>
          <w:color w:val="auto"/>
          <w:szCs w:val="20"/>
        </w:rPr>
      </w:pPr>
      <w:r w:rsidRPr="00843A16">
        <w:rPr>
          <w:rFonts w:eastAsia="Arial"/>
          <w:color w:val="auto"/>
          <w:szCs w:val="20"/>
        </w:rPr>
        <w:t>Consideration should be given to the burden associated with collecting, reporting and analysing these data to ensure that these costs do not outweigh the benefits of using the data to assist with compliance activities.</w:t>
      </w:r>
    </w:p>
    <w:p w14:paraId="411D8753" w14:textId="4F34EFF6" w:rsidR="00D854C4" w:rsidRPr="00843A16" w:rsidRDefault="008C12CB" w:rsidP="00D854C4">
      <w:pPr>
        <w:pStyle w:val="BodyText"/>
        <w:rPr>
          <w:rFonts w:eastAsia="Arial"/>
          <w:color w:val="auto"/>
          <w:szCs w:val="20"/>
        </w:rPr>
      </w:pPr>
      <w:r>
        <w:rPr>
          <w:rFonts w:eastAsia="Arial"/>
          <w:color w:val="auto"/>
          <w:szCs w:val="20"/>
        </w:rPr>
        <w:t>There are opportunities for r</w:t>
      </w:r>
      <w:r w:rsidR="00D854C4" w:rsidRPr="00843A16">
        <w:rPr>
          <w:rFonts w:eastAsia="Arial"/>
          <w:color w:val="auto"/>
          <w:szCs w:val="20"/>
        </w:rPr>
        <w:t>egulators</w:t>
      </w:r>
      <w:r>
        <w:rPr>
          <w:rFonts w:eastAsia="Arial"/>
          <w:color w:val="auto"/>
          <w:szCs w:val="20"/>
        </w:rPr>
        <w:t xml:space="preserve"> to better coordinate and </w:t>
      </w:r>
      <w:r w:rsidR="00D854C4" w:rsidRPr="00843A16">
        <w:rPr>
          <w:rFonts w:eastAsia="Arial"/>
          <w:color w:val="auto"/>
          <w:szCs w:val="20"/>
        </w:rPr>
        <w:t>share compliance information</w:t>
      </w:r>
      <w:r w:rsidR="00042233">
        <w:rPr>
          <w:rFonts w:eastAsia="Arial"/>
          <w:color w:val="auto"/>
          <w:szCs w:val="20"/>
        </w:rPr>
        <w:t xml:space="preserve">; </w:t>
      </w:r>
      <w:r w:rsidR="00AD4B37">
        <w:rPr>
          <w:rFonts w:eastAsia="Arial"/>
          <w:color w:val="auto"/>
          <w:szCs w:val="20"/>
        </w:rPr>
        <w:t>for example</w:t>
      </w:r>
      <w:r w:rsidR="00AE0EC2">
        <w:rPr>
          <w:rFonts w:eastAsia="Arial"/>
          <w:color w:val="auto"/>
          <w:szCs w:val="20"/>
        </w:rPr>
        <w:t>,</w:t>
      </w:r>
      <w:r w:rsidR="00D854C4" w:rsidRPr="00843A16">
        <w:rPr>
          <w:rFonts w:eastAsia="Arial"/>
          <w:color w:val="auto"/>
          <w:szCs w:val="20"/>
        </w:rPr>
        <w:t xml:space="preserve"> through formal meetings such as the Australasian Casino and </w:t>
      </w:r>
      <w:r w:rsidR="00822CB7">
        <w:rPr>
          <w:rFonts w:eastAsia="Arial"/>
          <w:color w:val="auto"/>
          <w:szCs w:val="20"/>
        </w:rPr>
        <w:t>Gam</w:t>
      </w:r>
      <w:r w:rsidR="00C749EF">
        <w:rPr>
          <w:rFonts w:eastAsia="Arial"/>
          <w:color w:val="auto"/>
          <w:szCs w:val="20"/>
        </w:rPr>
        <w:t>ing Regulators</w:t>
      </w:r>
      <w:r w:rsidR="00822CB7" w:rsidRPr="00843A16">
        <w:rPr>
          <w:rFonts w:eastAsia="Arial"/>
          <w:color w:val="auto"/>
          <w:szCs w:val="20"/>
        </w:rPr>
        <w:t xml:space="preserve"> </w:t>
      </w:r>
      <w:r w:rsidR="00D854C4" w:rsidRPr="00843A16">
        <w:rPr>
          <w:rFonts w:eastAsia="Arial"/>
          <w:color w:val="auto"/>
          <w:szCs w:val="20"/>
        </w:rPr>
        <w:t xml:space="preserve">Forum (NSW Independent Casino Commission, 2023). </w:t>
      </w:r>
      <w:r w:rsidR="00C94542">
        <w:rPr>
          <w:rFonts w:eastAsia="Arial"/>
          <w:color w:val="auto"/>
          <w:szCs w:val="20"/>
        </w:rPr>
        <w:t xml:space="preserve">One </w:t>
      </w:r>
      <w:r w:rsidR="0094738A">
        <w:rPr>
          <w:rFonts w:eastAsia="Arial"/>
          <w:color w:val="auto"/>
          <w:szCs w:val="20"/>
        </w:rPr>
        <w:t>stakeholder</w:t>
      </w:r>
      <w:r w:rsidR="00361C88">
        <w:rPr>
          <w:rFonts w:eastAsia="Arial"/>
          <w:color w:val="auto"/>
          <w:szCs w:val="20"/>
        </w:rPr>
        <w:t xml:space="preserve"> stated that </w:t>
      </w:r>
      <w:r w:rsidR="00C94542">
        <w:rPr>
          <w:rFonts w:eastAsia="Arial"/>
          <w:color w:val="auto"/>
          <w:szCs w:val="20"/>
        </w:rPr>
        <w:t xml:space="preserve">establishing an NCPF compliance working group </w:t>
      </w:r>
      <w:r w:rsidR="00B34E09">
        <w:rPr>
          <w:rFonts w:eastAsia="Arial"/>
          <w:color w:val="auto"/>
          <w:szCs w:val="20"/>
        </w:rPr>
        <w:t>within this forum</w:t>
      </w:r>
      <w:r w:rsidR="00361C88">
        <w:rPr>
          <w:rFonts w:eastAsia="Arial"/>
          <w:color w:val="auto"/>
          <w:szCs w:val="20"/>
        </w:rPr>
        <w:t xml:space="preserve"> </w:t>
      </w:r>
      <w:r w:rsidR="00B34E09">
        <w:rPr>
          <w:rFonts w:eastAsia="Arial"/>
          <w:color w:val="auto"/>
          <w:szCs w:val="20"/>
        </w:rPr>
        <w:t>c</w:t>
      </w:r>
      <w:r w:rsidR="00361C88">
        <w:rPr>
          <w:rFonts w:eastAsia="Arial"/>
          <w:color w:val="auto"/>
          <w:szCs w:val="20"/>
        </w:rPr>
        <w:t xml:space="preserve">ould </w:t>
      </w:r>
      <w:r w:rsidR="00B55740">
        <w:rPr>
          <w:rFonts w:eastAsia="Arial"/>
          <w:color w:val="auto"/>
          <w:szCs w:val="20"/>
        </w:rPr>
        <w:t xml:space="preserve">facilitate </w:t>
      </w:r>
      <w:r w:rsidR="0025379B">
        <w:rPr>
          <w:rFonts w:eastAsia="Arial"/>
          <w:color w:val="auto"/>
          <w:szCs w:val="20"/>
        </w:rPr>
        <w:t>this</w:t>
      </w:r>
      <w:r w:rsidR="00D92655">
        <w:rPr>
          <w:rFonts w:eastAsia="Arial"/>
          <w:color w:val="auto"/>
          <w:szCs w:val="20"/>
        </w:rPr>
        <w:t xml:space="preserve"> coordination</w:t>
      </w:r>
      <w:r w:rsidR="002378D1">
        <w:rPr>
          <w:rFonts w:eastAsia="Arial"/>
          <w:color w:val="auto"/>
          <w:szCs w:val="20"/>
        </w:rPr>
        <w:t>.</w:t>
      </w:r>
      <w:r w:rsidR="00D854C4" w:rsidRPr="00843A16">
        <w:rPr>
          <w:rFonts w:eastAsia="Arial"/>
          <w:color w:val="auto"/>
          <w:szCs w:val="20"/>
        </w:rPr>
        <w:t xml:space="preserve"> </w:t>
      </w:r>
    </w:p>
    <w:p w14:paraId="340B8520" w14:textId="7F69A72E" w:rsidR="00BF183B" w:rsidRDefault="00B34E09" w:rsidP="00D854C4">
      <w:pPr>
        <w:pStyle w:val="BodyText"/>
        <w:rPr>
          <w:rFonts w:eastAsia="Arial"/>
          <w:color w:val="auto"/>
        </w:rPr>
      </w:pPr>
      <w:r w:rsidRPr="3A33BD18">
        <w:rPr>
          <w:rFonts w:eastAsia="Arial"/>
          <w:color w:val="auto"/>
        </w:rPr>
        <w:t xml:space="preserve">There are also inconsistencies in the </w:t>
      </w:r>
      <w:r w:rsidR="003030F8" w:rsidRPr="3A33BD18">
        <w:rPr>
          <w:rFonts w:eastAsia="Arial"/>
          <w:color w:val="auto"/>
        </w:rPr>
        <w:t>public reporting by r</w:t>
      </w:r>
      <w:r w:rsidR="00D854C4" w:rsidRPr="3A33BD18">
        <w:rPr>
          <w:rFonts w:eastAsia="Arial"/>
          <w:color w:val="auto"/>
        </w:rPr>
        <w:t>egulators</w:t>
      </w:r>
      <w:r w:rsidR="003030F8" w:rsidRPr="3A33BD18">
        <w:rPr>
          <w:rFonts w:eastAsia="Arial"/>
          <w:color w:val="auto"/>
        </w:rPr>
        <w:t xml:space="preserve"> of their </w:t>
      </w:r>
      <w:r w:rsidR="00D854C4" w:rsidRPr="3A33BD18">
        <w:rPr>
          <w:rFonts w:eastAsia="Arial"/>
          <w:color w:val="auto"/>
        </w:rPr>
        <w:t>compliance activities</w:t>
      </w:r>
      <w:r w:rsidR="003030F8" w:rsidRPr="3A33BD18">
        <w:rPr>
          <w:rFonts w:eastAsia="Arial"/>
          <w:color w:val="auto"/>
        </w:rPr>
        <w:t>,</w:t>
      </w:r>
      <w:r w:rsidR="00D854C4" w:rsidRPr="3A33BD18">
        <w:rPr>
          <w:rFonts w:eastAsia="Arial"/>
          <w:color w:val="auto"/>
        </w:rPr>
        <w:t xml:space="preserve"> such as decisions on consumer complaints</w:t>
      </w:r>
      <w:r w:rsidR="003030F8" w:rsidRPr="3A33BD18">
        <w:rPr>
          <w:rFonts w:eastAsia="Arial"/>
          <w:color w:val="auto"/>
        </w:rPr>
        <w:t xml:space="preserve">. </w:t>
      </w:r>
      <w:r w:rsidR="00D854C4" w:rsidRPr="3A33BD18">
        <w:rPr>
          <w:rFonts w:eastAsia="Arial"/>
          <w:color w:val="auto"/>
        </w:rPr>
        <w:t xml:space="preserve">The </w:t>
      </w:r>
      <w:r w:rsidR="00FC49EC">
        <w:rPr>
          <w:rFonts w:eastAsia="Arial"/>
          <w:color w:val="auto"/>
        </w:rPr>
        <w:t xml:space="preserve">ACMA, </w:t>
      </w:r>
      <w:r w:rsidR="002069CB">
        <w:rPr>
          <w:rFonts w:eastAsia="Arial"/>
          <w:color w:val="auto"/>
        </w:rPr>
        <w:t xml:space="preserve">the </w:t>
      </w:r>
      <w:r w:rsidR="00753253" w:rsidRPr="00843A16">
        <w:t>Northern Territory Racing and Wagering Commission</w:t>
      </w:r>
      <w:r w:rsidR="00753253" w:rsidRPr="3A33BD18">
        <w:rPr>
          <w:rFonts w:eastAsia="Arial"/>
          <w:color w:val="auto"/>
        </w:rPr>
        <w:t xml:space="preserve"> </w:t>
      </w:r>
      <w:r w:rsidR="001D0D5B">
        <w:rPr>
          <w:rFonts w:eastAsia="Arial"/>
          <w:color w:val="auto"/>
        </w:rPr>
        <w:t>(</w:t>
      </w:r>
      <w:r w:rsidR="00D854C4" w:rsidRPr="3A33BD18">
        <w:rPr>
          <w:rFonts w:eastAsia="Arial"/>
          <w:color w:val="auto"/>
        </w:rPr>
        <w:t>NT</w:t>
      </w:r>
      <w:r w:rsidR="000D17E7">
        <w:rPr>
          <w:rFonts w:eastAsia="Arial"/>
          <w:color w:val="auto"/>
        </w:rPr>
        <w:t>RW</w:t>
      </w:r>
      <w:r w:rsidR="00D854C4" w:rsidRPr="3A33BD18">
        <w:rPr>
          <w:rFonts w:eastAsia="Arial"/>
          <w:color w:val="auto"/>
        </w:rPr>
        <w:t>C</w:t>
      </w:r>
      <w:r w:rsidR="001D0D5B">
        <w:rPr>
          <w:rFonts w:eastAsia="Arial"/>
          <w:color w:val="auto"/>
        </w:rPr>
        <w:t>)</w:t>
      </w:r>
      <w:r w:rsidR="00D854C4" w:rsidRPr="3A33BD18">
        <w:rPr>
          <w:rFonts w:eastAsia="Arial"/>
          <w:color w:val="auto"/>
        </w:rPr>
        <w:t xml:space="preserve"> </w:t>
      </w:r>
      <w:r w:rsidR="002447CF" w:rsidRPr="3A33BD18">
        <w:rPr>
          <w:rFonts w:eastAsia="Arial"/>
          <w:color w:val="auto"/>
        </w:rPr>
        <w:t xml:space="preserve">and </w:t>
      </w:r>
      <w:r w:rsidR="006F0978">
        <w:rPr>
          <w:rFonts w:eastAsia="Arial"/>
          <w:color w:val="auto"/>
        </w:rPr>
        <w:t xml:space="preserve">the </w:t>
      </w:r>
      <w:r w:rsidR="002447CF" w:rsidRPr="3A33BD18">
        <w:rPr>
          <w:rFonts w:eastAsia="Arial"/>
          <w:color w:val="auto"/>
        </w:rPr>
        <w:t>VGCCC</w:t>
      </w:r>
      <w:r w:rsidR="00D854C4" w:rsidRPr="3A33BD18">
        <w:rPr>
          <w:rFonts w:eastAsia="Arial"/>
          <w:color w:val="auto"/>
        </w:rPr>
        <w:t xml:space="preserve"> post </w:t>
      </w:r>
      <w:r w:rsidR="000525C0">
        <w:rPr>
          <w:rFonts w:eastAsia="Arial"/>
          <w:color w:val="auto"/>
        </w:rPr>
        <w:t>many of</w:t>
      </w:r>
      <w:r w:rsidR="00D854C4" w:rsidRPr="3A33BD18">
        <w:rPr>
          <w:rFonts w:eastAsia="Arial"/>
          <w:color w:val="auto"/>
        </w:rPr>
        <w:t xml:space="preserve"> </w:t>
      </w:r>
      <w:r w:rsidR="002447CF" w:rsidRPr="3A33BD18">
        <w:rPr>
          <w:rFonts w:eastAsia="Arial"/>
          <w:color w:val="auto"/>
        </w:rPr>
        <w:t xml:space="preserve">their </w:t>
      </w:r>
      <w:r w:rsidR="00D854C4" w:rsidRPr="3A33BD18">
        <w:rPr>
          <w:rFonts w:eastAsia="Arial"/>
          <w:color w:val="auto"/>
        </w:rPr>
        <w:t xml:space="preserve">decisions </w:t>
      </w:r>
      <w:r w:rsidR="00D73AF0" w:rsidRPr="3A33BD18">
        <w:rPr>
          <w:rFonts w:eastAsia="Arial"/>
          <w:color w:val="auto"/>
        </w:rPr>
        <w:t>on their websites</w:t>
      </w:r>
      <w:r w:rsidR="00D854C4" w:rsidRPr="3A33BD18">
        <w:rPr>
          <w:rFonts w:eastAsia="Arial"/>
          <w:color w:val="auto"/>
        </w:rPr>
        <w:t xml:space="preserve"> (NT Department of Tourism and Hospitality, n.d.</w:t>
      </w:r>
      <w:r w:rsidR="002447CF" w:rsidRPr="3A33BD18">
        <w:rPr>
          <w:rFonts w:eastAsia="Arial"/>
          <w:color w:val="auto"/>
        </w:rPr>
        <w:t xml:space="preserve">; </w:t>
      </w:r>
      <w:r w:rsidR="001D0D5B">
        <w:rPr>
          <w:rFonts w:eastAsia="Arial"/>
          <w:color w:val="auto"/>
        </w:rPr>
        <w:t>VGCCC</w:t>
      </w:r>
      <w:r w:rsidR="00F00248" w:rsidRPr="3A33BD18">
        <w:rPr>
          <w:rFonts w:eastAsia="Arial"/>
          <w:color w:val="auto"/>
        </w:rPr>
        <w:t xml:space="preserve">, </w:t>
      </w:r>
      <w:r w:rsidR="00D33358">
        <w:rPr>
          <w:rFonts w:eastAsia="Arial"/>
          <w:color w:val="auto"/>
        </w:rPr>
        <w:t>2026</w:t>
      </w:r>
      <w:r w:rsidR="00D854C4" w:rsidRPr="3A33BD18">
        <w:rPr>
          <w:rFonts w:eastAsia="Arial"/>
          <w:color w:val="auto"/>
        </w:rPr>
        <w:t>)</w:t>
      </w:r>
      <w:r w:rsidR="00BF183B" w:rsidRPr="3A33BD18">
        <w:rPr>
          <w:rFonts w:eastAsia="Arial"/>
          <w:color w:val="auto"/>
        </w:rPr>
        <w:t xml:space="preserve">, while others </w:t>
      </w:r>
      <w:r w:rsidR="0F9EE730" w:rsidRPr="29AAC577">
        <w:rPr>
          <w:rFonts w:eastAsia="Arial"/>
          <w:color w:val="auto"/>
        </w:rPr>
        <w:t xml:space="preserve">such as the </w:t>
      </w:r>
      <w:r w:rsidR="0F9EE730" w:rsidRPr="62FCC3CB">
        <w:rPr>
          <w:rFonts w:eastAsia="Arial"/>
          <w:color w:val="auto"/>
        </w:rPr>
        <w:t>Tasmanian Liquor and Gaming Commission</w:t>
      </w:r>
      <w:r w:rsidR="00BF183B" w:rsidRPr="62FCC3CB">
        <w:rPr>
          <w:rFonts w:eastAsia="Arial"/>
          <w:color w:val="auto"/>
        </w:rPr>
        <w:t xml:space="preserve"> </w:t>
      </w:r>
      <w:r w:rsidR="00BF183B" w:rsidRPr="3A33BD18">
        <w:rPr>
          <w:rFonts w:eastAsia="Arial"/>
          <w:color w:val="auto"/>
        </w:rPr>
        <w:t>publish</w:t>
      </w:r>
      <w:r w:rsidR="00D854C4" w:rsidRPr="3A33BD18">
        <w:rPr>
          <w:rFonts w:eastAsia="Arial"/>
          <w:color w:val="auto"/>
        </w:rPr>
        <w:t xml:space="preserve"> in their annual reports</w:t>
      </w:r>
      <w:r w:rsidR="5B31E514" w:rsidRPr="277320D5">
        <w:rPr>
          <w:rFonts w:eastAsia="Arial"/>
          <w:color w:val="auto"/>
        </w:rPr>
        <w:t xml:space="preserve"> </w:t>
      </w:r>
      <w:r w:rsidR="5B31E514" w:rsidRPr="3C6E425A">
        <w:rPr>
          <w:rFonts w:eastAsia="Arial"/>
          <w:color w:val="auto"/>
        </w:rPr>
        <w:t xml:space="preserve">(Tasmanian Liquor and Gaming Commission, </w:t>
      </w:r>
      <w:r w:rsidR="5B31E514" w:rsidRPr="1C36BC3B">
        <w:rPr>
          <w:rFonts w:eastAsia="Arial"/>
          <w:color w:val="auto"/>
        </w:rPr>
        <w:t>2025)</w:t>
      </w:r>
      <w:r w:rsidR="00D5462D" w:rsidRPr="1C36BC3B">
        <w:rPr>
          <w:rFonts w:eastAsia="Arial"/>
          <w:color w:val="auto"/>
        </w:rPr>
        <w:t>.</w:t>
      </w:r>
      <w:r w:rsidR="00D5462D" w:rsidRPr="3A33BD18">
        <w:rPr>
          <w:rFonts w:eastAsia="Arial"/>
          <w:color w:val="auto"/>
        </w:rPr>
        <w:t xml:space="preserve"> </w:t>
      </w:r>
      <w:r w:rsidR="73194CE3" w:rsidRPr="7048672B">
        <w:rPr>
          <w:rFonts w:eastAsia="Arial"/>
          <w:color w:val="auto"/>
        </w:rPr>
        <w:t xml:space="preserve">Some regulators </w:t>
      </w:r>
      <w:r w:rsidR="0338FA8B" w:rsidRPr="7048672B">
        <w:rPr>
          <w:rFonts w:eastAsia="Arial"/>
          <w:color w:val="auto"/>
        </w:rPr>
        <w:t>such</w:t>
      </w:r>
      <w:r w:rsidR="0338FA8B" w:rsidRPr="305B424D">
        <w:rPr>
          <w:rFonts w:eastAsia="Arial"/>
          <w:color w:val="auto"/>
        </w:rPr>
        <w:t xml:space="preserve"> as Queensland’s Office of</w:t>
      </w:r>
      <w:r w:rsidR="5BAE2F61" w:rsidRPr="73D24743">
        <w:rPr>
          <w:rFonts w:eastAsia="Arial"/>
          <w:color w:val="auto"/>
        </w:rPr>
        <w:t xml:space="preserve"> </w:t>
      </w:r>
      <w:r w:rsidR="5BAE2F61" w:rsidRPr="4923638A">
        <w:rPr>
          <w:rFonts w:eastAsia="Arial"/>
          <w:color w:val="auto"/>
        </w:rPr>
        <w:t>Liquor and Gaming Regulation</w:t>
      </w:r>
      <w:r w:rsidR="00DD6F77">
        <w:rPr>
          <w:rFonts w:eastAsia="Arial"/>
          <w:color w:val="auto"/>
        </w:rPr>
        <w:t>,</w:t>
      </w:r>
      <w:r w:rsidR="0338FA8B" w:rsidRPr="305B424D">
        <w:rPr>
          <w:rFonts w:eastAsia="Arial"/>
          <w:color w:val="auto"/>
        </w:rPr>
        <w:t xml:space="preserve"> </w:t>
      </w:r>
      <w:r w:rsidR="6655107F" w:rsidRPr="7048672B">
        <w:rPr>
          <w:rFonts w:eastAsia="Arial"/>
          <w:color w:val="auto"/>
        </w:rPr>
        <w:t>however</w:t>
      </w:r>
      <w:r w:rsidR="00DD6F77">
        <w:rPr>
          <w:rFonts w:eastAsia="Arial"/>
          <w:color w:val="auto"/>
        </w:rPr>
        <w:t>,</w:t>
      </w:r>
      <w:r w:rsidR="6655107F" w:rsidRPr="7048672B">
        <w:rPr>
          <w:rFonts w:eastAsia="Arial"/>
          <w:color w:val="auto"/>
        </w:rPr>
        <w:t xml:space="preserve"> </w:t>
      </w:r>
      <w:r w:rsidR="00D854C4" w:rsidRPr="305B424D">
        <w:rPr>
          <w:rFonts w:eastAsia="Arial"/>
          <w:color w:val="auto"/>
        </w:rPr>
        <w:t>do</w:t>
      </w:r>
      <w:r w:rsidR="00D854C4" w:rsidRPr="3A33BD18">
        <w:rPr>
          <w:rFonts w:eastAsia="Arial"/>
          <w:color w:val="auto"/>
        </w:rPr>
        <w:t xml:space="preserve"> not appear to report their decisions publicly. </w:t>
      </w:r>
    </w:p>
    <w:p w14:paraId="24DD4050" w14:textId="1EFD2116" w:rsidR="00D854C4" w:rsidRPr="00843A16" w:rsidRDefault="00D854C4" w:rsidP="00D854C4">
      <w:pPr>
        <w:pStyle w:val="BodyText"/>
        <w:rPr>
          <w:rFonts w:eastAsia="Arial"/>
          <w:color w:val="auto"/>
          <w:szCs w:val="20"/>
        </w:rPr>
      </w:pPr>
      <w:r w:rsidRPr="00843A16">
        <w:rPr>
          <w:rFonts w:eastAsia="Arial"/>
          <w:color w:val="auto"/>
          <w:szCs w:val="20"/>
        </w:rPr>
        <w:t>Public reporting of decisions assists WSPs to understand how regulators are interpreting legislation</w:t>
      </w:r>
      <w:r w:rsidR="00D3171B">
        <w:rPr>
          <w:rFonts w:eastAsia="Arial"/>
          <w:color w:val="auto"/>
          <w:szCs w:val="20"/>
        </w:rPr>
        <w:t xml:space="preserve">, which may assist with compliance. </w:t>
      </w:r>
      <w:r w:rsidRPr="00843A16">
        <w:rPr>
          <w:rFonts w:eastAsia="Arial"/>
          <w:color w:val="auto"/>
          <w:szCs w:val="20"/>
        </w:rPr>
        <w:t xml:space="preserve">Public reporting also enhances transparency and accountability of </w:t>
      </w:r>
      <w:r w:rsidR="006765EE">
        <w:rPr>
          <w:rFonts w:eastAsia="Arial"/>
          <w:color w:val="auto"/>
          <w:szCs w:val="20"/>
        </w:rPr>
        <w:t xml:space="preserve">both </w:t>
      </w:r>
      <w:r w:rsidRPr="00843A16">
        <w:rPr>
          <w:rFonts w:eastAsia="Arial"/>
          <w:color w:val="auto"/>
          <w:szCs w:val="20"/>
        </w:rPr>
        <w:t>regulatory actions</w:t>
      </w:r>
      <w:r w:rsidR="006765EE">
        <w:rPr>
          <w:rFonts w:eastAsia="Arial"/>
          <w:color w:val="auto"/>
          <w:szCs w:val="20"/>
        </w:rPr>
        <w:t xml:space="preserve"> and those of WSPs</w:t>
      </w:r>
      <w:r w:rsidRPr="00843A16">
        <w:rPr>
          <w:rFonts w:eastAsia="Arial"/>
          <w:color w:val="auto"/>
          <w:szCs w:val="20"/>
        </w:rPr>
        <w:t>.</w:t>
      </w:r>
    </w:p>
    <w:p w14:paraId="56F909A3" w14:textId="77777777" w:rsidR="00D854C4" w:rsidRPr="00843A16" w:rsidRDefault="00D854C4" w:rsidP="001C02BA">
      <w:pPr>
        <w:pStyle w:val="Heading4"/>
      </w:pPr>
      <w:r w:rsidRPr="00843A16">
        <w:t>Penalties</w:t>
      </w:r>
    </w:p>
    <w:p w14:paraId="47840397" w14:textId="4396EC56" w:rsidR="008A4866" w:rsidRDefault="00C603DD" w:rsidP="00D854C4">
      <w:pPr>
        <w:pStyle w:val="BodyText"/>
        <w:rPr>
          <w:rFonts w:eastAsia="Arial"/>
        </w:rPr>
      </w:pPr>
      <w:r>
        <w:rPr>
          <w:rFonts w:eastAsia="Arial"/>
        </w:rPr>
        <w:t>Various mechanisms can be used to deter non-compliance</w:t>
      </w:r>
      <w:r w:rsidR="00DD79BC">
        <w:rPr>
          <w:rFonts w:eastAsia="Arial"/>
        </w:rPr>
        <w:t xml:space="preserve"> by WSPs such as the frequency of education, audits and other activities by regulat</w:t>
      </w:r>
      <w:r w:rsidR="00E617D2">
        <w:rPr>
          <w:rFonts w:eastAsia="Arial"/>
        </w:rPr>
        <w:t xml:space="preserve">ors. </w:t>
      </w:r>
      <w:r w:rsidR="00E5460E">
        <w:rPr>
          <w:rFonts w:eastAsia="Arial"/>
        </w:rPr>
        <w:t xml:space="preserve">The level of penalties and how frequently they are applied </w:t>
      </w:r>
      <w:r w:rsidR="0085234E">
        <w:rPr>
          <w:rFonts w:eastAsia="Arial"/>
        </w:rPr>
        <w:t xml:space="preserve">can </w:t>
      </w:r>
      <w:r w:rsidR="008C5B70">
        <w:rPr>
          <w:rFonts w:eastAsia="Arial"/>
        </w:rPr>
        <w:t xml:space="preserve">also </w:t>
      </w:r>
      <w:r w:rsidR="00471696">
        <w:rPr>
          <w:rFonts w:eastAsia="Arial"/>
        </w:rPr>
        <w:t xml:space="preserve">deter WSPs from </w:t>
      </w:r>
      <w:r w:rsidR="00A375EA">
        <w:rPr>
          <w:rFonts w:eastAsia="Arial"/>
        </w:rPr>
        <w:t xml:space="preserve">not complying with legislation. </w:t>
      </w:r>
    </w:p>
    <w:p w14:paraId="2AF3A47B" w14:textId="2FEF2D53" w:rsidR="00D854C4" w:rsidRPr="00843A16" w:rsidRDefault="00D854C4" w:rsidP="00D854C4">
      <w:pPr>
        <w:pStyle w:val="BodyText"/>
        <w:rPr>
          <w:rFonts w:eastAsia="Arial"/>
        </w:rPr>
      </w:pPr>
      <w:r w:rsidRPr="00843A16">
        <w:rPr>
          <w:rFonts w:eastAsia="Arial"/>
        </w:rPr>
        <w:t xml:space="preserve">Enforcement penalties for breaches of the NCPF measures vary significantly between jurisdictions. For example, a failure to provide consumers with monthly activity statements is a breach in NSW under the </w:t>
      </w:r>
      <w:r w:rsidRPr="00843A16">
        <w:rPr>
          <w:rFonts w:eastAsia="Arial"/>
          <w:i/>
          <w:iCs/>
        </w:rPr>
        <w:t>Betting and Racing Act 1998</w:t>
      </w:r>
      <w:r w:rsidR="00DD4160">
        <w:rPr>
          <w:rFonts w:eastAsia="Arial"/>
          <w:i/>
          <w:iCs/>
        </w:rPr>
        <w:t>,</w:t>
      </w:r>
      <w:r w:rsidRPr="00843A16">
        <w:rPr>
          <w:rFonts w:eastAsia="Arial"/>
          <w:i/>
          <w:iCs/>
        </w:rPr>
        <w:t xml:space="preserve"> </w:t>
      </w:r>
      <w:r w:rsidRPr="00843A16">
        <w:rPr>
          <w:rFonts w:eastAsia="Arial"/>
        </w:rPr>
        <w:t>carrying a penalty of up to $110,000 for corporations</w:t>
      </w:r>
      <w:r w:rsidR="006450F2">
        <w:rPr>
          <w:rFonts w:eastAsia="Arial"/>
        </w:rPr>
        <w:t xml:space="preserve"> for </w:t>
      </w:r>
      <w:r w:rsidR="007A1BCF">
        <w:rPr>
          <w:rFonts w:eastAsia="Arial"/>
        </w:rPr>
        <w:t>each individual offence</w:t>
      </w:r>
      <w:r w:rsidR="00B53524">
        <w:rPr>
          <w:rFonts w:eastAsia="Arial"/>
        </w:rPr>
        <w:t>.</w:t>
      </w:r>
      <w:r w:rsidR="00E1589B">
        <w:rPr>
          <w:rFonts w:eastAsia="Arial"/>
        </w:rPr>
        <w:t xml:space="preserve"> By contrast, </w:t>
      </w:r>
      <w:r w:rsidRPr="00843A16">
        <w:rPr>
          <w:rFonts w:eastAsia="Arial"/>
        </w:rPr>
        <w:t xml:space="preserve">under WA’s </w:t>
      </w:r>
      <w:r w:rsidRPr="00843A16">
        <w:rPr>
          <w:rFonts w:eastAsia="Arial"/>
          <w:i/>
          <w:iCs/>
        </w:rPr>
        <w:t>Gambling Regulations Amendment Regulations (No 2) 2025</w:t>
      </w:r>
      <w:r w:rsidR="00E64F71">
        <w:rPr>
          <w:rFonts w:eastAsia="Arial"/>
        </w:rPr>
        <w:t>,</w:t>
      </w:r>
      <w:r w:rsidRPr="00843A16">
        <w:rPr>
          <w:rFonts w:eastAsia="Arial"/>
        </w:rPr>
        <w:t xml:space="preserve"> a fine of up to $1 million </w:t>
      </w:r>
      <w:r w:rsidR="00E1589B">
        <w:rPr>
          <w:rFonts w:eastAsia="Arial"/>
        </w:rPr>
        <w:t>can</w:t>
      </w:r>
      <w:r w:rsidR="00E1589B" w:rsidRPr="00843A16">
        <w:rPr>
          <w:rFonts w:eastAsia="Arial"/>
        </w:rPr>
        <w:t xml:space="preserve"> </w:t>
      </w:r>
      <w:r w:rsidRPr="00843A16">
        <w:rPr>
          <w:rFonts w:eastAsia="Arial"/>
        </w:rPr>
        <w:t xml:space="preserve">be applied. Significant differences in penalties across jurisdictions may lead to non-compliant actions in </w:t>
      </w:r>
      <w:r w:rsidR="00B53524">
        <w:rPr>
          <w:rFonts w:eastAsia="Arial"/>
        </w:rPr>
        <w:t>more ‘lenient’</w:t>
      </w:r>
      <w:r w:rsidR="00B53524" w:rsidRPr="00843A16">
        <w:rPr>
          <w:rFonts w:eastAsia="Arial"/>
        </w:rPr>
        <w:t xml:space="preserve"> </w:t>
      </w:r>
      <w:r w:rsidRPr="00843A16">
        <w:rPr>
          <w:rFonts w:eastAsia="Arial"/>
        </w:rPr>
        <w:t xml:space="preserve">jurisdictions </w:t>
      </w:r>
      <w:r w:rsidR="0061276B">
        <w:rPr>
          <w:rFonts w:eastAsia="Arial"/>
        </w:rPr>
        <w:t xml:space="preserve">where compliance </w:t>
      </w:r>
      <w:r w:rsidR="002C3B2A">
        <w:rPr>
          <w:rFonts w:eastAsia="Arial"/>
        </w:rPr>
        <w:t>is seen as</w:t>
      </w:r>
      <w:r w:rsidR="00FC0191">
        <w:rPr>
          <w:rFonts w:eastAsia="Arial"/>
        </w:rPr>
        <w:t xml:space="preserve"> </w:t>
      </w:r>
      <w:r w:rsidR="00AB1B13">
        <w:rPr>
          <w:rFonts w:eastAsia="Arial"/>
        </w:rPr>
        <w:t xml:space="preserve">less </w:t>
      </w:r>
      <w:r w:rsidRPr="00843A16">
        <w:rPr>
          <w:rFonts w:eastAsia="Arial"/>
        </w:rPr>
        <w:t xml:space="preserve">disincentivised. </w:t>
      </w:r>
    </w:p>
    <w:p w14:paraId="711B06F9" w14:textId="61A1CA20" w:rsidR="00953882" w:rsidRDefault="00953882" w:rsidP="00953882">
      <w:pPr>
        <w:pStyle w:val="BodyText"/>
      </w:pPr>
      <w:r>
        <w:t xml:space="preserve">Penalties for non-compliant behaviour should be at a sufficient level to deter breaches of NCPF legislation. </w:t>
      </w:r>
      <w:r w:rsidRPr="00843A16">
        <w:t xml:space="preserve">However, the penalties </w:t>
      </w:r>
      <w:r>
        <w:t xml:space="preserve">for breaches of NT’s 2019 Responsible Gambling Code of </w:t>
      </w:r>
      <w:r>
        <w:lastRenderedPageBreak/>
        <w:t xml:space="preserve">Practice </w:t>
      </w:r>
      <w:r w:rsidRPr="00843A16">
        <w:t xml:space="preserve">were small compared to the amounts bet or deposited by the customer. Penalties </w:t>
      </w:r>
      <w:r>
        <w:t xml:space="preserve">for </w:t>
      </w:r>
      <w:r w:rsidR="000D6FB1">
        <w:t>2</w:t>
      </w:r>
      <w:r w:rsidR="002D10EC">
        <w:t> </w:t>
      </w:r>
      <w:r>
        <w:t xml:space="preserve">analysed decisions </w:t>
      </w:r>
      <w:r w:rsidRPr="00843A16">
        <w:t xml:space="preserve">were $17,952 and $53,380 for total losses or deposits of $40,769 and around $700,000 respectively. The return of funds to customers is </w:t>
      </w:r>
      <w:r>
        <w:t>also</w:t>
      </w:r>
      <w:r w:rsidRPr="00843A16">
        <w:t xml:space="preserve"> rare in decisions issued by regulators. Thus, consumers are usually not compensated when WSPs breach legislation.</w:t>
      </w:r>
    </w:p>
    <w:p w14:paraId="5FF9DC99" w14:textId="416A2E6F" w:rsidR="00D854C4" w:rsidRPr="00843A16" w:rsidRDefault="00D854C4" w:rsidP="00D854C4">
      <w:pPr>
        <w:pStyle w:val="BodyText"/>
      </w:pPr>
      <w:r w:rsidRPr="00843A16">
        <w:t xml:space="preserve">An analysis of </w:t>
      </w:r>
      <w:r w:rsidR="00480D7A">
        <w:t xml:space="preserve">the NTRWC </w:t>
      </w:r>
      <w:r w:rsidRPr="00843A16">
        <w:t xml:space="preserve">decisions </w:t>
      </w:r>
      <w:r w:rsidR="00BF7225">
        <w:t xml:space="preserve">between 2018 </w:t>
      </w:r>
      <w:r w:rsidR="007F7072">
        <w:t>and</w:t>
      </w:r>
      <w:r w:rsidRPr="00843A16">
        <w:t xml:space="preserve"> August 2025 </w:t>
      </w:r>
      <w:r w:rsidR="007F7072">
        <w:t>found</w:t>
      </w:r>
      <w:r w:rsidR="00BC5924">
        <w:t xml:space="preserve"> </w:t>
      </w:r>
      <w:r w:rsidR="00004BF3">
        <w:t xml:space="preserve">11 </w:t>
      </w:r>
      <w:r w:rsidRPr="00843A16">
        <w:t>penalties</w:t>
      </w:r>
      <w:r w:rsidR="007F7072">
        <w:t xml:space="preserve"> issued</w:t>
      </w:r>
      <w:r w:rsidRPr="00843A16">
        <w:t xml:space="preserve"> for breaches of the NCPF</w:t>
      </w:r>
      <w:r w:rsidR="007F7072">
        <w:t>,</w:t>
      </w:r>
      <w:r w:rsidRPr="00843A16">
        <w:t xml:space="preserve"> rang</w:t>
      </w:r>
      <w:r w:rsidR="00BC5924">
        <w:t>ing</w:t>
      </w:r>
      <w:r w:rsidRPr="00843A16">
        <w:t xml:space="preserve"> from $5,338 to $92,500. </w:t>
      </w:r>
      <w:r w:rsidR="00B93733">
        <w:t xml:space="preserve">Most </w:t>
      </w:r>
      <w:r w:rsidR="002E74CA">
        <w:t xml:space="preserve">penalties were around breaches to the </w:t>
      </w:r>
      <w:r w:rsidR="00B93733">
        <w:t xml:space="preserve">restrictions on inducements measure, while </w:t>
      </w:r>
      <w:r w:rsidR="006D31AB">
        <w:t>other</w:t>
      </w:r>
      <w:r w:rsidR="006D31AB" w:rsidRPr="00843A16">
        <w:t xml:space="preserve"> </w:t>
      </w:r>
      <w:r w:rsidRPr="00843A16">
        <w:t xml:space="preserve">notable cases centred on failures by WSP staff to respond to red flag behaviours displayed by customers. Although </w:t>
      </w:r>
      <w:r w:rsidR="00AB58CF">
        <w:t>the latter does not</w:t>
      </w:r>
      <w:r w:rsidR="00AB58CF" w:rsidRPr="00843A16">
        <w:t xml:space="preserve"> </w:t>
      </w:r>
      <w:r w:rsidR="00161762">
        <w:t>represent</w:t>
      </w:r>
      <w:r w:rsidR="00161762" w:rsidRPr="00843A16">
        <w:t xml:space="preserve"> </w:t>
      </w:r>
      <w:r w:rsidRPr="00843A16">
        <w:t xml:space="preserve">non-compliance with the NCPF, </w:t>
      </w:r>
      <w:r w:rsidR="00161762">
        <w:t xml:space="preserve">it suggests a </w:t>
      </w:r>
      <w:r w:rsidR="00B154D7">
        <w:t xml:space="preserve">possible </w:t>
      </w:r>
      <w:r w:rsidR="00161762">
        <w:t xml:space="preserve">shortcoming of </w:t>
      </w:r>
      <w:r w:rsidRPr="00843A16">
        <w:t xml:space="preserve">the staff training measure </w:t>
      </w:r>
      <w:r w:rsidR="00AB0D24">
        <w:t xml:space="preserve">– </w:t>
      </w:r>
      <w:r w:rsidR="007F7072">
        <w:t>which</w:t>
      </w:r>
      <w:r w:rsidR="00AB0D24">
        <w:t xml:space="preserve"> aims</w:t>
      </w:r>
      <w:r w:rsidRPr="00843A16">
        <w:t xml:space="preserve"> to improve the ability of staff to detect and address risky gambling behaviours. </w:t>
      </w:r>
      <w:r w:rsidR="005F3225">
        <w:t xml:space="preserve">WSPs </w:t>
      </w:r>
      <w:r w:rsidR="000253A3">
        <w:t>systems</w:t>
      </w:r>
      <w:r w:rsidR="00806A21">
        <w:t xml:space="preserve"> and processes may also contribute to WSPs not identifying red flags.</w:t>
      </w:r>
    </w:p>
    <w:p w14:paraId="0F90B23A" w14:textId="349369DB" w:rsidR="00D854C4" w:rsidRDefault="00F63EB7" w:rsidP="00D854C4">
      <w:pPr>
        <w:pStyle w:val="BodyText"/>
      </w:pPr>
      <w:r>
        <w:t>Thirteen</w:t>
      </w:r>
      <w:r w:rsidR="00D854C4" w:rsidRPr="00843A16">
        <w:t xml:space="preserve"> breaches found between 2017 and August 2025 by the NTRWC and its predecessor (the NTRC) relate</w:t>
      </w:r>
      <w:r w:rsidR="002E7D62">
        <w:t>d</w:t>
      </w:r>
      <w:r w:rsidR="00D854C4" w:rsidRPr="00843A16">
        <w:t xml:space="preserve"> to gambling while self-excluded, although most </w:t>
      </w:r>
      <w:r w:rsidR="002E7D62" w:rsidRPr="00843A16">
        <w:t>d</w:t>
      </w:r>
      <w:r w:rsidR="002E7D62">
        <w:t>id</w:t>
      </w:r>
      <w:r w:rsidR="002E7D62" w:rsidRPr="00843A16">
        <w:t xml:space="preserve"> </w:t>
      </w:r>
      <w:r w:rsidR="00D854C4" w:rsidRPr="00843A16">
        <w:t xml:space="preserve">not directly relate to the NSER. These decisions resulted in 11 fines between $6,751 and $27,540 as well as a return of funds to consumers up to $93,082.04. </w:t>
      </w:r>
      <w:r w:rsidR="001C208C">
        <w:t xml:space="preserve">Directing WSPs </w:t>
      </w:r>
      <w:r w:rsidR="00FF2458">
        <w:t xml:space="preserve">to return funds to customers </w:t>
      </w:r>
      <w:r w:rsidR="00DE205F">
        <w:rPr>
          <w:b/>
          <w:bCs/>
        </w:rPr>
        <w:t xml:space="preserve">and </w:t>
      </w:r>
      <w:r w:rsidR="004805D5">
        <w:t xml:space="preserve">issuing fines is a strong incentive </w:t>
      </w:r>
      <w:r w:rsidR="000567AF">
        <w:t xml:space="preserve">for WSPs to comply with </w:t>
      </w:r>
      <w:r w:rsidR="00323426">
        <w:t xml:space="preserve">legislation and regulation. A return of funds also </w:t>
      </w:r>
      <w:r w:rsidR="00D854C4" w:rsidRPr="00843A16">
        <w:t xml:space="preserve">directly </w:t>
      </w:r>
      <w:r w:rsidR="009433CC" w:rsidRPr="00843A16">
        <w:t>assists</w:t>
      </w:r>
      <w:r w:rsidR="00D854C4" w:rsidRPr="00843A16">
        <w:t xml:space="preserve"> complainants. </w:t>
      </w:r>
    </w:p>
    <w:p w14:paraId="63EA1FD7" w14:textId="10B78B58" w:rsidR="00361476" w:rsidRPr="00816D0B" w:rsidRDefault="000835CF" w:rsidP="00D854C4">
      <w:pPr>
        <w:pStyle w:val="BodyText"/>
      </w:pPr>
      <w:r>
        <w:t>Some r</w:t>
      </w:r>
      <w:r w:rsidR="00AF6745">
        <w:t xml:space="preserve">egulators </w:t>
      </w:r>
      <w:r>
        <w:t xml:space="preserve">reported that </w:t>
      </w:r>
      <w:r w:rsidR="004F3B8D">
        <w:t xml:space="preserve">their legislation contained time </w:t>
      </w:r>
      <w:r w:rsidR="000E6737">
        <w:t>constraints</w:t>
      </w:r>
      <w:r w:rsidR="00816D0B">
        <w:t>,</w:t>
      </w:r>
      <w:r w:rsidR="000E6737">
        <w:t xml:space="preserve"> result</w:t>
      </w:r>
      <w:r w:rsidR="00A044A3">
        <w:t>ing</w:t>
      </w:r>
      <w:r w:rsidR="000E6737">
        <w:t xml:space="preserve"> in them not being able to pursue investigations and prosecutions</w:t>
      </w:r>
      <w:r w:rsidR="00E13B9F">
        <w:t xml:space="preserve">, as these activities took longer than the </w:t>
      </w:r>
      <w:r w:rsidR="005C52BF">
        <w:t>time available. For example, t</w:t>
      </w:r>
      <w:r w:rsidR="00361476">
        <w:t xml:space="preserve">he ACMA </w:t>
      </w:r>
      <w:r w:rsidR="00454F08">
        <w:t>noted</w:t>
      </w:r>
      <w:r w:rsidR="006678AD">
        <w:t xml:space="preserve"> </w:t>
      </w:r>
      <w:r w:rsidR="00454F08">
        <w:t xml:space="preserve">that it had </w:t>
      </w:r>
      <w:r w:rsidR="00181039" w:rsidRPr="00181039">
        <w:t>raise</w:t>
      </w:r>
      <w:r w:rsidR="00454F08">
        <w:t xml:space="preserve">d with the </w:t>
      </w:r>
      <w:r w:rsidR="006678AD">
        <w:t>NSER</w:t>
      </w:r>
      <w:r w:rsidR="00CE452E">
        <w:t xml:space="preserve"> statutory review that </w:t>
      </w:r>
      <w:r w:rsidR="00816D0B">
        <w:t xml:space="preserve">the </w:t>
      </w:r>
      <w:r w:rsidR="00181039" w:rsidRPr="00181039">
        <w:t xml:space="preserve">12-month </w:t>
      </w:r>
      <w:r w:rsidR="00301123">
        <w:t xml:space="preserve">statutory </w:t>
      </w:r>
      <w:r w:rsidR="009003F9">
        <w:t xml:space="preserve">time limit </w:t>
      </w:r>
      <w:r w:rsidR="00F43F35">
        <w:t>for issuing infringement notices is a challenge</w:t>
      </w:r>
      <w:r w:rsidR="00403248">
        <w:t>,</w:t>
      </w:r>
      <w:r w:rsidR="00F43F35">
        <w:t xml:space="preserve"> particularly with </w:t>
      </w:r>
      <w:r w:rsidR="00181039" w:rsidRPr="00181039">
        <w:t>complex investigations</w:t>
      </w:r>
      <w:r w:rsidR="00361476">
        <w:t xml:space="preserve"> </w:t>
      </w:r>
      <w:r w:rsidR="00362A1C" w:rsidRPr="00816D0B">
        <w:t>(</w:t>
      </w:r>
      <w:r w:rsidR="008C65D1">
        <w:rPr>
          <w:rFonts w:eastAsia="Arial"/>
        </w:rPr>
        <w:t>Austra</w:t>
      </w:r>
      <w:r w:rsidR="004F6023">
        <w:rPr>
          <w:rFonts w:eastAsia="Arial"/>
        </w:rPr>
        <w:t>lian Parliament</w:t>
      </w:r>
      <w:r w:rsidR="00FB2014">
        <w:rPr>
          <w:rFonts w:eastAsia="Arial"/>
        </w:rPr>
        <w:t>, 2026</w:t>
      </w:r>
      <w:r w:rsidR="001256DF">
        <w:rPr>
          <w:rFonts w:eastAsia="Arial"/>
        </w:rPr>
        <w:t xml:space="preserve">, </w:t>
      </w:r>
      <w:r w:rsidR="0009395F">
        <w:rPr>
          <w:rFonts w:eastAsia="Arial"/>
        </w:rPr>
        <w:t>p.</w:t>
      </w:r>
      <w:r w:rsidR="004F6023">
        <w:rPr>
          <w:rFonts w:eastAsia="Arial"/>
        </w:rPr>
        <w:t xml:space="preserve"> </w:t>
      </w:r>
      <w:r w:rsidR="0009395F">
        <w:rPr>
          <w:rFonts w:eastAsia="Arial"/>
        </w:rPr>
        <w:t>71</w:t>
      </w:r>
      <w:r w:rsidR="00FB2014">
        <w:rPr>
          <w:rFonts w:eastAsia="Arial"/>
        </w:rPr>
        <w:t>).</w:t>
      </w:r>
      <w:r w:rsidR="00FE3C79" w:rsidRPr="007A60DE">
        <w:rPr>
          <w:rFonts w:eastAsia="Arial"/>
        </w:rPr>
        <w:t xml:space="preserve"> </w:t>
      </w:r>
    </w:p>
    <w:p w14:paraId="3D1209FA" w14:textId="6C695C00" w:rsidR="00D854C4" w:rsidRPr="00843A16" w:rsidRDefault="00D854C4" w:rsidP="00D854C4">
      <w:pPr>
        <w:pStyle w:val="BodyText"/>
      </w:pPr>
      <w:r w:rsidRPr="00843A16">
        <w:t>An opportunity exists for jurisdictions to harmonise their penalty regimes</w:t>
      </w:r>
      <w:r w:rsidR="008E11A4">
        <w:t xml:space="preserve"> </w:t>
      </w:r>
      <w:r w:rsidRPr="00843A16">
        <w:t>to ensure that penalties act as a deterrent mechanism for non-compliance with legislation</w:t>
      </w:r>
      <w:r w:rsidR="008E11A4">
        <w:t xml:space="preserve"> and to a</w:t>
      </w:r>
      <w:r w:rsidR="003C5CBE">
        <w:t>pply penalties when non-compliant behaviour occurs</w:t>
      </w:r>
      <w:r w:rsidRPr="00843A16">
        <w:t>.</w:t>
      </w:r>
      <w:r w:rsidR="000B2759">
        <w:t xml:space="preserve"> </w:t>
      </w:r>
      <w:r w:rsidR="00EF4F35">
        <w:t xml:space="preserve">The </w:t>
      </w:r>
      <w:r w:rsidR="000C57CA">
        <w:t>statutory time</w:t>
      </w:r>
      <w:r w:rsidR="004B1F54">
        <w:t xml:space="preserve"> </w:t>
      </w:r>
      <w:r w:rsidR="000C57CA">
        <w:t>frames</w:t>
      </w:r>
      <w:r w:rsidR="00EF4F35">
        <w:t xml:space="preserve"> available for regulators to undertake investigations and prosecutions should</w:t>
      </w:r>
      <w:r w:rsidR="00C669FB">
        <w:t xml:space="preserve"> also</w:t>
      </w:r>
      <w:r w:rsidR="00EF4F35">
        <w:t xml:space="preserve"> be </w:t>
      </w:r>
      <w:r w:rsidR="00DA3918">
        <w:t>reviewed to ensure it is sufficient</w:t>
      </w:r>
      <w:r w:rsidR="004E0DA0">
        <w:t xml:space="preserve">. </w:t>
      </w:r>
    </w:p>
    <w:p w14:paraId="78158A6B" w14:textId="77777777" w:rsidR="00D854C4" w:rsidRPr="00843A16" w:rsidRDefault="00D854C4" w:rsidP="001C02BA">
      <w:pPr>
        <w:pStyle w:val="Heading4"/>
      </w:pPr>
      <w:r w:rsidRPr="00843A16">
        <w:t>Point of Supply and Point of Consumption regulation</w:t>
      </w:r>
    </w:p>
    <w:p w14:paraId="6D6C1976" w14:textId="2C953E03" w:rsidR="00D854C4" w:rsidRPr="00843A16" w:rsidRDefault="00D854C4" w:rsidP="00D854C4">
      <w:pPr>
        <w:pStyle w:val="BodyText"/>
        <w:rPr>
          <w:rFonts w:eastAsia="Arial"/>
        </w:rPr>
      </w:pPr>
      <w:r w:rsidRPr="00843A16">
        <w:rPr>
          <w:rFonts w:eastAsia="Arial"/>
        </w:rPr>
        <w:t>Jurisdictions apply regulations to WSPs using a Point of Supply (</w:t>
      </w:r>
      <w:proofErr w:type="spellStart"/>
      <w:r w:rsidRPr="00843A16">
        <w:rPr>
          <w:rFonts w:eastAsia="Arial"/>
        </w:rPr>
        <w:t>PoS</w:t>
      </w:r>
      <w:proofErr w:type="spellEnd"/>
      <w:r w:rsidRPr="00843A16">
        <w:rPr>
          <w:rFonts w:eastAsia="Arial"/>
        </w:rPr>
        <w:t xml:space="preserve">) and/or a Point of Consumption (PoC) approach. </w:t>
      </w:r>
    </w:p>
    <w:p w14:paraId="6719C7F7" w14:textId="5A6C8396" w:rsidR="00D854C4" w:rsidRPr="00843A16" w:rsidRDefault="00D854C4" w:rsidP="00D854C4">
      <w:pPr>
        <w:pStyle w:val="ListBullet"/>
        <w:rPr>
          <w:rFonts w:eastAsia="Arial"/>
          <w:color w:val="auto"/>
        </w:rPr>
      </w:pPr>
      <w:proofErr w:type="spellStart"/>
      <w:r w:rsidRPr="3F876D50">
        <w:rPr>
          <w:rFonts w:eastAsia="Arial"/>
          <w:color w:val="auto"/>
        </w:rPr>
        <w:t>PoS</w:t>
      </w:r>
      <w:proofErr w:type="spellEnd"/>
      <w:r w:rsidRPr="3F876D50">
        <w:rPr>
          <w:rFonts w:eastAsia="Arial"/>
          <w:color w:val="auto"/>
        </w:rPr>
        <w:t xml:space="preserve"> – the jurisdiction applies their regulations to wagering providers licen</w:t>
      </w:r>
      <w:r w:rsidR="0047785B">
        <w:rPr>
          <w:rFonts w:eastAsia="Arial"/>
          <w:color w:val="auto"/>
        </w:rPr>
        <w:t>s</w:t>
      </w:r>
      <w:r w:rsidRPr="3F876D50">
        <w:rPr>
          <w:rFonts w:eastAsia="Arial"/>
          <w:color w:val="auto"/>
        </w:rPr>
        <w:t xml:space="preserve">ed by that jurisdiction. </w:t>
      </w:r>
    </w:p>
    <w:p w14:paraId="6319318F" w14:textId="3810DA95" w:rsidR="00D854C4" w:rsidRPr="00843A16" w:rsidRDefault="00D854C4" w:rsidP="00D854C4">
      <w:pPr>
        <w:pStyle w:val="ListBullet"/>
        <w:rPr>
          <w:rFonts w:eastAsia="Arial"/>
          <w:color w:val="auto"/>
        </w:rPr>
      </w:pPr>
      <w:r w:rsidRPr="3F876D50">
        <w:rPr>
          <w:rFonts w:eastAsia="Arial"/>
          <w:color w:val="auto"/>
        </w:rPr>
        <w:t xml:space="preserve">PoC – the jurisdiction applies their regulations to operators offering services to residents of their jurisdiction. </w:t>
      </w:r>
    </w:p>
    <w:p w14:paraId="588F2B31" w14:textId="2A194CC3" w:rsidR="00D854C4" w:rsidRPr="00843A16" w:rsidRDefault="00D854C4" w:rsidP="00D854C4">
      <w:pPr>
        <w:pStyle w:val="BodyText"/>
        <w:rPr>
          <w:rFonts w:eastAsia="Arial"/>
        </w:rPr>
      </w:pPr>
      <w:r w:rsidRPr="00843A16">
        <w:rPr>
          <w:rFonts w:eastAsia="Arial"/>
        </w:rPr>
        <w:t xml:space="preserve">All jurisdictions operate </w:t>
      </w:r>
      <w:proofErr w:type="spellStart"/>
      <w:r w:rsidRPr="00843A16">
        <w:rPr>
          <w:rFonts w:eastAsia="Arial"/>
        </w:rPr>
        <w:t>PoS</w:t>
      </w:r>
      <w:proofErr w:type="spellEnd"/>
      <w:r w:rsidRPr="00843A16">
        <w:rPr>
          <w:rFonts w:eastAsia="Arial"/>
        </w:rPr>
        <w:t xml:space="preserve"> regulations for the WSPs they licence. Most jurisdictions also apply PoC regulations for </w:t>
      </w:r>
      <w:proofErr w:type="gramStart"/>
      <w:r w:rsidRPr="00843A16">
        <w:rPr>
          <w:rFonts w:eastAsia="Arial"/>
        </w:rPr>
        <w:t>taxation</w:t>
      </w:r>
      <w:proofErr w:type="gramEnd"/>
      <w:r w:rsidRPr="00843A16">
        <w:rPr>
          <w:rFonts w:eastAsia="Arial"/>
        </w:rPr>
        <w:t xml:space="preserve"> and some states apply a PoC regime for advertising regulations. </w:t>
      </w:r>
      <w:r w:rsidR="00D54E85">
        <w:rPr>
          <w:rFonts w:eastAsia="Arial"/>
        </w:rPr>
        <w:t>Victoria</w:t>
      </w:r>
      <w:r w:rsidR="001453F6">
        <w:rPr>
          <w:rFonts w:eastAsia="Arial"/>
        </w:rPr>
        <w:t xml:space="preserve"> and </w:t>
      </w:r>
      <w:r w:rsidRPr="00843A16">
        <w:rPr>
          <w:rFonts w:eastAsia="Arial"/>
        </w:rPr>
        <w:t>SA appl</w:t>
      </w:r>
      <w:r w:rsidR="001453F6">
        <w:rPr>
          <w:rFonts w:eastAsia="Arial"/>
        </w:rPr>
        <w:t>y</w:t>
      </w:r>
      <w:r w:rsidRPr="00843A16">
        <w:rPr>
          <w:rFonts w:eastAsia="Arial"/>
        </w:rPr>
        <w:t xml:space="preserve"> a PoC regime </w:t>
      </w:r>
      <w:r w:rsidR="001453F6">
        <w:rPr>
          <w:rFonts w:eastAsia="Arial"/>
        </w:rPr>
        <w:t xml:space="preserve">for the NCPF measures </w:t>
      </w:r>
      <w:r w:rsidRPr="00843A16">
        <w:rPr>
          <w:rFonts w:eastAsia="Arial"/>
        </w:rPr>
        <w:t>to any operator providing services within the state.</w:t>
      </w:r>
    </w:p>
    <w:p w14:paraId="0778D464" w14:textId="77777777" w:rsidR="00D854C4" w:rsidRPr="00843A16" w:rsidRDefault="00D854C4" w:rsidP="00D854C4">
      <w:pPr>
        <w:pStyle w:val="BodyText"/>
        <w:rPr>
          <w:rFonts w:eastAsia="Arial"/>
        </w:rPr>
      </w:pPr>
      <w:r w:rsidRPr="00843A16">
        <w:rPr>
          <w:rFonts w:eastAsia="Arial"/>
        </w:rPr>
        <w:t>Pursuing complaints against WSPs operating across jurisdictions can be complicated because of the operation of PoC/</w:t>
      </w:r>
      <w:proofErr w:type="spellStart"/>
      <w:r w:rsidRPr="00843A16">
        <w:rPr>
          <w:rFonts w:eastAsia="Arial"/>
        </w:rPr>
        <w:t>PoS</w:t>
      </w:r>
      <w:proofErr w:type="spellEnd"/>
      <w:r w:rsidRPr="00843A16">
        <w:rPr>
          <w:rFonts w:eastAsia="Arial"/>
        </w:rPr>
        <w:t xml:space="preserve"> regimes. The desktop review and the interviews found several instances where interactions between PoC and </w:t>
      </w:r>
      <w:proofErr w:type="spellStart"/>
      <w:r w:rsidRPr="00843A16">
        <w:rPr>
          <w:rFonts w:eastAsia="Arial"/>
        </w:rPr>
        <w:t>PoS</w:t>
      </w:r>
      <w:proofErr w:type="spellEnd"/>
      <w:r w:rsidRPr="00843A16">
        <w:rPr>
          <w:rFonts w:eastAsia="Arial"/>
        </w:rPr>
        <w:t xml:space="preserve"> regimes delayed or prevented adequate compliance activity. These complexities can also result in regulators being unwilling to take responsibility for investigating complaints.</w:t>
      </w:r>
    </w:p>
    <w:p w14:paraId="4178AEC9" w14:textId="29784664" w:rsidR="00D854C4" w:rsidRPr="00843A16" w:rsidRDefault="00D854C4" w:rsidP="00D854C4">
      <w:pPr>
        <w:pStyle w:val="Quote"/>
      </w:pPr>
      <w:r w:rsidRPr="00843A16">
        <w:lastRenderedPageBreak/>
        <w:t>A client</w:t>
      </w:r>
      <w:r w:rsidR="00480847">
        <w:t xml:space="preserve"> </w:t>
      </w:r>
      <w:r w:rsidRPr="00843A16">
        <w:t>…</w:t>
      </w:r>
      <w:r w:rsidR="00480847">
        <w:t xml:space="preserve"> </w:t>
      </w:r>
      <w:r w:rsidRPr="00843A16">
        <w:t xml:space="preserve">who </w:t>
      </w:r>
      <w:proofErr w:type="gramStart"/>
      <w:r w:rsidRPr="00843A16">
        <w:t>is located in</w:t>
      </w:r>
      <w:proofErr w:type="gramEnd"/>
      <w:r w:rsidRPr="00843A16">
        <w:t xml:space="preserve"> Victoria … and the online gambling provider is licensed with NSW for instance, right? And we have </w:t>
      </w:r>
      <w:r w:rsidRPr="00843A16">
        <w:rPr>
          <w:rFonts w:eastAsia="Arial"/>
        </w:rPr>
        <w:t xml:space="preserve">this </w:t>
      </w:r>
      <w:proofErr w:type="gramStart"/>
      <w:r w:rsidRPr="00843A16">
        <w:t>particular dispute</w:t>
      </w:r>
      <w:proofErr w:type="gramEnd"/>
      <w:r w:rsidRPr="00843A16">
        <w:t xml:space="preserve"> with this online gambling </w:t>
      </w:r>
      <w:proofErr w:type="gramStart"/>
      <w:r w:rsidRPr="00843A16">
        <w:t>provider</w:t>
      </w:r>
      <w:proofErr w:type="gramEnd"/>
      <w:r w:rsidRPr="00843A16">
        <w:t xml:space="preserve"> and the financial counsellor tried to lodge a complaint with VGCCC [Victorian regulator]</w:t>
      </w:r>
      <w:r w:rsidR="00480847">
        <w:t xml:space="preserve"> </w:t>
      </w:r>
      <w:r w:rsidRPr="00843A16">
        <w:t>… And the New South Wales regulator …</w:t>
      </w:r>
      <w:r w:rsidR="00480847">
        <w:t xml:space="preserve"> </w:t>
      </w:r>
      <w:r w:rsidRPr="00843A16">
        <w:t>they try to handball the responsibility to each other. No</w:t>
      </w:r>
      <w:r w:rsidR="00480EEE">
        <w:t>,</w:t>
      </w:r>
      <w:r w:rsidRPr="00843A16">
        <w:t xml:space="preserve"> you go to NSW, the NSW one goes, no, you go to Victoria. </w:t>
      </w:r>
      <w:r w:rsidR="00480847">
        <w:t>(</w:t>
      </w:r>
      <w:r w:rsidRPr="00843A16">
        <w:t>Gambling help</w:t>
      </w:r>
      <w:r w:rsidR="00283A5C">
        <w:t xml:space="preserve"> </w:t>
      </w:r>
      <w:r w:rsidRPr="00843A16">
        <w:t>provider</w:t>
      </w:r>
      <w:r w:rsidR="00480847">
        <w:t>)</w:t>
      </w:r>
    </w:p>
    <w:p w14:paraId="4DD6202C" w14:textId="77777777" w:rsidR="00D854C4" w:rsidRPr="00843A16" w:rsidRDefault="00D854C4" w:rsidP="00D854C4">
      <w:pPr>
        <w:pStyle w:val="BodyText"/>
        <w:rPr>
          <w:rFonts w:eastAsia="Arial"/>
        </w:rPr>
      </w:pPr>
      <w:r w:rsidRPr="00843A16">
        <w:rPr>
          <w:rFonts w:eastAsia="Arial"/>
        </w:rPr>
        <w:t xml:space="preserve">These challenges occur when a WSP licensed in one jurisdiction provides services to clients located elsewhere. </w:t>
      </w:r>
    </w:p>
    <w:p w14:paraId="2A9D18F1" w14:textId="0631320A" w:rsidR="00D854C4" w:rsidRPr="00843A16" w:rsidRDefault="00D854C4" w:rsidP="00D854C4">
      <w:pPr>
        <w:pStyle w:val="BodyText"/>
        <w:rPr>
          <w:rFonts w:eastAsia="Arial"/>
        </w:rPr>
      </w:pPr>
      <w:r w:rsidRPr="00843A16">
        <w:rPr>
          <w:rFonts w:eastAsia="Arial"/>
        </w:rPr>
        <w:t>If an online wagerer lodges a complaint with their local regulator and that regulator lacks relevant rules</w:t>
      </w:r>
      <w:r w:rsidR="00C934C9">
        <w:rPr>
          <w:rFonts w:eastAsia="Arial"/>
        </w:rPr>
        <w:t xml:space="preserve"> or </w:t>
      </w:r>
      <w:r w:rsidR="00BD2C15">
        <w:rPr>
          <w:rFonts w:eastAsia="Arial"/>
        </w:rPr>
        <w:t>sufficient</w:t>
      </w:r>
      <w:r w:rsidR="00C934C9">
        <w:rPr>
          <w:rFonts w:eastAsia="Arial"/>
        </w:rPr>
        <w:t xml:space="preserve"> </w:t>
      </w:r>
      <w:r w:rsidR="00BD2C15">
        <w:rPr>
          <w:rFonts w:eastAsia="Arial"/>
        </w:rPr>
        <w:t>evidentiary basis</w:t>
      </w:r>
      <w:r w:rsidR="00FD39AB">
        <w:rPr>
          <w:rFonts w:eastAsia="Arial"/>
        </w:rPr>
        <w:t xml:space="preserve"> to </w:t>
      </w:r>
      <w:r w:rsidR="00BD2C15">
        <w:rPr>
          <w:rFonts w:eastAsia="Arial"/>
        </w:rPr>
        <w:t>address</w:t>
      </w:r>
      <w:r w:rsidRPr="00843A16">
        <w:rPr>
          <w:rFonts w:eastAsia="Arial"/>
        </w:rPr>
        <w:t xml:space="preserve"> the issue, the complaint is often referred to the regulator in the jurisdiction where the WSP is licensed</w:t>
      </w:r>
      <w:r w:rsidR="002600FD">
        <w:rPr>
          <w:rFonts w:eastAsia="Arial"/>
        </w:rPr>
        <w:t xml:space="preserve">. Some regulators noted that they provide </w:t>
      </w:r>
      <w:r w:rsidR="00A02DC3">
        <w:rPr>
          <w:rFonts w:eastAsia="Arial"/>
        </w:rPr>
        <w:t>the contact details of the relevant regulator to assist the complainant pursue their concern.</w:t>
      </w:r>
      <w:r w:rsidR="00BC1B65">
        <w:rPr>
          <w:rFonts w:eastAsia="Arial"/>
        </w:rPr>
        <w:t xml:space="preserve"> However, </w:t>
      </w:r>
      <w:r w:rsidR="003C1078">
        <w:rPr>
          <w:rFonts w:eastAsia="Arial"/>
        </w:rPr>
        <w:t xml:space="preserve">a gambling harm body noted </w:t>
      </w:r>
      <w:r w:rsidR="00B254AD">
        <w:rPr>
          <w:rFonts w:eastAsia="Arial"/>
        </w:rPr>
        <w:t>that consumers were not always actively supported to connect with the right services.</w:t>
      </w:r>
    </w:p>
    <w:p w14:paraId="67D2B109" w14:textId="07B25760" w:rsidR="00D854C4" w:rsidRPr="00843A16" w:rsidRDefault="00D854C4" w:rsidP="00D854C4">
      <w:pPr>
        <w:pStyle w:val="Quote"/>
      </w:pPr>
      <w:r w:rsidRPr="00843A16">
        <w:t>So many consumers will go to their state or territory regulator for [a complaint] that actually needs to go to the</w:t>
      </w:r>
      <w:r w:rsidR="00BD7947">
        <w:t xml:space="preserve"> </w:t>
      </w:r>
      <w:r w:rsidRPr="00843A16">
        <w:t>…</w:t>
      </w:r>
      <w:r w:rsidR="00BD7947">
        <w:t xml:space="preserve"> </w:t>
      </w:r>
      <w:r w:rsidRPr="00843A16">
        <w:t>Northern Territory Racing and Wagering Commission or to ACMA</w:t>
      </w:r>
      <w:r w:rsidR="00BD7947">
        <w:t xml:space="preserve"> </w:t>
      </w:r>
      <w:r w:rsidRPr="00843A16">
        <w:t>…</w:t>
      </w:r>
      <w:r w:rsidR="00BD7947">
        <w:t xml:space="preserve"> </w:t>
      </w:r>
      <w:r w:rsidRPr="00843A16">
        <w:t xml:space="preserve">but I have seen letters from other regulators where it simply </w:t>
      </w:r>
      <w:proofErr w:type="gramStart"/>
      <w:r w:rsidRPr="00843A16">
        <w:t>[says]</w:t>
      </w:r>
      <w:proofErr w:type="gramEnd"/>
      <w:r w:rsidRPr="00843A16">
        <w:t xml:space="preserve"> ‘This is not us, end of story.’ without even saying, ‘This is where you should go.’</w:t>
      </w:r>
      <w:r w:rsidR="00BD7947">
        <w:t xml:space="preserve"> </w:t>
      </w:r>
      <w:r w:rsidRPr="00843A16">
        <w:t>...</w:t>
      </w:r>
      <w:r w:rsidR="00BD7947">
        <w:t xml:space="preserve"> </w:t>
      </w:r>
      <w:r w:rsidRPr="00843A16">
        <w:t>I think [with] a No Wrong Door policy</w:t>
      </w:r>
      <w:r w:rsidR="00BD7947">
        <w:t xml:space="preserve"> </w:t>
      </w:r>
      <w:r w:rsidRPr="00843A16">
        <w:t>…</w:t>
      </w:r>
      <w:r w:rsidR="00BD7947">
        <w:t xml:space="preserve"> </w:t>
      </w:r>
      <w:r w:rsidRPr="00843A16">
        <w:t>wherever [the complaint comes to it would be] shepherded to the right place</w:t>
      </w:r>
      <w:r w:rsidR="00BD7947">
        <w:t xml:space="preserve"> </w:t>
      </w:r>
      <w:r w:rsidRPr="00843A16">
        <w:t>…</w:t>
      </w:r>
      <w:r w:rsidR="00BD7947">
        <w:t xml:space="preserve"> </w:t>
      </w:r>
      <w:r w:rsidRPr="00843A16">
        <w:t xml:space="preserve">I think [that policy] would really assist in making sure that consumers feel empowered to make a complaint if they see something that doesn’t seem right. </w:t>
      </w:r>
      <w:r w:rsidR="00BD7947">
        <w:t>(</w:t>
      </w:r>
      <w:r w:rsidRPr="00843A16">
        <w:t>Gambling harm advocacy body</w:t>
      </w:r>
      <w:r w:rsidR="00BD7947">
        <w:t>)</w:t>
      </w:r>
    </w:p>
    <w:p w14:paraId="18DE9E28" w14:textId="7D24B146" w:rsidR="00D854C4" w:rsidRPr="00843A16" w:rsidRDefault="00D854C4" w:rsidP="00D854C4">
      <w:pPr>
        <w:pStyle w:val="BodyText"/>
        <w:rPr>
          <w:rFonts w:eastAsia="Arial"/>
        </w:rPr>
      </w:pPr>
      <w:r w:rsidRPr="00843A16">
        <w:rPr>
          <w:rFonts w:eastAsia="Arial"/>
        </w:rPr>
        <w:t xml:space="preserve">Because many </w:t>
      </w:r>
      <w:r w:rsidR="00CA2DB6">
        <w:rPr>
          <w:rFonts w:eastAsia="Arial"/>
        </w:rPr>
        <w:t>large</w:t>
      </w:r>
      <w:r w:rsidR="00CA2DB6" w:rsidRPr="00843A16">
        <w:rPr>
          <w:rFonts w:eastAsia="Arial"/>
        </w:rPr>
        <w:t xml:space="preserve"> </w:t>
      </w:r>
      <w:r w:rsidRPr="00843A16">
        <w:rPr>
          <w:rFonts w:eastAsia="Arial"/>
        </w:rPr>
        <w:t xml:space="preserve">WSPs are licensed in the NT, the NTRWC investigates complaints from wagerers outside its jurisdiction. This places a large regulatory burden on the NT. </w:t>
      </w:r>
    </w:p>
    <w:p w14:paraId="2F662FFC" w14:textId="5FF0F1D5" w:rsidR="00D854C4" w:rsidRPr="00843A16" w:rsidRDefault="00D854C4" w:rsidP="00D854C4">
      <w:pPr>
        <w:pStyle w:val="BodyText"/>
        <w:rPr>
          <w:rFonts w:eastAsia="Arial"/>
        </w:rPr>
      </w:pPr>
      <w:r w:rsidRPr="00843A16">
        <w:rPr>
          <w:rFonts w:eastAsia="Arial"/>
        </w:rPr>
        <w:t>If jurisdictions agreed to adopt PoC regimes for the 6 NCPF measures regulated at state/territory level, these NCPF measures could be enforced more consistently across Australia</w:t>
      </w:r>
      <w:r w:rsidR="006218C5">
        <w:rPr>
          <w:rFonts w:eastAsia="Arial"/>
        </w:rPr>
        <w:t>, thereby enhancing</w:t>
      </w:r>
      <w:r w:rsidRPr="00843A16">
        <w:rPr>
          <w:rFonts w:eastAsia="Arial"/>
        </w:rPr>
        <w:t xml:space="preserve"> consumer protections.</w:t>
      </w:r>
    </w:p>
    <w:p w14:paraId="7E4BAD03" w14:textId="08BB2BFE" w:rsidR="00D854C4" w:rsidRPr="00843A16" w:rsidRDefault="00D854C4" w:rsidP="00D854C4">
      <w:pPr>
        <w:pStyle w:val="BodyText"/>
        <w:rPr>
          <w:rFonts w:eastAsia="Arial"/>
        </w:rPr>
      </w:pPr>
      <w:r w:rsidRPr="00843A16">
        <w:rPr>
          <w:rFonts w:eastAsia="Arial"/>
        </w:rPr>
        <w:t xml:space="preserve">Some regulators noted that compliance activities for online wagering were not always actively pursued. Reasons noted in the interviews with regulators included: </w:t>
      </w:r>
    </w:p>
    <w:p w14:paraId="38393D75" w14:textId="16966575" w:rsidR="00D854C4" w:rsidRPr="00843A16" w:rsidRDefault="0001487E" w:rsidP="00D854C4">
      <w:pPr>
        <w:pStyle w:val="ListBullet"/>
        <w:rPr>
          <w:rFonts w:eastAsia="Arial"/>
        </w:rPr>
      </w:pPr>
      <w:r>
        <w:rPr>
          <w:rFonts w:eastAsia="Arial"/>
        </w:rPr>
        <w:t>j</w:t>
      </w:r>
      <w:r w:rsidRPr="00843A16">
        <w:rPr>
          <w:rFonts w:eastAsia="Arial"/>
        </w:rPr>
        <w:t xml:space="preserve">urisdictions </w:t>
      </w:r>
      <w:r w:rsidR="00D854C4" w:rsidRPr="00843A16">
        <w:rPr>
          <w:rFonts w:eastAsia="Arial"/>
        </w:rPr>
        <w:t>having few resources to undertake compliance work, especially proactive work</w:t>
      </w:r>
    </w:p>
    <w:p w14:paraId="06F7849A" w14:textId="13B2928C" w:rsidR="00D854C4" w:rsidRPr="00843A16" w:rsidRDefault="0001487E" w:rsidP="00D854C4">
      <w:pPr>
        <w:pStyle w:val="ListBullet"/>
        <w:rPr>
          <w:rFonts w:eastAsia="Arial"/>
          <w:color w:val="auto"/>
        </w:rPr>
      </w:pPr>
      <w:r>
        <w:rPr>
          <w:rFonts w:eastAsia="Arial"/>
          <w:color w:val="auto"/>
        </w:rPr>
        <w:t>j</w:t>
      </w:r>
      <w:r w:rsidRPr="3F876D50">
        <w:rPr>
          <w:rFonts w:eastAsia="Arial"/>
          <w:color w:val="auto"/>
        </w:rPr>
        <w:t xml:space="preserve">urisdictions </w:t>
      </w:r>
      <w:r w:rsidR="00D854C4" w:rsidRPr="3F876D50">
        <w:rPr>
          <w:rFonts w:eastAsia="Arial"/>
          <w:color w:val="auto"/>
        </w:rPr>
        <w:t>with a single licensed WSP only assess</w:t>
      </w:r>
      <w:r>
        <w:rPr>
          <w:rFonts w:eastAsia="Arial"/>
          <w:color w:val="auto"/>
        </w:rPr>
        <w:t>ing</w:t>
      </w:r>
      <w:r w:rsidR="00D854C4" w:rsidRPr="3F876D50">
        <w:rPr>
          <w:rFonts w:eastAsia="Arial"/>
          <w:color w:val="auto"/>
        </w:rPr>
        <w:t xml:space="preserve"> that WSP’s compliance under a</w:t>
      </w:r>
      <w:r w:rsidR="00E35F52" w:rsidRPr="3F876D50">
        <w:rPr>
          <w:rFonts w:eastAsia="Arial"/>
          <w:color w:val="auto"/>
        </w:rPr>
        <w:t xml:space="preserve"> </w:t>
      </w:r>
      <w:proofErr w:type="spellStart"/>
      <w:r w:rsidR="00E35F52" w:rsidRPr="3F876D50">
        <w:rPr>
          <w:rFonts w:eastAsia="Arial"/>
          <w:color w:val="auto"/>
        </w:rPr>
        <w:t>PoS</w:t>
      </w:r>
      <w:proofErr w:type="spellEnd"/>
      <w:r w:rsidR="00D854C4" w:rsidRPr="3F876D50">
        <w:rPr>
          <w:rFonts w:eastAsia="Arial"/>
          <w:color w:val="auto"/>
        </w:rPr>
        <w:t xml:space="preserve"> model rather than the compliance of all WSPs operating within its jurisdiction</w:t>
      </w:r>
    </w:p>
    <w:p w14:paraId="60A6CC47" w14:textId="2FF7DAA0" w:rsidR="00D854C4" w:rsidRPr="00843A16" w:rsidRDefault="0001487E" w:rsidP="00D854C4">
      <w:pPr>
        <w:pStyle w:val="ListBullet"/>
        <w:rPr>
          <w:rFonts w:eastAsia="Arial"/>
        </w:rPr>
      </w:pPr>
      <w:r>
        <w:rPr>
          <w:rFonts w:eastAsia="Arial"/>
        </w:rPr>
        <w:t>d</w:t>
      </w:r>
      <w:r w:rsidRPr="00843A16">
        <w:rPr>
          <w:rFonts w:eastAsia="Arial"/>
        </w:rPr>
        <w:t xml:space="preserve">ifficulties </w:t>
      </w:r>
      <w:r w:rsidR="00D854C4" w:rsidRPr="00843A16">
        <w:rPr>
          <w:rFonts w:eastAsia="Arial"/>
        </w:rPr>
        <w:t>obtaining information on the activities of WSPs</w:t>
      </w:r>
    </w:p>
    <w:p w14:paraId="79F7B2CE" w14:textId="36A839CC" w:rsidR="00D854C4" w:rsidRPr="00843A16" w:rsidRDefault="0001487E" w:rsidP="00D854C4">
      <w:pPr>
        <w:pStyle w:val="ListBullet"/>
        <w:rPr>
          <w:rFonts w:eastAsia="Arial"/>
        </w:rPr>
      </w:pPr>
      <w:r>
        <w:rPr>
          <w:rFonts w:eastAsia="Arial"/>
        </w:rPr>
        <w:t>s</w:t>
      </w:r>
      <w:r w:rsidRPr="00843A16">
        <w:rPr>
          <w:rFonts w:eastAsia="Arial"/>
        </w:rPr>
        <w:t xml:space="preserve">ome </w:t>
      </w:r>
      <w:r w:rsidR="00D854C4" w:rsidRPr="00843A16">
        <w:rPr>
          <w:rFonts w:eastAsia="Arial"/>
        </w:rPr>
        <w:t>regulators being unable to check compliance for certain measures themselves as regulator staff or agencies not permitted to have online wagering accounts</w:t>
      </w:r>
    </w:p>
    <w:p w14:paraId="2E938212" w14:textId="25803CB0" w:rsidR="00D854C4" w:rsidRPr="00843A16" w:rsidRDefault="0001487E" w:rsidP="00D854C4">
      <w:pPr>
        <w:pStyle w:val="ListBullet"/>
        <w:rPr>
          <w:rFonts w:eastAsia="Arial"/>
        </w:rPr>
      </w:pPr>
      <w:r>
        <w:rPr>
          <w:rFonts w:eastAsia="Arial"/>
        </w:rPr>
        <w:t>c</w:t>
      </w:r>
      <w:r w:rsidRPr="00843A16">
        <w:rPr>
          <w:rFonts w:eastAsia="Arial"/>
        </w:rPr>
        <w:t xml:space="preserve">onsumers </w:t>
      </w:r>
      <w:r w:rsidR="00D854C4" w:rsidRPr="00843A16">
        <w:rPr>
          <w:rFonts w:eastAsia="Arial"/>
        </w:rPr>
        <w:t xml:space="preserve">not being aware of some measures </w:t>
      </w:r>
      <w:r w:rsidR="004274EB">
        <w:rPr>
          <w:rFonts w:eastAsia="Arial"/>
        </w:rPr>
        <w:t>meaning</w:t>
      </w:r>
      <w:r w:rsidR="004274EB" w:rsidRPr="00843A16">
        <w:rPr>
          <w:rFonts w:eastAsia="Arial"/>
        </w:rPr>
        <w:t xml:space="preserve"> </w:t>
      </w:r>
      <w:r w:rsidR="00D854C4" w:rsidRPr="00843A16">
        <w:rPr>
          <w:rFonts w:eastAsia="Arial"/>
        </w:rPr>
        <w:t xml:space="preserve">they </w:t>
      </w:r>
      <w:r>
        <w:rPr>
          <w:rFonts w:eastAsia="Arial"/>
        </w:rPr>
        <w:t>don’t</w:t>
      </w:r>
      <w:r w:rsidRPr="00843A16">
        <w:rPr>
          <w:rFonts w:eastAsia="Arial"/>
        </w:rPr>
        <w:t xml:space="preserve"> </w:t>
      </w:r>
      <w:r w:rsidR="00D854C4" w:rsidRPr="00843A16">
        <w:rPr>
          <w:rFonts w:eastAsia="Arial"/>
        </w:rPr>
        <w:t>lodge complaints.</w:t>
      </w:r>
    </w:p>
    <w:p w14:paraId="6ACB9DB5" w14:textId="77777777" w:rsidR="005A1A75" w:rsidRPr="00843A16" w:rsidRDefault="005A1A75" w:rsidP="005A1A75">
      <w:pPr>
        <w:pStyle w:val="Heading4"/>
      </w:pPr>
      <w:r w:rsidRPr="00843A16">
        <w:t xml:space="preserve">Compliance </w:t>
      </w:r>
      <w:r>
        <w:t xml:space="preserve">funding </w:t>
      </w:r>
    </w:p>
    <w:p w14:paraId="206E151A" w14:textId="77777777" w:rsidR="005A1A75" w:rsidRDefault="005A1A75" w:rsidP="005A1A75">
      <w:pPr>
        <w:pStyle w:val="BodyText"/>
        <w:rPr>
          <w:rFonts w:eastAsia="Arial"/>
        </w:rPr>
      </w:pPr>
      <w:r>
        <w:rPr>
          <w:rFonts w:eastAsia="Arial"/>
        </w:rPr>
        <w:t>Most regulators operate under legislation that seeks to achieve multiple objectives. These may include maintaining the integrity of the wagering industry, protecting a source of public revenue derived from gambling and minimising gambling harm (</w:t>
      </w:r>
      <w:r w:rsidRPr="007A60DE">
        <w:rPr>
          <w:rFonts w:eastAsia="Arial"/>
          <w:i/>
          <w:iCs/>
        </w:rPr>
        <w:t>Betting and Racing Act 1998</w:t>
      </w:r>
      <w:r w:rsidRPr="00AA2162">
        <w:rPr>
          <w:rFonts w:eastAsia="Arial"/>
        </w:rPr>
        <w:t xml:space="preserve"> (NSW)</w:t>
      </w:r>
      <w:r>
        <w:rPr>
          <w:rFonts w:eastAsia="Arial"/>
        </w:rPr>
        <w:t xml:space="preserve">). </w:t>
      </w:r>
    </w:p>
    <w:p w14:paraId="3A2C5319" w14:textId="43A4FBD0" w:rsidR="005A1A75" w:rsidRDefault="005A1A75" w:rsidP="005A1A75">
      <w:pPr>
        <w:pStyle w:val="BodyText"/>
        <w:rPr>
          <w:rFonts w:eastAsia="Arial"/>
        </w:rPr>
      </w:pPr>
      <w:r>
        <w:rPr>
          <w:rFonts w:eastAsia="Arial"/>
        </w:rPr>
        <w:t xml:space="preserve">The Australian Government regulators (ACMA, the Australian Securities and Investment Commission and AUSTRAC) are responsible for compliance across a range of activities in addition to gambling. </w:t>
      </w:r>
    </w:p>
    <w:p w14:paraId="517CB8F4" w14:textId="7A34C86A" w:rsidR="005A1A75" w:rsidRDefault="005A1A75" w:rsidP="005A1A75">
      <w:pPr>
        <w:pStyle w:val="BodyText"/>
        <w:rPr>
          <w:rFonts w:eastAsia="Arial"/>
        </w:rPr>
      </w:pPr>
      <w:r>
        <w:rPr>
          <w:rFonts w:eastAsia="Arial"/>
        </w:rPr>
        <w:lastRenderedPageBreak/>
        <w:t xml:space="preserve">Likewise, many state and territory regulators are responsible for compliance of </w:t>
      </w:r>
      <w:r w:rsidR="002556BC">
        <w:rPr>
          <w:rFonts w:eastAsia="Arial"/>
        </w:rPr>
        <w:t xml:space="preserve">the </w:t>
      </w:r>
      <w:r>
        <w:rPr>
          <w:rFonts w:eastAsia="Arial"/>
        </w:rPr>
        <w:t xml:space="preserve">gambling </w:t>
      </w:r>
      <w:r w:rsidR="002556BC">
        <w:rPr>
          <w:rFonts w:eastAsia="Arial"/>
        </w:rPr>
        <w:t xml:space="preserve">industry </w:t>
      </w:r>
      <w:r>
        <w:rPr>
          <w:rFonts w:eastAsia="Arial"/>
        </w:rPr>
        <w:t xml:space="preserve">as well as liquor, such as in NSW, Qld, SA and Tas. </w:t>
      </w:r>
    </w:p>
    <w:p w14:paraId="38D03E6F" w14:textId="2B5D262B" w:rsidR="005A1A75" w:rsidRDefault="005A1A75" w:rsidP="005A1A75">
      <w:pPr>
        <w:pStyle w:val="BodyText"/>
        <w:rPr>
          <w:rFonts w:eastAsia="Arial"/>
        </w:rPr>
      </w:pPr>
      <w:r w:rsidDel="00DA6CF8">
        <w:rPr>
          <w:rFonts w:eastAsia="Arial"/>
        </w:rPr>
        <w:t xml:space="preserve">This breadth of coverage can </w:t>
      </w:r>
      <w:r>
        <w:rPr>
          <w:rFonts w:eastAsia="Arial"/>
        </w:rPr>
        <w:t xml:space="preserve">limit the ability </w:t>
      </w:r>
      <w:r w:rsidR="00E50914">
        <w:rPr>
          <w:rFonts w:eastAsia="Arial"/>
        </w:rPr>
        <w:t xml:space="preserve">of </w:t>
      </w:r>
      <w:r>
        <w:rPr>
          <w:rFonts w:eastAsia="Arial"/>
        </w:rPr>
        <w:t>regulators to sufficiently resource online gambling compliance activities.</w:t>
      </w:r>
    </w:p>
    <w:p w14:paraId="27F80157" w14:textId="0396ACAE" w:rsidR="005A1A75" w:rsidRDefault="005A1A75" w:rsidP="005A1A75">
      <w:pPr>
        <w:pStyle w:val="BodyText"/>
        <w:rPr>
          <w:rFonts w:eastAsia="Arial"/>
        </w:rPr>
      </w:pPr>
      <w:hyperlink w:anchor="Table6a" w:history="1">
        <w:r w:rsidRPr="00CF6D5E">
          <w:rPr>
            <w:rStyle w:val="Hyperlink"/>
            <w:rFonts w:eastAsia="Arial"/>
            <w:b/>
          </w:rPr>
          <w:t>Table 6</w:t>
        </w:r>
      </w:hyperlink>
      <w:r w:rsidRPr="2DB7F730">
        <w:rPr>
          <w:rFonts w:eastAsia="Arial"/>
        </w:rPr>
        <w:t xml:space="preserve"> shows</w:t>
      </w:r>
      <w:r w:rsidRPr="1C3734BF">
        <w:rPr>
          <w:rFonts w:eastAsia="Arial"/>
        </w:rPr>
        <w:t xml:space="preserve"> the significant revenue raised by states and territories from gambling taxes </w:t>
      </w:r>
      <w:r>
        <w:rPr>
          <w:rFonts w:eastAsia="Arial"/>
        </w:rPr>
        <w:t xml:space="preserve">and levies </w:t>
      </w:r>
      <w:r w:rsidRPr="1C3734BF">
        <w:rPr>
          <w:rFonts w:eastAsia="Arial"/>
        </w:rPr>
        <w:t xml:space="preserve">across all forms of gambling (QGSO, 2025). </w:t>
      </w:r>
    </w:p>
    <w:p w14:paraId="7058385A" w14:textId="3974E699" w:rsidR="005A1A75" w:rsidRDefault="005A1A75" w:rsidP="005A1A75">
      <w:pPr>
        <w:pStyle w:val="TableCaption"/>
        <w:rPr>
          <w:rFonts w:eastAsia="Arial"/>
        </w:rPr>
      </w:pPr>
      <w:bookmarkStart w:id="108" w:name="Table6a"/>
      <w:bookmarkEnd w:id="108"/>
      <w:r w:rsidRPr="19A70981">
        <w:rPr>
          <w:rFonts w:eastAsia="Arial"/>
        </w:rPr>
        <w:t xml:space="preserve">Table </w:t>
      </w:r>
      <w:r>
        <w:rPr>
          <w:rFonts w:eastAsia="Arial"/>
        </w:rPr>
        <w:t>6</w:t>
      </w:r>
      <w:r w:rsidRPr="009F7417">
        <w:rPr>
          <w:rFonts w:eastAsia="Arial"/>
        </w:rPr>
        <w:t xml:space="preserve">: Government </w:t>
      </w:r>
      <w:r w:rsidR="006E153F" w:rsidRPr="009F7417">
        <w:rPr>
          <w:rFonts w:eastAsia="Arial"/>
        </w:rPr>
        <w:t>revenue from gambling (in $millions) by state</w:t>
      </w:r>
    </w:p>
    <w:tbl>
      <w:tblPr>
        <w:tblStyle w:val="DPSTableGrid1"/>
        <w:tblW w:w="8499" w:type="dxa"/>
        <w:tblLook w:val="04A0" w:firstRow="1" w:lastRow="0" w:firstColumn="1" w:lastColumn="0" w:noHBand="0" w:noVBand="1"/>
      </w:tblPr>
      <w:tblGrid>
        <w:gridCol w:w="1320"/>
        <w:gridCol w:w="858"/>
        <w:gridCol w:w="862"/>
        <w:gridCol w:w="862"/>
        <w:gridCol w:w="735"/>
        <w:gridCol w:w="735"/>
        <w:gridCol w:w="735"/>
        <w:gridCol w:w="696"/>
        <w:gridCol w:w="756"/>
        <w:gridCol w:w="940"/>
      </w:tblGrid>
      <w:tr w:rsidR="005A1A75" w14:paraId="30A4DE2D" w14:textId="77777777">
        <w:trPr>
          <w:cnfStyle w:val="100000000000" w:firstRow="1" w:lastRow="0" w:firstColumn="0" w:lastColumn="0" w:oddVBand="0" w:evenVBand="0" w:oddHBand="0" w:evenHBand="0" w:firstRowFirstColumn="0" w:firstRowLastColumn="0" w:lastRowFirstColumn="0" w:lastRowLastColumn="0"/>
          <w:trHeight w:val="300"/>
        </w:trPr>
        <w:tc>
          <w:tcPr>
            <w:tcW w:w="1320" w:type="dxa"/>
          </w:tcPr>
          <w:p w14:paraId="0376B50F" w14:textId="5DA48268" w:rsidR="005A1A75" w:rsidRDefault="005A1A75">
            <w:pPr>
              <w:pStyle w:val="TableColHeadCentre"/>
              <w:rPr>
                <w:rFonts w:eastAsia="Arial"/>
              </w:rPr>
            </w:pPr>
            <w:r w:rsidRPr="1C3734BF">
              <w:rPr>
                <w:rFonts w:eastAsia="Arial"/>
              </w:rPr>
              <w:t xml:space="preserve">Financial </w:t>
            </w:r>
            <w:r w:rsidR="006E153F" w:rsidRPr="1C3734BF">
              <w:rPr>
                <w:rFonts w:eastAsia="Arial"/>
              </w:rPr>
              <w:t>y</w:t>
            </w:r>
            <w:r w:rsidRPr="1C3734BF">
              <w:rPr>
                <w:rFonts w:eastAsia="Arial"/>
              </w:rPr>
              <w:t>ear</w:t>
            </w:r>
          </w:p>
        </w:tc>
        <w:tc>
          <w:tcPr>
            <w:tcW w:w="858" w:type="dxa"/>
          </w:tcPr>
          <w:p w14:paraId="7C0CA456" w14:textId="77777777" w:rsidR="005A1A75" w:rsidRDefault="005A1A75">
            <w:pPr>
              <w:pStyle w:val="TableColHeadCentre"/>
              <w:rPr>
                <w:rFonts w:eastAsia="Arial"/>
              </w:rPr>
            </w:pPr>
            <w:r w:rsidRPr="1C3734BF">
              <w:rPr>
                <w:rFonts w:eastAsia="Arial"/>
              </w:rPr>
              <w:t>NSW</w:t>
            </w:r>
          </w:p>
        </w:tc>
        <w:tc>
          <w:tcPr>
            <w:tcW w:w="862" w:type="dxa"/>
          </w:tcPr>
          <w:p w14:paraId="0C0977AC" w14:textId="3514FCD3" w:rsidR="005A1A75" w:rsidRDefault="005A1A75">
            <w:pPr>
              <w:pStyle w:val="TableColHeadCentre"/>
              <w:rPr>
                <w:rFonts w:eastAsia="Arial"/>
              </w:rPr>
            </w:pPr>
            <w:r w:rsidRPr="1C3734BF">
              <w:rPr>
                <w:rFonts w:eastAsia="Arial"/>
              </w:rPr>
              <w:t>V</w:t>
            </w:r>
            <w:r w:rsidR="006E153F" w:rsidRPr="1C3734BF">
              <w:rPr>
                <w:rFonts w:eastAsia="Arial"/>
              </w:rPr>
              <w:t>ic</w:t>
            </w:r>
          </w:p>
        </w:tc>
        <w:tc>
          <w:tcPr>
            <w:tcW w:w="862" w:type="dxa"/>
          </w:tcPr>
          <w:p w14:paraId="6240C1D9" w14:textId="551C88F9" w:rsidR="005A1A75" w:rsidRDefault="005A1A75">
            <w:pPr>
              <w:pStyle w:val="TableColHeadCentre"/>
              <w:rPr>
                <w:rFonts w:eastAsia="Arial"/>
              </w:rPr>
            </w:pPr>
            <w:r w:rsidRPr="1C3734BF">
              <w:rPr>
                <w:rFonts w:eastAsia="Arial"/>
              </w:rPr>
              <w:t>Q</w:t>
            </w:r>
            <w:r w:rsidR="006E153F" w:rsidRPr="1C3734BF">
              <w:rPr>
                <w:rFonts w:eastAsia="Arial"/>
              </w:rPr>
              <w:t>ld</w:t>
            </w:r>
          </w:p>
        </w:tc>
        <w:tc>
          <w:tcPr>
            <w:tcW w:w="735" w:type="dxa"/>
          </w:tcPr>
          <w:p w14:paraId="69597CCB" w14:textId="77777777" w:rsidR="005A1A75" w:rsidRDefault="005A1A75">
            <w:pPr>
              <w:pStyle w:val="TableColHeadCentre"/>
              <w:rPr>
                <w:rFonts w:eastAsia="Arial"/>
              </w:rPr>
            </w:pPr>
            <w:r w:rsidRPr="1C3734BF">
              <w:rPr>
                <w:rFonts w:eastAsia="Arial"/>
              </w:rPr>
              <w:t>WA</w:t>
            </w:r>
          </w:p>
        </w:tc>
        <w:tc>
          <w:tcPr>
            <w:tcW w:w="735" w:type="dxa"/>
          </w:tcPr>
          <w:p w14:paraId="29156538" w14:textId="77777777" w:rsidR="005A1A75" w:rsidRDefault="005A1A75">
            <w:pPr>
              <w:pStyle w:val="TableColHeadCentre"/>
              <w:rPr>
                <w:rFonts w:eastAsia="Arial"/>
              </w:rPr>
            </w:pPr>
            <w:r w:rsidRPr="1C3734BF">
              <w:rPr>
                <w:rFonts w:eastAsia="Arial"/>
              </w:rPr>
              <w:t>SA</w:t>
            </w:r>
          </w:p>
        </w:tc>
        <w:tc>
          <w:tcPr>
            <w:tcW w:w="735" w:type="dxa"/>
          </w:tcPr>
          <w:p w14:paraId="34D8D748" w14:textId="3D07AB14" w:rsidR="005A1A75" w:rsidRDefault="005A1A75">
            <w:pPr>
              <w:pStyle w:val="TableColHeadCentre"/>
              <w:rPr>
                <w:rFonts w:eastAsia="Arial"/>
              </w:rPr>
            </w:pPr>
            <w:r w:rsidRPr="1C3734BF">
              <w:rPr>
                <w:rFonts w:eastAsia="Arial"/>
              </w:rPr>
              <w:t>T</w:t>
            </w:r>
            <w:r w:rsidR="006E153F" w:rsidRPr="1C3734BF">
              <w:rPr>
                <w:rFonts w:eastAsia="Arial"/>
              </w:rPr>
              <w:t>as</w:t>
            </w:r>
          </w:p>
        </w:tc>
        <w:tc>
          <w:tcPr>
            <w:tcW w:w="696" w:type="dxa"/>
          </w:tcPr>
          <w:p w14:paraId="7DC7B8FF" w14:textId="77777777" w:rsidR="005A1A75" w:rsidRDefault="005A1A75">
            <w:pPr>
              <w:pStyle w:val="TableColHeadCentre"/>
              <w:rPr>
                <w:rFonts w:eastAsia="Arial"/>
              </w:rPr>
            </w:pPr>
            <w:r w:rsidRPr="1C3734BF">
              <w:rPr>
                <w:rFonts w:eastAsia="Arial"/>
              </w:rPr>
              <w:t>ACT</w:t>
            </w:r>
          </w:p>
        </w:tc>
        <w:tc>
          <w:tcPr>
            <w:tcW w:w="756" w:type="dxa"/>
          </w:tcPr>
          <w:p w14:paraId="721118A7" w14:textId="77777777" w:rsidR="005A1A75" w:rsidRDefault="005A1A75">
            <w:pPr>
              <w:pStyle w:val="TableColHeadCentre"/>
              <w:rPr>
                <w:rFonts w:eastAsia="Arial"/>
              </w:rPr>
            </w:pPr>
            <w:r w:rsidRPr="1C3734BF">
              <w:rPr>
                <w:rFonts w:eastAsia="Arial"/>
              </w:rPr>
              <w:t>NT</w:t>
            </w:r>
          </w:p>
        </w:tc>
        <w:tc>
          <w:tcPr>
            <w:tcW w:w="940" w:type="dxa"/>
          </w:tcPr>
          <w:p w14:paraId="14EBAEFD" w14:textId="5A91CA5F" w:rsidR="005A1A75" w:rsidRDefault="005A1A75">
            <w:pPr>
              <w:pStyle w:val="TableColHeadCentre"/>
              <w:rPr>
                <w:rFonts w:eastAsia="Arial"/>
              </w:rPr>
            </w:pPr>
            <w:r w:rsidRPr="1C3734BF">
              <w:rPr>
                <w:rFonts w:eastAsia="Arial"/>
              </w:rPr>
              <w:t>A</w:t>
            </w:r>
            <w:r w:rsidR="00670C41" w:rsidRPr="1C3734BF">
              <w:rPr>
                <w:rFonts w:eastAsia="Arial"/>
              </w:rPr>
              <w:t>us</w:t>
            </w:r>
          </w:p>
        </w:tc>
      </w:tr>
      <w:tr w:rsidR="005A1A75" w14:paraId="25E01EB8" w14:textId="77777777">
        <w:trPr>
          <w:trHeight w:val="300"/>
        </w:trPr>
        <w:tc>
          <w:tcPr>
            <w:tcW w:w="1320" w:type="dxa"/>
          </w:tcPr>
          <w:p w14:paraId="3FEC3C04" w14:textId="77777777" w:rsidR="005A1A75" w:rsidRDefault="005A1A75">
            <w:pPr>
              <w:pStyle w:val="TableText"/>
              <w:rPr>
                <w:rFonts w:eastAsia="Arial" w:cs="Arial"/>
              </w:rPr>
            </w:pPr>
            <w:r w:rsidRPr="1C3734BF">
              <w:rPr>
                <w:rFonts w:eastAsia="Arial" w:cs="Arial"/>
              </w:rPr>
              <w:t>2017–18</w:t>
            </w:r>
          </w:p>
        </w:tc>
        <w:tc>
          <w:tcPr>
            <w:tcW w:w="858" w:type="dxa"/>
          </w:tcPr>
          <w:p w14:paraId="64C72CDC" w14:textId="77777777" w:rsidR="005A1A75" w:rsidRDefault="005A1A75">
            <w:pPr>
              <w:pStyle w:val="TableText"/>
              <w:rPr>
                <w:rFonts w:eastAsia="Arial" w:cs="Arial"/>
              </w:rPr>
            </w:pPr>
            <w:r w:rsidRPr="1CB6B036">
              <w:rPr>
                <w:rFonts w:eastAsia="Arial" w:cs="Arial"/>
              </w:rPr>
              <w:t>2,330</w:t>
            </w:r>
            <w:r w:rsidRPr="1C3734BF">
              <w:rPr>
                <w:rFonts w:eastAsia="Arial" w:cs="Arial"/>
              </w:rPr>
              <w:t>.3</w:t>
            </w:r>
          </w:p>
        </w:tc>
        <w:tc>
          <w:tcPr>
            <w:tcW w:w="862" w:type="dxa"/>
          </w:tcPr>
          <w:p w14:paraId="4810D1BB" w14:textId="77777777" w:rsidR="005A1A75" w:rsidRDefault="005A1A75">
            <w:pPr>
              <w:pStyle w:val="TableText"/>
              <w:rPr>
                <w:rFonts w:eastAsia="Arial" w:cs="Arial"/>
                <w:vertAlign w:val="superscript"/>
              </w:rPr>
            </w:pPr>
            <w:r w:rsidRPr="5291EBE7">
              <w:rPr>
                <w:rFonts w:eastAsia="Arial" w:cs="Arial"/>
              </w:rPr>
              <w:t>1,704</w:t>
            </w:r>
            <w:r w:rsidRPr="1C3734BF">
              <w:rPr>
                <w:rFonts w:eastAsia="Arial" w:cs="Arial"/>
              </w:rPr>
              <w:t>.2</w:t>
            </w:r>
            <w:r w:rsidRPr="1C3734BF">
              <w:rPr>
                <w:rFonts w:eastAsia="Arial" w:cs="Arial"/>
                <w:vertAlign w:val="superscript"/>
              </w:rPr>
              <w:t>I</w:t>
            </w:r>
          </w:p>
        </w:tc>
        <w:tc>
          <w:tcPr>
            <w:tcW w:w="862" w:type="dxa"/>
          </w:tcPr>
          <w:p w14:paraId="484ADCA8" w14:textId="77777777" w:rsidR="005A1A75" w:rsidRDefault="005A1A75">
            <w:pPr>
              <w:pStyle w:val="TableText"/>
              <w:rPr>
                <w:rFonts w:eastAsia="Arial" w:cs="Arial"/>
                <w:vertAlign w:val="superscript"/>
              </w:rPr>
            </w:pPr>
            <w:r w:rsidRPr="00210862">
              <w:rPr>
                <w:rFonts w:eastAsia="Arial" w:cs="Arial"/>
              </w:rPr>
              <w:t>1,188</w:t>
            </w:r>
            <w:r w:rsidRPr="1C3734BF">
              <w:rPr>
                <w:rFonts w:eastAsia="Arial" w:cs="Arial"/>
              </w:rPr>
              <w:t>.1</w:t>
            </w:r>
            <w:r w:rsidRPr="1C3734BF">
              <w:rPr>
                <w:rFonts w:eastAsia="Arial" w:cs="Arial"/>
                <w:vertAlign w:val="superscript"/>
              </w:rPr>
              <w:t>I</w:t>
            </w:r>
          </w:p>
        </w:tc>
        <w:tc>
          <w:tcPr>
            <w:tcW w:w="735" w:type="dxa"/>
          </w:tcPr>
          <w:p w14:paraId="7AFFFE2E" w14:textId="77777777" w:rsidR="005A1A75" w:rsidRDefault="005A1A75">
            <w:pPr>
              <w:pStyle w:val="TableText"/>
              <w:rPr>
                <w:rFonts w:eastAsia="Arial" w:cs="Arial"/>
              </w:rPr>
            </w:pPr>
            <w:r w:rsidRPr="1C3734BF">
              <w:rPr>
                <w:rFonts w:eastAsia="Arial" w:cs="Arial"/>
              </w:rPr>
              <w:t>359.0</w:t>
            </w:r>
          </w:p>
        </w:tc>
        <w:tc>
          <w:tcPr>
            <w:tcW w:w="735" w:type="dxa"/>
          </w:tcPr>
          <w:p w14:paraId="49C73328" w14:textId="77777777" w:rsidR="005A1A75" w:rsidRDefault="005A1A75">
            <w:pPr>
              <w:pStyle w:val="TableText"/>
              <w:rPr>
                <w:rFonts w:eastAsia="Arial" w:cs="Arial"/>
              </w:rPr>
            </w:pPr>
            <w:r w:rsidRPr="1C3734BF">
              <w:rPr>
                <w:rFonts w:eastAsia="Arial" w:cs="Arial"/>
              </w:rPr>
              <w:t>393.3</w:t>
            </w:r>
          </w:p>
        </w:tc>
        <w:tc>
          <w:tcPr>
            <w:tcW w:w="735" w:type="dxa"/>
          </w:tcPr>
          <w:p w14:paraId="7A025687" w14:textId="77777777" w:rsidR="005A1A75" w:rsidRDefault="005A1A75">
            <w:pPr>
              <w:pStyle w:val="TableText"/>
              <w:rPr>
                <w:rFonts w:eastAsia="Arial" w:cs="Arial"/>
                <w:vertAlign w:val="superscript"/>
              </w:rPr>
            </w:pPr>
            <w:r w:rsidRPr="1C3734BF">
              <w:rPr>
                <w:rFonts w:eastAsia="Arial" w:cs="Arial"/>
              </w:rPr>
              <w:t>77.0</w:t>
            </w:r>
            <w:r w:rsidRPr="1C3734BF">
              <w:rPr>
                <w:rFonts w:eastAsia="Arial" w:cs="Arial"/>
                <w:vertAlign w:val="superscript"/>
              </w:rPr>
              <w:t>I</w:t>
            </w:r>
          </w:p>
        </w:tc>
        <w:tc>
          <w:tcPr>
            <w:tcW w:w="696" w:type="dxa"/>
          </w:tcPr>
          <w:p w14:paraId="46BE6072" w14:textId="77777777" w:rsidR="005A1A75" w:rsidRDefault="005A1A75">
            <w:pPr>
              <w:pStyle w:val="TableText"/>
              <w:rPr>
                <w:rFonts w:eastAsia="Arial" w:cs="Arial"/>
                <w:vertAlign w:val="superscript"/>
              </w:rPr>
            </w:pPr>
            <w:r w:rsidRPr="1C3734BF">
              <w:rPr>
                <w:rFonts w:eastAsia="Arial" w:cs="Arial"/>
              </w:rPr>
              <w:t>48.9</w:t>
            </w:r>
            <w:r w:rsidRPr="1C3734BF">
              <w:rPr>
                <w:rFonts w:eastAsia="Arial" w:cs="Arial"/>
                <w:vertAlign w:val="superscript"/>
              </w:rPr>
              <w:t>I</w:t>
            </w:r>
          </w:p>
        </w:tc>
        <w:tc>
          <w:tcPr>
            <w:tcW w:w="756" w:type="dxa"/>
          </w:tcPr>
          <w:p w14:paraId="1086C25E" w14:textId="77777777" w:rsidR="005A1A75" w:rsidRDefault="005A1A75">
            <w:pPr>
              <w:pStyle w:val="TableText"/>
              <w:rPr>
                <w:rFonts w:eastAsia="Arial" w:cs="Arial"/>
                <w:vertAlign w:val="superscript"/>
              </w:rPr>
            </w:pPr>
            <w:r w:rsidRPr="1C3734BF">
              <w:rPr>
                <w:rFonts w:eastAsia="Arial" w:cs="Arial"/>
              </w:rPr>
              <w:t>94.3</w:t>
            </w:r>
            <w:r w:rsidRPr="1C3734BF">
              <w:rPr>
                <w:rFonts w:eastAsia="Arial" w:cs="Arial"/>
                <w:vertAlign w:val="superscript"/>
              </w:rPr>
              <w:t>E</w:t>
            </w:r>
          </w:p>
        </w:tc>
        <w:tc>
          <w:tcPr>
            <w:tcW w:w="940" w:type="dxa"/>
          </w:tcPr>
          <w:p w14:paraId="1CDB5888" w14:textId="77777777" w:rsidR="005A1A75" w:rsidRDefault="005A1A75">
            <w:pPr>
              <w:pStyle w:val="TableText"/>
              <w:rPr>
                <w:rFonts w:eastAsia="Arial" w:cs="Arial"/>
                <w:vertAlign w:val="superscript"/>
              </w:rPr>
            </w:pPr>
            <w:r w:rsidRPr="00210862">
              <w:rPr>
                <w:rFonts w:eastAsia="Arial" w:cs="Arial"/>
              </w:rPr>
              <w:t>6,195</w:t>
            </w:r>
            <w:r w:rsidRPr="462F8675">
              <w:rPr>
                <w:rFonts w:eastAsia="Arial" w:cs="Arial"/>
              </w:rPr>
              <w:t>.</w:t>
            </w:r>
            <w:r>
              <w:rPr>
                <w:rFonts w:eastAsia="Arial" w:cs="Arial"/>
              </w:rPr>
              <w:t>3</w:t>
            </w:r>
            <w:r w:rsidRPr="462F8675">
              <w:rPr>
                <w:rFonts w:eastAsia="Arial" w:cs="Arial"/>
                <w:vertAlign w:val="superscript"/>
              </w:rPr>
              <w:t>EI</w:t>
            </w:r>
          </w:p>
        </w:tc>
      </w:tr>
      <w:tr w:rsidR="005A1A75" w14:paraId="70246F86" w14:textId="77777777">
        <w:trPr>
          <w:trHeight w:val="300"/>
        </w:trPr>
        <w:tc>
          <w:tcPr>
            <w:tcW w:w="1320" w:type="dxa"/>
          </w:tcPr>
          <w:p w14:paraId="22072CFF" w14:textId="77777777" w:rsidR="005A1A75" w:rsidRDefault="005A1A75">
            <w:pPr>
              <w:pStyle w:val="TableText"/>
              <w:rPr>
                <w:rFonts w:eastAsia="Arial" w:cs="Arial"/>
              </w:rPr>
            </w:pPr>
            <w:r w:rsidRPr="1C3734BF">
              <w:rPr>
                <w:rFonts w:eastAsia="Arial" w:cs="Arial"/>
              </w:rPr>
              <w:t>2018–19</w:t>
            </w:r>
          </w:p>
        </w:tc>
        <w:tc>
          <w:tcPr>
            <w:tcW w:w="858" w:type="dxa"/>
          </w:tcPr>
          <w:p w14:paraId="0855F64D" w14:textId="77777777" w:rsidR="005A1A75" w:rsidRDefault="005A1A75">
            <w:pPr>
              <w:pStyle w:val="TableText"/>
              <w:rPr>
                <w:rFonts w:eastAsia="Arial" w:cs="Arial"/>
              </w:rPr>
            </w:pPr>
            <w:r w:rsidRPr="09F2CEEF">
              <w:rPr>
                <w:rFonts w:eastAsia="Arial" w:cs="Arial"/>
              </w:rPr>
              <w:t>2,480</w:t>
            </w:r>
            <w:r w:rsidRPr="1C3734BF">
              <w:rPr>
                <w:rFonts w:eastAsia="Arial" w:cs="Arial"/>
              </w:rPr>
              <w:t>.5</w:t>
            </w:r>
          </w:p>
        </w:tc>
        <w:tc>
          <w:tcPr>
            <w:tcW w:w="862" w:type="dxa"/>
          </w:tcPr>
          <w:p w14:paraId="64D69C45" w14:textId="77777777" w:rsidR="005A1A75" w:rsidRDefault="005A1A75">
            <w:pPr>
              <w:pStyle w:val="TableText"/>
              <w:rPr>
                <w:rFonts w:eastAsia="Arial" w:cs="Arial"/>
                <w:vertAlign w:val="superscript"/>
              </w:rPr>
            </w:pPr>
            <w:r w:rsidRPr="5291EBE7">
              <w:rPr>
                <w:rFonts w:eastAsia="Arial" w:cs="Arial"/>
              </w:rPr>
              <w:t>1,820</w:t>
            </w:r>
            <w:r w:rsidRPr="1C3734BF">
              <w:rPr>
                <w:rFonts w:eastAsia="Arial" w:cs="Arial"/>
              </w:rPr>
              <w:t>.3</w:t>
            </w:r>
            <w:r w:rsidRPr="1C3734BF">
              <w:rPr>
                <w:rFonts w:eastAsia="Arial" w:cs="Arial"/>
                <w:vertAlign w:val="superscript"/>
              </w:rPr>
              <w:t>I</w:t>
            </w:r>
          </w:p>
        </w:tc>
        <w:tc>
          <w:tcPr>
            <w:tcW w:w="862" w:type="dxa"/>
          </w:tcPr>
          <w:p w14:paraId="1835FB08" w14:textId="77777777" w:rsidR="005A1A75" w:rsidRDefault="005A1A75">
            <w:pPr>
              <w:pStyle w:val="TableText"/>
              <w:rPr>
                <w:rFonts w:eastAsia="Arial" w:cs="Arial"/>
                <w:vertAlign w:val="superscript"/>
              </w:rPr>
            </w:pPr>
            <w:r w:rsidRPr="00210862">
              <w:rPr>
                <w:rFonts w:eastAsia="Arial" w:cs="Arial"/>
              </w:rPr>
              <w:t>1,268</w:t>
            </w:r>
            <w:r w:rsidRPr="1C3734BF">
              <w:rPr>
                <w:rFonts w:eastAsia="Arial" w:cs="Arial"/>
              </w:rPr>
              <w:t>.6</w:t>
            </w:r>
            <w:r w:rsidRPr="1C3734BF">
              <w:rPr>
                <w:rFonts w:eastAsia="Arial" w:cs="Arial"/>
                <w:vertAlign w:val="superscript"/>
              </w:rPr>
              <w:t>I</w:t>
            </w:r>
          </w:p>
        </w:tc>
        <w:tc>
          <w:tcPr>
            <w:tcW w:w="735" w:type="dxa"/>
          </w:tcPr>
          <w:p w14:paraId="69EC0DF6" w14:textId="77777777" w:rsidR="005A1A75" w:rsidRDefault="005A1A75">
            <w:pPr>
              <w:pStyle w:val="TableText"/>
              <w:rPr>
                <w:rFonts w:eastAsia="Arial" w:cs="Arial"/>
              </w:rPr>
            </w:pPr>
            <w:r w:rsidRPr="1C3734BF">
              <w:rPr>
                <w:rFonts w:eastAsia="Arial" w:cs="Arial"/>
              </w:rPr>
              <w:t>383.7</w:t>
            </w:r>
          </w:p>
        </w:tc>
        <w:tc>
          <w:tcPr>
            <w:tcW w:w="735" w:type="dxa"/>
          </w:tcPr>
          <w:p w14:paraId="1FE08F14" w14:textId="77777777" w:rsidR="005A1A75" w:rsidRDefault="005A1A75">
            <w:pPr>
              <w:pStyle w:val="TableText"/>
              <w:rPr>
                <w:rFonts w:eastAsia="Arial" w:cs="Arial"/>
              </w:rPr>
            </w:pPr>
            <w:r w:rsidRPr="1C3734BF">
              <w:rPr>
                <w:rFonts w:eastAsia="Arial" w:cs="Arial"/>
              </w:rPr>
              <w:t>409.7</w:t>
            </w:r>
          </w:p>
        </w:tc>
        <w:tc>
          <w:tcPr>
            <w:tcW w:w="735" w:type="dxa"/>
          </w:tcPr>
          <w:p w14:paraId="04DDBDA6" w14:textId="77777777" w:rsidR="005A1A75" w:rsidRDefault="005A1A75">
            <w:pPr>
              <w:pStyle w:val="TableText"/>
              <w:rPr>
                <w:rFonts w:eastAsia="Arial" w:cs="Arial"/>
                <w:vertAlign w:val="superscript"/>
              </w:rPr>
            </w:pPr>
            <w:r w:rsidRPr="1C3734BF">
              <w:rPr>
                <w:rFonts w:eastAsia="Arial" w:cs="Arial"/>
              </w:rPr>
              <w:t>83.5</w:t>
            </w:r>
            <w:r w:rsidRPr="1C3734BF">
              <w:rPr>
                <w:rFonts w:eastAsia="Arial" w:cs="Arial"/>
                <w:vertAlign w:val="superscript"/>
              </w:rPr>
              <w:t>I</w:t>
            </w:r>
          </w:p>
        </w:tc>
        <w:tc>
          <w:tcPr>
            <w:tcW w:w="696" w:type="dxa"/>
          </w:tcPr>
          <w:p w14:paraId="49C13271" w14:textId="77777777" w:rsidR="005A1A75" w:rsidRDefault="005A1A75">
            <w:pPr>
              <w:pStyle w:val="TableText"/>
              <w:rPr>
                <w:rFonts w:eastAsia="Arial" w:cs="Arial"/>
                <w:vertAlign w:val="superscript"/>
              </w:rPr>
            </w:pPr>
            <w:r w:rsidRPr="1C3734BF">
              <w:rPr>
                <w:rFonts w:eastAsia="Arial" w:cs="Arial"/>
              </w:rPr>
              <w:t>51.7</w:t>
            </w:r>
            <w:r w:rsidRPr="1C3734BF">
              <w:rPr>
                <w:rFonts w:eastAsia="Arial" w:cs="Arial"/>
                <w:vertAlign w:val="superscript"/>
              </w:rPr>
              <w:t>I</w:t>
            </w:r>
          </w:p>
        </w:tc>
        <w:tc>
          <w:tcPr>
            <w:tcW w:w="756" w:type="dxa"/>
          </w:tcPr>
          <w:p w14:paraId="13B8E82E" w14:textId="77777777" w:rsidR="005A1A75" w:rsidRDefault="005A1A75">
            <w:pPr>
              <w:pStyle w:val="TableText"/>
              <w:rPr>
                <w:rFonts w:eastAsia="Arial" w:cs="Arial"/>
              </w:rPr>
            </w:pPr>
            <w:r w:rsidRPr="1C3734BF">
              <w:rPr>
                <w:rFonts w:eastAsia="Arial" w:cs="Arial"/>
              </w:rPr>
              <w:t>96.3</w:t>
            </w:r>
          </w:p>
        </w:tc>
        <w:tc>
          <w:tcPr>
            <w:tcW w:w="940" w:type="dxa"/>
          </w:tcPr>
          <w:p w14:paraId="37AFD8FF" w14:textId="77777777" w:rsidR="005A1A75" w:rsidRDefault="005A1A75">
            <w:pPr>
              <w:pStyle w:val="TableText"/>
              <w:rPr>
                <w:rFonts w:eastAsia="Arial" w:cs="Arial"/>
                <w:vertAlign w:val="superscript"/>
              </w:rPr>
            </w:pPr>
            <w:r w:rsidRPr="00210862">
              <w:rPr>
                <w:rFonts w:eastAsia="Arial" w:cs="Arial"/>
              </w:rPr>
              <w:t>6,594</w:t>
            </w:r>
            <w:r w:rsidRPr="0BF117F5">
              <w:rPr>
                <w:rFonts w:eastAsia="Arial" w:cs="Arial"/>
              </w:rPr>
              <w:t>.3</w:t>
            </w:r>
            <w:r w:rsidRPr="1C3734BF">
              <w:rPr>
                <w:rFonts w:eastAsia="Arial" w:cs="Arial"/>
                <w:vertAlign w:val="superscript"/>
              </w:rPr>
              <w:t>I</w:t>
            </w:r>
          </w:p>
        </w:tc>
      </w:tr>
      <w:tr w:rsidR="005A1A75" w14:paraId="3E50C3DF" w14:textId="77777777">
        <w:trPr>
          <w:trHeight w:val="300"/>
        </w:trPr>
        <w:tc>
          <w:tcPr>
            <w:tcW w:w="1320" w:type="dxa"/>
          </w:tcPr>
          <w:p w14:paraId="40D74D0F" w14:textId="77777777" w:rsidR="005A1A75" w:rsidRDefault="005A1A75">
            <w:pPr>
              <w:pStyle w:val="TableText"/>
              <w:rPr>
                <w:rFonts w:eastAsia="Arial" w:cs="Arial"/>
              </w:rPr>
            </w:pPr>
            <w:r w:rsidRPr="1C3734BF">
              <w:rPr>
                <w:rFonts w:eastAsia="Arial" w:cs="Arial"/>
              </w:rPr>
              <w:t>2019–20</w:t>
            </w:r>
          </w:p>
        </w:tc>
        <w:tc>
          <w:tcPr>
            <w:tcW w:w="858" w:type="dxa"/>
          </w:tcPr>
          <w:p w14:paraId="1EB40926" w14:textId="77777777" w:rsidR="005A1A75" w:rsidRDefault="005A1A75">
            <w:pPr>
              <w:pStyle w:val="TableText"/>
              <w:rPr>
                <w:rFonts w:eastAsia="Arial" w:cs="Arial"/>
                <w:vertAlign w:val="superscript"/>
              </w:rPr>
            </w:pPr>
            <w:r w:rsidRPr="09F2CEEF">
              <w:rPr>
                <w:rFonts w:eastAsia="Arial" w:cs="Arial"/>
              </w:rPr>
              <w:t>2,225</w:t>
            </w:r>
            <w:r w:rsidRPr="1C3734BF">
              <w:rPr>
                <w:rFonts w:eastAsia="Arial" w:cs="Arial"/>
              </w:rPr>
              <w:t>.4</w:t>
            </w:r>
            <w:r w:rsidRPr="1C3734BF">
              <w:rPr>
                <w:rFonts w:eastAsia="Arial" w:cs="Arial"/>
                <w:vertAlign w:val="superscript"/>
              </w:rPr>
              <w:t>R</w:t>
            </w:r>
          </w:p>
        </w:tc>
        <w:tc>
          <w:tcPr>
            <w:tcW w:w="862" w:type="dxa"/>
          </w:tcPr>
          <w:p w14:paraId="7BCFC254" w14:textId="77777777" w:rsidR="005A1A75" w:rsidRDefault="005A1A75">
            <w:pPr>
              <w:pStyle w:val="TableText"/>
              <w:rPr>
                <w:rFonts w:eastAsia="Arial" w:cs="Arial"/>
                <w:vertAlign w:val="superscript"/>
              </w:rPr>
            </w:pPr>
            <w:r w:rsidRPr="5291EBE7">
              <w:rPr>
                <w:rFonts w:eastAsia="Arial" w:cs="Arial"/>
              </w:rPr>
              <w:t>1,475</w:t>
            </w:r>
            <w:r w:rsidRPr="1C3734BF">
              <w:rPr>
                <w:rFonts w:eastAsia="Arial" w:cs="Arial"/>
              </w:rPr>
              <w:t>.8</w:t>
            </w:r>
            <w:r w:rsidRPr="1C3734BF">
              <w:rPr>
                <w:rFonts w:eastAsia="Arial" w:cs="Arial"/>
                <w:vertAlign w:val="superscript"/>
              </w:rPr>
              <w:t>I</w:t>
            </w:r>
          </w:p>
        </w:tc>
        <w:tc>
          <w:tcPr>
            <w:tcW w:w="862" w:type="dxa"/>
          </w:tcPr>
          <w:p w14:paraId="6C5F1450" w14:textId="77777777" w:rsidR="005A1A75" w:rsidRDefault="005A1A75">
            <w:pPr>
              <w:pStyle w:val="TableText"/>
              <w:rPr>
                <w:rFonts w:eastAsia="Arial" w:cs="Arial"/>
              </w:rPr>
            </w:pPr>
            <w:r w:rsidRPr="00210862">
              <w:rPr>
                <w:rFonts w:eastAsia="Arial" w:cs="Arial"/>
              </w:rPr>
              <w:t>1,181</w:t>
            </w:r>
            <w:r w:rsidRPr="1C3734BF">
              <w:rPr>
                <w:rFonts w:eastAsia="Arial" w:cs="Arial"/>
              </w:rPr>
              <w:t>.6</w:t>
            </w:r>
          </w:p>
        </w:tc>
        <w:tc>
          <w:tcPr>
            <w:tcW w:w="735" w:type="dxa"/>
          </w:tcPr>
          <w:p w14:paraId="169B2E63" w14:textId="77777777" w:rsidR="005A1A75" w:rsidRDefault="005A1A75">
            <w:pPr>
              <w:pStyle w:val="TableText"/>
              <w:rPr>
                <w:rFonts w:eastAsia="Arial" w:cs="Arial"/>
              </w:rPr>
            </w:pPr>
            <w:r w:rsidRPr="1C3734BF">
              <w:rPr>
                <w:rFonts w:eastAsia="Arial" w:cs="Arial"/>
              </w:rPr>
              <w:t>412.7</w:t>
            </w:r>
          </w:p>
        </w:tc>
        <w:tc>
          <w:tcPr>
            <w:tcW w:w="735" w:type="dxa"/>
          </w:tcPr>
          <w:p w14:paraId="5A4F400A" w14:textId="77777777" w:rsidR="005A1A75" w:rsidRDefault="005A1A75">
            <w:pPr>
              <w:pStyle w:val="TableText"/>
              <w:rPr>
                <w:rFonts w:eastAsia="Arial" w:cs="Arial"/>
              </w:rPr>
            </w:pPr>
            <w:r w:rsidRPr="1C3734BF">
              <w:rPr>
                <w:rFonts w:eastAsia="Arial" w:cs="Arial"/>
              </w:rPr>
              <w:t>338.7</w:t>
            </w:r>
          </w:p>
        </w:tc>
        <w:tc>
          <w:tcPr>
            <w:tcW w:w="735" w:type="dxa"/>
          </w:tcPr>
          <w:p w14:paraId="2D58A2B1" w14:textId="77777777" w:rsidR="005A1A75" w:rsidRDefault="005A1A75">
            <w:pPr>
              <w:pStyle w:val="TableText"/>
              <w:rPr>
                <w:rFonts w:eastAsia="Arial" w:cs="Arial"/>
                <w:vertAlign w:val="superscript"/>
              </w:rPr>
            </w:pPr>
            <w:r w:rsidRPr="1C3734BF">
              <w:rPr>
                <w:rFonts w:eastAsia="Arial" w:cs="Arial"/>
              </w:rPr>
              <w:t>83.6</w:t>
            </w:r>
            <w:r w:rsidRPr="1C3734BF">
              <w:rPr>
                <w:rFonts w:eastAsia="Arial" w:cs="Arial"/>
                <w:vertAlign w:val="superscript"/>
              </w:rPr>
              <w:t>I</w:t>
            </w:r>
          </w:p>
        </w:tc>
        <w:tc>
          <w:tcPr>
            <w:tcW w:w="696" w:type="dxa"/>
          </w:tcPr>
          <w:p w14:paraId="3C6618B9" w14:textId="77777777" w:rsidR="005A1A75" w:rsidRDefault="005A1A75">
            <w:pPr>
              <w:pStyle w:val="TableText"/>
              <w:rPr>
                <w:rFonts w:eastAsia="Arial" w:cs="Arial"/>
              </w:rPr>
            </w:pPr>
            <w:r w:rsidRPr="1C3734BF">
              <w:rPr>
                <w:rFonts w:eastAsia="Arial" w:cs="Arial"/>
              </w:rPr>
              <w:t>55.7</w:t>
            </w:r>
          </w:p>
        </w:tc>
        <w:tc>
          <w:tcPr>
            <w:tcW w:w="756" w:type="dxa"/>
          </w:tcPr>
          <w:p w14:paraId="33CF426E" w14:textId="77777777" w:rsidR="005A1A75" w:rsidRDefault="005A1A75">
            <w:pPr>
              <w:pStyle w:val="TableText"/>
              <w:rPr>
                <w:rFonts w:eastAsia="Arial" w:cs="Arial"/>
              </w:rPr>
            </w:pPr>
            <w:r w:rsidRPr="1C3734BF">
              <w:rPr>
                <w:rFonts w:eastAsia="Arial" w:cs="Arial"/>
              </w:rPr>
              <w:t>75.1</w:t>
            </w:r>
          </w:p>
        </w:tc>
        <w:tc>
          <w:tcPr>
            <w:tcW w:w="940" w:type="dxa"/>
          </w:tcPr>
          <w:p w14:paraId="31344BE8" w14:textId="77777777" w:rsidR="005A1A75" w:rsidRDefault="005A1A75">
            <w:pPr>
              <w:pStyle w:val="TableText"/>
              <w:rPr>
                <w:rFonts w:eastAsia="Arial" w:cs="Arial"/>
                <w:vertAlign w:val="superscript"/>
              </w:rPr>
            </w:pPr>
            <w:r w:rsidRPr="00210862">
              <w:rPr>
                <w:rFonts w:eastAsia="Arial" w:cs="Arial"/>
              </w:rPr>
              <w:t>5,848</w:t>
            </w:r>
            <w:r w:rsidRPr="5656E451">
              <w:rPr>
                <w:rFonts w:eastAsia="Arial" w:cs="Arial"/>
              </w:rPr>
              <w:t>.5</w:t>
            </w:r>
            <w:r w:rsidRPr="1C3734BF">
              <w:rPr>
                <w:rFonts w:eastAsia="Arial" w:cs="Arial"/>
                <w:vertAlign w:val="superscript"/>
              </w:rPr>
              <w:t>IR</w:t>
            </w:r>
          </w:p>
        </w:tc>
      </w:tr>
      <w:tr w:rsidR="005A1A75" w14:paraId="160A1CD2" w14:textId="77777777">
        <w:trPr>
          <w:trHeight w:val="300"/>
        </w:trPr>
        <w:tc>
          <w:tcPr>
            <w:tcW w:w="1320" w:type="dxa"/>
          </w:tcPr>
          <w:p w14:paraId="3B770B84" w14:textId="77777777" w:rsidR="005A1A75" w:rsidRDefault="005A1A75">
            <w:pPr>
              <w:pStyle w:val="TableText"/>
              <w:rPr>
                <w:rFonts w:eastAsia="Arial" w:cs="Arial"/>
              </w:rPr>
            </w:pPr>
            <w:r w:rsidRPr="1C3734BF">
              <w:rPr>
                <w:rFonts w:eastAsia="Arial" w:cs="Arial"/>
              </w:rPr>
              <w:t>2020–21</w:t>
            </w:r>
          </w:p>
        </w:tc>
        <w:tc>
          <w:tcPr>
            <w:tcW w:w="858" w:type="dxa"/>
          </w:tcPr>
          <w:p w14:paraId="6101A80F" w14:textId="77777777" w:rsidR="005A1A75" w:rsidRDefault="005A1A75">
            <w:pPr>
              <w:pStyle w:val="TableText"/>
              <w:rPr>
                <w:rFonts w:eastAsia="Arial" w:cs="Arial"/>
                <w:vertAlign w:val="superscript"/>
              </w:rPr>
            </w:pPr>
            <w:r w:rsidRPr="09F2CEEF">
              <w:rPr>
                <w:rFonts w:eastAsia="Arial" w:cs="Arial"/>
              </w:rPr>
              <w:t>2,590</w:t>
            </w:r>
            <w:r w:rsidRPr="1C3734BF">
              <w:rPr>
                <w:rFonts w:eastAsia="Arial" w:cs="Arial"/>
              </w:rPr>
              <w:t>.6</w:t>
            </w:r>
            <w:r w:rsidRPr="1C3734BF">
              <w:rPr>
                <w:rFonts w:eastAsia="Arial" w:cs="Arial"/>
                <w:vertAlign w:val="superscript"/>
              </w:rPr>
              <w:t>R</w:t>
            </w:r>
          </w:p>
        </w:tc>
        <w:tc>
          <w:tcPr>
            <w:tcW w:w="862" w:type="dxa"/>
          </w:tcPr>
          <w:p w14:paraId="179930E0" w14:textId="77777777" w:rsidR="005A1A75" w:rsidRDefault="005A1A75">
            <w:pPr>
              <w:pStyle w:val="TableText"/>
              <w:rPr>
                <w:rFonts w:eastAsia="Arial" w:cs="Arial"/>
                <w:vertAlign w:val="superscript"/>
              </w:rPr>
            </w:pPr>
            <w:r w:rsidRPr="5291EBE7">
              <w:rPr>
                <w:rFonts w:eastAsia="Arial" w:cs="Arial"/>
              </w:rPr>
              <w:t>1,277</w:t>
            </w:r>
            <w:r w:rsidRPr="1C3734BF">
              <w:rPr>
                <w:rFonts w:eastAsia="Arial" w:cs="Arial"/>
              </w:rPr>
              <w:t>.3</w:t>
            </w:r>
            <w:r w:rsidRPr="1C3734BF">
              <w:rPr>
                <w:rFonts w:eastAsia="Arial" w:cs="Arial"/>
                <w:vertAlign w:val="superscript"/>
              </w:rPr>
              <w:t>I</w:t>
            </w:r>
          </w:p>
        </w:tc>
        <w:tc>
          <w:tcPr>
            <w:tcW w:w="862" w:type="dxa"/>
          </w:tcPr>
          <w:p w14:paraId="6AF4CAA7" w14:textId="77777777" w:rsidR="005A1A75" w:rsidRDefault="005A1A75">
            <w:pPr>
              <w:pStyle w:val="TableText"/>
              <w:rPr>
                <w:rFonts w:eastAsia="Arial" w:cs="Arial"/>
              </w:rPr>
            </w:pPr>
            <w:r w:rsidRPr="00210862">
              <w:rPr>
                <w:rFonts w:eastAsia="Arial" w:cs="Arial"/>
              </w:rPr>
              <w:t>1,659</w:t>
            </w:r>
            <w:r w:rsidRPr="1C3734BF">
              <w:rPr>
                <w:rFonts w:eastAsia="Arial" w:cs="Arial"/>
              </w:rPr>
              <w:t>.9</w:t>
            </w:r>
          </w:p>
        </w:tc>
        <w:tc>
          <w:tcPr>
            <w:tcW w:w="735" w:type="dxa"/>
          </w:tcPr>
          <w:p w14:paraId="4C0F5B3C" w14:textId="77777777" w:rsidR="005A1A75" w:rsidRDefault="005A1A75">
            <w:pPr>
              <w:pStyle w:val="TableText"/>
              <w:rPr>
                <w:rFonts w:eastAsia="Arial" w:cs="Arial"/>
              </w:rPr>
            </w:pPr>
            <w:r w:rsidRPr="1C3734BF">
              <w:rPr>
                <w:rFonts w:eastAsia="Arial" w:cs="Arial"/>
              </w:rPr>
              <w:t>482.2</w:t>
            </w:r>
          </w:p>
        </w:tc>
        <w:tc>
          <w:tcPr>
            <w:tcW w:w="735" w:type="dxa"/>
          </w:tcPr>
          <w:p w14:paraId="042BDC4D" w14:textId="77777777" w:rsidR="005A1A75" w:rsidRDefault="005A1A75">
            <w:pPr>
              <w:pStyle w:val="TableText"/>
              <w:rPr>
                <w:rFonts w:eastAsia="Arial" w:cs="Arial"/>
              </w:rPr>
            </w:pPr>
            <w:r w:rsidRPr="1C3734BF">
              <w:rPr>
                <w:rFonts w:eastAsia="Arial" w:cs="Arial"/>
              </w:rPr>
              <w:t>455.9</w:t>
            </w:r>
          </w:p>
        </w:tc>
        <w:tc>
          <w:tcPr>
            <w:tcW w:w="735" w:type="dxa"/>
          </w:tcPr>
          <w:p w14:paraId="21AF1EBC" w14:textId="77777777" w:rsidR="005A1A75" w:rsidRDefault="005A1A75">
            <w:pPr>
              <w:pStyle w:val="TableText"/>
              <w:rPr>
                <w:rFonts w:eastAsia="Arial" w:cs="Arial"/>
              </w:rPr>
            </w:pPr>
            <w:r w:rsidRPr="1C3734BF">
              <w:rPr>
                <w:rFonts w:eastAsia="Arial" w:cs="Arial"/>
              </w:rPr>
              <w:t>107.6</w:t>
            </w:r>
          </w:p>
        </w:tc>
        <w:tc>
          <w:tcPr>
            <w:tcW w:w="696" w:type="dxa"/>
          </w:tcPr>
          <w:p w14:paraId="563AE4F1" w14:textId="77777777" w:rsidR="005A1A75" w:rsidRDefault="005A1A75">
            <w:pPr>
              <w:pStyle w:val="TableText"/>
              <w:rPr>
                <w:rFonts w:eastAsia="Arial" w:cs="Arial"/>
              </w:rPr>
            </w:pPr>
            <w:r w:rsidRPr="1C3734BF">
              <w:rPr>
                <w:rFonts w:eastAsia="Arial" w:cs="Arial"/>
              </w:rPr>
              <w:t>68.0</w:t>
            </w:r>
          </w:p>
        </w:tc>
        <w:tc>
          <w:tcPr>
            <w:tcW w:w="756" w:type="dxa"/>
          </w:tcPr>
          <w:p w14:paraId="2C6DD8CE" w14:textId="77777777" w:rsidR="005A1A75" w:rsidRDefault="005A1A75">
            <w:pPr>
              <w:pStyle w:val="TableText"/>
              <w:rPr>
                <w:rFonts w:eastAsia="Arial" w:cs="Arial"/>
              </w:rPr>
            </w:pPr>
            <w:r w:rsidRPr="1C3734BF">
              <w:rPr>
                <w:rFonts w:eastAsia="Arial" w:cs="Arial"/>
              </w:rPr>
              <w:t>98.9</w:t>
            </w:r>
          </w:p>
        </w:tc>
        <w:tc>
          <w:tcPr>
            <w:tcW w:w="940" w:type="dxa"/>
          </w:tcPr>
          <w:p w14:paraId="0D2315DB" w14:textId="77777777" w:rsidR="005A1A75" w:rsidRDefault="005A1A75">
            <w:pPr>
              <w:pStyle w:val="TableText"/>
              <w:rPr>
                <w:rFonts w:eastAsia="Arial" w:cs="Arial"/>
                <w:vertAlign w:val="superscript"/>
              </w:rPr>
            </w:pPr>
            <w:r w:rsidRPr="00210862">
              <w:rPr>
                <w:rFonts w:eastAsia="Arial" w:cs="Arial"/>
              </w:rPr>
              <w:t>6,740</w:t>
            </w:r>
            <w:r w:rsidRPr="37D81934">
              <w:rPr>
                <w:rFonts w:eastAsia="Arial" w:cs="Arial"/>
              </w:rPr>
              <w:t>.3</w:t>
            </w:r>
            <w:r w:rsidRPr="1C3734BF">
              <w:rPr>
                <w:rFonts w:eastAsia="Arial" w:cs="Arial"/>
                <w:vertAlign w:val="superscript"/>
              </w:rPr>
              <w:t>IR</w:t>
            </w:r>
          </w:p>
        </w:tc>
      </w:tr>
      <w:tr w:rsidR="005A1A75" w14:paraId="37347B80" w14:textId="77777777">
        <w:trPr>
          <w:trHeight w:val="300"/>
        </w:trPr>
        <w:tc>
          <w:tcPr>
            <w:tcW w:w="1320" w:type="dxa"/>
          </w:tcPr>
          <w:p w14:paraId="1D0068DA" w14:textId="77777777" w:rsidR="005A1A75" w:rsidRDefault="005A1A75">
            <w:pPr>
              <w:pStyle w:val="TableText"/>
              <w:rPr>
                <w:rFonts w:eastAsia="Arial" w:cs="Arial"/>
              </w:rPr>
            </w:pPr>
            <w:r w:rsidRPr="1C3734BF">
              <w:rPr>
                <w:rFonts w:eastAsia="Arial" w:cs="Arial"/>
              </w:rPr>
              <w:t>2021–22</w:t>
            </w:r>
          </w:p>
        </w:tc>
        <w:tc>
          <w:tcPr>
            <w:tcW w:w="858" w:type="dxa"/>
          </w:tcPr>
          <w:p w14:paraId="33C32E64" w14:textId="77777777" w:rsidR="005A1A75" w:rsidRDefault="005A1A75">
            <w:pPr>
              <w:pStyle w:val="TableText"/>
              <w:rPr>
                <w:rFonts w:eastAsia="Arial" w:cs="Arial"/>
                <w:vertAlign w:val="superscript"/>
              </w:rPr>
            </w:pPr>
            <w:r w:rsidRPr="09F2CEEF">
              <w:rPr>
                <w:rFonts w:eastAsia="Arial" w:cs="Arial"/>
              </w:rPr>
              <w:t>2,659</w:t>
            </w:r>
            <w:r w:rsidRPr="1C3734BF">
              <w:rPr>
                <w:rFonts w:eastAsia="Arial" w:cs="Arial"/>
              </w:rPr>
              <w:t>.5</w:t>
            </w:r>
            <w:r w:rsidRPr="1C3734BF">
              <w:rPr>
                <w:rFonts w:eastAsia="Arial" w:cs="Arial"/>
                <w:vertAlign w:val="superscript"/>
              </w:rPr>
              <w:t>R</w:t>
            </w:r>
          </w:p>
        </w:tc>
        <w:tc>
          <w:tcPr>
            <w:tcW w:w="862" w:type="dxa"/>
          </w:tcPr>
          <w:p w14:paraId="61D778D5" w14:textId="77777777" w:rsidR="005A1A75" w:rsidRDefault="005A1A75">
            <w:pPr>
              <w:pStyle w:val="TableText"/>
              <w:rPr>
                <w:rFonts w:eastAsia="Arial" w:cs="Arial"/>
                <w:vertAlign w:val="superscript"/>
              </w:rPr>
            </w:pPr>
            <w:r w:rsidRPr="5291EBE7">
              <w:rPr>
                <w:rFonts w:eastAsia="Arial" w:cs="Arial"/>
              </w:rPr>
              <w:t>1,847</w:t>
            </w:r>
            <w:r w:rsidRPr="1C3734BF">
              <w:rPr>
                <w:rFonts w:eastAsia="Arial" w:cs="Arial"/>
              </w:rPr>
              <w:t>.0</w:t>
            </w:r>
            <w:r w:rsidRPr="1C3734BF">
              <w:rPr>
                <w:rFonts w:eastAsia="Arial" w:cs="Arial"/>
                <w:vertAlign w:val="superscript"/>
              </w:rPr>
              <w:t>I</w:t>
            </w:r>
          </w:p>
        </w:tc>
        <w:tc>
          <w:tcPr>
            <w:tcW w:w="862" w:type="dxa"/>
          </w:tcPr>
          <w:p w14:paraId="224380A9" w14:textId="77777777" w:rsidR="005A1A75" w:rsidRDefault="005A1A75">
            <w:pPr>
              <w:pStyle w:val="TableText"/>
              <w:rPr>
                <w:rFonts w:eastAsia="Arial" w:cs="Arial"/>
              </w:rPr>
            </w:pPr>
            <w:r w:rsidRPr="00210862">
              <w:rPr>
                <w:rFonts w:eastAsia="Arial" w:cs="Arial"/>
              </w:rPr>
              <w:t>1,668</w:t>
            </w:r>
            <w:r w:rsidRPr="1C3734BF">
              <w:rPr>
                <w:rFonts w:eastAsia="Arial" w:cs="Arial"/>
              </w:rPr>
              <w:t>.8</w:t>
            </w:r>
          </w:p>
        </w:tc>
        <w:tc>
          <w:tcPr>
            <w:tcW w:w="735" w:type="dxa"/>
          </w:tcPr>
          <w:p w14:paraId="12ABA1D9" w14:textId="77777777" w:rsidR="005A1A75" w:rsidRDefault="005A1A75">
            <w:pPr>
              <w:pStyle w:val="TableText"/>
              <w:rPr>
                <w:rFonts w:eastAsia="Arial" w:cs="Arial"/>
              </w:rPr>
            </w:pPr>
            <w:r w:rsidRPr="1C3734BF">
              <w:rPr>
                <w:rFonts w:eastAsia="Arial" w:cs="Arial"/>
              </w:rPr>
              <w:t>493.1</w:t>
            </w:r>
          </w:p>
        </w:tc>
        <w:tc>
          <w:tcPr>
            <w:tcW w:w="735" w:type="dxa"/>
          </w:tcPr>
          <w:p w14:paraId="5D6CBC20" w14:textId="77777777" w:rsidR="005A1A75" w:rsidRDefault="005A1A75">
            <w:pPr>
              <w:pStyle w:val="TableText"/>
              <w:rPr>
                <w:rFonts w:eastAsia="Arial" w:cs="Arial"/>
              </w:rPr>
            </w:pPr>
            <w:r w:rsidRPr="1C3734BF">
              <w:rPr>
                <w:rFonts w:eastAsia="Arial" w:cs="Arial"/>
              </w:rPr>
              <w:t>530.4</w:t>
            </w:r>
          </w:p>
        </w:tc>
        <w:tc>
          <w:tcPr>
            <w:tcW w:w="735" w:type="dxa"/>
          </w:tcPr>
          <w:p w14:paraId="2F79FD9B" w14:textId="77777777" w:rsidR="005A1A75" w:rsidRDefault="005A1A75">
            <w:pPr>
              <w:pStyle w:val="TableText"/>
              <w:rPr>
                <w:rFonts w:eastAsia="Arial" w:cs="Arial"/>
              </w:rPr>
            </w:pPr>
            <w:r w:rsidRPr="1C3734BF">
              <w:rPr>
                <w:rFonts w:eastAsia="Arial" w:cs="Arial"/>
              </w:rPr>
              <w:t>110.2</w:t>
            </w:r>
          </w:p>
        </w:tc>
        <w:tc>
          <w:tcPr>
            <w:tcW w:w="696" w:type="dxa"/>
          </w:tcPr>
          <w:p w14:paraId="7602DEF3" w14:textId="77777777" w:rsidR="005A1A75" w:rsidRDefault="005A1A75">
            <w:pPr>
              <w:pStyle w:val="TableText"/>
              <w:rPr>
                <w:rFonts w:eastAsia="Arial" w:cs="Arial"/>
                <w:vertAlign w:val="superscript"/>
              </w:rPr>
            </w:pPr>
            <w:r w:rsidRPr="1C3734BF">
              <w:rPr>
                <w:rFonts w:eastAsia="Arial" w:cs="Arial"/>
              </w:rPr>
              <w:t>72.0</w:t>
            </w:r>
            <w:r w:rsidRPr="1C3734BF">
              <w:rPr>
                <w:rFonts w:eastAsia="Arial" w:cs="Arial"/>
                <w:vertAlign w:val="superscript"/>
              </w:rPr>
              <w:t>R</w:t>
            </w:r>
          </w:p>
        </w:tc>
        <w:tc>
          <w:tcPr>
            <w:tcW w:w="756" w:type="dxa"/>
          </w:tcPr>
          <w:p w14:paraId="67300098" w14:textId="77777777" w:rsidR="005A1A75" w:rsidRDefault="005A1A75">
            <w:pPr>
              <w:pStyle w:val="TableText"/>
              <w:rPr>
                <w:rFonts w:eastAsia="Arial" w:cs="Arial"/>
              </w:rPr>
            </w:pPr>
            <w:r w:rsidRPr="1C3734BF">
              <w:rPr>
                <w:rFonts w:eastAsia="Arial" w:cs="Arial"/>
              </w:rPr>
              <w:t>98.1</w:t>
            </w:r>
          </w:p>
        </w:tc>
        <w:tc>
          <w:tcPr>
            <w:tcW w:w="940" w:type="dxa"/>
          </w:tcPr>
          <w:p w14:paraId="3793ABD9" w14:textId="77777777" w:rsidR="005A1A75" w:rsidRDefault="005A1A75">
            <w:pPr>
              <w:pStyle w:val="TableText"/>
              <w:rPr>
                <w:rFonts w:eastAsia="Arial" w:cs="Arial"/>
                <w:vertAlign w:val="superscript"/>
              </w:rPr>
            </w:pPr>
            <w:r w:rsidRPr="00210862">
              <w:rPr>
                <w:rFonts w:eastAsia="Arial" w:cs="Arial"/>
              </w:rPr>
              <w:t>7,479</w:t>
            </w:r>
            <w:r w:rsidRPr="37D81934">
              <w:rPr>
                <w:rFonts w:eastAsia="Arial" w:cs="Arial"/>
              </w:rPr>
              <w:t>.0</w:t>
            </w:r>
            <w:r w:rsidRPr="1C3734BF">
              <w:rPr>
                <w:rFonts w:eastAsia="Arial" w:cs="Arial"/>
                <w:vertAlign w:val="superscript"/>
              </w:rPr>
              <w:t>IR</w:t>
            </w:r>
          </w:p>
        </w:tc>
      </w:tr>
      <w:tr w:rsidR="005A1A75" w14:paraId="58955ECA" w14:textId="77777777">
        <w:trPr>
          <w:trHeight w:val="300"/>
        </w:trPr>
        <w:tc>
          <w:tcPr>
            <w:tcW w:w="1320" w:type="dxa"/>
          </w:tcPr>
          <w:p w14:paraId="7372A4E7" w14:textId="77777777" w:rsidR="005A1A75" w:rsidRDefault="005A1A75">
            <w:pPr>
              <w:pStyle w:val="TableText"/>
              <w:rPr>
                <w:rFonts w:eastAsia="Arial" w:cs="Arial"/>
              </w:rPr>
            </w:pPr>
            <w:r w:rsidRPr="1C3734BF">
              <w:rPr>
                <w:rFonts w:eastAsia="Arial" w:cs="Arial"/>
              </w:rPr>
              <w:t>2022–23</w:t>
            </w:r>
          </w:p>
        </w:tc>
        <w:tc>
          <w:tcPr>
            <w:tcW w:w="858" w:type="dxa"/>
          </w:tcPr>
          <w:p w14:paraId="102D3618" w14:textId="77777777" w:rsidR="005A1A75" w:rsidRDefault="005A1A75">
            <w:pPr>
              <w:pStyle w:val="TableText"/>
              <w:rPr>
                <w:rFonts w:eastAsia="Arial" w:cs="Arial"/>
                <w:vertAlign w:val="superscript"/>
              </w:rPr>
            </w:pPr>
            <w:r w:rsidRPr="183B237E">
              <w:rPr>
                <w:rFonts w:eastAsia="Arial" w:cs="Arial"/>
              </w:rPr>
              <w:t>3,362</w:t>
            </w:r>
            <w:r w:rsidRPr="1C3734BF">
              <w:rPr>
                <w:rFonts w:eastAsia="Arial" w:cs="Arial"/>
              </w:rPr>
              <w:t>.0</w:t>
            </w:r>
            <w:r w:rsidRPr="1C3734BF">
              <w:rPr>
                <w:rFonts w:eastAsia="Arial" w:cs="Arial"/>
                <w:vertAlign w:val="superscript"/>
              </w:rPr>
              <w:t>R</w:t>
            </w:r>
          </w:p>
        </w:tc>
        <w:tc>
          <w:tcPr>
            <w:tcW w:w="862" w:type="dxa"/>
          </w:tcPr>
          <w:p w14:paraId="3180FA15" w14:textId="77777777" w:rsidR="005A1A75" w:rsidRDefault="005A1A75">
            <w:pPr>
              <w:pStyle w:val="TableText"/>
              <w:rPr>
                <w:rFonts w:eastAsia="Arial" w:cs="Arial"/>
                <w:vertAlign w:val="superscript"/>
              </w:rPr>
            </w:pPr>
            <w:r w:rsidRPr="5291EBE7">
              <w:rPr>
                <w:rFonts w:eastAsia="Arial" w:cs="Arial"/>
              </w:rPr>
              <w:t>2,279</w:t>
            </w:r>
            <w:r w:rsidRPr="1C3734BF">
              <w:rPr>
                <w:rFonts w:eastAsia="Arial" w:cs="Arial"/>
              </w:rPr>
              <w:t>.4</w:t>
            </w:r>
            <w:r w:rsidRPr="1C3734BF">
              <w:rPr>
                <w:rFonts w:eastAsia="Arial" w:cs="Arial"/>
                <w:vertAlign w:val="superscript"/>
              </w:rPr>
              <w:t>I</w:t>
            </w:r>
          </w:p>
        </w:tc>
        <w:tc>
          <w:tcPr>
            <w:tcW w:w="862" w:type="dxa"/>
          </w:tcPr>
          <w:p w14:paraId="3C06B66B" w14:textId="77777777" w:rsidR="005A1A75" w:rsidRDefault="005A1A75">
            <w:pPr>
              <w:pStyle w:val="TableText"/>
              <w:rPr>
                <w:rFonts w:eastAsia="Arial" w:cs="Arial"/>
              </w:rPr>
            </w:pPr>
            <w:r w:rsidRPr="00210862">
              <w:rPr>
                <w:rFonts w:eastAsia="Arial" w:cs="Arial"/>
              </w:rPr>
              <w:t>1,932</w:t>
            </w:r>
            <w:r w:rsidRPr="1C3734BF">
              <w:rPr>
                <w:rFonts w:eastAsia="Arial" w:cs="Arial"/>
              </w:rPr>
              <w:t>.6</w:t>
            </w:r>
          </w:p>
        </w:tc>
        <w:tc>
          <w:tcPr>
            <w:tcW w:w="735" w:type="dxa"/>
          </w:tcPr>
          <w:p w14:paraId="689108F3" w14:textId="77777777" w:rsidR="005A1A75" w:rsidRDefault="005A1A75">
            <w:pPr>
              <w:pStyle w:val="TableText"/>
              <w:rPr>
                <w:rFonts w:eastAsia="Arial" w:cs="Arial"/>
              </w:rPr>
            </w:pPr>
            <w:r w:rsidRPr="1C3734BF">
              <w:rPr>
                <w:rFonts w:eastAsia="Arial" w:cs="Arial"/>
              </w:rPr>
              <w:t>535.9</w:t>
            </w:r>
          </w:p>
        </w:tc>
        <w:tc>
          <w:tcPr>
            <w:tcW w:w="735" w:type="dxa"/>
          </w:tcPr>
          <w:p w14:paraId="1F114991" w14:textId="77777777" w:rsidR="005A1A75" w:rsidRDefault="005A1A75">
            <w:pPr>
              <w:pStyle w:val="TableText"/>
              <w:rPr>
                <w:rFonts w:eastAsia="Arial" w:cs="Arial"/>
              </w:rPr>
            </w:pPr>
            <w:r w:rsidRPr="1C3734BF">
              <w:rPr>
                <w:rFonts w:eastAsia="Arial" w:cs="Arial"/>
              </w:rPr>
              <w:t>619.5</w:t>
            </w:r>
          </w:p>
        </w:tc>
        <w:tc>
          <w:tcPr>
            <w:tcW w:w="735" w:type="dxa"/>
          </w:tcPr>
          <w:p w14:paraId="753FF9BE" w14:textId="77777777" w:rsidR="005A1A75" w:rsidRDefault="005A1A75">
            <w:pPr>
              <w:pStyle w:val="TableText"/>
              <w:rPr>
                <w:rFonts w:eastAsia="Arial" w:cs="Arial"/>
              </w:rPr>
            </w:pPr>
            <w:r w:rsidRPr="1C3734BF">
              <w:rPr>
                <w:rFonts w:eastAsia="Arial" w:cs="Arial"/>
              </w:rPr>
              <w:t>113.7</w:t>
            </w:r>
          </w:p>
        </w:tc>
        <w:tc>
          <w:tcPr>
            <w:tcW w:w="696" w:type="dxa"/>
          </w:tcPr>
          <w:p w14:paraId="325CE576" w14:textId="77777777" w:rsidR="005A1A75" w:rsidRDefault="005A1A75">
            <w:pPr>
              <w:pStyle w:val="TableText"/>
              <w:rPr>
                <w:rFonts w:eastAsia="Arial" w:cs="Arial"/>
                <w:vertAlign w:val="superscript"/>
              </w:rPr>
            </w:pPr>
            <w:r w:rsidRPr="1C3734BF">
              <w:rPr>
                <w:rFonts w:eastAsia="Arial" w:cs="Arial"/>
              </w:rPr>
              <w:t>86.1</w:t>
            </w:r>
            <w:r w:rsidRPr="1C3734BF">
              <w:rPr>
                <w:rFonts w:eastAsia="Arial" w:cs="Arial"/>
                <w:vertAlign w:val="superscript"/>
              </w:rPr>
              <w:t>R</w:t>
            </w:r>
          </w:p>
        </w:tc>
        <w:tc>
          <w:tcPr>
            <w:tcW w:w="756" w:type="dxa"/>
          </w:tcPr>
          <w:p w14:paraId="30DBA806" w14:textId="77777777" w:rsidR="005A1A75" w:rsidRDefault="005A1A75">
            <w:pPr>
              <w:pStyle w:val="TableText"/>
              <w:rPr>
                <w:rFonts w:eastAsia="Arial" w:cs="Arial"/>
              </w:rPr>
            </w:pPr>
            <w:r w:rsidRPr="1C3734BF">
              <w:rPr>
                <w:rFonts w:eastAsia="Arial" w:cs="Arial"/>
              </w:rPr>
              <w:t>108.9</w:t>
            </w:r>
          </w:p>
        </w:tc>
        <w:tc>
          <w:tcPr>
            <w:tcW w:w="940" w:type="dxa"/>
          </w:tcPr>
          <w:p w14:paraId="75C9C4F2" w14:textId="77777777" w:rsidR="005A1A75" w:rsidRDefault="005A1A75">
            <w:pPr>
              <w:pStyle w:val="TableText"/>
              <w:rPr>
                <w:rFonts w:eastAsia="Arial" w:cs="Arial"/>
                <w:vertAlign w:val="superscript"/>
              </w:rPr>
            </w:pPr>
            <w:r w:rsidRPr="00210862">
              <w:rPr>
                <w:rFonts w:eastAsia="Arial" w:cs="Arial"/>
              </w:rPr>
              <w:t>9,038</w:t>
            </w:r>
            <w:r w:rsidRPr="37D81934">
              <w:rPr>
                <w:rFonts w:eastAsia="Arial" w:cs="Arial"/>
              </w:rPr>
              <w:t>.</w:t>
            </w:r>
            <w:r w:rsidRPr="13DC8869">
              <w:rPr>
                <w:rFonts w:eastAsia="Arial" w:cs="Arial"/>
              </w:rPr>
              <w:t>1</w:t>
            </w:r>
            <w:r w:rsidRPr="1C3734BF">
              <w:rPr>
                <w:rFonts w:eastAsia="Arial" w:cs="Arial"/>
                <w:vertAlign w:val="superscript"/>
              </w:rPr>
              <w:t>IR</w:t>
            </w:r>
          </w:p>
        </w:tc>
      </w:tr>
      <w:tr w:rsidR="005A1A75" w14:paraId="6D8FD93C" w14:textId="77777777">
        <w:trPr>
          <w:trHeight w:val="300"/>
        </w:trPr>
        <w:tc>
          <w:tcPr>
            <w:tcW w:w="1320" w:type="dxa"/>
          </w:tcPr>
          <w:p w14:paraId="7562545B" w14:textId="77777777" w:rsidR="005A1A75" w:rsidRDefault="005A1A75">
            <w:pPr>
              <w:pStyle w:val="TableText"/>
              <w:rPr>
                <w:rFonts w:eastAsia="Arial" w:cs="Arial"/>
              </w:rPr>
            </w:pPr>
            <w:r w:rsidRPr="1C3734BF">
              <w:rPr>
                <w:rFonts w:eastAsia="Arial" w:cs="Arial"/>
              </w:rPr>
              <w:t>2023–24</w:t>
            </w:r>
          </w:p>
        </w:tc>
        <w:tc>
          <w:tcPr>
            <w:tcW w:w="858" w:type="dxa"/>
          </w:tcPr>
          <w:p w14:paraId="584B1341" w14:textId="77777777" w:rsidR="005A1A75" w:rsidRDefault="005A1A75">
            <w:pPr>
              <w:pStyle w:val="TableText"/>
              <w:rPr>
                <w:rFonts w:eastAsia="Arial" w:cs="Arial"/>
              </w:rPr>
            </w:pPr>
            <w:r w:rsidRPr="5291EBE7">
              <w:rPr>
                <w:rFonts w:eastAsia="Arial" w:cs="Arial"/>
              </w:rPr>
              <w:t>3,487</w:t>
            </w:r>
            <w:r w:rsidRPr="1C3734BF">
              <w:rPr>
                <w:rFonts w:eastAsia="Arial" w:cs="Arial"/>
              </w:rPr>
              <w:t>.9</w:t>
            </w:r>
          </w:p>
        </w:tc>
        <w:tc>
          <w:tcPr>
            <w:tcW w:w="862" w:type="dxa"/>
          </w:tcPr>
          <w:p w14:paraId="532E898A" w14:textId="77777777" w:rsidR="005A1A75" w:rsidRDefault="005A1A75">
            <w:pPr>
              <w:pStyle w:val="TableText"/>
              <w:rPr>
                <w:rFonts w:eastAsia="Arial" w:cs="Arial"/>
                <w:vertAlign w:val="superscript"/>
              </w:rPr>
            </w:pPr>
            <w:r w:rsidRPr="5291EBE7">
              <w:rPr>
                <w:rFonts w:eastAsia="Arial" w:cs="Arial"/>
              </w:rPr>
              <w:t>2,357</w:t>
            </w:r>
            <w:r w:rsidRPr="1C3734BF">
              <w:rPr>
                <w:rFonts w:eastAsia="Arial" w:cs="Arial"/>
              </w:rPr>
              <w:t>.8</w:t>
            </w:r>
            <w:r w:rsidRPr="1C3734BF">
              <w:rPr>
                <w:rFonts w:eastAsia="Arial" w:cs="Arial"/>
                <w:vertAlign w:val="superscript"/>
              </w:rPr>
              <w:t>I</w:t>
            </w:r>
          </w:p>
        </w:tc>
        <w:tc>
          <w:tcPr>
            <w:tcW w:w="862" w:type="dxa"/>
          </w:tcPr>
          <w:p w14:paraId="3B5F66AC" w14:textId="77777777" w:rsidR="005A1A75" w:rsidRDefault="005A1A75">
            <w:pPr>
              <w:pStyle w:val="TableText"/>
              <w:rPr>
                <w:rFonts w:eastAsia="Arial" w:cs="Arial"/>
              </w:rPr>
            </w:pPr>
            <w:r w:rsidRPr="00210862">
              <w:rPr>
                <w:rFonts w:eastAsia="Arial" w:cs="Arial"/>
              </w:rPr>
              <w:t>2,097</w:t>
            </w:r>
            <w:r w:rsidRPr="1C3734BF">
              <w:rPr>
                <w:rFonts w:eastAsia="Arial" w:cs="Arial"/>
              </w:rPr>
              <w:t>.8</w:t>
            </w:r>
          </w:p>
        </w:tc>
        <w:tc>
          <w:tcPr>
            <w:tcW w:w="735" w:type="dxa"/>
          </w:tcPr>
          <w:p w14:paraId="55F2B1C5" w14:textId="77777777" w:rsidR="005A1A75" w:rsidRDefault="005A1A75">
            <w:pPr>
              <w:pStyle w:val="TableText"/>
              <w:rPr>
                <w:rFonts w:eastAsia="Arial" w:cs="Arial"/>
              </w:rPr>
            </w:pPr>
            <w:r w:rsidRPr="1C3734BF">
              <w:rPr>
                <w:rFonts w:eastAsia="Arial" w:cs="Arial"/>
              </w:rPr>
              <w:t>559.1</w:t>
            </w:r>
          </w:p>
        </w:tc>
        <w:tc>
          <w:tcPr>
            <w:tcW w:w="735" w:type="dxa"/>
          </w:tcPr>
          <w:p w14:paraId="5A9AB1E0" w14:textId="77777777" w:rsidR="005A1A75" w:rsidRDefault="005A1A75">
            <w:pPr>
              <w:pStyle w:val="TableText"/>
              <w:rPr>
                <w:rFonts w:eastAsia="Arial" w:cs="Arial"/>
              </w:rPr>
            </w:pPr>
            <w:r w:rsidRPr="1C3734BF">
              <w:rPr>
                <w:rFonts w:eastAsia="Arial" w:cs="Arial"/>
              </w:rPr>
              <w:t>631.7</w:t>
            </w:r>
          </w:p>
        </w:tc>
        <w:tc>
          <w:tcPr>
            <w:tcW w:w="735" w:type="dxa"/>
          </w:tcPr>
          <w:p w14:paraId="7BA6BA02" w14:textId="77777777" w:rsidR="005A1A75" w:rsidRDefault="005A1A75">
            <w:pPr>
              <w:pStyle w:val="TableText"/>
              <w:rPr>
                <w:rFonts w:eastAsia="Arial" w:cs="Arial"/>
              </w:rPr>
            </w:pPr>
            <w:r w:rsidRPr="1C3734BF">
              <w:rPr>
                <w:rFonts w:eastAsia="Arial" w:cs="Arial"/>
              </w:rPr>
              <w:t>122.4</w:t>
            </w:r>
          </w:p>
        </w:tc>
        <w:tc>
          <w:tcPr>
            <w:tcW w:w="696" w:type="dxa"/>
          </w:tcPr>
          <w:p w14:paraId="463AE48C" w14:textId="77777777" w:rsidR="005A1A75" w:rsidRDefault="005A1A75">
            <w:pPr>
              <w:pStyle w:val="TableText"/>
              <w:rPr>
                <w:rFonts w:eastAsia="Arial" w:cs="Arial"/>
              </w:rPr>
            </w:pPr>
            <w:r w:rsidRPr="1C3734BF">
              <w:rPr>
                <w:rFonts w:eastAsia="Arial" w:cs="Arial"/>
              </w:rPr>
              <w:t>86.3</w:t>
            </w:r>
          </w:p>
        </w:tc>
        <w:tc>
          <w:tcPr>
            <w:tcW w:w="756" w:type="dxa"/>
          </w:tcPr>
          <w:p w14:paraId="5C5EB895" w14:textId="77777777" w:rsidR="005A1A75" w:rsidRDefault="005A1A75">
            <w:pPr>
              <w:pStyle w:val="TableText"/>
              <w:rPr>
                <w:rFonts w:eastAsia="Arial" w:cs="Arial"/>
                <w:vertAlign w:val="superscript"/>
              </w:rPr>
            </w:pPr>
            <w:r w:rsidRPr="1C3734BF">
              <w:rPr>
                <w:rFonts w:eastAsia="Arial" w:cs="Arial"/>
              </w:rPr>
              <w:t>109.3</w:t>
            </w:r>
            <w:r w:rsidRPr="1C3734BF">
              <w:rPr>
                <w:rFonts w:eastAsia="Arial" w:cs="Arial"/>
                <w:vertAlign w:val="superscript"/>
              </w:rPr>
              <w:t>I</w:t>
            </w:r>
          </w:p>
        </w:tc>
        <w:tc>
          <w:tcPr>
            <w:tcW w:w="940" w:type="dxa"/>
          </w:tcPr>
          <w:p w14:paraId="38DC1148" w14:textId="77777777" w:rsidR="005A1A75" w:rsidRDefault="005A1A75">
            <w:pPr>
              <w:pStyle w:val="TableText"/>
              <w:rPr>
                <w:rFonts w:eastAsia="Arial" w:cs="Arial"/>
                <w:vertAlign w:val="superscript"/>
              </w:rPr>
            </w:pPr>
            <w:r w:rsidRPr="00210862">
              <w:rPr>
                <w:rFonts w:eastAsia="Arial" w:cs="Arial"/>
              </w:rPr>
              <w:t>9,452</w:t>
            </w:r>
            <w:r w:rsidRPr="1C3734BF">
              <w:rPr>
                <w:rFonts w:eastAsia="Arial" w:cs="Arial"/>
              </w:rPr>
              <w:t>.3</w:t>
            </w:r>
            <w:r w:rsidRPr="1C3734BF">
              <w:rPr>
                <w:rFonts w:eastAsia="Arial" w:cs="Arial"/>
                <w:vertAlign w:val="superscript"/>
              </w:rPr>
              <w:t>I</w:t>
            </w:r>
          </w:p>
        </w:tc>
      </w:tr>
    </w:tbl>
    <w:p w14:paraId="428DCA15" w14:textId="0481AFD5" w:rsidR="005A1A75" w:rsidRDefault="005A1A75" w:rsidP="005A1A75">
      <w:pPr>
        <w:pStyle w:val="TableNotes"/>
        <w:rPr>
          <w:rFonts w:eastAsia="Arial"/>
        </w:rPr>
      </w:pPr>
      <w:r>
        <w:rPr>
          <w:rFonts w:eastAsia="Arial"/>
        </w:rPr>
        <w:t>Notes</w:t>
      </w:r>
      <w:r w:rsidRPr="1C3734BF">
        <w:rPr>
          <w:rFonts w:eastAsia="Arial"/>
        </w:rPr>
        <w:t>:</w:t>
      </w:r>
      <w:r w:rsidRPr="4AF97F8F">
        <w:rPr>
          <w:rFonts w:eastAsia="Arial"/>
        </w:rPr>
        <w:t xml:space="preserve"> </w:t>
      </w:r>
      <w:r w:rsidRPr="00B941E9">
        <w:rPr>
          <w:rFonts w:eastAsia="Arial"/>
        </w:rPr>
        <w:t xml:space="preserve">E = Estimated Data, I = Incomplete Data, R = Revised Data. Government revenue is defined as </w:t>
      </w:r>
      <w:r w:rsidR="00670C41">
        <w:rPr>
          <w:rFonts w:eastAsia="Arial"/>
        </w:rPr>
        <w:t>‘</w:t>
      </w:r>
      <w:r w:rsidRPr="00B941E9">
        <w:rPr>
          <w:rFonts w:eastAsia="Arial"/>
        </w:rPr>
        <w:t>The revenue received by state governments from gambling activities that are subject to state taxes and levies</w:t>
      </w:r>
      <w:r w:rsidR="00670C41">
        <w:rPr>
          <w:rFonts w:eastAsia="Arial"/>
        </w:rPr>
        <w:t>’</w:t>
      </w:r>
      <w:r w:rsidRPr="00B941E9">
        <w:rPr>
          <w:rFonts w:eastAsia="Arial"/>
        </w:rPr>
        <w:t xml:space="preserve"> (QGSO, 2025, p.</w:t>
      </w:r>
      <w:r w:rsidR="00670C41">
        <w:rPr>
          <w:rFonts w:eastAsia="Arial"/>
        </w:rPr>
        <w:t xml:space="preserve"> </w:t>
      </w:r>
      <w:r w:rsidRPr="00B941E9">
        <w:rPr>
          <w:rFonts w:eastAsia="Arial"/>
        </w:rPr>
        <w:t xml:space="preserve">2). For racing and sports </w:t>
      </w:r>
      <w:proofErr w:type="gramStart"/>
      <w:r w:rsidRPr="00B941E9">
        <w:rPr>
          <w:rFonts w:eastAsia="Arial"/>
        </w:rPr>
        <w:t xml:space="preserve">betting, </w:t>
      </w:r>
      <w:r w:rsidR="00670C41">
        <w:rPr>
          <w:rFonts w:eastAsia="Arial"/>
        </w:rPr>
        <w:t>‘</w:t>
      </w:r>
      <w:proofErr w:type="gramEnd"/>
      <w:r w:rsidRPr="00B941E9">
        <w:rPr>
          <w:rFonts w:eastAsia="Arial"/>
        </w:rPr>
        <w:t>government revenue is primarily derived from a Point of Consumption tax (POC tax)</w:t>
      </w:r>
      <w:r w:rsidR="00670C41">
        <w:rPr>
          <w:rFonts w:eastAsia="Arial"/>
        </w:rPr>
        <w:t>’</w:t>
      </w:r>
      <w:r w:rsidRPr="00B941E9">
        <w:rPr>
          <w:rFonts w:eastAsia="Arial"/>
        </w:rPr>
        <w:t xml:space="preserve"> (QGSO, 2025, p. 17).</w:t>
      </w:r>
      <w:r w:rsidRPr="00B941E9" w:rsidDel="00283245">
        <w:rPr>
          <w:rFonts w:eastAsia="Arial"/>
        </w:rPr>
        <w:t xml:space="preserve"> </w:t>
      </w:r>
      <w:r w:rsidRPr="00B941E9">
        <w:rPr>
          <w:rFonts w:eastAsia="Arial"/>
        </w:rPr>
        <w:t>These figures do not include gaming machine licensee levies. UBET TAS also pays an annual wagering levy</w:t>
      </w:r>
      <w:r w:rsidR="00670C41">
        <w:rPr>
          <w:rFonts w:eastAsia="Arial"/>
        </w:rPr>
        <w:t>,</w:t>
      </w:r>
      <w:r w:rsidRPr="00B941E9">
        <w:rPr>
          <w:rFonts w:eastAsia="Arial"/>
        </w:rPr>
        <w:t xml:space="preserve"> which has not been included in these figures.</w:t>
      </w:r>
    </w:p>
    <w:p w14:paraId="10F5D04E" w14:textId="70DEB98F" w:rsidR="00930F2A" w:rsidRPr="00126105" w:rsidRDefault="00930F2A" w:rsidP="005A1A75">
      <w:pPr>
        <w:pStyle w:val="TableNotes"/>
        <w:rPr>
          <w:rFonts w:eastAsia="Arial"/>
        </w:rPr>
      </w:pPr>
      <w:r>
        <w:rPr>
          <w:rFonts w:eastAsia="Arial"/>
        </w:rPr>
        <w:t>Source: QGSO (2025)</w:t>
      </w:r>
    </w:p>
    <w:p w14:paraId="548E6810" w14:textId="77777777" w:rsidR="005A1A75" w:rsidRDefault="005A1A75" w:rsidP="005A1A75">
      <w:pPr>
        <w:pStyle w:val="BodyText"/>
        <w:rPr>
          <w:rFonts w:eastAsia="Arial"/>
        </w:rPr>
      </w:pPr>
      <w:r w:rsidRPr="000730D3">
        <w:rPr>
          <w:rFonts w:eastAsia="Arial"/>
        </w:rPr>
        <w:t xml:space="preserve">The Australian Government also receives revenue from gambling companies through company tax receipts. </w:t>
      </w:r>
      <w:r>
        <w:rPr>
          <w:rFonts w:eastAsia="Arial"/>
        </w:rPr>
        <w:t>The desktop review found that j</w:t>
      </w:r>
      <w:r w:rsidRPr="000730D3">
        <w:rPr>
          <w:rFonts w:eastAsia="Arial"/>
        </w:rPr>
        <w:t>urisdictions</w:t>
      </w:r>
      <w:r>
        <w:rPr>
          <w:rFonts w:eastAsia="Arial"/>
        </w:rPr>
        <w:t xml:space="preserve"> do not generally earmark gambling revenue to fund gambling protection measures. A</w:t>
      </w:r>
      <w:r w:rsidRPr="0A5B931D">
        <w:rPr>
          <w:rFonts w:eastAsia="Arial"/>
        </w:rPr>
        <w:t xml:space="preserve">part from </w:t>
      </w:r>
      <w:r>
        <w:rPr>
          <w:rFonts w:eastAsia="Arial"/>
        </w:rPr>
        <w:t>general</w:t>
      </w:r>
      <w:r w:rsidRPr="0A5B931D">
        <w:rPr>
          <w:rFonts w:eastAsia="Arial"/>
        </w:rPr>
        <w:t xml:space="preserve"> funding for </w:t>
      </w:r>
      <w:r w:rsidRPr="0D027065">
        <w:rPr>
          <w:rFonts w:eastAsia="Arial"/>
        </w:rPr>
        <w:t>gambling regulators, most</w:t>
      </w:r>
      <w:r>
        <w:rPr>
          <w:rFonts w:eastAsia="Arial"/>
        </w:rPr>
        <w:t xml:space="preserve"> do not have dedicated budget funding </w:t>
      </w:r>
      <w:r w:rsidRPr="267D815F">
        <w:rPr>
          <w:rFonts w:eastAsia="Arial"/>
        </w:rPr>
        <w:t xml:space="preserve">set aside for </w:t>
      </w:r>
      <w:r w:rsidRPr="7ECF45D5">
        <w:rPr>
          <w:rFonts w:eastAsia="Arial"/>
        </w:rPr>
        <w:t>regulators</w:t>
      </w:r>
      <w:r w:rsidRPr="46C79C2D">
        <w:rPr>
          <w:rFonts w:eastAsia="Arial"/>
        </w:rPr>
        <w:t xml:space="preserve"> </w:t>
      </w:r>
      <w:r w:rsidRPr="000730D3">
        <w:rPr>
          <w:rFonts w:eastAsia="Arial"/>
        </w:rPr>
        <w:t xml:space="preserve">to </w:t>
      </w:r>
      <w:r>
        <w:rPr>
          <w:rFonts w:eastAsia="Arial"/>
        </w:rPr>
        <w:t xml:space="preserve">specifically undertake gambling compliance activities. </w:t>
      </w:r>
    </w:p>
    <w:p w14:paraId="763AFEE2" w14:textId="7E4333E0" w:rsidR="005A1A75" w:rsidRDefault="005A1A75" w:rsidP="005A1A75">
      <w:pPr>
        <w:pStyle w:val="BodyText"/>
        <w:rPr>
          <w:rFonts w:eastAsia="Arial"/>
        </w:rPr>
      </w:pPr>
      <w:r w:rsidRPr="467D711B">
        <w:rPr>
          <w:rFonts w:eastAsia="Arial"/>
        </w:rPr>
        <w:t>Regulators</w:t>
      </w:r>
      <w:r w:rsidRPr="512024D3">
        <w:rPr>
          <w:rFonts w:eastAsia="Arial"/>
        </w:rPr>
        <w:t xml:space="preserve"> </w:t>
      </w:r>
      <w:r w:rsidRPr="4235638C">
        <w:rPr>
          <w:rFonts w:eastAsia="Arial"/>
        </w:rPr>
        <w:t>in jurisdictions</w:t>
      </w:r>
      <w:r w:rsidRPr="467D711B">
        <w:rPr>
          <w:rFonts w:eastAsia="Arial"/>
        </w:rPr>
        <w:t xml:space="preserve"> such as NSW</w:t>
      </w:r>
      <w:r w:rsidRPr="4235638C">
        <w:rPr>
          <w:rFonts w:eastAsia="Arial"/>
        </w:rPr>
        <w:t xml:space="preserve"> </w:t>
      </w:r>
      <w:r w:rsidR="00F07549">
        <w:rPr>
          <w:rFonts w:eastAsia="Arial"/>
        </w:rPr>
        <w:t xml:space="preserve">and </w:t>
      </w:r>
      <w:r>
        <w:rPr>
          <w:rFonts w:eastAsia="Arial"/>
        </w:rPr>
        <w:t>Qld</w:t>
      </w:r>
      <w:r w:rsidRPr="4235638C">
        <w:rPr>
          <w:rFonts w:eastAsia="Arial"/>
        </w:rPr>
        <w:t xml:space="preserve"> </w:t>
      </w:r>
      <w:r w:rsidRPr="512024D3">
        <w:rPr>
          <w:rFonts w:eastAsia="Arial"/>
        </w:rPr>
        <w:t xml:space="preserve">that share a </w:t>
      </w:r>
      <w:r w:rsidRPr="33C0FC81">
        <w:rPr>
          <w:rFonts w:eastAsia="Arial"/>
        </w:rPr>
        <w:t>regulatory</w:t>
      </w:r>
      <w:r w:rsidRPr="512024D3">
        <w:rPr>
          <w:rFonts w:eastAsia="Arial"/>
        </w:rPr>
        <w:t xml:space="preserve"> role for alcohol</w:t>
      </w:r>
      <w:r w:rsidRPr="000730D3">
        <w:rPr>
          <w:rFonts w:eastAsia="Arial"/>
        </w:rPr>
        <w:t xml:space="preserve"> </w:t>
      </w:r>
      <w:r w:rsidRPr="33C0FC81">
        <w:rPr>
          <w:rFonts w:eastAsia="Arial"/>
        </w:rPr>
        <w:t xml:space="preserve">also </w:t>
      </w:r>
      <w:r w:rsidRPr="52619304">
        <w:rPr>
          <w:rFonts w:eastAsia="Arial"/>
        </w:rPr>
        <w:t xml:space="preserve">do not </w:t>
      </w:r>
      <w:r w:rsidRPr="5180D33A">
        <w:rPr>
          <w:rFonts w:eastAsia="Arial"/>
        </w:rPr>
        <w:t xml:space="preserve">have </w:t>
      </w:r>
      <w:r w:rsidRPr="731659E6">
        <w:rPr>
          <w:rFonts w:eastAsia="Arial"/>
        </w:rPr>
        <w:t xml:space="preserve">separate </w:t>
      </w:r>
      <w:r w:rsidRPr="5180D33A">
        <w:rPr>
          <w:rFonts w:eastAsia="Arial"/>
        </w:rPr>
        <w:t xml:space="preserve">compliance </w:t>
      </w:r>
      <w:r w:rsidRPr="2A502A6B">
        <w:rPr>
          <w:rFonts w:eastAsia="Arial"/>
        </w:rPr>
        <w:t>funding</w:t>
      </w:r>
      <w:r w:rsidRPr="5180D33A">
        <w:rPr>
          <w:rFonts w:eastAsia="Arial"/>
        </w:rPr>
        <w:t xml:space="preserve"> for each regulated </w:t>
      </w:r>
      <w:r w:rsidRPr="2A502A6B">
        <w:rPr>
          <w:rFonts w:eastAsia="Arial"/>
        </w:rPr>
        <w:t>industry</w:t>
      </w:r>
      <w:r w:rsidRPr="18B2C6BB">
        <w:rPr>
          <w:rFonts w:eastAsia="Arial"/>
        </w:rPr>
        <w:t xml:space="preserve"> </w:t>
      </w:r>
      <w:r>
        <w:rPr>
          <w:rFonts w:eastAsia="Arial"/>
        </w:rPr>
        <w:t>and instead address areas of concern across these industries as regulatory priorities</w:t>
      </w:r>
      <w:r w:rsidRPr="18B2C6BB">
        <w:rPr>
          <w:rFonts w:eastAsia="Arial"/>
        </w:rPr>
        <w:t xml:space="preserve"> </w:t>
      </w:r>
      <w:r w:rsidRPr="029DB1F8">
        <w:rPr>
          <w:rFonts w:eastAsia="Arial"/>
        </w:rPr>
        <w:t>(</w:t>
      </w:r>
      <w:r w:rsidRPr="520C0B01">
        <w:rPr>
          <w:rFonts w:eastAsia="Arial"/>
        </w:rPr>
        <w:t xml:space="preserve">NSW Department of </w:t>
      </w:r>
      <w:r w:rsidRPr="61DA02A4">
        <w:rPr>
          <w:rFonts w:eastAsia="Arial"/>
        </w:rPr>
        <w:t xml:space="preserve">Creative Industries, Tourism, </w:t>
      </w:r>
      <w:r w:rsidRPr="498B27FB">
        <w:rPr>
          <w:rFonts w:eastAsia="Arial"/>
        </w:rPr>
        <w:t>Hospitality and Sport</w:t>
      </w:r>
      <w:r w:rsidRPr="029DB1F8">
        <w:rPr>
          <w:rFonts w:eastAsia="Arial"/>
        </w:rPr>
        <w:t>,</w:t>
      </w:r>
      <w:r w:rsidRPr="33A3AFE0">
        <w:rPr>
          <w:rFonts w:eastAsia="Arial"/>
        </w:rPr>
        <w:t xml:space="preserve"> </w:t>
      </w:r>
      <w:r w:rsidRPr="3463DCD1">
        <w:rPr>
          <w:rFonts w:eastAsia="Arial"/>
        </w:rPr>
        <w:t>2025</w:t>
      </w:r>
      <w:r>
        <w:rPr>
          <w:rFonts w:eastAsia="Arial"/>
        </w:rPr>
        <w:t>; Office of Liquor and Gaming Regulation [OLGR], 2025</w:t>
      </w:r>
      <w:r w:rsidRPr="3463DCD1">
        <w:rPr>
          <w:rFonts w:eastAsia="Arial"/>
        </w:rPr>
        <w:t>)</w:t>
      </w:r>
      <w:r>
        <w:rPr>
          <w:rFonts w:eastAsia="Arial"/>
        </w:rPr>
        <w:t>.</w:t>
      </w:r>
      <w:r w:rsidRPr="3463DCD1">
        <w:rPr>
          <w:rFonts w:eastAsia="Arial"/>
        </w:rPr>
        <w:t xml:space="preserve"> </w:t>
      </w:r>
      <w:r>
        <w:rPr>
          <w:rFonts w:eastAsia="Arial"/>
        </w:rPr>
        <w:t>This means</w:t>
      </w:r>
      <w:r w:rsidRPr="33A3AFE0">
        <w:rPr>
          <w:rFonts w:eastAsia="Arial"/>
        </w:rPr>
        <w:t xml:space="preserve"> the amount spent on gambling </w:t>
      </w:r>
      <w:r w:rsidRPr="292AFE98">
        <w:rPr>
          <w:rFonts w:eastAsia="Arial"/>
        </w:rPr>
        <w:t xml:space="preserve">compliance </w:t>
      </w:r>
      <w:r w:rsidRPr="4A70AA6B">
        <w:rPr>
          <w:rFonts w:eastAsia="Arial"/>
        </w:rPr>
        <w:t>from appropriation funding</w:t>
      </w:r>
      <w:r w:rsidRPr="731659E6">
        <w:rPr>
          <w:rFonts w:eastAsia="Arial"/>
        </w:rPr>
        <w:t xml:space="preserve"> </w:t>
      </w:r>
      <w:r>
        <w:rPr>
          <w:rFonts w:eastAsia="Arial"/>
        </w:rPr>
        <w:t>in these jurisdictions,</w:t>
      </w:r>
      <w:r w:rsidRPr="731659E6">
        <w:rPr>
          <w:rFonts w:eastAsia="Arial"/>
        </w:rPr>
        <w:t xml:space="preserve"> </w:t>
      </w:r>
      <w:r>
        <w:rPr>
          <w:rFonts w:eastAsia="Arial"/>
        </w:rPr>
        <w:t>especially specific activities involving the online gambling sector,</w:t>
      </w:r>
      <w:r w:rsidRPr="731659E6">
        <w:rPr>
          <w:rFonts w:eastAsia="Arial"/>
        </w:rPr>
        <w:t xml:space="preserve"> </w:t>
      </w:r>
      <w:r w:rsidRPr="292AFE98">
        <w:rPr>
          <w:rFonts w:eastAsia="Arial"/>
        </w:rPr>
        <w:t xml:space="preserve">may depend on </w:t>
      </w:r>
      <w:r>
        <w:rPr>
          <w:rFonts w:eastAsia="Arial"/>
        </w:rPr>
        <w:t>these</w:t>
      </w:r>
      <w:r w:rsidRPr="292AFE98">
        <w:rPr>
          <w:rFonts w:eastAsia="Arial"/>
        </w:rPr>
        <w:t xml:space="preserve"> priorities</w:t>
      </w:r>
      <w:r>
        <w:rPr>
          <w:rFonts w:eastAsia="Arial"/>
        </w:rPr>
        <w:t xml:space="preserve"> or assessments of licensee risk (OLGR, 2025)</w:t>
      </w:r>
      <w:r w:rsidRPr="292AFE98">
        <w:rPr>
          <w:rFonts w:eastAsia="Arial"/>
        </w:rPr>
        <w:t>.</w:t>
      </w:r>
      <w:r>
        <w:rPr>
          <w:rFonts w:eastAsia="Arial"/>
        </w:rPr>
        <w:t xml:space="preserve"> </w:t>
      </w:r>
    </w:p>
    <w:p w14:paraId="50511278" w14:textId="732A0CBC" w:rsidR="005A1A75" w:rsidRDefault="005A1A75" w:rsidP="005A1A75">
      <w:pPr>
        <w:pStyle w:val="BodyText"/>
        <w:rPr>
          <w:rFonts w:eastAsia="Arial"/>
        </w:rPr>
      </w:pPr>
      <w:r>
        <w:rPr>
          <w:rFonts w:eastAsia="Arial"/>
        </w:rPr>
        <w:t xml:space="preserve">The NT uses a Racing and Wagering Fund Levy to raise funds for the </w:t>
      </w:r>
      <w:r w:rsidRPr="2BF473FA">
        <w:rPr>
          <w:rFonts w:eastAsia="Arial"/>
        </w:rPr>
        <w:t>compliance activities</w:t>
      </w:r>
      <w:r>
        <w:rPr>
          <w:rFonts w:eastAsia="Arial"/>
        </w:rPr>
        <w:t xml:space="preserve"> </w:t>
      </w:r>
      <w:r w:rsidRPr="7615920E">
        <w:rPr>
          <w:rFonts w:eastAsia="Arial"/>
        </w:rPr>
        <w:t xml:space="preserve">of the </w:t>
      </w:r>
      <w:r w:rsidRPr="422E3C22">
        <w:rPr>
          <w:rFonts w:eastAsia="Arial"/>
        </w:rPr>
        <w:t>NTRWC</w:t>
      </w:r>
      <w:r>
        <w:rPr>
          <w:rFonts w:eastAsia="Arial"/>
        </w:rPr>
        <w:t>. T</w:t>
      </w:r>
      <w:r w:rsidRPr="7615920E">
        <w:rPr>
          <w:rFonts w:eastAsia="Arial"/>
        </w:rPr>
        <w:t xml:space="preserve">his </w:t>
      </w:r>
      <w:r>
        <w:rPr>
          <w:rFonts w:eastAsia="Arial"/>
        </w:rPr>
        <w:t xml:space="preserve">funding </w:t>
      </w:r>
      <w:r w:rsidRPr="0D73EFB9">
        <w:rPr>
          <w:rFonts w:eastAsia="Arial"/>
        </w:rPr>
        <w:t xml:space="preserve">is </w:t>
      </w:r>
      <w:r>
        <w:rPr>
          <w:rFonts w:eastAsia="Arial"/>
        </w:rPr>
        <w:t xml:space="preserve">small compared to the revenue raised from gambling taxes </w:t>
      </w:r>
      <w:r w:rsidRPr="320276D5">
        <w:rPr>
          <w:rFonts w:eastAsia="Arial"/>
        </w:rPr>
        <w:t>(</w:t>
      </w:r>
      <w:r w:rsidRPr="0D73EFB9">
        <w:rPr>
          <w:rFonts w:eastAsia="Arial"/>
        </w:rPr>
        <w:t xml:space="preserve">NTRWC, </w:t>
      </w:r>
      <w:r w:rsidRPr="4A82888A">
        <w:rPr>
          <w:rFonts w:eastAsia="Arial"/>
        </w:rPr>
        <w:t>2025</w:t>
      </w:r>
      <w:r w:rsidRPr="320276D5">
        <w:rPr>
          <w:rFonts w:eastAsia="Arial"/>
        </w:rPr>
        <w:t>)</w:t>
      </w:r>
      <w:r>
        <w:rPr>
          <w:rFonts w:eastAsia="Arial"/>
        </w:rPr>
        <w:t>.</w:t>
      </w:r>
    </w:p>
    <w:p w14:paraId="513E74DD" w14:textId="2296C111" w:rsidR="005A1A75" w:rsidRDefault="005A1A75" w:rsidP="005A1A75">
      <w:pPr>
        <w:pStyle w:val="BodyText"/>
        <w:rPr>
          <w:rFonts w:eastAsia="Arial"/>
        </w:rPr>
      </w:pPr>
      <w:r>
        <w:rPr>
          <w:rFonts w:eastAsia="Arial"/>
        </w:rPr>
        <w:t>Ensuring compliance is well</w:t>
      </w:r>
      <w:r w:rsidR="00302D4E">
        <w:rPr>
          <w:rFonts w:eastAsia="Arial"/>
        </w:rPr>
        <w:t>-</w:t>
      </w:r>
      <w:r>
        <w:rPr>
          <w:rFonts w:eastAsia="Arial"/>
        </w:rPr>
        <w:t xml:space="preserve">funded helps to protect the community from harm. Consideration should be given to </w:t>
      </w:r>
      <w:r w:rsidR="00797888">
        <w:rPr>
          <w:rFonts w:eastAsia="Arial"/>
        </w:rPr>
        <w:t xml:space="preserve">reviewing the </w:t>
      </w:r>
      <w:r>
        <w:rPr>
          <w:rFonts w:eastAsia="Arial"/>
        </w:rPr>
        <w:t xml:space="preserve">funding </w:t>
      </w:r>
      <w:r w:rsidR="00797888">
        <w:rPr>
          <w:rFonts w:eastAsia="Arial"/>
        </w:rPr>
        <w:t xml:space="preserve">available </w:t>
      </w:r>
      <w:r>
        <w:rPr>
          <w:rFonts w:eastAsia="Arial"/>
        </w:rPr>
        <w:t xml:space="preserve">to support gambling compliance and enforcement activities for </w:t>
      </w:r>
      <w:r w:rsidR="00200833">
        <w:rPr>
          <w:rFonts w:eastAsia="Arial"/>
        </w:rPr>
        <w:t xml:space="preserve">regulators from </w:t>
      </w:r>
      <w:r>
        <w:rPr>
          <w:rFonts w:eastAsia="Arial"/>
        </w:rPr>
        <w:t>all Australian government</w:t>
      </w:r>
      <w:r w:rsidR="00465DB0">
        <w:rPr>
          <w:rFonts w:eastAsia="Arial"/>
        </w:rPr>
        <w:t>s</w:t>
      </w:r>
      <w:r>
        <w:rPr>
          <w:rFonts w:eastAsia="Arial"/>
        </w:rPr>
        <w:t>.</w:t>
      </w:r>
    </w:p>
    <w:p w14:paraId="2B295922" w14:textId="77777777" w:rsidR="005C497D" w:rsidRPr="00843A16" w:rsidRDefault="005C497D" w:rsidP="005C497D">
      <w:pPr>
        <w:pStyle w:val="Heading3"/>
      </w:pPr>
      <w:bookmarkStart w:id="109" w:name="_Toc233643299"/>
      <w:r w:rsidRPr="00843A16">
        <w:t>WSP compliance</w:t>
      </w:r>
      <w:bookmarkEnd w:id="109"/>
    </w:p>
    <w:p w14:paraId="6C4D417E" w14:textId="171F7E64" w:rsidR="005C497D" w:rsidRPr="00843A16" w:rsidRDefault="005C497D" w:rsidP="005C497D">
      <w:pPr>
        <w:pStyle w:val="BodyText"/>
        <w:rPr>
          <w:rFonts w:eastAsia="Arial"/>
        </w:rPr>
      </w:pPr>
      <w:r w:rsidRPr="00843A16">
        <w:rPr>
          <w:rFonts w:eastAsia="Arial"/>
        </w:rPr>
        <w:t>The interviews with WSPs provided an understanding of how WSPs navigated the regulation of the NCPF. Several WSPs stated they had engaged with regulators to seek clarification about the NCPF measures and to ensure they were compliant with the requirements.</w:t>
      </w:r>
    </w:p>
    <w:p w14:paraId="6AD67E4D" w14:textId="2C63B952" w:rsidR="005C497D" w:rsidRPr="00843A16" w:rsidRDefault="005C497D" w:rsidP="005C497D">
      <w:pPr>
        <w:pStyle w:val="Quote"/>
      </w:pPr>
      <w:r w:rsidRPr="00843A16">
        <w:lastRenderedPageBreak/>
        <w:t xml:space="preserve">We have tried to maintain open dialogue with regulators where we think we might have identified an issue in our compliance framework or some broader aspect of the measure. </w:t>
      </w:r>
      <w:r w:rsidR="001E5CAA">
        <w:t>(</w:t>
      </w:r>
      <w:r w:rsidRPr="00843A16">
        <w:t>WSP, medium corporate bookmaker, NT licensed</w:t>
      </w:r>
      <w:r w:rsidR="001E5CAA">
        <w:t>)</w:t>
      </w:r>
    </w:p>
    <w:p w14:paraId="41B82FCE" w14:textId="14DCE8F6" w:rsidR="005C497D" w:rsidRPr="00843A16" w:rsidRDefault="005C497D" w:rsidP="005C497D">
      <w:pPr>
        <w:pStyle w:val="BodyText"/>
        <w:rPr>
          <w:rFonts w:eastAsia="Arial" w:cs="Arial"/>
          <w:color w:val="000000" w:themeColor="text1"/>
          <w:szCs w:val="20"/>
        </w:rPr>
      </w:pPr>
      <w:r>
        <w:rPr>
          <w:rFonts w:eastAsia="Arial" w:cs="Arial"/>
          <w:color w:val="000000" w:themeColor="text1"/>
          <w:szCs w:val="20"/>
        </w:rPr>
        <w:t>In line with the evaluation findings of jurisdictional differences in legislation for some measures, s</w:t>
      </w:r>
      <w:r w:rsidRPr="00843A16">
        <w:rPr>
          <w:rFonts w:eastAsia="Arial" w:cs="Arial"/>
          <w:color w:val="000000" w:themeColor="text1"/>
          <w:szCs w:val="20"/>
        </w:rPr>
        <w:t>everal WSPs noted that different jurisdictions had implemented certain NCPF measures differently, requiring operators to alter their behaviour to be compliant in each jurisdiction.</w:t>
      </w:r>
    </w:p>
    <w:p w14:paraId="520ED7F6" w14:textId="4377DC05" w:rsidR="005C497D" w:rsidRPr="00843A16" w:rsidRDefault="005C497D" w:rsidP="005C497D">
      <w:pPr>
        <w:pStyle w:val="Quote"/>
        <w:jc w:val="both"/>
      </w:pPr>
      <w:r w:rsidRPr="00843A16">
        <w:t xml:space="preserve">But from a compliance perspective it makes life very difficult for us if we’ve got multiple regulators asking for the same thing or slightly different things, it just adds to that regulatory burden. </w:t>
      </w:r>
      <w:r w:rsidR="001E5CAA">
        <w:t>(</w:t>
      </w:r>
      <w:r w:rsidRPr="00843A16">
        <w:t>WSP, very large corporate bookmaker, NT licensed</w:t>
      </w:r>
      <w:r w:rsidR="001E5CAA">
        <w:t>)</w:t>
      </w:r>
    </w:p>
    <w:p w14:paraId="1E7FE850" w14:textId="121A6E62" w:rsidR="005C497D" w:rsidRPr="00843A16" w:rsidRDefault="00822D11" w:rsidP="005C497D">
      <w:pPr>
        <w:pStyle w:val="BodyText"/>
        <w:rPr>
          <w:rFonts w:eastAsia="Arial"/>
        </w:rPr>
      </w:pPr>
      <w:r>
        <w:rPr>
          <w:rFonts w:eastAsia="Arial"/>
        </w:rPr>
        <w:t>WSPs identified that compliance</w:t>
      </w:r>
      <w:r w:rsidR="005C497D" w:rsidRPr="00843A16">
        <w:rPr>
          <w:rFonts w:eastAsia="Arial"/>
        </w:rPr>
        <w:t xml:space="preserve"> with the NCPF measures </w:t>
      </w:r>
      <w:r w:rsidR="00F47A44">
        <w:rPr>
          <w:rFonts w:eastAsia="Arial"/>
        </w:rPr>
        <w:t>may differ depending on the size of the operator.</w:t>
      </w:r>
      <w:r w:rsidR="005C497D">
        <w:rPr>
          <w:rFonts w:eastAsia="Arial"/>
        </w:rPr>
        <w:t xml:space="preserve"> </w:t>
      </w:r>
      <w:r w:rsidR="005C497D" w:rsidRPr="00843A16">
        <w:rPr>
          <w:rFonts w:eastAsia="Arial"/>
        </w:rPr>
        <w:t>For example:</w:t>
      </w:r>
    </w:p>
    <w:p w14:paraId="2C0006C7" w14:textId="4FE94125" w:rsidR="005C497D" w:rsidRPr="00843A16" w:rsidRDefault="005C497D" w:rsidP="005C497D">
      <w:pPr>
        <w:pStyle w:val="ListBullet"/>
        <w:rPr>
          <w:rFonts w:eastAsia="Arial"/>
        </w:rPr>
      </w:pPr>
      <w:r w:rsidRPr="00843A16">
        <w:rPr>
          <w:rFonts w:eastAsia="Arial"/>
        </w:rPr>
        <w:t xml:space="preserve">It was harder for smaller operators to </w:t>
      </w:r>
      <w:r w:rsidR="00917E1C">
        <w:rPr>
          <w:rFonts w:eastAsia="Arial"/>
        </w:rPr>
        <w:t>make the necessary technical changes to be compliant with regulations</w:t>
      </w:r>
      <w:r w:rsidRPr="00843A16">
        <w:rPr>
          <w:rFonts w:eastAsia="Arial"/>
        </w:rPr>
        <w:t xml:space="preserve"> as they as they had fewer resources compared to larger operators</w:t>
      </w:r>
      <w:r w:rsidR="0046799B">
        <w:rPr>
          <w:rFonts w:eastAsia="Arial"/>
        </w:rPr>
        <w:t>.</w:t>
      </w:r>
    </w:p>
    <w:p w14:paraId="1810BF3C" w14:textId="062D0F3E" w:rsidR="005C497D" w:rsidRPr="00843A16" w:rsidRDefault="005C497D" w:rsidP="005C497D">
      <w:pPr>
        <w:pStyle w:val="ListBullet"/>
        <w:rPr>
          <w:rFonts w:eastAsia="Arial"/>
        </w:rPr>
      </w:pPr>
      <w:r w:rsidRPr="00843A16">
        <w:rPr>
          <w:rFonts w:eastAsia="Arial"/>
        </w:rPr>
        <w:t xml:space="preserve">If a small operator’s actions </w:t>
      </w:r>
      <w:r w:rsidR="00077874">
        <w:rPr>
          <w:rFonts w:eastAsia="Arial"/>
        </w:rPr>
        <w:t xml:space="preserve">breached the NCPF’s requirements and </w:t>
      </w:r>
      <w:r w:rsidR="001C1BD5">
        <w:rPr>
          <w:rFonts w:eastAsia="Arial"/>
        </w:rPr>
        <w:t xml:space="preserve">this </w:t>
      </w:r>
      <w:r w:rsidRPr="00843A16">
        <w:rPr>
          <w:rFonts w:eastAsia="Arial"/>
        </w:rPr>
        <w:t>led to a fine, it could be a higher proportion of their revenue, so they had less capacity to absorb it than larger operators</w:t>
      </w:r>
      <w:r w:rsidR="0046799B">
        <w:rPr>
          <w:rFonts w:eastAsia="Arial"/>
        </w:rPr>
        <w:t>.</w:t>
      </w:r>
    </w:p>
    <w:p w14:paraId="55852A73" w14:textId="5700A4F9" w:rsidR="005C497D" w:rsidRPr="00843A16" w:rsidRDefault="0046799B" w:rsidP="005C497D">
      <w:pPr>
        <w:pStyle w:val="ListBullet"/>
        <w:rPr>
          <w:rFonts w:eastAsia="Arial"/>
        </w:rPr>
      </w:pPr>
      <w:r>
        <w:rPr>
          <w:rFonts w:eastAsia="Arial"/>
        </w:rPr>
        <w:t>The r</w:t>
      </w:r>
      <w:r w:rsidRPr="00843A16">
        <w:rPr>
          <w:rFonts w:eastAsia="Arial"/>
        </w:rPr>
        <w:t xml:space="preserve">estrictions </w:t>
      </w:r>
      <w:r w:rsidR="005C497D" w:rsidRPr="00843A16">
        <w:rPr>
          <w:rFonts w:eastAsia="Arial"/>
        </w:rPr>
        <w:t>on inducements measure may have a greater impact on smaller or less established operators</w:t>
      </w:r>
      <w:r w:rsidR="00E54A58">
        <w:rPr>
          <w:rFonts w:eastAsia="Arial"/>
        </w:rPr>
        <w:t xml:space="preserve"> as they may rely more heavily on promotional incentives to attract and retain customers</w:t>
      </w:r>
      <w:r w:rsidR="005C497D" w:rsidRPr="00843A16">
        <w:rPr>
          <w:rFonts w:eastAsia="Arial"/>
        </w:rPr>
        <w:t xml:space="preserve">. </w:t>
      </w:r>
    </w:p>
    <w:p w14:paraId="70BA6CD2" w14:textId="3CAADB40" w:rsidR="005C497D" w:rsidRPr="00843A16" w:rsidRDefault="005C497D" w:rsidP="005C497D">
      <w:pPr>
        <w:pStyle w:val="Quote"/>
        <w:ind w:left="720"/>
      </w:pPr>
      <w:r w:rsidRPr="00843A16">
        <w:t xml:space="preserve">And at the end of the day, unfortunately, the way that the </w:t>
      </w:r>
      <w:r w:rsidR="0046799B" w:rsidRPr="00843A16">
        <w:t>market</w:t>
      </w:r>
      <w:r w:rsidR="0046799B">
        <w:t>’</w:t>
      </w:r>
      <w:r w:rsidR="0046799B" w:rsidRPr="00843A16">
        <w:t xml:space="preserve">s </w:t>
      </w:r>
      <w:r w:rsidRPr="00843A16">
        <w:t xml:space="preserve">going, </w:t>
      </w:r>
      <w:r w:rsidR="0046799B" w:rsidRPr="00843A16">
        <w:t>there</w:t>
      </w:r>
      <w:r w:rsidR="0046799B">
        <w:t>’</w:t>
      </w:r>
      <w:r w:rsidR="0046799B" w:rsidRPr="00843A16">
        <w:t xml:space="preserve">s </w:t>
      </w:r>
      <w:r w:rsidRPr="00843A16">
        <w:t>been a major downturn in the smaller bookmakers and I</w:t>
      </w:r>
      <w:r w:rsidR="0046799B">
        <w:t>’</w:t>
      </w:r>
      <w:r w:rsidRPr="00843A16">
        <w:t xml:space="preserve">ve got some intel on </w:t>
      </w:r>
      <w:proofErr w:type="gramStart"/>
      <w:r w:rsidRPr="00843A16">
        <w:t>that</w:t>
      </w:r>
      <w:proofErr w:type="gramEnd"/>
      <w:r w:rsidR="0023113F">
        <w:t xml:space="preserve"> </w:t>
      </w:r>
      <w:r w:rsidRPr="00843A16">
        <w:t>and brands are dying and the only way to survive is offer[</w:t>
      </w:r>
      <w:proofErr w:type="spellStart"/>
      <w:r w:rsidRPr="00843A16">
        <w:t>ing</w:t>
      </w:r>
      <w:proofErr w:type="spellEnd"/>
      <w:r w:rsidRPr="00843A16">
        <w:t xml:space="preserve">] inducements. </w:t>
      </w:r>
      <w:r w:rsidR="0046799B">
        <w:t>(</w:t>
      </w:r>
      <w:r w:rsidRPr="00843A16">
        <w:t>WSP, on-course bookmaker, Victorian licensed</w:t>
      </w:r>
      <w:r w:rsidR="0046799B">
        <w:t>)</w:t>
      </w:r>
    </w:p>
    <w:p w14:paraId="51462A28" w14:textId="01A9F561" w:rsidR="00A71BA2" w:rsidRDefault="00D8584D" w:rsidP="005C497D">
      <w:pPr>
        <w:pStyle w:val="BodyText"/>
        <w:rPr>
          <w:rFonts w:eastAsia="Arial"/>
        </w:rPr>
      </w:pPr>
      <w:r>
        <w:t>A</w:t>
      </w:r>
      <w:r w:rsidR="005C497D" w:rsidRPr="00843A16">
        <w:t xml:space="preserve">n unintended consequence of regulation and compliance activities is that it can </w:t>
      </w:r>
      <w:r w:rsidR="005C497D">
        <w:t xml:space="preserve">have a </w:t>
      </w:r>
      <w:r w:rsidR="00BB7657">
        <w:t xml:space="preserve">disproportionate </w:t>
      </w:r>
      <w:r w:rsidR="005C497D" w:rsidRPr="00843A16">
        <w:t xml:space="preserve">impact on smaller </w:t>
      </w:r>
      <w:r w:rsidR="00BB7657">
        <w:t xml:space="preserve">wagering </w:t>
      </w:r>
      <w:r w:rsidR="005C497D" w:rsidRPr="00843A16">
        <w:t>operators</w:t>
      </w:r>
      <w:r w:rsidR="0046799B">
        <w:t>,</w:t>
      </w:r>
      <w:r w:rsidR="005C497D" w:rsidRPr="00843A16">
        <w:t xml:space="preserve"> </w:t>
      </w:r>
      <w:r w:rsidR="0046799B">
        <w:t>compared to</w:t>
      </w:r>
      <w:r w:rsidR="005C497D" w:rsidRPr="00843A16">
        <w:t xml:space="preserve"> larger ones.</w:t>
      </w:r>
      <w:r w:rsidR="00197CD5">
        <w:t xml:space="preserve"> </w:t>
      </w:r>
      <w:r w:rsidR="00E66FEB">
        <w:t xml:space="preserve">One regulator stated that small WSPs </w:t>
      </w:r>
      <w:r w:rsidR="00E66FEB">
        <w:rPr>
          <w:rFonts w:eastAsia="Arial"/>
        </w:rPr>
        <w:t xml:space="preserve">can still </w:t>
      </w:r>
      <w:r w:rsidR="00A71BA2">
        <w:rPr>
          <w:rFonts w:eastAsia="Arial"/>
        </w:rPr>
        <w:t xml:space="preserve">pose risks and harms </w:t>
      </w:r>
      <w:r w:rsidR="00757D4F">
        <w:rPr>
          <w:rFonts w:eastAsia="Arial"/>
        </w:rPr>
        <w:t>to customers and thus the same compliance obligations should apply to them.</w:t>
      </w:r>
    </w:p>
    <w:p w14:paraId="6BF1C27B" w14:textId="77777777" w:rsidR="00D854C4" w:rsidRPr="00843A16" w:rsidRDefault="00D854C4" w:rsidP="00D854C4">
      <w:pPr>
        <w:pStyle w:val="Heading3"/>
      </w:pPr>
      <w:bookmarkStart w:id="110" w:name="_Toc233643300"/>
      <w:r w:rsidRPr="00843A16">
        <w:t>Consumer experiences of non-compliance</w:t>
      </w:r>
      <w:bookmarkEnd w:id="110"/>
    </w:p>
    <w:p w14:paraId="4396689A" w14:textId="2EB3F4EE" w:rsidR="00FF1F68" w:rsidRDefault="00D854C4" w:rsidP="00FE5EAA">
      <w:pPr>
        <w:pStyle w:val="BodyText"/>
      </w:pPr>
      <w:r w:rsidRPr="00843A16">
        <w:t xml:space="preserve">The consumer survey conducted for this evaluation </w:t>
      </w:r>
      <w:r w:rsidR="008274A6">
        <w:t>asked last 12-month</w:t>
      </w:r>
      <w:r w:rsidR="00777DFC">
        <w:t>s</w:t>
      </w:r>
      <w:r w:rsidR="008274A6">
        <w:t xml:space="preserve"> online wagerers for their experiences</w:t>
      </w:r>
      <w:r w:rsidR="00F512B1">
        <w:t xml:space="preserve"> with measures, with indicators of WSP non-compliance </w:t>
      </w:r>
      <w:r w:rsidRPr="00843A16">
        <w:t xml:space="preserve">with some aspects of </w:t>
      </w:r>
      <w:r w:rsidR="00577323">
        <w:t>7</w:t>
      </w:r>
      <w:r w:rsidR="00577323" w:rsidRPr="00843A16">
        <w:t xml:space="preserve"> </w:t>
      </w:r>
      <w:r w:rsidRPr="00843A16">
        <w:t>NCPF measures</w:t>
      </w:r>
      <w:r w:rsidR="00B36525">
        <w:t xml:space="preserve">. Many consumers did not recall receiving an activity statement, </w:t>
      </w:r>
      <w:r w:rsidR="004224B4">
        <w:t xml:space="preserve">some reported being induced to open </w:t>
      </w:r>
      <w:r w:rsidR="0017559D">
        <w:t>an account</w:t>
      </w:r>
      <w:r w:rsidR="0000688E">
        <w:t xml:space="preserve"> or to not close their account</w:t>
      </w:r>
      <w:r w:rsidR="0017559D">
        <w:t xml:space="preserve">, </w:t>
      </w:r>
      <w:r w:rsidR="00DE2377">
        <w:t>not being asked to set a deposit limit</w:t>
      </w:r>
      <w:r w:rsidR="00F631B1">
        <w:t xml:space="preserve"> and receiving direct marketing after closing their account.</w:t>
      </w:r>
      <w:r w:rsidR="00FC1E76">
        <w:t xml:space="preserve"> </w:t>
      </w:r>
      <w:r w:rsidR="004D2F72">
        <w:t xml:space="preserve">See </w:t>
      </w:r>
      <w:hyperlink w:anchor="AppendixD" w:history="1">
        <w:r w:rsidR="004D2F72" w:rsidRPr="00796175">
          <w:rPr>
            <w:rStyle w:val="Hyperlink"/>
            <w:b/>
            <w:bCs/>
          </w:rPr>
          <w:t xml:space="preserve">Appendix </w:t>
        </w:r>
        <w:r w:rsidR="00231EE9">
          <w:rPr>
            <w:rStyle w:val="Hyperlink"/>
            <w:b/>
            <w:bCs/>
          </w:rPr>
          <w:t>D</w:t>
        </w:r>
      </w:hyperlink>
      <w:r w:rsidR="004D2F72">
        <w:t xml:space="preserve"> for detailed results</w:t>
      </w:r>
      <w:r w:rsidR="004D2F72" w:rsidRPr="00843A16">
        <w:t xml:space="preserve">. </w:t>
      </w:r>
      <w:r w:rsidR="00CD0B7A">
        <w:t xml:space="preserve">These survey findings </w:t>
      </w:r>
      <w:r w:rsidR="00DD57D9">
        <w:t xml:space="preserve">indicate </w:t>
      </w:r>
      <w:r w:rsidR="00F75F4F">
        <w:t xml:space="preserve">WSPs </w:t>
      </w:r>
      <w:r w:rsidR="009E296D">
        <w:t xml:space="preserve">may not be complying </w:t>
      </w:r>
      <w:r w:rsidR="004D2F72">
        <w:t xml:space="preserve">with their obligations under the </w:t>
      </w:r>
      <w:proofErr w:type="gramStart"/>
      <w:r w:rsidR="004D2F72">
        <w:t>NCPF</w:t>
      </w:r>
      <w:proofErr w:type="gramEnd"/>
      <w:r w:rsidR="001866A4">
        <w:t xml:space="preserve"> and </w:t>
      </w:r>
      <w:r w:rsidR="00D724F9">
        <w:t xml:space="preserve">proactive </w:t>
      </w:r>
      <w:r w:rsidR="00527E04">
        <w:t>compliance activities may be warranted</w:t>
      </w:r>
      <w:r w:rsidR="004D2F72">
        <w:t xml:space="preserve">. </w:t>
      </w:r>
      <w:r w:rsidR="00FC1E76">
        <w:t xml:space="preserve"> </w:t>
      </w:r>
    </w:p>
    <w:p w14:paraId="6A7141FC" w14:textId="60EBB8C7" w:rsidR="00853387" w:rsidRDefault="00D854C4" w:rsidP="00D854C4">
      <w:pPr>
        <w:pStyle w:val="BodyText"/>
      </w:pPr>
      <w:r w:rsidRPr="00843A16">
        <w:t xml:space="preserve">The time taken to conduct complaint investigations and resolve them is significant. For example, </w:t>
      </w:r>
      <w:r w:rsidR="006A0CA9">
        <w:t>a review of the NTRWC</w:t>
      </w:r>
      <w:r w:rsidR="00075242">
        <w:t>-</w:t>
      </w:r>
      <w:r w:rsidR="00213EBB">
        <w:t>published</w:t>
      </w:r>
      <w:r w:rsidR="008E1514">
        <w:t xml:space="preserve"> </w:t>
      </w:r>
      <w:r w:rsidR="00F72157">
        <w:t xml:space="preserve">decisions made between November 2019 and 2025 found </w:t>
      </w:r>
      <w:r w:rsidRPr="00843A16">
        <w:t xml:space="preserve">the average time from a complaint relating to the restriction on inducements measure being lodged and it being resolved was just over 501 days. </w:t>
      </w:r>
      <w:r w:rsidR="00377B56">
        <w:t xml:space="preserve">In addition, </w:t>
      </w:r>
      <w:r w:rsidR="003E7E6E">
        <w:t xml:space="preserve">the NSW regulator reported that </w:t>
      </w:r>
      <w:r w:rsidR="00A43761">
        <w:t xml:space="preserve">the </w:t>
      </w:r>
      <w:r w:rsidR="003E7E6E">
        <w:t>12</w:t>
      </w:r>
      <w:r w:rsidR="0067582A">
        <w:t> </w:t>
      </w:r>
      <w:r w:rsidR="003E7E6E">
        <w:t>complaints</w:t>
      </w:r>
      <w:r w:rsidR="00A43761">
        <w:t>,</w:t>
      </w:r>
      <w:r w:rsidR="003E7E6E">
        <w:t xml:space="preserve"> </w:t>
      </w:r>
      <w:r w:rsidR="00B4069D">
        <w:t>since 2020</w:t>
      </w:r>
      <w:r w:rsidR="00A43761">
        <w:t>,</w:t>
      </w:r>
      <w:r w:rsidR="00B4069D">
        <w:t xml:space="preserve"> </w:t>
      </w:r>
      <w:r w:rsidR="003E7E6E">
        <w:t xml:space="preserve">related to deposit limits </w:t>
      </w:r>
      <w:r w:rsidR="00B4069D">
        <w:t xml:space="preserve">had </w:t>
      </w:r>
      <w:r w:rsidR="00C862B5">
        <w:t xml:space="preserve">each </w:t>
      </w:r>
      <w:r w:rsidR="003E7E6E">
        <w:t>taken an average of 168</w:t>
      </w:r>
      <w:r w:rsidR="00514F2D">
        <w:t> </w:t>
      </w:r>
      <w:r w:rsidR="003E7E6E">
        <w:t xml:space="preserve">days to </w:t>
      </w:r>
      <w:r w:rsidR="00AB1B5A">
        <w:t xml:space="preserve">be resolved. </w:t>
      </w:r>
    </w:p>
    <w:p w14:paraId="5C1AC82C" w14:textId="63D58EEA" w:rsidR="00D854C4" w:rsidRPr="00843A16" w:rsidRDefault="00E527A8" w:rsidP="007577EA">
      <w:pPr>
        <w:pStyle w:val="BodyText"/>
        <w:spacing w:after="120"/>
      </w:pPr>
      <w:r>
        <w:lastRenderedPageBreak/>
        <w:t>Regulators noted that c</w:t>
      </w:r>
      <w:r w:rsidR="00440066" w:rsidRPr="00440066">
        <w:t>omplaint resolution time depends on the nature and severity of the issue, ranging from disputes about WSP terms and conditions to potential breaches of legislation. Suspected breaches may trigger an investigation, including issuing notices to produce information, reviewing that material and assessing whether to proceed with legal action.</w:t>
      </w:r>
      <w:r w:rsidR="00440066" w:rsidRPr="00440066" w:rsidDel="00440066">
        <w:t xml:space="preserve"> </w:t>
      </w:r>
    </w:p>
    <w:p w14:paraId="73EF2C2D" w14:textId="2F611673" w:rsidR="0053127E" w:rsidRPr="00843A16" w:rsidRDefault="00C862B5" w:rsidP="0053127E">
      <w:pPr>
        <w:pStyle w:val="BodyText"/>
      </w:pPr>
      <w:r>
        <w:t>An</w:t>
      </w:r>
      <w:r w:rsidRPr="00843A16">
        <w:t xml:space="preserve"> </w:t>
      </w:r>
      <w:r w:rsidR="0053127E" w:rsidRPr="00843A16">
        <w:t xml:space="preserve">interview with </w:t>
      </w:r>
      <w:r w:rsidR="005D2007">
        <w:t>a</w:t>
      </w:r>
      <w:r w:rsidR="005D2007" w:rsidRPr="00843A16">
        <w:t xml:space="preserve"> </w:t>
      </w:r>
      <w:r w:rsidR="0053127E" w:rsidRPr="00843A16">
        <w:t>help-</w:t>
      </w:r>
      <w:r w:rsidR="0053127E">
        <w:t>providing</w:t>
      </w:r>
      <w:r w:rsidR="0053127E" w:rsidRPr="00843A16">
        <w:t xml:space="preserve"> organisation </w:t>
      </w:r>
      <w:r w:rsidR="0053127E">
        <w:t>revealed that</w:t>
      </w:r>
      <w:r>
        <w:t>, in t</w:t>
      </w:r>
      <w:r w:rsidR="003F6BAD">
        <w:t>heir experience,</w:t>
      </w:r>
      <w:r w:rsidR="0053127E" w:rsidRPr="00843A16">
        <w:t xml:space="preserve"> consumers </w:t>
      </w:r>
      <w:r w:rsidR="003F6BAD">
        <w:t>we</w:t>
      </w:r>
      <w:r w:rsidR="003F6BAD" w:rsidRPr="00843A16">
        <w:t xml:space="preserve">re </w:t>
      </w:r>
      <w:r w:rsidR="0053127E" w:rsidRPr="00843A16">
        <w:t xml:space="preserve">usually expected to </w:t>
      </w:r>
      <w:r w:rsidR="003F6BAD">
        <w:t xml:space="preserve">attempt to </w:t>
      </w:r>
      <w:r w:rsidR="0053127E" w:rsidRPr="00843A16">
        <w:t>resolve complaints with WSPs prior to approaching regulators</w:t>
      </w:r>
      <w:r w:rsidR="0053127E">
        <w:t xml:space="preserve"> and that this can be time-consuming and</w:t>
      </w:r>
      <w:r w:rsidR="0053127E" w:rsidRPr="00843A16">
        <w:t xml:space="preserve"> stressful for </w:t>
      </w:r>
      <w:r w:rsidR="0053127E">
        <w:t>clients</w:t>
      </w:r>
      <w:r w:rsidR="0053127E" w:rsidRPr="00843A16">
        <w:t xml:space="preserve"> who have experienced gambling harm. </w:t>
      </w:r>
    </w:p>
    <w:p w14:paraId="10330711" w14:textId="30A6EB88" w:rsidR="007A6176" w:rsidRDefault="00D854C4" w:rsidP="00D854C4">
      <w:pPr>
        <w:pStyle w:val="BodyText"/>
      </w:pPr>
      <w:r w:rsidRPr="00843A16">
        <w:t xml:space="preserve">More proactive compliance activities </w:t>
      </w:r>
      <w:r w:rsidR="00DB3EDA" w:rsidRPr="00843A16">
        <w:t>ha</w:t>
      </w:r>
      <w:r w:rsidR="00DB3EDA">
        <w:t>ve</w:t>
      </w:r>
      <w:r w:rsidR="00DB3EDA" w:rsidRPr="00843A16">
        <w:t xml:space="preserve"> the potential to reduce this burden on consumers</w:t>
      </w:r>
      <w:r w:rsidR="00DB3EDA">
        <w:t xml:space="preserve"> and regulators through </w:t>
      </w:r>
      <w:r w:rsidR="004516D1">
        <w:t xml:space="preserve">activities </w:t>
      </w:r>
      <w:r w:rsidRPr="00843A16">
        <w:t>such as audits</w:t>
      </w:r>
      <w:r w:rsidR="004516D1">
        <w:t xml:space="preserve">, as well as </w:t>
      </w:r>
      <w:r w:rsidRPr="00843A16">
        <w:t xml:space="preserve">WSPs </w:t>
      </w:r>
      <w:r w:rsidR="001A35DA">
        <w:t xml:space="preserve">regularly </w:t>
      </w:r>
      <w:r w:rsidRPr="00843A16">
        <w:t>providing information to regulators to show they are meeting their legislative obligations</w:t>
      </w:r>
      <w:r w:rsidR="004516D1">
        <w:t>.</w:t>
      </w:r>
      <w:r w:rsidRPr="00843A16">
        <w:t xml:space="preserve"> It could also assist with resolving consumer complaints in a timely manner.</w:t>
      </w:r>
    </w:p>
    <w:p w14:paraId="6AECB228" w14:textId="3F102615" w:rsidR="00EC1EA7" w:rsidRPr="00843A16" w:rsidRDefault="000129EF" w:rsidP="00074143">
      <w:pPr>
        <w:pStyle w:val="Heading2"/>
      </w:pPr>
      <w:bookmarkStart w:id="111" w:name="_Were_the_measures"/>
      <w:bookmarkStart w:id="112" w:name="_Toc233643301"/>
      <w:bookmarkStart w:id="113" w:name="Enhancingmeasureprotectionandconsistency"/>
      <w:bookmarkEnd w:id="111"/>
      <w:r w:rsidRPr="00843A16">
        <w:t>Were the measures implemented consistently across jurisdictions?</w:t>
      </w:r>
      <w:bookmarkEnd w:id="112"/>
      <w:r w:rsidRPr="00843A16">
        <w:t xml:space="preserve"> </w:t>
      </w:r>
    </w:p>
    <w:p w14:paraId="6A1FD17E" w14:textId="77777777" w:rsidR="007E0B84" w:rsidRPr="00B422D8" w:rsidRDefault="007E0B84" w:rsidP="007A60DE">
      <w:pPr>
        <w:pStyle w:val="BoxHeading1"/>
      </w:pPr>
      <w:r w:rsidRPr="00843A16">
        <w:t>Key findings</w:t>
      </w:r>
    </w:p>
    <w:p w14:paraId="0C5ED974" w14:textId="2FD50675" w:rsidR="00894FEC" w:rsidRPr="00766AB2" w:rsidRDefault="00D72905" w:rsidP="0004207B">
      <w:pPr>
        <w:pStyle w:val="BoxBulletList"/>
      </w:pPr>
      <w:r>
        <w:t>The NPS cons</w:t>
      </w:r>
      <w:r w:rsidR="006F0F8E">
        <w:t xml:space="preserve">ists of 71 principles across the 10 measures. </w:t>
      </w:r>
      <w:r w:rsidR="00664F44" w:rsidRPr="00843A16">
        <w:t>All measures were implemented, with a high degree of consistency</w:t>
      </w:r>
      <w:r w:rsidR="00664F44">
        <w:t xml:space="preserve"> across jurisdictions</w:t>
      </w:r>
      <w:r w:rsidR="00664F44" w:rsidRPr="00843A16">
        <w:t xml:space="preserve"> in their timing and features. </w:t>
      </w:r>
      <w:r w:rsidR="00664F44">
        <w:t xml:space="preserve">Six of the </w:t>
      </w:r>
      <w:r w:rsidR="00664F44" w:rsidRPr="00766AB2">
        <w:t xml:space="preserve">measures </w:t>
      </w:r>
      <w:r w:rsidR="006A450B" w:rsidRPr="00766AB2">
        <w:t xml:space="preserve">(restrictions on credit and payday lenders, customer verification, </w:t>
      </w:r>
      <w:r w:rsidR="009108E5" w:rsidRPr="00766AB2">
        <w:t>CGM</w:t>
      </w:r>
      <w:r w:rsidR="006A450B" w:rsidRPr="00766AB2">
        <w:t xml:space="preserve">, staff training and the NSER) </w:t>
      </w:r>
      <w:r w:rsidR="00664F44" w:rsidRPr="00766AB2">
        <w:t xml:space="preserve">were implemented consistent with the </w:t>
      </w:r>
      <w:r w:rsidR="00894FEC" w:rsidRPr="00766AB2">
        <w:t xml:space="preserve">NCPF </w:t>
      </w:r>
      <w:r w:rsidR="00664F44" w:rsidRPr="00766AB2">
        <w:t>principles, although staff training and the NSER did not meet the 18-month implementation time</w:t>
      </w:r>
      <w:r w:rsidR="005C1F91">
        <w:t xml:space="preserve"> </w:t>
      </w:r>
      <w:r w:rsidR="00664F44" w:rsidRPr="00766AB2">
        <w:t xml:space="preserve">frame. </w:t>
      </w:r>
    </w:p>
    <w:p w14:paraId="6BC7AE92" w14:textId="2DA215D5" w:rsidR="00C10271" w:rsidRPr="00766AB2" w:rsidRDefault="00664F44" w:rsidP="0004207B">
      <w:pPr>
        <w:pStyle w:val="BoxBulletList"/>
      </w:pPr>
      <w:r w:rsidRPr="00766AB2">
        <w:t>Implementation of the other 4 measures (restrictions on inducements, account closure, deposit limits and activity statements) aligned with their related NCPF principles</w:t>
      </w:r>
      <w:r w:rsidR="003051A2">
        <w:t>,</w:t>
      </w:r>
      <w:r w:rsidRPr="00766AB2">
        <w:t xml:space="preserve"> </w:t>
      </w:r>
      <w:proofErr w:type="gramStart"/>
      <w:r w:rsidR="003051A2">
        <w:t>with the exception of</w:t>
      </w:r>
      <w:proofErr w:type="gramEnd"/>
      <w:r w:rsidRPr="00766AB2">
        <w:t xml:space="preserve"> </w:t>
      </w:r>
      <w:r w:rsidR="0068464D">
        <w:t>6</w:t>
      </w:r>
      <w:r w:rsidRPr="00766AB2">
        <w:t xml:space="preserve"> principles. </w:t>
      </w:r>
      <w:r w:rsidR="00516530" w:rsidRPr="00766AB2">
        <w:t xml:space="preserve">These </w:t>
      </w:r>
      <w:r w:rsidR="003E7338">
        <w:t>were</w:t>
      </w:r>
      <w:r w:rsidR="00516530" w:rsidRPr="00766AB2">
        <w:t xml:space="preserve"> principles 15, 17, 24, 35, 38 and 47 (as numbered</w:t>
      </w:r>
      <w:r w:rsidRPr="00766AB2">
        <w:t xml:space="preserve"> in </w:t>
      </w:r>
      <w:r w:rsidR="00CD26F1" w:rsidRPr="00766AB2">
        <w:t>this report)</w:t>
      </w:r>
      <w:r w:rsidR="00516530" w:rsidRPr="00766AB2">
        <w:t xml:space="preserve">. </w:t>
      </w:r>
      <w:r w:rsidR="00AD6158" w:rsidRPr="00766AB2">
        <w:t xml:space="preserve">The wording for 5 </w:t>
      </w:r>
      <w:r w:rsidR="003051A2">
        <w:t xml:space="preserve">of these </w:t>
      </w:r>
      <w:r w:rsidR="00AD6158" w:rsidRPr="00766AB2">
        <w:t xml:space="preserve">principles </w:t>
      </w:r>
      <w:r w:rsidR="00FB3527" w:rsidRPr="00766AB2">
        <w:t>was ambiguous</w:t>
      </w:r>
      <w:r w:rsidR="00F53385" w:rsidRPr="00766AB2">
        <w:t xml:space="preserve"> and there was </w:t>
      </w:r>
      <w:r w:rsidR="002F01D0" w:rsidRPr="00766AB2">
        <w:t xml:space="preserve">oversight </w:t>
      </w:r>
      <w:r w:rsidR="003051A2">
        <w:t>in</w:t>
      </w:r>
      <w:r w:rsidR="003051A2" w:rsidRPr="00766AB2">
        <w:t xml:space="preserve"> </w:t>
      </w:r>
      <w:r w:rsidR="002F01D0" w:rsidRPr="00766AB2">
        <w:t>the</w:t>
      </w:r>
      <w:r w:rsidRPr="00766AB2">
        <w:t xml:space="preserve"> detail </w:t>
      </w:r>
      <w:r w:rsidR="003051A2">
        <w:t>of</w:t>
      </w:r>
      <w:r w:rsidR="003051A2" w:rsidRPr="00766AB2">
        <w:t xml:space="preserve"> </w:t>
      </w:r>
      <w:r w:rsidR="002F01D0" w:rsidRPr="00766AB2">
        <w:t xml:space="preserve">one principle. This resulted </w:t>
      </w:r>
      <w:r w:rsidR="005303C1" w:rsidRPr="00766AB2">
        <w:t xml:space="preserve">in inconsistent guidance between </w:t>
      </w:r>
      <w:r w:rsidR="00FC6780" w:rsidRPr="00766AB2">
        <w:t>jurisdictions</w:t>
      </w:r>
      <w:r w:rsidR="00FB3527" w:rsidRPr="00766AB2">
        <w:t xml:space="preserve">. </w:t>
      </w:r>
      <w:r w:rsidR="002A7FD4" w:rsidRPr="00766AB2">
        <w:t>One</w:t>
      </w:r>
      <w:r w:rsidR="008005BD">
        <w:t> </w:t>
      </w:r>
      <w:r w:rsidR="002A7FD4" w:rsidRPr="00766AB2">
        <w:t xml:space="preserve">principle was not </w:t>
      </w:r>
      <w:r w:rsidR="002F01D0" w:rsidRPr="00766AB2">
        <w:t>actioned</w:t>
      </w:r>
      <w:r w:rsidR="002A7FD4" w:rsidRPr="00766AB2">
        <w:t xml:space="preserve">, namely a feasibility study </w:t>
      </w:r>
      <w:r w:rsidR="00F45EE4" w:rsidRPr="00766AB2">
        <w:t>for a centralised pre-commitment system</w:t>
      </w:r>
      <w:r w:rsidR="00150CAD" w:rsidRPr="00766AB2">
        <w:t xml:space="preserve"> </w:t>
      </w:r>
      <w:r w:rsidR="003051A2">
        <w:t>to be</w:t>
      </w:r>
      <w:r w:rsidR="003051A2" w:rsidRPr="00766AB2">
        <w:t xml:space="preserve"> </w:t>
      </w:r>
      <w:r w:rsidR="00150CAD" w:rsidRPr="00766AB2">
        <w:t>commissioned and considered by governments</w:t>
      </w:r>
      <w:r w:rsidR="002A7FD4" w:rsidRPr="00766AB2">
        <w:t>.</w:t>
      </w:r>
      <w:r w:rsidR="007B3249">
        <w:t xml:space="preserve"> </w:t>
      </w:r>
      <w:r w:rsidR="0060068C">
        <w:t xml:space="preserve">A centralised deposit </w:t>
      </w:r>
      <w:r w:rsidR="00FF7B6A">
        <w:t xml:space="preserve">limit </w:t>
      </w:r>
      <w:r w:rsidR="0060068C">
        <w:t xml:space="preserve">scheme would enable wagerers </w:t>
      </w:r>
      <w:r>
        <w:t xml:space="preserve">to </w:t>
      </w:r>
      <w:r w:rsidR="0060068C">
        <w:t>set a deposit limit that applied across all online</w:t>
      </w:r>
      <w:r>
        <w:t xml:space="preserve"> WSPs</w:t>
      </w:r>
      <w:r w:rsidR="0060068C">
        <w:t>.</w:t>
      </w:r>
    </w:p>
    <w:p w14:paraId="362DDD62" w14:textId="0B5BB4A8" w:rsidR="00664F44" w:rsidRPr="00843A16" w:rsidRDefault="00664F44" w:rsidP="0004207B">
      <w:pPr>
        <w:pStyle w:val="BoxBulletList"/>
      </w:pPr>
      <w:r w:rsidRPr="00766AB2">
        <w:t xml:space="preserve">WSPs have not aligned their </w:t>
      </w:r>
      <w:r w:rsidR="001C7877" w:rsidRPr="00766AB2">
        <w:t xml:space="preserve">implementation </w:t>
      </w:r>
      <w:r w:rsidR="00D8497E" w:rsidRPr="00766AB2">
        <w:t xml:space="preserve">of </w:t>
      </w:r>
      <w:r w:rsidRPr="00766AB2">
        <w:t xml:space="preserve">CGM with </w:t>
      </w:r>
      <w:r w:rsidR="000800CC">
        <w:t xml:space="preserve">that </w:t>
      </w:r>
      <w:r w:rsidRPr="00766AB2">
        <w:t xml:space="preserve">measure’s </w:t>
      </w:r>
      <w:r w:rsidR="000800CC">
        <w:t xml:space="preserve">full </w:t>
      </w:r>
      <w:r w:rsidRPr="00766AB2">
        <w:t xml:space="preserve">guidance. </w:t>
      </w:r>
      <w:r w:rsidR="00597287" w:rsidRPr="00766AB2">
        <w:t xml:space="preserve">Where there was </w:t>
      </w:r>
      <w:r w:rsidR="00A400E5" w:rsidRPr="00766AB2">
        <w:t>inconsistent</w:t>
      </w:r>
      <w:r w:rsidRPr="00766AB2">
        <w:t xml:space="preserve"> implementation across jurisdictions, th</w:t>
      </w:r>
      <w:r w:rsidR="00682949" w:rsidRPr="00766AB2">
        <w:t xml:space="preserve">is resulted in inconsistent </w:t>
      </w:r>
      <w:r w:rsidRPr="00766AB2">
        <w:t xml:space="preserve">levels of protection provided to </w:t>
      </w:r>
      <w:r w:rsidR="00446BA4">
        <w:t>consumers.</w:t>
      </w:r>
      <w:r w:rsidR="00B239B5">
        <w:t xml:space="preserve"> </w:t>
      </w:r>
    </w:p>
    <w:p w14:paraId="69330A51" w14:textId="032AE0BB" w:rsidR="005D21EC" w:rsidRPr="00843A16" w:rsidRDefault="005D21EC" w:rsidP="0004207B">
      <w:pPr>
        <w:pStyle w:val="BoxBulletList"/>
      </w:pPr>
      <w:r w:rsidRPr="00766AB2">
        <w:t>State and territory governments should improve the consistency of measures by aligning legislation, regulations and operational</w:t>
      </w:r>
      <w:r w:rsidRPr="00843A16">
        <w:t xml:space="preserve"> guidance to ensure all Australian consumers receive the same minimum level of protection. </w:t>
      </w:r>
    </w:p>
    <w:p w14:paraId="2A4BCAC0" w14:textId="4082ED35" w:rsidR="007459EE" w:rsidRPr="00843A16" w:rsidRDefault="007459EE" w:rsidP="007459EE">
      <w:pPr>
        <w:pStyle w:val="BodyText"/>
        <w:rPr>
          <w:rFonts w:eastAsia="Arial"/>
        </w:rPr>
      </w:pPr>
      <w:r w:rsidRPr="00843A16">
        <w:rPr>
          <w:rFonts w:eastAsia="Arial"/>
        </w:rPr>
        <w:t>The main features of most measures were implemented consistently by jurisdictions</w:t>
      </w:r>
      <w:r>
        <w:rPr>
          <w:rFonts w:eastAsia="Arial"/>
        </w:rPr>
        <w:t>, albeit with variation in timing</w:t>
      </w:r>
      <w:r w:rsidRPr="00843A16">
        <w:rPr>
          <w:rFonts w:eastAsia="Arial"/>
        </w:rPr>
        <w:t xml:space="preserve">. Both regulators and WSPs noted that they </w:t>
      </w:r>
      <w:r>
        <w:rPr>
          <w:rFonts w:eastAsia="Arial"/>
        </w:rPr>
        <w:t xml:space="preserve">aimed for </w:t>
      </w:r>
      <w:r w:rsidRPr="00843A16">
        <w:rPr>
          <w:rFonts w:eastAsia="Arial"/>
        </w:rPr>
        <w:t xml:space="preserve">consistency </w:t>
      </w:r>
      <w:r w:rsidR="005476E9">
        <w:rPr>
          <w:rFonts w:eastAsia="Arial"/>
        </w:rPr>
        <w:t>in</w:t>
      </w:r>
      <w:r w:rsidR="005476E9" w:rsidRPr="00843A16">
        <w:rPr>
          <w:rFonts w:eastAsia="Arial"/>
        </w:rPr>
        <w:t xml:space="preserve"> </w:t>
      </w:r>
      <w:r w:rsidRPr="00843A16">
        <w:rPr>
          <w:rFonts w:eastAsia="Arial"/>
        </w:rPr>
        <w:t>the NCPF measures.</w:t>
      </w:r>
    </w:p>
    <w:p w14:paraId="38ADF97F" w14:textId="1EE66D97" w:rsidR="007459EE" w:rsidRPr="00843A16" w:rsidRDefault="007459EE" w:rsidP="007459EE">
      <w:pPr>
        <w:pStyle w:val="Quote"/>
      </w:pPr>
      <w:r w:rsidRPr="00843A16">
        <w:t>There was some discussion at the time with all these measures on specific wording so that we wouldn</w:t>
      </w:r>
      <w:r w:rsidR="005476E9">
        <w:t>’</w:t>
      </w:r>
      <w:r w:rsidRPr="00843A16">
        <w:t xml:space="preserve">t be inconsistent and there was consultation with industry as well </w:t>
      </w:r>
      <w:r w:rsidRPr="00843A16">
        <w:lastRenderedPageBreak/>
        <w:t>to make sure that even where there were differences, there wasn</w:t>
      </w:r>
      <w:r w:rsidR="005476E9">
        <w:t>’</w:t>
      </w:r>
      <w:r w:rsidRPr="00843A16">
        <w:t>t [</w:t>
      </w:r>
      <w:proofErr w:type="gramStart"/>
      <w:r w:rsidRPr="00843A16">
        <w:t>sic</w:t>
      </w:r>
      <w:proofErr w:type="gramEnd"/>
      <w:r w:rsidRPr="00843A16">
        <w:t xml:space="preserve">] any instances where complying in one jurisdiction would make you breach in another because I think that was what we were desperately trying to avoid. </w:t>
      </w:r>
      <w:r w:rsidR="005476E9">
        <w:t>(</w:t>
      </w:r>
      <w:r w:rsidRPr="00843A16">
        <w:t xml:space="preserve">Regulation </w:t>
      </w:r>
      <w:r w:rsidR="005476E9" w:rsidRPr="00843A16">
        <w:t>s</w:t>
      </w:r>
      <w:r w:rsidRPr="00843A16">
        <w:t xml:space="preserve">takeholder, </w:t>
      </w:r>
      <w:r>
        <w:t>state/territory government</w:t>
      </w:r>
      <w:r w:rsidR="005476E9">
        <w:t>)</w:t>
      </w:r>
    </w:p>
    <w:p w14:paraId="05495D80" w14:textId="77777777" w:rsidR="007459EE" w:rsidRPr="00843A16" w:rsidRDefault="007459EE" w:rsidP="007459EE">
      <w:pPr>
        <w:pStyle w:val="BodyText"/>
      </w:pPr>
      <w:r w:rsidRPr="00843A16">
        <w:t xml:space="preserve">One regulator </w:t>
      </w:r>
      <w:r>
        <w:t>noted</w:t>
      </w:r>
      <w:r w:rsidRPr="00843A16">
        <w:t xml:space="preserve"> that they sometimes provided additional clarity or interpreted certain measures differently,</w:t>
      </w:r>
      <w:r>
        <w:t xml:space="preserve"> which may have led</w:t>
      </w:r>
      <w:r w:rsidRPr="00843A16">
        <w:t xml:space="preserve"> to jurisdictional differences in </w:t>
      </w:r>
      <w:r>
        <w:t xml:space="preserve">how </w:t>
      </w:r>
      <w:r w:rsidRPr="00843A16">
        <w:t>compliant behaviour</w:t>
      </w:r>
      <w:r>
        <w:t xml:space="preserve"> was defined</w:t>
      </w:r>
      <w:r w:rsidRPr="00843A16">
        <w:t xml:space="preserve">. </w:t>
      </w:r>
    </w:p>
    <w:p w14:paraId="6A949B3D" w14:textId="03B855CA" w:rsidR="007459EE" w:rsidRPr="00843A16" w:rsidRDefault="007459EE" w:rsidP="007459EE">
      <w:pPr>
        <w:pStyle w:val="Quote"/>
      </w:pPr>
      <w:r w:rsidRPr="00843A16">
        <w:t>Even when the Commonwealth put some guidance out on [messaging in marketing and advertising]</w:t>
      </w:r>
      <w:r w:rsidR="00E435FE">
        <w:t xml:space="preserve"> </w:t>
      </w:r>
      <w:r w:rsidRPr="00843A16">
        <w:t xml:space="preserve">... the sort of sometimes rigid rules and rigid guidance in some </w:t>
      </w:r>
      <w:proofErr w:type="gramStart"/>
      <w:r w:rsidRPr="00843A16">
        <w:t>aspects</w:t>
      </w:r>
      <w:proofErr w:type="gramEnd"/>
      <w:r w:rsidRPr="00843A16">
        <w:t xml:space="preserve"> didn’t quite fit the way [WSPs] did thing</w:t>
      </w:r>
      <w:r>
        <w:t>s</w:t>
      </w:r>
      <w:r w:rsidRPr="00843A16">
        <w:t xml:space="preserve"> and that’s why they sort of weren’t sure about whether they were going to be compliant or not</w:t>
      </w:r>
      <w:r w:rsidR="00E435FE">
        <w:t xml:space="preserve"> </w:t>
      </w:r>
      <w:r w:rsidRPr="00843A16">
        <w:t>...</w:t>
      </w:r>
      <w:r w:rsidR="00E435FE">
        <w:t xml:space="preserve"> </w:t>
      </w:r>
      <w:r w:rsidRPr="00843A16">
        <w:t xml:space="preserve">We </w:t>
      </w:r>
      <w:proofErr w:type="gramStart"/>
      <w:r w:rsidRPr="00843A16">
        <w:t>have to</w:t>
      </w:r>
      <w:proofErr w:type="gramEnd"/>
      <w:r w:rsidRPr="00843A16">
        <w:t xml:space="preserve"> come up with a position basically, on what we think is the best outcome [with each measure] and that’s just the way it works in general. </w:t>
      </w:r>
      <w:r w:rsidR="00E435FE">
        <w:t>(</w:t>
      </w:r>
      <w:r w:rsidRPr="00843A16">
        <w:t xml:space="preserve">Policy &amp; </w:t>
      </w:r>
      <w:r w:rsidR="00E435FE" w:rsidRPr="00843A16">
        <w:t>regulation stakeholder</w:t>
      </w:r>
      <w:r w:rsidRPr="00843A16">
        <w:t xml:space="preserve">, </w:t>
      </w:r>
      <w:r>
        <w:t>state/territory government</w:t>
      </w:r>
      <w:r w:rsidR="00E435FE">
        <w:t>)</w:t>
      </w:r>
    </w:p>
    <w:p w14:paraId="621465A6" w14:textId="77777777" w:rsidR="007459EE" w:rsidRPr="00843A16" w:rsidRDefault="007459EE" w:rsidP="007459EE">
      <w:pPr>
        <w:pStyle w:val="BodyText"/>
        <w:rPr>
          <w:iCs/>
        </w:rPr>
      </w:pPr>
      <w:r w:rsidRPr="00843A16">
        <w:t xml:space="preserve">WSPs </w:t>
      </w:r>
      <w:r>
        <w:t>noted that</w:t>
      </w:r>
      <w:r w:rsidRPr="00843A16">
        <w:t xml:space="preserve"> inconsistency imposes regulatory burdens on WSPs and can be confusing for consumers.</w:t>
      </w:r>
    </w:p>
    <w:p w14:paraId="438C8020" w14:textId="49BC2B95" w:rsidR="007459EE" w:rsidRPr="00843A16" w:rsidRDefault="007459EE" w:rsidP="007459EE">
      <w:pPr>
        <w:pStyle w:val="Quote"/>
      </w:pPr>
      <w:r w:rsidRPr="00843A16">
        <w:t>From the point of view of achieving national consistency, I think the experience with activity statements is it creates difficulties for us if one state chooses to do something that the other states don’t necessarily require. Because obviously we don’t operate on a state-by-state basis</w:t>
      </w:r>
      <w:r w:rsidR="00E435FE">
        <w:t xml:space="preserve"> </w:t>
      </w:r>
      <w:r w:rsidRPr="00843A16">
        <w:t xml:space="preserve">... So ideally, you want them all aligned, so they’re all asking you to do the same thing. </w:t>
      </w:r>
      <w:r w:rsidR="00E435FE">
        <w:t>(</w:t>
      </w:r>
      <w:r w:rsidRPr="00843A16">
        <w:t>WSP, very large corporate bookmaker, NT licensed</w:t>
      </w:r>
      <w:r w:rsidR="00E435FE">
        <w:t>)</w:t>
      </w:r>
      <w:r w:rsidRPr="00843A16">
        <w:t xml:space="preserve"> </w:t>
      </w:r>
    </w:p>
    <w:p w14:paraId="001C17E8" w14:textId="26785A8D" w:rsidR="007459EE" w:rsidRPr="00843A16" w:rsidRDefault="007459EE" w:rsidP="007459EE">
      <w:pPr>
        <w:pStyle w:val="BodyText"/>
        <w:rPr>
          <w:rFonts w:eastAsia="Arial"/>
        </w:rPr>
      </w:pPr>
      <w:r>
        <w:rPr>
          <w:rFonts w:eastAsia="Arial"/>
        </w:rPr>
        <w:t>While</w:t>
      </w:r>
      <w:r w:rsidRPr="00843A16">
        <w:rPr>
          <w:rFonts w:eastAsia="Arial"/>
        </w:rPr>
        <w:t xml:space="preserve"> the NCPF aims to provide consistent minimum consumer protection measures</w:t>
      </w:r>
      <w:r>
        <w:rPr>
          <w:rFonts w:eastAsia="Arial"/>
        </w:rPr>
        <w:t>, it</w:t>
      </w:r>
      <w:r w:rsidRPr="00843A16">
        <w:rPr>
          <w:rFonts w:eastAsia="Arial"/>
        </w:rPr>
        <w:t xml:space="preserve"> gives all jurisdictions the flexibility to provide enhanced protections</w:t>
      </w:r>
      <w:r>
        <w:rPr>
          <w:rFonts w:eastAsia="Arial"/>
        </w:rPr>
        <w:t xml:space="preserve"> </w:t>
      </w:r>
      <w:r w:rsidR="00E435FE">
        <w:rPr>
          <w:rFonts w:eastAsia="Arial"/>
        </w:rPr>
        <w:t>‘</w:t>
      </w:r>
      <w:r>
        <w:rPr>
          <w:rFonts w:eastAsia="Arial"/>
        </w:rPr>
        <w:t>provided that these changes do not conflict or modify or replicate without policy grounds the intended operation of the National Framework</w:t>
      </w:r>
      <w:r w:rsidR="00E435FE">
        <w:rPr>
          <w:rFonts w:eastAsia="Arial"/>
        </w:rPr>
        <w:t>’</w:t>
      </w:r>
      <w:r>
        <w:rPr>
          <w:rFonts w:eastAsia="Arial"/>
        </w:rPr>
        <w:t xml:space="preserve"> (DSS, 2018, p. 19)</w:t>
      </w:r>
      <w:r w:rsidRPr="00843A16">
        <w:rPr>
          <w:rFonts w:eastAsia="Arial"/>
        </w:rPr>
        <w:t>. Some jurisdictions have operationalised stronger protections</w:t>
      </w:r>
      <w:r>
        <w:rPr>
          <w:rFonts w:eastAsia="Arial"/>
        </w:rPr>
        <w:t xml:space="preserve"> </w:t>
      </w:r>
      <w:r w:rsidR="00E435FE">
        <w:rPr>
          <w:rFonts w:eastAsia="Arial"/>
        </w:rPr>
        <w:t xml:space="preserve">– </w:t>
      </w:r>
      <w:r w:rsidR="000D735A" w:rsidRPr="00843A16">
        <w:rPr>
          <w:rFonts w:eastAsia="Arial"/>
        </w:rPr>
        <w:t>for</w:t>
      </w:r>
      <w:r w:rsidRPr="00843A16">
        <w:rPr>
          <w:rFonts w:eastAsia="Arial"/>
        </w:rPr>
        <w:t xml:space="preserve"> example, NSW has additional restrictions around </w:t>
      </w:r>
      <w:r>
        <w:rPr>
          <w:rFonts w:eastAsia="Arial"/>
        </w:rPr>
        <w:t xml:space="preserve">wagering </w:t>
      </w:r>
      <w:r w:rsidRPr="00843A16">
        <w:rPr>
          <w:rFonts w:eastAsia="Arial"/>
        </w:rPr>
        <w:t xml:space="preserve">inducements. </w:t>
      </w:r>
    </w:p>
    <w:p w14:paraId="50CDCF4F" w14:textId="03D1692C" w:rsidR="007459EE" w:rsidRDefault="007459EE" w:rsidP="007459EE">
      <w:pPr>
        <w:pStyle w:val="BodyText"/>
        <w:rPr>
          <w:rFonts w:eastAsia="Arial"/>
        </w:rPr>
      </w:pPr>
      <w:r w:rsidRPr="00843A16">
        <w:rPr>
          <w:rFonts w:eastAsia="Arial"/>
        </w:rPr>
        <w:t>The interjurisdictional differences across measures stem</w:t>
      </w:r>
      <w:r>
        <w:rPr>
          <w:rFonts w:eastAsia="Arial"/>
        </w:rPr>
        <w:t xml:space="preserve"> largely</w:t>
      </w:r>
      <w:r w:rsidRPr="00843A16">
        <w:rPr>
          <w:rFonts w:eastAsia="Arial"/>
        </w:rPr>
        <w:t xml:space="preserve"> from</w:t>
      </w:r>
      <w:r>
        <w:rPr>
          <w:rFonts w:eastAsia="Arial"/>
        </w:rPr>
        <w:t xml:space="preserve"> </w:t>
      </w:r>
      <w:r w:rsidRPr="00843A16">
        <w:rPr>
          <w:rFonts w:eastAsia="Arial"/>
        </w:rPr>
        <w:t xml:space="preserve">legislative variations </w:t>
      </w:r>
      <w:r>
        <w:rPr>
          <w:rFonts w:eastAsia="Arial"/>
        </w:rPr>
        <w:t>of the NPS principles and where the legislation in certain jurisdictions combines multiple measures (i.e. direct marketing after opt-out or account closure)</w:t>
      </w:r>
      <w:r w:rsidRPr="00843A16">
        <w:rPr>
          <w:rFonts w:eastAsia="Arial"/>
        </w:rPr>
        <w:t xml:space="preserve">. </w:t>
      </w:r>
      <w:r w:rsidR="00DB4156">
        <w:rPr>
          <w:rFonts w:eastAsia="Arial"/>
        </w:rPr>
        <w:t xml:space="preserve">These </w:t>
      </w:r>
      <w:r w:rsidR="004D796C">
        <w:rPr>
          <w:rFonts w:eastAsia="Arial"/>
        </w:rPr>
        <w:t xml:space="preserve">legislative variations mostly resulted from </w:t>
      </w:r>
      <w:r w:rsidR="000956B1">
        <w:rPr>
          <w:rFonts w:eastAsia="Arial"/>
        </w:rPr>
        <w:t>the wording of principles being open to interpretation</w:t>
      </w:r>
      <w:r w:rsidR="00817CEC">
        <w:rPr>
          <w:rFonts w:eastAsia="Arial"/>
        </w:rPr>
        <w:t xml:space="preserve">; </w:t>
      </w:r>
      <w:r w:rsidR="000956B1">
        <w:rPr>
          <w:rFonts w:eastAsia="Arial"/>
        </w:rPr>
        <w:t xml:space="preserve">for example, </w:t>
      </w:r>
      <w:r w:rsidR="00BA2D9B">
        <w:rPr>
          <w:rFonts w:eastAsia="Arial"/>
        </w:rPr>
        <w:t>use of the word ‘</w:t>
      </w:r>
      <w:r w:rsidR="00021856">
        <w:rPr>
          <w:rFonts w:eastAsia="Arial"/>
        </w:rPr>
        <w:t>should</w:t>
      </w:r>
      <w:r w:rsidR="00BA2D9B">
        <w:rPr>
          <w:rFonts w:eastAsia="Arial"/>
        </w:rPr>
        <w:t>’</w:t>
      </w:r>
      <w:r w:rsidR="00021856">
        <w:rPr>
          <w:rFonts w:eastAsia="Arial"/>
        </w:rPr>
        <w:t xml:space="preserve"> rather than </w:t>
      </w:r>
      <w:r w:rsidR="00BA2D9B">
        <w:rPr>
          <w:rFonts w:eastAsia="Arial"/>
        </w:rPr>
        <w:t>‘</w:t>
      </w:r>
      <w:r w:rsidR="00021856">
        <w:rPr>
          <w:rFonts w:eastAsia="Arial"/>
        </w:rPr>
        <w:t>must</w:t>
      </w:r>
      <w:r w:rsidR="00BA2D9B">
        <w:rPr>
          <w:rFonts w:eastAsia="Arial"/>
        </w:rPr>
        <w:t>’</w:t>
      </w:r>
      <w:r w:rsidR="00021856">
        <w:rPr>
          <w:rFonts w:eastAsia="Arial"/>
        </w:rPr>
        <w:t xml:space="preserve">. </w:t>
      </w:r>
      <w:r w:rsidR="00FE026F">
        <w:rPr>
          <w:rFonts w:eastAsia="Arial"/>
        </w:rPr>
        <w:t xml:space="preserve">Further information is available in </w:t>
      </w:r>
      <w:hyperlink w:anchor="AppendixDTable9" w:history="1">
        <w:r w:rsidR="00B22127">
          <w:rPr>
            <w:rStyle w:val="Hyperlink"/>
            <w:rFonts w:eastAsia="Arial"/>
            <w:b/>
            <w:bCs/>
          </w:rPr>
          <w:t>Appendices E and F</w:t>
        </w:r>
      </w:hyperlink>
      <w:r w:rsidR="00122728">
        <w:rPr>
          <w:rFonts w:eastAsia="Arial"/>
        </w:rPr>
        <w:t xml:space="preserve">. </w:t>
      </w:r>
      <w:r w:rsidDel="00C638D7">
        <w:rPr>
          <w:rFonts w:eastAsia="Arial"/>
        </w:rPr>
        <w:t xml:space="preserve">Interviewed WSPs </w:t>
      </w:r>
      <w:r w:rsidRPr="00843A16" w:rsidDel="00C638D7">
        <w:rPr>
          <w:rFonts w:eastAsia="Arial"/>
        </w:rPr>
        <w:t xml:space="preserve">also </w:t>
      </w:r>
      <w:r w:rsidDel="00C638D7">
        <w:rPr>
          <w:rFonts w:eastAsia="Arial"/>
        </w:rPr>
        <w:t xml:space="preserve">reported inconsistencies </w:t>
      </w:r>
      <w:r w:rsidR="006E201D">
        <w:rPr>
          <w:rFonts w:eastAsia="Arial"/>
        </w:rPr>
        <w:t>arose</w:t>
      </w:r>
      <w:r w:rsidDel="00C638D7">
        <w:rPr>
          <w:rFonts w:eastAsia="Arial"/>
        </w:rPr>
        <w:t xml:space="preserve"> due to lack of specific guidance</w:t>
      </w:r>
      <w:r w:rsidR="00591FD1">
        <w:rPr>
          <w:rFonts w:eastAsia="Arial"/>
        </w:rPr>
        <w:t xml:space="preserve"> about measure implementation</w:t>
      </w:r>
      <w:r w:rsidRPr="00843A16" w:rsidDel="00C638D7">
        <w:rPr>
          <w:rFonts w:eastAsia="Arial"/>
        </w:rPr>
        <w:t xml:space="preserve">. </w:t>
      </w:r>
    </w:p>
    <w:p w14:paraId="3776A4A9" w14:textId="0563EAB4" w:rsidR="001533CC" w:rsidRPr="00843A16" w:rsidRDefault="001533CC" w:rsidP="001533CC">
      <w:pPr>
        <w:pStyle w:val="BoxBulletList"/>
        <w:numPr>
          <w:ilvl w:val="0"/>
          <w:numId w:val="0"/>
        </w:numPr>
        <w:shd w:val="clear" w:color="auto" w:fill="auto"/>
        <w:rPr>
          <w:rFonts w:eastAsia="Arial"/>
        </w:rPr>
      </w:pPr>
      <w:r w:rsidRPr="00843A16">
        <w:t>Th</w:t>
      </w:r>
      <w:r>
        <w:t xml:space="preserve">e following section </w:t>
      </w:r>
      <w:r w:rsidRPr="00843A16">
        <w:t xml:space="preserve">provides findings and recommendations for </w:t>
      </w:r>
      <w:r>
        <w:t>5 of the 10</w:t>
      </w:r>
      <w:r w:rsidRPr="00843A16">
        <w:t xml:space="preserve"> measures aimed at improving both consistency and the level of protection offered.</w:t>
      </w:r>
      <w:r>
        <w:t xml:space="preserve"> The involvement of the Australian Government may assist with coordination.</w:t>
      </w:r>
    </w:p>
    <w:p w14:paraId="715D2957" w14:textId="7FD352DE" w:rsidR="008E700F" w:rsidRPr="00843A16" w:rsidRDefault="008E700F" w:rsidP="00074143">
      <w:pPr>
        <w:pStyle w:val="Heading3"/>
      </w:pPr>
      <w:bookmarkStart w:id="114" w:name="_Toc233643302"/>
      <w:bookmarkEnd w:id="113"/>
      <w:r w:rsidRPr="00843A16">
        <w:lastRenderedPageBreak/>
        <w:t xml:space="preserve">Restrictions on </w:t>
      </w:r>
      <w:r w:rsidR="00817CEC">
        <w:t>i</w:t>
      </w:r>
      <w:r w:rsidR="00817CEC" w:rsidRPr="00843A16">
        <w:t>nducements</w:t>
      </w:r>
      <w:bookmarkEnd w:id="114"/>
    </w:p>
    <w:p w14:paraId="343D9762" w14:textId="77777777" w:rsidR="00D63523" w:rsidRPr="00B422D8" w:rsidRDefault="004D29EE" w:rsidP="007A60DE">
      <w:pPr>
        <w:pStyle w:val="BoxHeading1"/>
      </w:pPr>
      <w:r w:rsidRPr="00843A16">
        <w:t xml:space="preserve">Key </w:t>
      </w:r>
      <w:r w:rsidR="00D63523" w:rsidRPr="00843A16">
        <w:t>findings</w:t>
      </w:r>
    </w:p>
    <w:p w14:paraId="39E563D8" w14:textId="77777777" w:rsidR="00D63523" w:rsidRDefault="00D63523" w:rsidP="0004207B">
      <w:pPr>
        <w:pStyle w:val="BoxBulletList"/>
        <w:rPr>
          <w:rFonts w:eastAsia="Arial"/>
        </w:rPr>
      </w:pPr>
      <w:r w:rsidRPr="00425054">
        <w:rPr>
          <w:rFonts w:eastAsia="Arial"/>
        </w:rPr>
        <w:t>Jurisdictions interpret inducements differently</w:t>
      </w:r>
      <w:r>
        <w:rPr>
          <w:rFonts w:eastAsia="Arial"/>
        </w:rPr>
        <w:t xml:space="preserve">, with </w:t>
      </w:r>
      <w:r w:rsidRPr="00D92E4B">
        <w:rPr>
          <w:rFonts w:eastAsia="Arial"/>
        </w:rPr>
        <w:t>several providing consumer protections that are stronger than the NCPF. However</w:t>
      </w:r>
      <w:r>
        <w:rPr>
          <w:rFonts w:eastAsia="Arial"/>
        </w:rPr>
        <w:t>,</w:t>
      </w:r>
      <w:r w:rsidRPr="00D92E4B">
        <w:rPr>
          <w:rFonts w:eastAsia="Arial"/>
        </w:rPr>
        <w:t xml:space="preserve"> </w:t>
      </w:r>
      <w:r>
        <w:rPr>
          <w:rFonts w:eastAsia="Arial"/>
        </w:rPr>
        <w:t>d</w:t>
      </w:r>
      <w:r w:rsidRPr="00D92E4B">
        <w:rPr>
          <w:rFonts w:eastAsia="Arial"/>
        </w:rPr>
        <w:t xml:space="preserve">ifferent jurisdictional interpretations may result in minimum consumer protections varying across states and territories. </w:t>
      </w:r>
    </w:p>
    <w:p w14:paraId="303415C2" w14:textId="152B8655" w:rsidR="00D63523" w:rsidRPr="00D63AEC" w:rsidRDefault="00D63523" w:rsidP="0004207B">
      <w:pPr>
        <w:pStyle w:val="BoxBulletList"/>
        <w:rPr>
          <w:rFonts w:eastAsia="Arial"/>
        </w:rPr>
      </w:pPr>
      <w:r>
        <w:rPr>
          <w:rFonts w:eastAsia="Arial"/>
        </w:rPr>
        <w:t>T</w:t>
      </w:r>
      <w:r w:rsidRPr="00D92E4B">
        <w:rPr>
          <w:rFonts w:eastAsia="Arial"/>
        </w:rPr>
        <w:t xml:space="preserve">his inconsistency means there are </w:t>
      </w:r>
      <w:r w:rsidRPr="00D63AEC">
        <w:rPr>
          <w:rFonts w:eastAsia="Arial"/>
        </w:rPr>
        <w:t xml:space="preserve">differences in permitted behaviour depending on </w:t>
      </w:r>
      <w:r w:rsidR="00B82E1B">
        <w:rPr>
          <w:rFonts w:eastAsia="Arial"/>
        </w:rPr>
        <w:t xml:space="preserve">the </w:t>
      </w:r>
      <w:r w:rsidRPr="00D63AEC">
        <w:rPr>
          <w:rFonts w:eastAsia="Arial"/>
        </w:rPr>
        <w:t>geographic location</w:t>
      </w:r>
      <w:r w:rsidR="00F14AD0">
        <w:rPr>
          <w:rFonts w:eastAsia="Arial"/>
        </w:rPr>
        <w:t xml:space="preserve"> of the consumer</w:t>
      </w:r>
      <w:r w:rsidRPr="00D63AEC">
        <w:rPr>
          <w:rFonts w:eastAsia="Arial"/>
        </w:rPr>
        <w:t xml:space="preserve">. This problem will </w:t>
      </w:r>
      <w:r>
        <w:rPr>
          <w:rFonts w:eastAsia="Arial"/>
        </w:rPr>
        <w:t xml:space="preserve">require active management </w:t>
      </w:r>
      <w:r w:rsidRPr="00D63AEC">
        <w:rPr>
          <w:rFonts w:eastAsia="Arial"/>
        </w:rPr>
        <w:t xml:space="preserve">as the wagering industry introduces new types of inducements. </w:t>
      </w:r>
    </w:p>
    <w:p w14:paraId="59338778" w14:textId="32AC9FD9" w:rsidR="00D63523" w:rsidRDefault="00D63523" w:rsidP="0004207B">
      <w:pPr>
        <w:pStyle w:val="BoxBulletList"/>
        <w:rPr>
          <w:rFonts w:eastAsia="Arial"/>
        </w:rPr>
      </w:pPr>
      <w:r>
        <w:rPr>
          <w:rFonts w:eastAsia="Arial"/>
        </w:rPr>
        <w:t xml:space="preserve">Some </w:t>
      </w:r>
      <w:r w:rsidRPr="00843A16">
        <w:rPr>
          <w:rFonts w:eastAsia="Arial"/>
        </w:rPr>
        <w:t xml:space="preserve">WSPs require customers </w:t>
      </w:r>
      <w:r>
        <w:rPr>
          <w:rFonts w:eastAsia="Arial"/>
        </w:rPr>
        <w:t>to consent to direct</w:t>
      </w:r>
      <w:r w:rsidRPr="00843A16">
        <w:rPr>
          <w:rFonts w:eastAsia="Arial"/>
        </w:rPr>
        <w:t xml:space="preserve"> marketing </w:t>
      </w:r>
      <w:r>
        <w:rPr>
          <w:rFonts w:eastAsia="Arial"/>
        </w:rPr>
        <w:t>to</w:t>
      </w:r>
      <w:r w:rsidRPr="00843A16">
        <w:rPr>
          <w:rFonts w:eastAsia="Arial"/>
        </w:rPr>
        <w:t xml:space="preserve"> open an account, undermining the intended model. </w:t>
      </w:r>
      <w:r w:rsidRPr="00293CB5">
        <w:rPr>
          <w:rFonts w:eastAsia="Arial"/>
        </w:rPr>
        <w:t>Victoria</w:t>
      </w:r>
      <w:r>
        <w:rPr>
          <w:rFonts w:eastAsia="Arial"/>
        </w:rPr>
        <w:t>, SA and WA</w:t>
      </w:r>
      <w:r w:rsidRPr="00293CB5">
        <w:rPr>
          <w:rFonts w:eastAsia="Arial"/>
        </w:rPr>
        <w:t xml:space="preserve"> resolved this in their </w:t>
      </w:r>
      <w:proofErr w:type="gramStart"/>
      <w:r w:rsidRPr="00293CB5">
        <w:rPr>
          <w:rFonts w:eastAsia="Arial"/>
        </w:rPr>
        <w:t>legislation</w:t>
      </w:r>
      <w:proofErr w:type="gramEnd"/>
      <w:r w:rsidRPr="00293CB5">
        <w:rPr>
          <w:rFonts w:eastAsia="Arial"/>
        </w:rPr>
        <w:t xml:space="preserve"> but other jurisdictions have not</w:t>
      </w:r>
      <w:r>
        <w:rPr>
          <w:rFonts w:eastAsia="Arial"/>
        </w:rPr>
        <w:t xml:space="preserve"> yet</w:t>
      </w:r>
      <w:r w:rsidRPr="00293CB5">
        <w:rPr>
          <w:rFonts w:eastAsia="Arial"/>
        </w:rPr>
        <w:t xml:space="preserve"> addressed </w:t>
      </w:r>
      <w:r>
        <w:rPr>
          <w:rFonts w:eastAsia="Arial"/>
        </w:rPr>
        <w:t>th</w:t>
      </w:r>
      <w:r w:rsidR="0021390B">
        <w:rPr>
          <w:rFonts w:eastAsia="Arial"/>
        </w:rPr>
        <w:t>is</w:t>
      </w:r>
      <w:r>
        <w:rPr>
          <w:rFonts w:eastAsia="Arial"/>
        </w:rPr>
        <w:t xml:space="preserve"> issue.</w:t>
      </w:r>
    </w:p>
    <w:p w14:paraId="7A2C6224" w14:textId="0424D818" w:rsidR="00817CEC" w:rsidRPr="00817CEC" w:rsidRDefault="00913D24" w:rsidP="00913D24">
      <w:pPr>
        <w:pStyle w:val="BoxHeading2"/>
      </w:pPr>
      <w:r>
        <w:t>Recommendations</w:t>
      </w:r>
    </w:p>
    <w:p w14:paraId="444CA6A3" w14:textId="06E83C27" w:rsidR="008148E1" w:rsidRPr="00CB2ECC" w:rsidRDefault="008148E1" w:rsidP="00B308D5">
      <w:pPr>
        <w:pStyle w:val="BoxBulletList"/>
        <w:rPr>
          <w:rFonts w:eastAsia="Arial"/>
          <w:color w:val="7030A0"/>
        </w:rPr>
      </w:pPr>
      <w:r w:rsidRPr="00CB2ECC">
        <w:rPr>
          <w:rFonts w:eastAsia="Arial"/>
          <w:b/>
          <w:color w:val="7030A0"/>
        </w:rPr>
        <w:t>Recommendation 3a:</w:t>
      </w:r>
      <w:r w:rsidRPr="00CB2ECC">
        <w:rPr>
          <w:rFonts w:eastAsia="Arial"/>
          <w:color w:val="7030A0"/>
        </w:rPr>
        <w:t xml:space="preserve"> </w:t>
      </w:r>
      <w:r w:rsidR="007F0064" w:rsidRPr="00CB2ECC">
        <w:rPr>
          <w:rFonts w:eastAsia="Arial"/>
          <w:color w:val="7030A0"/>
        </w:rPr>
        <w:t>(</w:t>
      </w:r>
      <w:r w:rsidR="007F0064" w:rsidRPr="00CB2ECC">
        <w:rPr>
          <w:rFonts w:ascii="Bauhaus 93" w:eastAsia="Arial" w:hAnsi="Bauhaus 93"/>
          <w:color w:val="7030A0"/>
        </w:rPr>
        <w:t>N</w:t>
      </w:r>
      <w:r w:rsidR="007F0064" w:rsidRPr="00CB2ECC">
        <w:rPr>
          <w:rFonts w:eastAsia="Arial"/>
          <w:color w:val="7030A0"/>
        </w:rPr>
        <w:t xml:space="preserve">) </w:t>
      </w:r>
      <w:r w:rsidRPr="00CB2ECC">
        <w:rPr>
          <w:rFonts w:eastAsia="Arial"/>
          <w:color w:val="7030A0"/>
        </w:rPr>
        <w:t>Australian and state and territory government policy makers and regulators should work together to adopt consistent</w:t>
      </w:r>
      <w:r w:rsidRPr="00CB2ECC" w:rsidDel="00930214">
        <w:rPr>
          <w:rFonts w:eastAsia="Arial"/>
          <w:color w:val="7030A0"/>
        </w:rPr>
        <w:t xml:space="preserve"> </w:t>
      </w:r>
      <w:r w:rsidRPr="00CB2ECC">
        <w:rPr>
          <w:rFonts w:eastAsia="Arial"/>
          <w:color w:val="7030A0"/>
        </w:rPr>
        <w:t xml:space="preserve">definitions of online wagering inducements, including for any new types of inducements introduced by wagering operators, to be reflected in legislation as appropriate. </w:t>
      </w:r>
    </w:p>
    <w:p w14:paraId="599E0B00" w14:textId="5C5ACACC" w:rsidR="00D63523" w:rsidRPr="00CB2ECC" w:rsidRDefault="00D63523" w:rsidP="00B308D5">
      <w:pPr>
        <w:pStyle w:val="BoxBulletList"/>
        <w:rPr>
          <w:rFonts w:eastAsia="Arial"/>
          <w:b/>
          <w:color w:val="7030A0"/>
        </w:rPr>
      </w:pPr>
      <w:r w:rsidRPr="00CB2ECC">
        <w:rPr>
          <w:rFonts w:eastAsia="Arial"/>
          <w:b/>
          <w:color w:val="7030A0"/>
        </w:rPr>
        <w:t xml:space="preserve">Recommendation 3b: </w:t>
      </w:r>
      <w:r w:rsidR="007F0064" w:rsidRPr="00CB2ECC">
        <w:rPr>
          <w:rFonts w:eastAsia="Arial"/>
          <w:color w:val="7030A0"/>
        </w:rPr>
        <w:t>(</w:t>
      </w:r>
      <w:r w:rsidR="007F0064" w:rsidRPr="00CB2ECC">
        <w:rPr>
          <w:rFonts w:ascii="Bauhaus 93" w:eastAsia="Arial" w:hAnsi="Bauhaus 93"/>
          <w:color w:val="7030A0"/>
        </w:rPr>
        <w:t>N</w:t>
      </w:r>
      <w:r w:rsidR="007F0064" w:rsidRPr="00CB2ECC">
        <w:rPr>
          <w:rFonts w:eastAsia="Arial"/>
          <w:color w:val="7030A0"/>
        </w:rPr>
        <w:t xml:space="preserve">) </w:t>
      </w:r>
      <w:r w:rsidRPr="00CB2ECC">
        <w:rPr>
          <w:rFonts w:eastAsia="Arial"/>
          <w:color w:val="7030A0"/>
        </w:rPr>
        <w:t>State and territory policy makers should explore and work toward increased consistency in restrictions on offers of inducements, given some jurisdictions already have stronger protections.</w:t>
      </w:r>
    </w:p>
    <w:p w14:paraId="1F18D65E" w14:textId="731BC01E" w:rsidR="00D63523" w:rsidRDefault="00D63523" w:rsidP="00B308D5">
      <w:pPr>
        <w:pStyle w:val="BoxBulletList"/>
        <w:rPr>
          <w:rFonts w:eastAsia="Arial"/>
        </w:rPr>
      </w:pPr>
      <w:r w:rsidRPr="00843A16">
        <w:rPr>
          <w:rFonts w:eastAsia="Arial"/>
          <w:b/>
        </w:rPr>
        <w:t xml:space="preserve">Recommendation </w:t>
      </w:r>
      <w:r>
        <w:rPr>
          <w:rFonts w:eastAsia="Arial"/>
          <w:b/>
        </w:rPr>
        <w:t>3c</w:t>
      </w:r>
      <w:r w:rsidRPr="00843A16">
        <w:rPr>
          <w:rFonts w:eastAsia="Arial"/>
          <w:b/>
        </w:rPr>
        <w:t>:</w:t>
      </w:r>
      <w:r w:rsidRPr="00843A16">
        <w:rPr>
          <w:rFonts w:eastAsia="Arial"/>
        </w:rPr>
        <w:t xml:space="preserve"> </w:t>
      </w:r>
      <w:r w:rsidR="00B308D5">
        <w:rPr>
          <w:rFonts w:eastAsia="Arial"/>
        </w:rPr>
        <w:t>(</w:t>
      </w:r>
      <w:r w:rsidR="00B308D5" w:rsidRPr="000570DE">
        <w:rPr>
          <w:rFonts w:ascii="Bauhaus 93" w:eastAsia="Arial" w:hAnsi="Bauhaus 93"/>
        </w:rPr>
        <w:t>C</w:t>
      </w:r>
      <w:r w:rsidR="00B308D5">
        <w:rPr>
          <w:rFonts w:eastAsia="Arial"/>
        </w:rPr>
        <w:t xml:space="preserve">) </w:t>
      </w:r>
      <w:r w:rsidRPr="00843A16">
        <w:rPr>
          <w:rFonts w:eastAsia="Arial"/>
        </w:rPr>
        <w:t xml:space="preserve">State and territory policy makers and regulators should adopt a </w:t>
      </w:r>
      <w:r w:rsidR="001F40A7">
        <w:rPr>
          <w:rFonts w:eastAsia="Arial"/>
        </w:rPr>
        <w:t>national</w:t>
      </w:r>
      <w:r w:rsidR="00B95B28">
        <w:rPr>
          <w:rFonts w:eastAsia="Arial"/>
        </w:rPr>
        <w:t xml:space="preserve"> </w:t>
      </w:r>
      <w:r w:rsidRPr="00843A16">
        <w:rPr>
          <w:rFonts w:eastAsia="Arial"/>
        </w:rPr>
        <w:t xml:space="preserve">model that ensures </w:t>
      </w:r>
      <w:r w:rsidR="00E959B6">
        <w:rPr>
          <w:rFonts w:eastAsia="Arial"/>
        </w:rPr>
        <w:t xml:space="preserve">direct marketing may only be sent to customers who have provided their express consent to receive this material and </w:t>
      </w:r>
      <w:r w:rsidRPr="00843A16">
        <w:rPr>
          <w:rFonts w:eastAsia="Arial"/>
        </w:rPr>
        <w:t xml:space="preserve">that </w:t>
      </w:r>
      <w:r>
        <w:rPr>
          <w:rFonts w:eastAsia="Arial"/>
        </w:rPr>
        <w:t xml:space="preserve">all </w:t>
      </w:r>
      <w:r w:rsidRPr="00843A16">
        <w:rPr>
          <w:rFonts w:eastAsia="Arial"/>
        </w:rPr>
        <w:t xml:space="preserve">customers can open online wagering accounts without needing to consent to direct marketing. </w:t>
      </w:r>
    </w:p>
    <w:p w14:paraId="41C08607" w14:textId="3ED09173" w:rsidR="006C25BF" w:rsidRPr="00ED100A" w:rsidRDefault="00840A32" w:rsidP="00B308D5">
      <w:pPr>
        <w:pStyle w:val="BoxBulletList"/>
        <w:rPr>
          <w:rFonts w:eastAsia="Arial"/>
          <w:color w:val="005BA3"/>
        </w:rPr>
      </w:pPr>
      <w:r w:rsidRPr="00ED100A">
        <w:rPr>
          <w:b/>
          <w:color w:val="005BA3"/>
        </w:rPr>
        <w:t>Recommendation 3d:</w:t>
      </w:r>
      <w:r w:rsidRPr="00ED100A">
        <w:rPr>
          <w:color w:val="005BA3"/>
        </w:rPr>
        <w:t xml:space="preserve"> </w:t>
      </w:r>
      <w:r w:rsidR="00F15B76" w:rsidRPr="00ED100A">
        <w:rPr>
          <w:rFonts w:eastAsia="Arial"/>
          <w:color w:val="005BA3"/>
        </w:rPr>
        <w:t>(</w:t>
      </w:r>
      <w:r w:rsidR="00F15B76" w:rsidRPr="00ED100A">
        <w:rPr>
          <w:rFonts w:ascii="Bauhaus 93" w:eastAsia="Arial" w:hAnsi="Bauhaus 93"/>
          <w:color w:val="005BA3"/>
        </w:rPr>
        <w:t>R</w:t>
      </w:r>
      <w:r w:rsidR="00F15B76" w:rsidRPr="00ED100A">
        <w:rPr>
          <w:rFonts w:eastAsia="Arial"/>
          <w:color w:val="005BA3"/>
        </w:rPr>
        <w:t xml:space="preserve">) </w:t>
      </w:r>
      <w:r w:rsidRPr="00ED100A">
        <w:rPr>
          <w:color w:val="005BA3"/>
        </w:rPr>
        <w:t xml:space="preserve">State and territory policy makers and regulators should adopt a </w:t>
      </w:r>
      <w:r w:rsidR="00B95B28" w:rsidRPr="00ED100A">
        <w:rPr>
          <w:color w:val="005BA3"/>
        </w:rPr>
        <w:t xml:space="preserve">nationally </w:t>
      </w:r>
      <w:r w:rsidRPr="00ED100A">
        <w:rPr>
          <w:color w:val="005BA3"/>
        </w:rPr>
        <w:t xml:space="preserve">consistent requirement that WSPs cease sending direct marketing materials immediately upon receipt of an unsubscribe request, with a </w:t>
      </w:r>
      <w:r w:rsidR="00695FAC">
        <w:rPr>
          <w:color w:val="005BA3"/>
        </w:rPr>
        <w:t>consistent</w:t>
      </w:r>
      <w:r w:rsidRPr="00ED100A">
        <w:rPr>
          <w:color w:val="005BA3"/>
        </w:rPr>
        <w:t xml:space="preserve"> maximum time</w:t>
      </w:r>
      <w:r w:rsidR="00C17000" w:rsidRPr="00ED100A">
        <w:rPr>
          <w:color w:val="005BA3"/>
        </w:rPr>
        <w:t xml:space="preserve"> </w:t>
      </w:r>
      <w:r w:rsidRPr="00ED100A">
        <w:rPr>
          <w:color w:val="005BA3"/>
        </w:rPr>
        <w:t xml:space="preserve">frame to </w:t>
      </w:r>
      <w:r w:rsidR="00AB63CA" w:rsidRPr="00ED100A">
        <w:rPr>
          <w:color w:val="005BA3"/>
        </w:rPr>
        <w:t>accommodate</w:t>
      </w:r>
      <w:r w:rsidRPr="00ED100A">
        <w:rPr>
          <w:color w:val="005BA3"/>
        </w:rPr>
        <w:t xml:space="preserve"> processing.</w:t>
      </w:r>
      <w:r w:rsidR="004D12C4" w:rsidRPr="00ED100A">
        <w:rPr>
          <w:color w:val="005BA3"/>
        </w:rPr>
        <w:t xml:space="preserve"> </w:t>
      </w:r>
    </w:p>
    <w:p w14:paraId="31670CB0" w14:textId="16585C11" w:rsidR="008E700F" w:rsidRPr="00843A16" w:rsidRDefault="008E700F" w:rsidP="008E700F">
      <w:pPr>
        <w:pStyle w:val="BodyText"/>
        <w:rPr>
          <w:sz w:val="18"/>
          <w:szCs w:val="18"/>
        </w:rPr>
      </w:pPr>
      <w:r w:rsidRPr="00843A16">
        <w:t xml:space="preserve">The restrictions on inducements measure </w:t>
      </w:r>
      <w:proofErr w:type="gramStart"/>
      <w:r w:rsidRPr="00843A16">
        <w:t>contain</w:t>
      </w:r>
      <w:r w:rsidR="00C17000">
        <w:t>s</w:t>
      </w:r>
      <w:proofErr w:type="gramEnd"/>
      <w:r w:rsidRPr="00843A16">
        <w:t xml:space="preserve"> several elements:</w:t>
      </w:r>
    </w:p>
    <w:p w14:paraId="595E940D" w14:textId="2217728F" w:rsidR="008E700F" w:rsidRPr="00843A16" w:rsidRDefault="008E700F" w:rsidP="008E700F">
      <w:pPr>
        <w:pStyle w:val="ListBullet"/>
      </w:pPr>
      <w:r w:rsidRPr="00843A16">
        <w:t xml:space="preserve">Inducements cannot be offered to open an account or refer another person to open an account. </w:t>
      </w:r>
    </w:p>
    <w:p w14:paraId="1C62A7F1" w14:textId="49CDBAFB" w:rsidR="008E700F" w:rsidRPr="00843A16" w:rsidRDefault="008E700F" w:rsidP="008E700F">
      <w:pPr>
        <w:pStyle w:val="ListBullet"/>
      </w:pPr>
      <w:r w:rsidRPr="00843A16">
        <w:t xml:space="preserve">Any inducements that encourage customers to </w:t>
      </w:r>
      <w:r w:rsidR="00A15105" w:rsidRPr="00843A16">
        <w:t>wager</w:t>
      </w:r>
      <w:r w:rsidRPr="00843A16">
        <w:t xml:space="preserve"> that are not part of an approved loyalty program must not be offered in a jurisdiction that only permits such inducements as part of an approved loyalty program. </w:t>
      </w:r>
    </w:p>
    <w:p w14:paraId="0FD18DA3" w14:textId="3D1DAD92" w:rsidR="008E700F" w:rsidRPr="00843A16" w:rsidRDefault="008E700F" w:rsidP="008E700F">
      <w:pPr>
        <w:pStyle w:val="ListBullet"/>
      </w:pPr>
      <w:r w:rsidRPr="00843A16">
        <w:t xml:space="preserve">Winnings from complementary betting credit (i.e. bonus bets) must be able to be withdrawn without being subject to any turnover requirements. </w:t>
      </w:r>
    </w:p>
    <w:p w14:paraId="75336BD2" w14:textId="6CF0188F" w:rsidR="008E700F" w:rsidRPr="00843A16" w:rsidRDefault="008E700F" w:rsidP="008E700F">
      <w:pPr>
        <w:pStyle w:val="ListBullet"/>
        <w:rPr>
          <w:sz w:val="18"/>
          <w:szCs w:val="18"/>
        </w:rPr>
      </w:pPr>
      <w:r w:rsidRPr="00843A16">
        <w:t>All direct marketing to customers may only be sent to customers who provide their express consent to receive this material.</w:t>
      </w:r>
    </w:p>
    <w:p w14:paraId="0B61A8C1" w14:textId="3F634D2B" w:rsidR="00B369A8" w:rsidRPr="00843A16" w:rsidRDefault="008E700F" w:rsidP="00F85A33">
      <w:pPr>
        <w:pStyle w:val="ListBullet"/>
      </w:pPr>
      <w:r w:rsidRPr="00843A16">
        <w:t>A customer must be able to unsubscribe from receiving direct marketing materials.</w:t>
      </w:r>
      <w:r w:rsidR="00BB64E9" w:rsidRPr="00843A16">
        <w:t xml:space="preserve"> For direct </w:t>
      </w:r>
      <w:r w:rsidR="00B86AB4" w:rsidRPr="00843A16">
        <w:t>materials sent electronically</w:t>
      </w:r>
      <w:r w:rsidR="00882DEA" w:rsidRPr="00843A16">
        <w:t>, the link to unsubscribe</w:t>
      </w:r>
      <w:r w:rsidR="007A4CCD" w:rsidRPr="00843A16">
        <w:t xml:space="preserve"> must be functional and easily accessible. </w:t>
      </w:r>
      <w:r w:rsidRPr="00843A16">
        <w:t xml:space="preserve">No further direct marketing materials may be sent to a consumer from the time their unsubscribe request is received (DSS, 2018). </w:t>
      </w:r>
    </w:p>
    <w:p w14:paraId="62FCBF63" w14:textId="41B5D683" w:rsidR="008E700F" w:rsidRPr="00843A16" w:rsidRDefault="005D747C" w:rsidP="008E700F">
      <w:pPr>
        <w:pStyle w:val="BodyText"/>
      </w:pPr>
      <w:r w:rsidRPr="00843A16">
        <w:lastRenderedPageBreak/>
        <w:t xml:space="preserve">See </w:t>
      </w:r>
      <w:hyperlink w:anchor="Table1" w:history="1">
        <w:r w:rsidR="00137587" w:rsidRPr="00137587">
          <w:rPr>
            <w:rStyle w:val="Hyperlink"/>
            <w:b/>
            <w:bCs/>
          </w:rPr>
          <w:t>Table 1</w:t>
        </w:r>
      </w:hyperlink>
      <w:r w:rsidRPr="00843A16">
        <w:t xml:space="preserve"> for an overview of this measure as outlined in the NPS.</w:t>
      </w:r>
    </w:p>
    <w:p w14:paraId="15471521" w14:textId="77777777" w:rsidR="008E700F" w:rsidRPr="00843A16" w:rsidRDefault="008E700F" w:rsidP="00074143">
      <w:pPr>
        <w:pStyle w:val="Heading4"/>
      </w:pPr>
      <w:r w:rsidRPr="00843A16">
        <w:t>Development and implementation</w:t>
      </w:r>
    </w:p>
    <w:p w14:paraId="6302567F" w14:textId="25DAFDA3" w:rsidR="008E700F" w:rsidRPr="00843A16" w:rsidRDefault="008E700F" w:rsidP="008E700F">
      <w:pPr>
        <w:pStyle w:val="BodyText"/>
      </w:pPr>
      <w:r w:rsidRPr="00843A16">
        <w:t xml:space="preserve">The </w:t>
      </w:r>
      <w:r w:rsidR="00264937">
        <w:t xml:space="preserve">2019 </w:t>
      </w:r>
      <w:r w:rsidRPr="001C02BA">
        <w:t>NCPF</w:t>
      </w:r>
      <w:r w:rsidRPr="00264937">
        <w:t xml:space="preserve"> </w:t>
      </w:r>
      <w:r w:rsidRPr="001C02BA">
        <w:t>Baseline Study</w:t>
      </w:r>
      <w:r w:rsidRPr="00843A16">
        <w:t xml:space="preserve"> found that the majority of large WSPs offered incentives to open accounts, with the most common being bonus bets ranging from $50 to $200. </w:t>
      </w:r>
      <w:r w:rsidR="00BC2351">
        <w:t>However, o</w:t>
      </w:r>
      <w:r w:rsidRPr="00843A16">
        <w:t xml:space="preserve">nly 40.2% of wagerers had seen an unsubscribe option on any direct marketing messages (Jenkinson et al., 2019).    </w:t>
      </w:r>
    </w:p>
    <w:p w14:paraId="0E0BA09B" w14:textId="11B59E92" w:rsidR="008213EE" w:rsidRDefault="008E700F" w:rsidP="008E700F">
      <w:pPr>
        <w:pStyle w:val="BodyText"/>
      </w:pPr>
      <w:r w:rsidRPr="00843A16">
        <w:rPr>
          <w:rStyle w:val="BodyTextChar"/>
        </w:rPr>
        <w:t xml:space="preserve">The </w:t>
      </w:r>
      <w:r w:rsidR="003F2530" w:rsidRPr="00843A16">
        <w:rPr>
          <w:rStyle w:val="BodyTextChar"/>
        </w:rPr>
        <w:t>Regulatory Impact Statement (</w:t>
      </w:r>
      <w:r w:rsidRPr="00843A16">
        <w:rPr>
          <w:rStyle w:val="BodyTextChar"/>
        </w:rPr>
        <w:t>RIS</w:t>
      </w:r>
      <w:r w:rsidR="003F2530" w:rsidRPr="00843A16">
        <w:rPr>
          <w:rStyle w:val="BodyTextChar"/>
        </w:rPr>
        <w:t>)</w:t>
      </w:r>
      <w:r w:rsidRPr="00843A16">
        <w:rPr>
          <w:rStyle w:val="BodyTextChar"/>
        </w:rPr>
        <w:t xml:space="preserve"> provided </w:t>
      </w:r>
      <w:r w:rsidR="00266663">
        <w:rPr>
          <w:rStyle w:val="BodyTextChar"/>
        </w:rPr>
        <w:t>3</w:t>
      </w:r>
      <w:r w:rsidR="00266663" w:rsidRPr="00843A16">
        <w:rPr>
          <w:rStyle w:val="BodyTextChar"/>
        </w:rPr>
        <w:t xml:space="preserve"> </w:t>
      </w:r>
      <w:r w:rsidRPr="00843A16">
        <w:rPr>
          <w:rStyle w:val="BodyTextChar"/>
        </w:rPr>
        <w:t>options for this measure</w:t>
      </w:r>
      <w:r w:rsidR="00C2038B" w:rsidRPr="00843A16">
        <w:rPr>
          <w:rStyle w:val="BodyTextChar"/>
        </w:rPr>
        <w:t xml:space="preserve"> (</w:t>
      </w:r>
      <w:r w:rsidR="00E0734E" w:rsidRPr="00843A16">
        <w:rPr>
          <w:rStyle w:val="BodyTextChar"/>
        </w:rPr>
        <w:t>see</w:t>
      </w:r>
      <w:r w:rsidR="00E0734E">
        <w:rPr>
          <w:rStyle w:val="BodyTextChar"/>
        </w:rPr>
        <w:t xml:space="preserve"> </w:t>
      </w:r>
      <w:hyperlink w:anchor="Table7" w:history="1">
        <w:r w:rsidR="00E0734E" w:rsidRPr="00CF6D5E">
          <w:rPr>
            <w:rStyle w:val="Hyperlink"/>
            <w:b/>
          </w:rPr>
          <w:t>Table</w:t>
        </w:r>
        <w:r w:rsidR="00F5785D" w:rsidRPr="00CF6D5E">
          <w:rPr>
            <w:rStyle w:val="Hyperlink"/>
            <w:b/>
          </w:rPr>
          <w:t xml:space="preserve"> 7</w:t>
        </w:r>
      </w:hyperlink>
      <w:r w:rsidR="00C2038B" w:rsidRPr="00843A16">
        <w:rPr>
          <w:rStyle w:val="BodyTextChar"/>
        </w:rPr>
        <w:t>)</w:t>
      </w:r>
      <w:r w:rsidRPr="00843A16">
        <w:rPr>
          <w:rStyle w:val="BodyTextChar"/>
        </w:rPr>
        <w:t xml:space="preserve">, with option </w:t>
      </w:r>
      <w:r w:rsidR="00105D47">
        <w:rPr>
          <w:rStyle w:val="BodyTextChar"/>
        </w:rPr>
        <w:t>2</w:t>
      </w:r>
      <w:r w:rsidRPr="00843A16">
        <w:rPr>
          <w:rStyle w:val="BodyTextChar"/>
        </w:rPr>
        <w:t>, the establishment of minimum standards for restricting inducements, being chosen for implementation.</w:t>
      </w:r>
      <w:r w:rsidRPr="00843A16">
        <w:t xml:space="preserve"> Most wagering industry stakeholders supported </w:t>
      </w:r>
      <w:r w:rsidR="00475820">
        <w:t xml:space="preserve">this </w:t>
      </w:r>
      <w:r w:rsidRPr="00843A16">
        <w:t xml:space="preserve">option, with </w:t>
      </w:r>
      <w:r w:rsidR="00BE2B58">
        <w:t xml:space="preserve">the </w:t>
      </w:r>
      <w:r w:rsidRPr="00843A16">
        <w:t>majority supporting a total ban on sign-up offers and the removal of turnover requirements for deposited funds (DSS, 201</w:t>
      </w:r>
      <w:r w:rsidR="00C36CE1" w:rsidRPr="00843A16">
        <w:t>7</w:t>
      </w:r>
      <w:r w:rsidRPr="00843A16">
        <w:t xml:space="preserve">). </w:t>
      </w:r>
      <w:r w:rsidR="008213EE">
        <w:t>However</w:t>
      </w:r>
      <w:r w:rsidR="000D735A">
        <w:t>,</w:t>
      </w:r>
      <w:r w:rsidR="008213EE">
        <w:t xml:space="preserve"> </w:t>
      </w:r>
      <w:r w:rsidR="00D14456">
        <w:t>they</w:t>
      </w:r>
      <w:r w:rsidRPr="00843A16">
        <w:t xml:space="preserve"> did not support the move to opt-in direct marketing. </w:t>
      </w:r>
    </w:p>
    <w:p w14:paraId="6BBD3939" w14:textId="5E2831B1" w:rsidR="008E700F" w:rsidRPr="00843A16" w:rsidRDefault="008E700F" w:rsidP="008E700F">
      <w:pPr>
        <w:pStyle w:val="BodyText"/>
      </w:pPr>
      <w:r w:rsidRPr="00843A16">
        <w:t>The NPS establishes that direct marketing must only be sent to customers who ‘express consent’ to receive it (DSS, 2018)</w:t>
      </w:r>
      <w:r w:rsidR="00095546" w:rsidRPr="00843A16">
        <w:t>.</w:t>
      </w:r>
      <w:r w:rsidR="00564CD9" w:rsidRPr="00843A16">
        <w:t xml:space="preserve"> This </w:t>
      </w:r>
      <w:r w:rsidRPr="00843A16">
        <w:t xml:space="preserve">does not ensure the system operates on an opt-in basis </w:t>
      </w:r>
      <w:r w:rsidR="008E3974" w:rsidRPr="00843A16">
        <w:t>as outlined in</w:t>
      </w:r>
      <w:r w:rsidR="008E3974" w:rsidRPr="008230A3">
        <w:rPr>
          <w:b/>
        </w:rPr>
        <w:t xml:space="preserve"> </w:t>
      </w:r>
      <w:hyperlink w:anchor="Table7" w:history="1">
        <w:r w:rsidR="00F5785D" w:rsidRPr="008230A3">
          <w:rPr>
            <w:rStyle w:val="Hyperlink"/>
            <w:b/>
          </w:rPr>
          <w:t xml:space="preserve">Table </w:t>
        </w:r>
        <w:r w:rsidR="00E1086D">
          <w:rPr>
            <w:rStyle w:val="Hyperlink"/>
            <w:b/>
          </w:rPr>
          <w:t>7</w:t>
        </w:r>
      </w:hyperlink>
      <w:r w:rsidR="00312127">
        <w:t xml:space="preserve"> </w:t>
      </w:r>
      <w:r w:rsidR="00D457E1">
        <w:t>as a lack of response is viewed as consent</w:t>
      </w:r>
      <w:r w:rsidRPr="00843A16">
        <w:t xml:space="preserve">. </w:t>
      </w:r>
    </w:p>
    <w:p w14:paraId="55493FE9" w14:textId="05F555CA" w:rsidR="008E700F" w:rsidRPr="00843A16" w:rsidRDefault="008E700F" w:rsidP="007A60DE">
      <w:pPr>
        <w:pStyle w:val="TableCaption"/>
      </w:pPr>
      <w:bookmarkStart w:id="115" w:name="Table6"/>
      <w:bookmarkStart w:id="116" w:name="Table7"/>
      <w:r w:rsidRPr="00843A16">
        <w:t xml:space="preserve">Table </w:t>
      </w:r>
      <w:bookmarkEnd w:id="115"/>
      <w:r w:rsidR="00CD02C5">
        <w:rPr>
          <w:bCs/>
        </w:rPr>
        <w:t>7</w:t>
      </w:r>
      <w:r w:rsidRPr="00843A16">
        <w:t xml:space="preserve">: Summary of the options identified in the Consultation RIS </w:t>
      </w:r>
    </w:p>
    <w:tbl>
      <w:tblPr>
        <w:tblStyle w:val="TableGrid117"/>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244"/>
        <w:gridCol w:w="7255"/>
      </w:tblGrid>
      <w:tr w:rsidR="00CC650A" w:rsidRPr="00843A16" w14:paraId="41DAED31" w14:textId="77777777">
        <w:trPr>
          <w:cnfStyle w:val="100000000000" w:firstRow="1" w:lastRow="0" w:firstColumn="0" w:lastColumn="0" w:oddVBand="0" w:evenVBand="0" w:oddHBand="0" w:evenHBand="0" w:firstRowFirstColumn="0" w:firstRowLastColumn="0" w:lastRowFirstColumn="0" w:lastRowLastColumn="0"/>
        </w:trPr>
        <w:tc>
          <w:tcPr>
            <w:tcW w:w="1244" w:type="dxa"/>
            <w:shd w:val="clear" w:color="auto" w:fill="62136D"/>
          </w:tcPr>
          <w:bookmarkEnd w:id="116"/>
          <w:p w14:paraId="76259F63" w14:textId="77777777" w:rsidR="008E700F" w:rsidRPr="00FF7BBF" w:rsidRDefault="008E700F" w:rsidP="007A60DE">
            <w:pPr>
              <w:pStyle w:val="TableColHeadLeft"/>
            </w:pPr>
            <w:r w:rsidRPr="00FF7BBF">
              <w:t>Option number</w:t>
            </w:r>
          </w:p>
        </w:tc>
        <w:tc>
          <w:tcPr>
            <w:tcW w:w="7255" w:type="dxa"/>
            <w:shd w:val="clear" w:color="auto" w:fill="62136D"/>
          </w:tcPr>
          <w:p w14:paraId="1C609FB0" w14:textId="77777777" w:rsidR="008E700F" w:rsidRPr="00FF7BBF" w:rsidRDefault="008E700F" w:rsidP="007A60DE">
            <w:pPr>
              <w:pStyle w:val="TableColHeadLeft"/>
            </w:pPr>
            <w:r w:rsidRPr="00FF7BBF">
              <w:t>Description</w:t>
            </w:r>
          </w:p>
        </w:tc>
      </w:tr>
      <w:tr w:rsidR="00CC650A" w:rsidRPr="00843A16" w14:paraId="32F37950" w14:textId="77777777">
        <w:tc>
          <w:tcPr>
            <w:tcW w:w="1244" w:type="dxa"/>
          </w:tcPr>
          <w:p w14:paraId="06CA4ADE" w14:textId="2FE8E22D" w:rsidR="008E700F" w:rsidRPr="00FF7BBF" w:rsidRDefault="008E700F" w:rsidP="007A60DE">
            <w:pPr>
              <w:pStyle w:val="TableText"/>
              <w:rPr>
                <w:lang w:val="en-US"/>
              </w:rPr>
            </w:pPr>
            <w:r w:rsidRPr="00FF7BBF">
              <w:rPr>
                <w:lang w:val="en-US"/>
              </w:rPr>
              <w:t xml:space="preserve">Option </w:t>
            </w:r>
            <w:r w:rsidR="00DD0216">
              <w:rPr>
                <w:lang w:val="en-US"/>
              </w:rPr>
              <w:t>1</w:t>
            </w:r>
          </w:p>
        </w:tc>
        <w:tc>
          <w:tcPr>
            <w:tcW w:w="7255" w:type="dxa"/>
          </w:tcPr>
          <w:p w14:paraId="19A6E6DD" w14:textId="77777777" w:rsidR="008E700F" w:rsidRPr="00FF7BBF" w:rsidRDefault="008E700F" w:rsidP="007A60DE">
            <w:pPr>
              <w:pStyle w:val="TableText"/>
              <w:rPr>
                <w:lang w:val="en-US"/>
              </w:rPr>
            </w:pPr>
            <w:r w:rsidRPr="00FF7BBF">
              <w:rPr>
                <w:lang w:val="en-US"/>
              </w:rPr>
              <w:t>Current arrangements: no changes (base case)</w:t>
            </w:r>
          </w:p>
        </w:tc>
      </w:tr>
      <w:tr w:rsidR="00CC650A" w:rsidRPr="00843A16" w14:paraId="6E1E478D" w14:textId="77777777">
        <w:tc>
          <w:tcPr>
            <w:tcW w:w="1244" w:type="dxa"/>
            <w:shd w:val="clear" w:color="auto" w:fill="D1D1D1"/>
          </w:tcPr>
          <w:p w14:paraId="4181C169" w14:textId="1439B03E" w:rsidR="008E700F" w:rsidRPr="00FF7BBF" w:rsidRDefault="008E700F" w:rsidP="007A60DE">
            <w:pPr>
              <w:pStyle w:val="TableText"/>
              <w:rPr>
                <w:lang w:val="en-US"/>
              </w:rPr>
            </w:pPr>
            <w:r w:rsidRPr="00FF7BBF">
              <w:rPr>
                <w:lang w:val="en-US"/>
              </w:rPr>
              <w:t xml:space="preserve">Option </w:t>
            </w:r>
            <w:r w:rsidR="00DD0216">
              <w:rPr>
                <w:lang w:val="en-US"/>
              </w:rPr>
              <w:t>2</w:t>
            </w:r>
          </w:p>
        </w:tc>
        <w:tc>
          <w:tcPr>
            <w:tcW w:w="7255" w:type="dxa"/>
            <w:shd w:val="clear" w:color="auto" w:fill="D1D1D1"/>
          </w:tcPr>
          <w:p w14:paraId="29E5C0B2" w14:textId="3BED0FB4" w:rsidR="008E700F" w:rsidRPr="00FF7BBF" w:rsidRDefault="008E700F" w:rsidP="007A60DE">
            <w:pPr>
              <w:pStyle w:val="TableText"/>
              <w:rPr>
                <w:lang w:val="en-US"/>
              </w:rPr>
            </w:pPr>
            <w:r w:rsidRPr="00FF7BBF">
              <w:rPr>
                <w:lang w:val="en-US"/>
              </w:rPr>
              <w:t>Minimum standards for restricting inducements</w:t>
            </w:r>
            <w:r w:rsidRPr="00FF7BBF">
              <w:rPr>
                <w:b/>
                <w:lang w:val="en-US"/>
              </w:rPr>
              <w:t xml:space="preserve">: </w:t>
            </w:r>
            <w:r w:rsidRPr="00FF7BBF">
              <w:rPr>
                <w:lang w:val="en-US"/>
              </w:rPr>
              <w:t xml:space="preserve">banning sign-up offers, better defining inducements in line with responsible gambling and creating an </w:t>
            </w:r>
            <w:r w:rsidRPr="00FF7BBF">
              <w:rPr>
                <w:b/>
                <w:lang w:val="en-US"/>
              </w:rPr>
              <w:t>opt-in system</w:t>
            </w:r>
            <w:r w:rsidRPr="00FF7BBF">
              <w:rPr>
                <w:lang w:val="en-US"/>
              </w:rPr>
              <w:t>: stronger consumer protection standards</w:t>
            </w:r>
            <w:r w:rsidRPr="00FF7BBF">
              <w:rPr>
                <w:b/>
                <w:lang w:val="en-US"/>
              </w:rPr>
              <w:t xml:space="preserve"> </w:t>
            </w:r>
            <w:r w:rsidRPr="00FF7BBF">
              <w:rPr>
                <w:lang w:val="en-US"/>
              </w:rPr>
              <w:t>(minor regulatory impact)</w:t>
            </w:r>
          </w:p>
        </w:tc>
      </w:tr>
      <w:tr w:rsidR="00CC650A" w:rsidRPr="00843A16" w14:paraId="7A58C6F5" w14:textId="77777777">
        <w:tc>
          <w:tcPr>
            <w:tcW w:w="1244" w:type="dxa"/>
          </w:tcPr>
          <w:p w14:paraId="1AABD2BA" w14:textId="042AF07A" w:rsidR="008E700F" w:rsidRPr="00FF7BBF" w:rsidRDefault="008E700F" w:rsidP="007A60DE">
            <w:pPr>
              <w:pStyle w:val="TableText"/>
              <w:rPr>
                <w:lang w:val="en-US"/>
              </w:rPr>
            </w:pPr>
            <w:r w:rsidRPr="00FF7BBF">
              <w:rPr>
                <w:lang w:val="en-US"/>
              </w:rPr>
              <w:t xml:space="preserve">Option </w:t>
            </w:r>
            <w:r w:rsidR="00DD0216">
              <w:rPr>
                <w:lang w:val="en-US"/>
              </w:rPr>
              <w:t>3</w:t>
            </w:r>
          </w:p>
        </w:tc>
        <w:tc>
          <w:tcPr>
            <w:tcW w:w="7255" w:type="dxa"/>
          </w:tcPr>
          <w:p w14:paraId="4CBFEFA1" w14:textId="77777777" w:rsidR="008E700F" w:rsidRPr="00FF7BBF" w:rsidRDefault="008E700F" w:rsidP="007A60DE">
            <w:pPr>
              <w:pStyle w:val="TableText"/>
              <w:rPr>
                <w:lang w:val="en-US"/>
              </w:rPr>
            </w:pPr>
            <w:r w:rsidRPr="00FF7BBF">
              <w:rPr>
                <w:lang w:val="en-US"/>
              </w:rPr>
              <w:t>Banning all inducements: most stringent consumer protection approach (major regulatory impact)</w:t>
            </w:r>
          </w:p>
        </w:tc>
      </w:tr>
    </w:tbl>
    <w:p w14:paraId="5D550B7B" w14:textId="3396A0E1" w:rsidR="00DD0216" w:rsidRDefault="00DD0216" w:rsidP="007A60DE">
      <w:pPr>
        <w:pStyle w:val="TableNotes"/>
      </w:pPr>
      <w:r>
        <w:t>Source: DSS (2017)</w:t>
      </w:r>
    </w:p>
    <w:p w14:paraId="3AD58C2E" w14:textId="7E582367" w:rsidR="008E700F" w:rsidRPr="00843A16" w:rsidRDefault="008E700F" w:rsidP="008E700F">
      <w:pPr>
        <w:pStyle w:val="BodyText"/>
      </w:pPr>
      <w:r w:rsidRPr="00843A16">
        <w:t xml:space="preserve">The NPS specifically allows for the introduction of more restrictive rules for this measure (DSS, 2018). NSW, SA, </w:t>
      </w:r>
      <w:r w:rsidR="00DD0216" w:rsidRPr="00843A16">
        <w:t>V</w:t>
      </w:r>
      <w:r w:rsidR="00DD0216">
        <w:t>ic</w:t>
      </w:r>
      <w:r w:rsidR="00DD0216" w:rsidRPr="00843A16">
        <w:t xml:space="preserve"> </w:t>
      </w:r>
      <w:r w:rsidRPr="00843A16">
        <w:t>and WA each have more restrictive additional guidance for certain aspects of this measure.</w:t>
      </w:r>
    </w:p>
    <w:p w14:paraId="2D6F9F32" w14:textId="4D06C4CA" w:rsidR="008E700F" w:rsidRPr="00843A16" w:rsidRDefault="008E700F" w:rsidP="008E700F">
      <w:pPr>
        <w:pStyle w:val="ListBullet"/>
        <w:jc w:val="both"/>
      </w:pPr>
      <w:r w:rsidRPr="00843A16">
        <w:rPr>
          <w:b/>
          <w:bCs/>
        </w:rPr>
        <w:t>WA</w:t>
      </w:r>
      <w:r w:rsidRPr="00843A16">
        <w:t xml:space="preserve"> and </w:t>
      </w:r>
      <w:r w:rsidRPr="00843A16">
        <w:rPr>
          <w:b/>
          <w:bCs/>
        </w:rPr>
        <w:t>NSW</w:t>
      </w:r>
      <w:r w:rsidRPr="00843A16">
        <w:t xml:space="preserve"> prohibit advertising any inducements to wager</w:t>
      </w:r>
      <w:r w:rsidR="001C7A20">
        <w:t>,</w:t>
      </w:r>
      <w:r w:rsidRPr="00843A16">
        <w:t xml:space="preserve"> excluding direct marketing to betting account holders (WA Department of Local </w:t>
      </w:r>
      <w:r w:rsidR="009A13AF">
        <w:t>Government</w:t>
      </w:r>
      <w:r w:rsidRPr="00843A16">
        <w:t xml:space="preserve">, Industry Regulation and Safety, 2025; Liquor &amp; Gaming NSW, 2025). </w:t>
      </w:r>
    </w:p>
    <w:p w14:paraId="2E3B1CE1" w14:textId="16531145" w:rsidR="008E700F" w:rsidRPr="00843A16" w:rsidRDefault="008E700F" w:rsidP="008E700F">
      <w:pPr>
        <w:pStyle w:val="ListBullet"/>
        <w:jc w:val="both"/>
      </w:pPr>
      <w:r w:rsidRPr="00843A16">
        <w:rPr>
          <w:b/>
          <w:bCs/>
        </w:rPr>
        <w:t>SA</w:t>
      </w:r>
      <w:r w:rsidRPr="00843A16">
        <w:t xml:space="preserve"> prohibits offering inducements that encourage </w:t>
      </w:r>
      <w:proofErr w:type="gramStart"/>
      <w:r w:rsidRPr="00843A16">
        <w:t>gambling</w:t>
      </w:r>
      <w:proofErr w:type="gramEnd"/>
      <w:r w:rsidRPr="00843A16">
        <w:t xml:space="preserve"> but this does not apply to loyalty programs (SA Attorney-General’s Department, 2021).</w:t>
      </w:r>
    </w:p>
    <w:p w14:paraId="2CCFA3CE" w14:textId="359DBEB3" w:rsidR="008E700F" w:rsidRPr="00843A16" w:rsidRDefault="008E700F" w:rsidP="008E700F">
      <w:pPr>
        <w:pStyle w:val="ListBullet"/>
        <w:jc w:val="both"/>
        <w:rPr>
          <w:sz w:val="18"/>
          <w:szCs w:val="18"/>
        </w:rPr>
      </w:pPr>
      <w:r w:rsidRPr="00843A16">
        <w:t xml:space="preserve">As of 30 June 2023, </w:t>
      </w:r>
      <w:r w:rsidR="00C62601" w:rsidRPr="00843A16">
        <w:rPr>
          <w:b/>
          <w:bCs/>
        </w:rPr>
        <w:t>V</w:t>
      </w:r>
      <w:r w:rsidR="00C62601">
        <w:rPr>
          <w:b/>
          <w:bCs/>
        </w:rPr>
        <w:t>ic</w:t>
      </w:r>
      <w:r w:rsidR="00C62601" w:rsidRPr="00843A16">
        <w:t xml:space="preserve"> </w:t>
      </w:r>
      <w:r w:rsidRPr="00843A16">
        <w:t xml:space="preserve">mandated that direct marketing </w:t>
      </w:r>
      <w:r w:rsidR="00C62601">
        <w:t>be</w:t>
      </w:r>
      <w:r w:rsidR="00C62601" w:rsidRPr="00843A16">
        <w:t xml:space="preserve"> </w:t>
      </w:r>
      <w:r w:rsidRPr="00843A16">
        <w:t xml:space="preserve">governed on an opt-in basis. Consumers are required to actively confirm that they seek to receive direct marketing and are otherwise assumed to have not consented (Victoria </w:t>
      </w:r>
      <w:r w:rsidR="009A13AF">
        <w:t>Government</w:t>
      </w:r>
      <w:r w:rsidRPr="00843A16">
        <w:t xml:space="preserve"> Gazette, 2022). </w:t>
      </w:r>
    </w:p>
    <w:p w14:paraId="34CBD4ED" w14:textId="4F04F68C" w:rsidR="008E700F" w:rsidRPr="00843A16" w:rsidRDefault="008E700F" w:rsidP="008E700F">
      <w:pPr>
        <w:pStyle w:val="ListBullet"/>
        <w:rPr>
          <w:lang w:bidi="ar-SA"/>
        </w:rPr>
      </w:pPr>
      <w:r w:rsidRPr="00843A16">
        <w:rPr>
          <w:b/>
          <w:bCs/>
        </w:rPr>
        <w:t>WA</w:t>
      </w:r>
      <w:r w:rsidRPr="00843A16">
        <w:t xml:space="preserve"> prohibits communications being sent by a third-party affiliate on behalf of a WSP. Operators cannot require customers to consent to direct marketing to open an account (WA Department of Local </w:t>
      </w:r>
      <w:r w:rsidR="009A13AF">
        <w:t>Government</w:t>
      </w:r>
      <w:r w:rsidRPr="00843A16">
        <w:t>, Industry Regulation and Safety, 2025).</w:t>
      </w:r>
    </w:p>
    <w:p w14:paraId="0AB45FB1" w14:textId="6A88B092" w:rsidR="008E700F" w:rsidRPr="00843A16" w:rsidRDefault="008E700F" w:rsidP="00074143">
      <w:pPr>
        <w:pStyle w:val="Heading4"/>
      </w:pPr>
      <w:r w:rsidRPr="00843A16">
        <w:t>Inducement definition consistency</w:t>
      </w:r>
      <w:r w:rsidR="001D0484">
        <w:t xml:space="preserve"> </w:t>
      </w:r>
    </w:p>
    <w:p w14:paraId="44C7C9BD" w14:textId="0DE0D82F" w:rsidR="008E700F" w:rsidRPr="00843A16" w:rsidRDefault="008E700F" w:rsidP="008E700F">
      <w:pPr>
        <w:pStyle w:val="BodyText"/>
      </w:pPr>
      <w:r w:rsidRPr="00843A16">
        <w:rPr>
          <w:lang w:bidi="ar-SA"/>
        </w:rPr>
        <w:t xml:space="preserve">The O’Farrell Review </w:t>
      </w:r>
      <w:r w:rsidR="00DF7548">
        <w:rPr>
          <w:lang w:bidi="ar-SA"/>
        </w:rPr>
        <w:t xml:space="preserve">(2015) </w:t>
      </w:r>
      <w:r w:rsidRPr="00843A16">
        <w:rPr>
          <w:lang w:bidi="ar-SA"/>
        </w:rPr>
        <w:t xml:space="preserve">noted a fragmented regulatory approach regarding the definition of inducements. </w:t>
      </w:r>
      <w:r w:rsidR="00F82449">
        <w:rPr>
          <w:lang w:bidi="ar-SA"/>
        </w:rPr>
        <w:t>T</w:t>
      </w:r>
      <w:r w:rsidRPr="00843A16">
        <w:rPr>
          <w:lang w:bidi="ar-SA"/>
        </w:rPr>
        <w:t>he RIS suggest</w:t>
      </w:r>
      <w:r w:rsidR="0062699A">
        <w:rPr>
          <w:lang w:bidi="ar-SA"/>
        </w:rPr>
        <w:t>ed</w:t>
      </w:r>
      <w:r w:rsidRPr="00843A16">
        <w:rPr>
          <w:lang w:bidi="ar-SA"/>
        </w:rPr>
        <w:t xml:space="preserve"> harmonising </w:t>
      </w:r>
      <w:r w:rsidRPr="00843A16">
        <w:t>the definition of ‘inducement’ in each jurisdiction. This was intended to assist with ensuring the minimum consumer protections provided by this measure were consistently regulated (DSS, 201</w:t>
      </w:r>
      <w:r w:rsidR="00C36CE1" w:rsidRPr="00843A16">
        <w:t>7</w:t>
      </w:r>
      <w:r w:rsidRPr="00843A16">
        <w:t xml:space="preserve">). However, it was omitted from the NPS (DSS, 2018) and was not pursued further when implemented across jurisdictions. </w:t>
      </w:r>
    </w:p>
    <w:p w14:paraId="3F933997" w14:textId="342D25C7" w:rsidR="008E700F" w:rsidRPr="00843A16" w:rsidRDefault="008E700F" w:rsidP="004A7145">
      <w:pPr>
        <w:pStyle w:val="BodyText"/>
      </w:pPr>
      <w:r w:rsidRPr="00843A16">
        <w:lastRenderedPageBreak/>
        <w:t xml:space="preserve">Submissions to the </w:t>
      </w:r>
      <w:r w:rsidR="00AA5801" w:rsidRPr="004A7145">
        <w:t>House of Representatives Standing Committee on Social Policy and Legal Affairs</w:t>
      </w:r>
      <w:r w:rsidR="00175610">
        <w:t xml:space="preserve"> (</w:t>
      </w:r>
      <w:r w:rsidR="009F74FE">
        <w:t>SPLA; 2023)</w:t>
      </w:r>
      <w:r w:rsidR="00AA5801" w:rsidRPr="004A7145">
        <w:t xml:space="preserve"> </w:t>
      </w:r>
      <w:r w:rsidR="00AA5801" w:rsidRPr="00D73D41">
        <w:rPr>
          <w:i/>
        </w:rPr>
        <w:t>You win some, you lose more</w:t>
      </w:r>
      <w:r w:rsidR="00FF6974">
        <w:rPr>
          <w:i/>
          <w:iCs/>
        </w:rPr>
        <w:t>.</w:t>
      </w:r>
      <w:r w:rsidR="00B04D4C">
        <w:rPr>
          <w:i/>
          <w:iCs/>
        </w:rPr>
        <w:t xml:space="preserve"> </w:t>
      </w:r>
      <w:r w:rsidR="00B04D4C" w:rsidRPr="001C02BA">
        <w:rPr>
          <w:i/>
          <w:iCs/>
        </w:rPr>
        <w:t>Inquiry into online gambling and its impacts on those experiencing gambling harm</w:t>
      </w:r>
      <w:r w:rsidR="009F74FE">
        <w:rPr>
          <w:i/>
          <w:iCs/>
        </w:rPr>
        <w:t xml:space="preserve"> </w:t>
      </w:r>
      <w:r w:rsidRPr="00843A16">
        <w:t>continued to comment on the need for a consistent regulatory approach and interpretation of what constitutes a wagering inducement (</w:t>
      </w:r>
      <w:proofErr w:type="spellStart"/>
      <w:r w:rsidRPr="00843A16">
        <w:t>Entain</w:t>
      </w:r>
      <w:proofErr w:type="spellEnd"/>
      <w:r w:rsidRPr="00843A16">
        <w:t>,</w:t>
      </w:r>
      <w:r w:rsidR="00AB1372">
        <w:t> </w:t>
      </w:r>
      <w:r w:rsidRPr="00843A16">
        <w:t>202</w:t>
      </w:r>
      <w:r w:rsidR="00EF7FBF">
        <w:t>3</w:t>
      </w:r>
      <w:r w:rsidRPr="00843A16">
        <w:t xml:space="preserve">; </w:t>
      </w:r>
      <w:proofErr w:type="spellStart"/>
      <w:r w:rsidRPr="00843A16">
        <w:t>Soulio</w:t>
      </w:r>
      <w:proofErr w:type="spellEnd"/>
      <w:r w:rsidRPr="00843A16">
        <w:t>, 2023</w:t>
      </w:r>
      <w:r w:rsidR="00FD385F">
        <w:t xml:space="preserve">; </w:t>
      </w:r>
      <w:r w:rsidR="00FD385F" w:rsidRPr="00843A16">
        <w:t>Sportsbet, 2023</w:t>
      </w:r>
      <w:r w:rsidRPr="00843A16">
        <w:t xml:space="preserve">). In the </w:t>
      </w:r>
      <w:r w:rsidR="00477FBC" w:rsidRPr="00843A16">
        <w:t>evaluation</w:t>
      </w:r>
      <w:r w:rsidRPr="00843A16">
        <w:t xml:space="preserve"> interviews, WSPs and regulators confirmed that jurisdictional definitions of inducements continue to differ significantly, </w:t>
      </w:r>
      <w:r w:rsidR="00687C36">
        <w:t>increasing</w:t>
      </w:r>
      <w:r w:rsidRPr="00843A16">
        <w:t xml:space="preserve"> the compliance burden of WSPs operating across jurisdictions.</w:t>
      </w:r>
    </w:p>
    <w:p w14:paraId="0E153F35" w14:textId="7ED72316" w:rsidR="008E700F" w:rsidRPr="00843A16" w:rsidRDefault="008E700F" w:rsidP="008E700F">
      <w:pPr>
        <w:pStyle w:val="Quote"/>
      </w:pPr>
      <w:r w:rsidRPr="00843A16">
        <w:t xml:space="preserve">The problem is no one can </w:t>
      </w:r>
      <w:proofErr w:type="gramStart"/>
      <w:r w:rsidRPr="00843A16">
        <w:t>actually determine</w:t>
      </w:r>
      <w:proofErr w:type="gramEnd"/>
      <w:r w:rsidRPr="00843A16">
        <w:t xml:space="preserve"> what an inducement is</w:t>
      </w:r>
      <w:r w:rsidR="00FD385F">
        <w:t xml:space="preserve"> </w:t>
      </w:r>
      <w:r w:rsidRPr="00843A16">
        <w:t>...</w:t>
      </w:r>
      <w:r w:rsidR="00FD385F">
        <w:t xml:space="preserve"> </w:t>
      </w:r>
      <w:r w:rsidRPr="00843A16">
        <w:t xml:space="preserve">is that an inducement or is that just a good offer? Trying to define what </w:t>
      </w:r>
      <w:r w:rsidR="00FD385F">
        <w:t xml:space="preserve">is </w:t>
      </w:r>
      <w:r w:rsidRPr="00843A16">
        <w:t xml:space="preserve">an inducement is a very difficult thing to do. </w:t>
      </w:r>
      <w:r w:rsidR="00FD385F">
        <w:t>(</w:t>
      </w:r>
      <w:r w:rsidRPr="00843A16">
        <w:t xml:space="preserve">Policy &amp; </w:t>
      </w:r>
      <w:r w:rsidR="00FD385F" w:rsidRPr="00843A16">
        <w:t>regulation stakeholder</w:t>
      </w:r>
      <w:r w:rsidRPr="00843A16">
        <w:t xml:space="preserve">, </w:t>
      </w:r>
      <w:r w:rsidR="00B95535">
        <w:t>s</w:t>
      </w:r>
      <w:r w:rsidR="00BB6B2C">
        <w:t>tate/territory government</w:t>
      </w:r>
      <w:r w:rsidR="00FD385F">
        <w:t>)</w:t>
      </w:r>
      <w:r w:rsidRPr="00843A16">
        <w:t xml:space="preserve"> </w:t>
      </w:r>
    </w:p>
    <w:p w14:paraId="60269690" w14:textId="74122E26" w:rsidR="008E700F" w:rsidRPr="00843A16" w:rsidRDefault="008E700F" w:rsidP="008E700F">
      <w:pPr>
        <w:pStyle w:val="Quote"/>
      </w:pPr>
      <w:r w:rsidRPr="00843A16">
        <w:t xml:space="preserve">The regulation in the NCPF </w:t>
      </w:r>
      <w:r w:rsidR="00FD385F">
        <w:t>–</w:t>
      </w:r>
      <w:r w:rsidR="00FD385F" w:rsidRPr="00843A16">
        <w:t xml:space="preserve"> it</w:t>
      </w:r>
      <w:r w:rsidR="00FD385F">
        <w:t>’</w:t>
      </w:r>
      <w:r w:rsidR="00FD385F" w:rsidRPr="00843A16">
        <w:t xml:space="preserve">s </w:t>
      </w:r>
      <w:proofErr w:type="gramStart"/>
      <w:r w:rsidRPr="00843A16">
        <w:t>pretty straight</w:t>
      </w:r>
      <w:proofErr w:type="gramEnd"/>
      <w:r w:rsidRPr="00843A16">
        <w:t xml:space="preserve"> forward. Where inducements get trickier is that … most states have a different interpretation of what an inducement is and [apply</w:t>
      </w:r>
      <w:r w:rsidR="00553411">
        <w:t>]</w:t>
      </w:r>
      <w:r w:rsidRPr="00843A16">
        <w:t xml:space="preserve"> different guidance and regulations and that’s sort of a daily battle for us in terms of when we want to run a promotion or anything that we want to offer to our customers. </w:t>
      </w:r>
      <w:r w:rsidR="00FD385F">
        <w:t>(</w:t>
      </w:r>
      <w:r w:rsidRPr="00843A16">
        <w:t>WSP, very large corporate bookmaker, NT licensed</w:t>
      </w:r>
      <w:r w:rsidR="00FD385F">
        <w:t>)</w:t>
      </w:r>
    </w:p>
    <w:p w14:paraId="436B0900" w14:textId="3558DEA5" w:rsidR="008E700F" w:rsidRPr="00843A16" w:rsidRDefault="008E700F" w:rsidP="008E700F">
      <w:pPr>
        <w:pStyle w:val="BodyText"/>
      </w:pPr>
      <w:r w:rsidRPr="00843A16">
        <w:t xml:space="preserve">The desktop review found the written definition of inducement remains similar across jurisdictions, with most referring to </w:t>
      </w:r>
      <w:r w:rsidR="00FD385F">
        <w:t>‘</w:t>
      </w:r>
      <w:r w:rsidRPr="00843A16">
        <w:t>any credit, voucher or reward</w:t>
      </w:r>
      <w:r w:rsidR="00FD385F">
        <w:t>’</w:t>
      </w:r>
      <w:r w:rsidRPr="00843A16">
        <w:t xml:space="preserve"> offered by wagering operators. However, the interpreted definition diverges, with jurisdictions divided on certain offers or promotions.  </w:t>
      </w:r>
    </w:p>
    <w:p w14:paraId="7C45140C" w14:textId="65EFE2C6" w:rsidR="008E700F" w:rsidRPr="00843A16" w:rsidRDefault="008E700F" w:rsidP="008E700F">
      <w:pPr>
        <w:pStyle w:val="Quote"/>
      </w:pPr>
      <w:r w:rsidRPr="00843A16">
        <w:t>I think the challenge now is that definition of an inducement</w:t>
      </w:r>
      <w:r w:rsidR="00FD385F">
        <w:t xml:space="preserve"> </w:t>
      </w:r>
      <w:r w:rsidRPr="00843A16">
        <w:t>… some people will say that</w:t>
      </w:r>
      <w:r w:rsidR="00FD385F">
        <w:t xml:space="preserve"> </w:t>
      </w:r>
      <w:r w:rsidRPr="00843A16">
        <w:t>…</w:t>
      </w:r>
      <w:r w:rsidR="00FD385F">
        <w:t xml:space="preserve"> </w:t>
      </w:r>
      <w:r w:rsidRPr="00843A16">
        <w:t>the money back on a race is an inducement and some people won</w:t>
      </w:r>
      <w:r w:rsidR="00FD385F">
        <w:t>’</w:t>
      </w:r>
      <w:r w:rsidRPr="00843A16">
        <w:t>t class that as an inducement</w:t>
      </w:r>
      <w:r w:rsidR="00FD385F">
        <w:t xml:space="preserve"> </w:t>
      </w:r>
      <w:r w:rsidRPr="00843A16">
        <w:t>…</w:t>
      </w:r>
      <w:r w:rsidR="00FD385F">
        <w:t xml:space="preserve"> </w:t>
      </w:r>
      <w:r w:rsidRPr="00843A16">
        <w:t>And I suppose the perfect example</w:t>
      </w:r>
      <w:r w:rsidR="00FD385F">
        <w:t xml:space="preserve"> </w:t>
      </w:r>
      <w:r w:rsidRPr="00843A16">
        <w:t xml:space="preserve">… is like an enhanced odds market. </w:t>
      </w:r>
      <w:r w:rsidR="00FD385F" w:rsidRPr="00843A16">
        <w:t>That</w:t>
      </w:r>
      <w:r w:rsidR="00FD385F">
        <w:t>’</w:t>
      </w:r>
      <w:r w:rsidR="00FD385F" w:rsidRPr="00843A16">
        <w:t xml:space="preserve">s </w:t>
      </w:r>
      <w:r w:rsidRPr="00843A16">
        <w:t>something that we have used in the past</w:t>
      </w:r>
      <w:r w:rsidR="00FD385F">
        <w:t xml:space="preserve"> </w:t>
      </w:r>
      <w:r w:rsidRPr="00843A16">
        <w:t>…</w:t>
      </w:r>
      <w:r w:rsidR="00FD385F">
        <w:t xml:space="preserve"> </w:t>
      </w:r>
      <w:r w:rsidRPr="00843A16">
        <w:t>and [for] some states that will be OK. Whereas in [one state] for example</w:t>
      </w:r>
      <w:r w:rsidR="00FD385F">
        <w:t xml:space="preserve"> </w:t>
      </w:r>
      <w:r w:rsidRPr="00843A16">
        <w:t xml:space="preserve">… they </w:t>
      </w:r>
      <w:r w:rsidR="00FD385F" w:rsidRPr="00843A16">
        <w:t>don</w:t>
      </w:r>
      <w:r w:rsidR="00FD385F">
        <w:t>’</w:t>
      </w:r>
      <w:r w:rsidR="00FD385F" w:rsidRPr="00843A16">
        <w:t xml:space="preserve">t </w:t>
      </w:r>
      <w:r w:rsidRPr="00843A16">
        <w:t xml:space="preserve">like that kind of thing as much. </w:t>
      </w:r>
      <w:r w:rsidR="00FD385F">
        <w:t>(</w:t>
      </w:r>
      <w:r w:rsidRPr="00843A16">
        <w:t>WSP, medium corporate bookmaker, NT licensed</w:t>
      </w:r>
      <w:r w:rsidR="00FD385F">
        <w:t>)</w:t>
      </w:r>
    </w:p>
    <w:p w14:paraId="7F8F4700" w14:textId="077C670B" w:rsidR="00DB735A" w:rsidRPr="00843A16" w:rsidRDefault="008E700F" w:rsidP="008E700F">
      <w:pPr>
        <w:pStyle w:val="BodyText"/>
        <w:rPr>
          <w:lang w:bidi="ar-SA"/>
        </w:rPr>
      </w:pPr>
      <w:r w:rsidRPr="00843A16">
        <w:rPr>
          <w:lang w:bidi="ar-SA"/>
        </w:rPr>
        <w:t>The implementation of the measure itself appears to have a high level of consistency. However, the underlying definitional difference</w:t>
      </w:r>
      <w:r w:rsidR="006E279D">
        <w:rPr>
          <w:lang w:bidi="ar-SA"/>
        </w:rPr>
        <w:t>s</w:t>
      </w:r>
      <w:r w:rsidRPr="00843A16">
        <w:rPr>
          <w:lang w:bidi="ar-SA"/>
        </w:rPr>
        <w:t xml:space="preserve"> mean that the provision of some inducements may be considered non-compliant with the NCPF in some jurisdictions and compliant in others. As a result, consumers may experience different minimum protections in certain jurisdictions. </w:t>
      </w:r>
    </w:p>
    <w:p w14:paraId="011F0268" w14:textId="3EDBB8F2" w:rsidR="008E700F" w:rsidRPr="00843A16" w:rsidRDefault="00C66BFF" w:rsidP="008E700F">
      <w:pPr>
        <w:pStyle w:val="BodyText"/>
        <w:rPr>
          <w:lang w:bidi="ar-SA"/>
        </w:rPr>
      </w:pPr>
      <w:r w:rsidRPr="00843A16">
        <w:rPr>
          <w:lang w:bidi="ar-SA"/>
        </w:rPr>
        <w:t>Policy makers and r</w:t>
      </w:r>
      <w:r w:rsidR="008E700F" w:rsidRPr="00843A16">
        <w:rPr>
          <w:lang w:bidi="ar-SA"/>
        </w:rPr>
        <w:t xml:space="preserve">egulators </w:t>
      </w:r>
      <w:proofErr w:type="gramStart"/>
      <w:r w:rsidR="008E700F" w:rsidRPr="00843A16">
        <w:rPr>
          <w:lang w:bidi="ar-SA"/>
        </w:rPr>
        <w:t>have the opportunity to</w:t>
      </w:r>
      <w:proofErr w:type="gramEnd"/>
      <w:r w:rsidR="008E700F" w:rsidRPr="00843A16">
        <w:rPr>
          <w:lang w:bidi="ar-SA"/>
        </w:rPr>
        <w:t xml:space="preserve"> harmonise their interpretation of inducements to create </w:t>
      </w:r>
      <w:r w:rsidR="000302B8">
        <w:rPr>
          <w:lang w:bidi="ar-SA"/>
        </w:rPr>
        <w:t>stronger</w:t>
      </w:r>
      <w:r w:rsidR="005F3398">
        <w:rPr>
          <w:lang w:bidi="ar-SA"/>
        </w:rPr>
        <w:t xml:space="preserve"> and more </w:t>
      </w:r>
      <w:r w:rsidR="008E700F" w:rsidRPr="00843A16">
        <w:rPr>
          <w:lang w:bidi="ar-SA"/>
        </w:rPr>
        <w:t>consistent consumer protections</w:t>
      </w:r>
      <w:r w:rsidRPr="00843A16">
        <w:rPr>
          <w:lang w:bidi="ar-SA"/>
        </w:rPr>
        <w:t xml:space="preserve"> </w:t>
      </w:r>
      <w:r w:rsidR="00F7209F" w:rsidRPr="00843A16">
        <w:rPr>
          <w:lang w:bidi="ar-SA"/>
        </w:rPr>
        <w:t>around inducements</w:t>
      </w:r>
      <w:r w:rsidR="008E700F" w:rsidRPr="00843A16">
        <w:rPr>
          <w:lang w:bidi="ar-SA"/>
        </w:rPr>
        <w:t>.</w:t>
      </w:r>
      <w:r w:rsidR="00CE0BC4" w:rsidRPr="00843A16">
        <w:rPr>
          <w:lang w:bidi="ar-SA"/>
        </w:rPr>
        <w:t xml:space="preserve"> </w:t>
      </w:r>
      <w:r w:rsidR="00C64191" w:rsidRPr="00843A16">
        <w:rPr>
          <w:lang w:bidi="ar-SA"/>
        </w:rPr>
        <w:t xml:space="preserve">This could </w:t>
      </w:r>
      <w:r w:rsidR="00655739" w:rsidRPr="00843A16">
        <w:rPr>
          <w:lang w:bidi="ar-SA"/>
        </w:rPr>
        <w:t xml:space="preserve">include a standardised </w:t>
      </w:r>
      <w:r w:rsidR="00C64191" w:rsidRPr="00843A16">
        <w:rPr>
          <w:lang w:bidi="ar-SA"/>
        </w:rPr>
        <w:t xml:space="preserve">interpretation of inducements and other promotions </w:t>
      </w:r>
      <w:r w:rsidR="009C07F9">
        <w:rPr>
          <w:lang w:bidi="ar-SA"/>
        </w:rPr>
        <w:t>that</w:t>
      </w:r>
      <w:r w:rsidR="009C07F9" w:rsidRPr="00843A16">
        <w:rPr>
          <w:lang w:bidi="ar-SA"/>
        </w:rPr>
        <w:t xml:space="preserve"> </w:t>
      </w:r>
      <w:r w:rsidR="00C64191" w:rsidRPr="00843A16">
        <w:rPr>
          <w:lang w:bidi="ar-SA"/>
        </w:rPr>
        <w:t xml:space="preserve">are banned </w:t>
      </w:r>
      <w:r w:rsidR="00271597">
        <w:rPr>
          <w:lang w:bidi="ar-SA"/>
        </w:rPr>
        <w:t>i</w:t>
      </w:r>
      <w:r w:rsidR="00C64191" w:rsidRPr="00843A16">
        <w:rPr>
          <w:lang w:bidi="ar-SA"/>
        </w:rPr>
        <w:t>n the NCPF</w:t>
      </w:r>
      <w:r w:rsidR="00FB042B" w:rsidRPr="00843A16">
        <w:rPr>
          <w:lang w:bidi="ar-SA"/>
        </w:rPr>
        <w:t xml:space="preserve">. The definitions should be updated </w:t>
      </w:r>
      <w:r w:rsidR="001E2921" w:rsidRPr="00843A16">
        <w:rPr>
          <w:lang w:bidi="ar-SA"/>
        </w:rPr>
        <w:t xml:space="preserve">across regulators when new types of inducements </w:t>
      </w:r>
      <w:r w:rsidR="00C94A29" w:rsidRPr="00843A16">
        <w:rPr>
          <w:lang w:bidi="ar-SA"/>
        </w:rPr>
        <w:t xml:space="preserve">introduced by </w:t>
      </w:r>
      <w:r w:rsidR="00CB4C41">
        <w:rPr>
          <w:lang w:bidi="ar-SA"/>
        </w:rPr>
        <w:t>WSPs</w:t>
      </w:r>
      <w:r w:rsidR="00C94A29" w:rsidRPr="00843A16">
        <w:rPr>
          <w:lang w:bidi="ar-SA"/>
        </w:rPr>
        <w:t xml:space="preserve"> </w:t>
      </w:r>
      <w:r w:rsidR="001E2921" w:rsidRPr="00843A16">
        <w:rPr>
          <w:lang w:bidi="ar-SA"/>
        </w:rPr>
        <w:t>are identified</w:t>
      </w:r>
      <w:r w:rsidR="0030692E" w:rsidRPr="00843A16">
        <w:rPr>
          <w:lang w:bidi="ar-SA"/>
        </w:rPr>
        <w:t xml:space="preserve"> as being in-scope</w:t>
      </w:r>
      <w:r w:rsidR="00262FDB" w:rsidRPr="00843A16">
        <w:rPr>
          <w:lang w:bidi="ar-SA"/>
        </w:rPr>
        <w:t xml:space="preserve"> under this NCPF measure.</w:t>
      </w:r>
      <w:r w:rsidR="001E2921" w:rsidRPr="00843A16">
        <w:rPr>
          <w:lang w:bidi="ar-SA"/>
        </w:rPr>
        <w:t xml:space="preserve"> </w:t>
      </w:r>
    </w:p>
    <w:p w14:paraId="7B038D48" w14:textId="01549E81" w:rsidR="00EB6511" w:rsidRPr="00843A16" w:rsidRDefault="0079750D" w:rsidP="008E700F">
      <w:pPr>
        <w:pStyle w:val="BodyText"/>
        <w:rPr>
          <w:lang w:bidi="ar-SA"/>
        </w:rPr>
      </w:pPr>
      <w:r>
        <w:rPr>
          <w:lang w:bidi="ar-SA"/>
        </w:rPr>
        <w:t xml:space="preserve">The consumer survey run for this </w:t>
      </w:r>
      <w:r w:rsidR="009771B1">
        <w:rPr>
          <w:lang w:bidi="ar-SA"/>
        </w:rPr>
        <w:t xml:space="preserve">evaluation found that </w:t>
      </w:r>
      <w:r w:rsidR="00D72B19">
        <w:rPr>
          <w:rFonts w:eastAsia="Arial"/>
        </w:rPr>
        <w:t xml:space="preserve">of those who closed an account in the last 12 months, </w:t>
      </w:r>
      <w:r w:rsidR="001D59C4">
        <w:rPr>
          <w:rFonts w:eastAsia="Arial"/>
        </w:rPr>
        <w:t>28.6% were encouraged or induced by a WSP to not close their account</w:t>
      </w:r>
      <w:r w:rsidR="005E4F8B">
        <w:rPr>
          <w:rFonts w:eastAsia="Arial"/>
        </w:rPr>
        <w:t xml:space="preserve"> and 10.7% said the process to close their account did not begin immediately after the request.</w:t>
      </w:r>
      <w:r w:rsidR="00077F25">
        <w:rPr>
          <w:rFonts w:eastAsia="Arial"/>
        </w:rPr>
        <w:t xml:space="preserve"> </w:t>
      </w:r>
    </w:p>
    <w:p w14:paraId="1DABEE94" w14:textId="2A928E34" w:rsidR="008E700F" w:rsidRPr="00843A16" w:rsidRDefault="008E700F" w:rsidP="00074143">
      <w:pPr>
        <w:pStyle w:val="Heading4"/>
      </w:pPr>
      <w:r w:rsidRPr="00843A16">
        <w:t>Opt-in or opt-out direct marketing</w:t>
      </w:r>
      <w:r w:rsidR="00EB6511">
        <w:t xml:space="preserve"> </w:t>
      </w:r>
    </w:p>
    <w:p w14:paraId="6F34815B" w14:textId="0E52EECA" w:rsidR="00790DA6" w:rsidRDefault="004E510A" w:rsidP="008E700F">
      <w:pPr>
        <w:pStyle w:val="BodyText"/>
        <w:rPr>
          <w:lang w:bidi="ar-SA"/>
        </w:rPr>
      </w:pPr>
      <w:r>
        <w:rPr>
          <w:lang w:bidi="ar-SA"/>
        </w:rPr>
        <w:t>This</w:t>
      </w:r>
      <w:r w:rsidR="008E700F" w:rsidRPr="00843A16">
        <w:rPr>
          <w:lang w:bidi="ar-SA"/>
        </w:rPr>
        <w:t xml:space="preserve"> measure </w:t>
      </w:r>
      <w:r w:rsidR="007726C1" w:rsidRPr="00843A16">
        <w:rPr>
          <w:lang w:bidi="ar-SA"/>
        </w:rPr>
        <w:t>w</w:t>
      </w:r>
      <w:r w:rsidR="008E700F" w:rsidRPr="00843A16">
        <w:rPr>
          <w:lang w:bidi="ar-SA"/>
        </w:rPr>
        <w:t xml:space="preserve">as </w:t>
      </w:r>
      <w:r w:rsidR="004E2E2F" w:rsidRPr="00843A16">
        <w:rPr>
          <w:lang w:bidi="ar-SA"/>
        </w:rPr>
        <w:t xml:space="preserve">implemented so that customers </w:t>
      </w:r>
      <w:r w:rsidR="00796D78" w:rsidRPr="00843A16">
        <w:rPr>
          <w:lang w:bidi="ar-SA"/>
        </w:rPr>
        <w:t xml:space="preserve">only received direct marketing materials </w:t>
      </w:r>
      <w:r w:rsidR="00AA639F" w:rsidRPr="00843A16">
        <w:rPr>
          <w:lang w:bidi="ar-SA"/>
        </w:rPr>
        <w:t xml:space="preserve">if they had provided consent to receive </w:t>
      </w:r>
      <w:r w:rsidR="00411FC9">
        <w:rPr>
          <w:lang w:bidi="ar-SA"/>
        </w:rPr>
        <w:t>them</w:t>
      </w:r>
      <w:r w:rsidR="00411FC9" w:rsidRPr="00843A16">
        <w:rPr>
          <w:lang w:bidi="ar-SA"/>
        </w:rPr>
        <w:t xml:space="preserve"> </w:t>
      </w:r>
      <w:r w:rsidR="008E700F" w:rsidRPr="00843A16">
        <w:rPr>
          <w:lang w:bidi="ar-SA"/>
        </w:rPr>
        <w:t xml:space="preserve">(DSS, 2018). </w:t>
      </w:r>
      <w:r w:rsidR="002133D3" w:rsidRPr="00843A16">
        <w:rPr>
          <w:lang w:bidi="ar-SA"/>
        </w:rPr>
        <w:t xml:space="preserve">An opt-in approach was the intended outcome of the option selected during the Decision RIS (DSS, 2017). </w:t>
      </w:r>
      <w:r w:rsidR="00D93A77" w:rsidRPr="000F36E0">
        <w:rPr>
          <w:lang w:bidi="ar-SA"/>
        </w:rPr>
        <w:t xml:space="preserve">This evaluation notes that </w:t>
      </w:r>
      <w:r w:rsidR="00D93A77" w:rsidRPr="000F36E0">
        <w:rPr>
          <w:lang w:bidi="ar-SA"/>
        </w:rPr>
        <w:lastRenderedPageBreak/>
        <w:t>every jurisdiction has implemented the direct marketing measure with the intended opt-in component as suggested in the NPS</w:t>
      </w:r>
      <w:r w:rsidR="00D93A77">
        <w:rPr>
          <w:lang w:bidi="ar-SA"/>
        </w:rPr>
        <w:t xml:space="preserve"> (DSS, 2018)</w:t>
      </w:r>
      <w:r w:rsidR="00D93A77" w:rsidRPr="000F36E0">
        <w:rPr>
          <w:lang w:bidi="ar-SA"/>
        </w:rPr>
        <w:t xml:space="preserve">. </w:t>
      </w:r>
    </w:p>
    <w:p w14:paraId="205E7108" w14:textId="0A22AC31" w:rsidR="00DB1EF5" w:rsidRDefault="008E700F" w:rsidP="008E700F">
      <w:pPr>
        <w:pStyle w:val="BodyText"/>
        <w:rPr>
          <w:lang w:bidi="ar-SA"/>
        </w:rPr>
      </w:pPr>
      <w:r w:rsidRPr="00843A16">
        <w:rPr>
          <w:lang w:bidi="ar-SA"/>
        </w:rPr>
        <w:t xml:space="preserve">However, interviewed regulators noted that under the model, WSPs could require that consumers consent to marketing </w:t>
      </w:r>
      <w:r w:rsidR="008C2C4B">
        <w:rPr>
          <w:lang w:bidi="ar-SA"/>
        </w:rPr>
        <w:t>to</w:t>
      </w:r>
      <w:r w:rsidRPr="00843A16">
        <w:rPr>
          <w:lang w:bidi="ar-SA"/>
        </w:rPr>
        <w:t xml:space="preserve"> open an online wagering account. </w:t>
      </w:r>
      <w:r w:rsidR="00713BC8">
        <w:rPr>
          <w:lang w:bidi="ar-SA"/>
        </w:rPr>
        <w:t>For wagerers opening accounts with these specific WSPs, t</w:t>
      </w:r>
      <w:r w:rsidRPr="00843A16">
        <w:rPr>
          <w:lang w:bidi="ar-SA"/>
        </w:rPr>
        <w:t xml:space="preserve">he model </w:t>
      </w:r>
      <w:r w:rsidR="002276A5">
        <w:rPr>
          <w:lang w:bidi="ar-SA"/>
        </w:rPr>
        <w:t xml:space="preserve">then </w:t>
      </w:r>
      <w:r w:rsidRPr="00843A16">
        <w:rPr>
          <w:lang w:bidi="ar-SA"/>
        </w:rPr>
        <w:t>function</w:t>
      </w:r>
      <w:r w:rsidR="002276A5">
        <w:rPr>
          <w:lang w:bidi="ar-SA"/>
        </w:rPr>
        <w:t>s</w:t>
      </w:r>
      <w:r w:rsidR="00713BC8">
        <w:rPr>
          <w:lang w:bidi="ar-SA"/>
        </w:rPr>
        <w:t xml:space="preserve"> more</w:t>
      </w:r>
      <w:r w:rsidRPr="00843A16">
        <w:rPr>
          <w:lang w:bidi="ar-SA"/>
        </w:rPr>
        <w:t xml:space="preserve"> as an opt-out model, where individuals may be required to opt in to marketing to open an account, then undergo additional steps to unsubscribe</w:t>
      </w:r>
      <w:r w:rsidR="00310B6E" w:rsidRPr="00843A16">
        <w:rPr>
          <w:lang w:bidi="ar-SA"/>
        </w:rPr>
        <w:t xml:space="preserve"> from it</w:t>
      </w:r>
      <w:r w:rsidRPr="00843A16">
        <w:rPr>
          <w:lang w:bidi="ar-SA"/>
        </w:rPr>
        <w:t xml:space="preserve">. </w:t>
      </w:r>
    </w:p>
    <w:p w14:paraId="58C4D8B7" w14:textId="7B215AF2" w:rsidR="009D6448" w:rsidRDefault="00D93A77" w:rsidP="008E700F">
      <w:pPr>
        <w:pStyle w:val="BodyText"/>
        <w:rPr>
          <w:lang w:bidi="ar-SA"/>
        </w:rPr>
      </w:pPr>
      <w:r>
        <w:rPr>
          <w:lang w:bidi="ar-SA"/>
        </w:rPr>
        <w:t>O</w:t>
      </w:r>
      <w:r w:rsidR="000F36E0" w:rsidRPr="000F36E0">
        <w:rPr>
          <w:lang w:bidi="ar-SA"/>
        </w:rPr>
        <w:t xml:space="preserve">nly SA, </w:t>
      </w:r>
      <w:r w:rsidR="001706F6">
        <w:rPr>
          <w:lang w:bidi="ar-SA"/>
        </w:rPr>
        <w:t>Vic</w:t>
      </w:r>
      <w:r w:rsidR="000F36E0" w:rsidRPr="000F36E0">
        <w:rPr>
          <w:lang w:bidi="ar-SA"/>
        </w:rPr>
        <w:t xml:space="preserve"> and WA have explicitly addressed this possible oversight in their implemented model</w:t>
      </w:r>
      <w:r w:rsidR="000F36E0">
        <w:rPr>
          <w:lang w:bidi="ar-SA"/>
        </w:rPr>
        <w:t>, as detailed below</w:t>
      </w:r>
      <w:r w:rsidR="000F36E0" w:rsidRPr="000F36E0">
        <w:rPr>
          <w:lang w:bidi="ar-SA"/>
        </w:rPr>
        <w:t xml:space="preserve">. </w:t>
      </w:r>
    </w:p>
    <w:p w14:paraId="04264D71" w14:textId="2681CBCC" w:rsidR="00600533" w:rsidRDefault="000F36E0" w:rsidP="008E700F">
      <w:pPr>
        <w:pStyle w:val="BodyText"/>
        <w:rPr>
          <w:lang w:bidi="ar-SA"/>
        </w:rPr>
      </w:pPr>
      <w:r w:rsidRPr="000F36E0">
        <w:rPr>
          <w:lang w:bidi="ar-SA"/>
        </w:rPr>
        <w:t xml:space="preserve">In jurisdictions that have not explicitly addressed this gap, individual WSPs appear to be able to ignore the intended operation of the opt-in model when they implement the measure by requiring consumers </w:t>
      </w:r>
      <w:r w:rsidR="00DD6BD8">
        <w:rPr>
          <w:lang w:bidi="ar-SA"/>
        </w:rPr>
        <w:t xml:space="preserve">to </w:t>
      </w:r>
      <w:r w:rsidRPr="000F36E0">
        <w:rPr>
          <w:lang w:bidi="ar-SA"/>
        </w:rPr>
        <w:t xml:space="preserve">consent to direct marketing to open an account. </w:t>
      </w:r>
      <w:r w:rsidR="001F2B66">
        <w:rPr>
          <w:lang w:bidi="ar-SA"/>
        </w:rPr>
        <w:t>I</w:t>
      </w:r>
      <w:r w:rsidR="00515BC8">
        <w:rPr>
          <w:lang w:bidi="ar-SA"/>
        </w:rPr>
        <w:t xml:space="preserve">ndividual WSPs that </w:t>
      </w:r>
      <w:r w:rsidR="00577B9B">
        <w:rPr>
          <w:lang w:bidi="ar-SA"/>
        </w:rPr>
        <w:t>requir</w:t>
      </w:r>
      <w:r w:rsidR="006C0BB4">
        <w:rPr>
          <w:lang w:bidi="ar-SA"/>
        </w:rPr>
        <w:t>e</w:t>
      </w:r>
      <w:r w:rsidR="00577B9B">
        <w:rPr>
          <w:lang w:bidi="ar-SA"/>
        </w:rPr>
        <w:t xml:space="preserve"> customers to opt in to open an account </w:t>
      </w:r>
      <w:r w:rsidR="00515BC8">
        <w:rPr>
          <w:lang w:bidi="ar-SA"/>
        </w:rPr>
        <w:t xml:space="preserve">undermine the ‘express consent’ provision of the NPS principle (numbered 15 in this report) that </w:t>
      </w:r>
      <w:r w:rsidR="00107D30">
        <w:rPr>
          <w:lang w:bidi="ar-SA"/>
        </w:rPr>
        <w:t>‘</w:t>
      </w:r>
      <w:r w:rsidR="00515BC8" w:rsidRPr="00CF6D5E">
        <w:rPr>
          <w:i/>
          <w:lang w:bidi="ar-SA"/>
        </w:rPr>
        <w:t>All direct marketing to customer may only be sent to customers who provide their express consent to receive this material</w:t>
      </w:r>
      <w:r w:rsidR="00107D30">
        <w:rPr>
          <w:i/>
          <w:lang w:bidi="ar-SA"/>
        </w:rPr>
        <w:t>.’</w:t>
      </w:r>
    </w:p>
    <w:p w14:paraId="03F6C8FF" w14:textId="6C22862B" w:rsidR="00B46558" w:rsidRPr="00843A16" w:rsidRDefault="008E700F" w:rsidP="008E700F">
      <w:pPr>
        <w:pStyle w:val="BodyText"/>
      </w:pPr>
      <w:r w:rsidRPr="0BB13614">
        <w:rPr>
          <w:lang w:bidi="ar-SA"/>
        </w:rPr>
        <w:t>Victoria</w:t>
      </w:r>
      <w:r w:rsidR="002926B4">
        <w:rPr>
          <w:lang w:bidi="ar-SA"/>
        </w:rPr>
        <w:t xml:space="preserve"> </w:t>
      </w:r>
      <w:r w:rsidR="00F744CF">
        <w:rPr>
          <w:lang w:bidi="ar-SA"/>
        </w:rPr>
        <w:t xml:space="preserve">initiated </w:t>
      </w:r>
      <w:r w:rsidR="009A4A07">
        <w:rPr>
          <w:lang w:bidi="ar-SA"/>
        </w:rPr>
        <w:t xml:space="preserve">a change </w:t>
      </w:r>
      <w:r w:rsidR="00C173DC">
        <w:rPr>
          <w:lang w:bidi="ar-SA"/>
        </w:rPr>
        <w:t>in July 2022</w:t>
      </w:r>
      <w:r w:rsidR="009A4A07">
        <w:rPr>
          <w:lang w:bidi="ar-SA"/>
        </w:rPr>
        <w:t xml:space="preserve"> </w:t>
      </w:r>
      <w:r w:rsidR="00AD49D0">
        <w:rPr>
          <w:lang w:bidi="ar-SA"/>
        </w:rPr>
        <w:t xml:space="preserve">that </w:t>
      </w:r>
      <w:r w:rsidRPr="0BB13614">
        <w:rPr>
          <w:lang w:bidi="ar-SA"/>
        </w:rPr>
        <w:t>requir</w:t>
      </w:r>
      <w:r w:rsidR="00AD49D0">
        <w:rPr>
          <w:lang w:bidi="ar-SA"/>
        </w:rPr>
        <w:t>ed</w:t>
      </w:r>
      <w:r w:rsidRPr="0BB13614">
        <w:rPr>
          <w:lang w:bidi="ar-SA"/>
        </w:rPr>
        <w:t xml:space="preserve"> WSPs </w:t>
      </w:r>
      <w:r w:rsidR="00310B6E" w:rsidRPr="0BB13614">
        <w:rPr>
          <w:lang w:bidi="ar-SA"/>
        </w:rPr>
        <w:t xml:space="preserve">to </w:t>
      </w:r>
      <w:r w:rsidRPr="0BB13614">
        <w:rPr>
          <w:lang w:bidi="ar-SA"/>
        </w:rPr>
        <w:t xml:space="preserve">allow consumers to open accounts without consenting to marketing or being required to take additional steps to opt out of marketing. </w:t>
      </w:r>
      <w:r>
        <w:t xml:space="preserve">The model provides stronger consumer protection than the system </w:t>
      </w:r>
      <w:r w:rsidR="000A28B3">
        <w:t xml:space="preserve">initially </w:t>
      </w:r>
      <w:r w:rsidR="00BE71F3">
        <w:t xml:space="preserve">adopted </w:t>
      </w:r>
      <w:r>
        <w:t xml:space="preserve">as </w:t>
      </w:r>
      <w:r w:rsidR="00B63CB5">
        <w:t xml:space="preserve">it gives </w:t>
      </w:r>
      <w:r>
        <w:t>consumer</w:t>
      </w:r>
      <w:r w:rsidR="00B63CB5">
        <w:t>s more control</w:t>
      </w:r>
      <w:r>
        <w:t xml:space="preserve"> and </w:t>
      </w:r>
      <w:r w:rsidR="00B25D5A">
        <w:t>may reduce</w:t>
      </w:r>
      <w:r w:rsidR="001B3E29">
        <w:t xml:space="preserve"> their exposure to</w:t>
      </w:r>
      <w:r w:rsidR="00B25D5A">
        <w:t xml:space="preserve"> direct marketing</w:t>
      </w:r>
      <w:r>
        <w:t xml:space="preserve">. </w:t>
      </w:r>
      <w:r w:rsidR="007E3768">
        <w:t xml:space="preserve">This model was </w:t>
      </w:r>
      <w:r w:rsidR="002A03FB">
        <w:t xml:space="preserve">formally </w:t>
      </w:r>
      <w:r w:rsidR="007E3768">
        <w:t xml:space="preserve">adopted by SA </w:t>
      </w:r>
      <w:r w:rsidR="002A03FB">
        <w:t xml:space="preserve">in March 2023, Vic in June 2023 </w:t>
      </w:r>
      <w:r w:rsidR="007E3768">
        <w:t>and WA</w:t>
      </w:r>
      <w:r w:rsidR="002A03FB">
        <w:t xml:space="preserve"> through legislation in February 2025.</w:t>
      </w:r>
    </w:p>
    <w:p w14:paraId="749EB75F" w14:textId="038208AD" w:rsidR="008E700F" w:rsidRDefault="008E700F" w:rsidP="008E700F">
      <w:pPr>
        <w:pStyle w:val="BodyText"/>
      </w:pPr>
      <w:r w:rsidRPr="00843A16">
        <w:t xml:space="preserve">Regulators </w:t>
      </w:r>
      <w:r w:rsidR="00B46558" w:rsidRPr="00843A16">
        <w:t>in</w:t>
      </w:r>
      <w:r w:rsidRPr="00843A16">
        <w:t xml:space="preserve"> other jurisdictions noted that </w:t>
      </w:r>
      <w:r w:rsidR="00BC210C">
        <w:t>the</w:t>
      </w:r>
      <w:r w:rsidR="00BC210C" w:rsidRPr="00843A16">
        <w:t xml:space="preserve"> </w:t>
      </w:r>
      <w:r w:rsidRPr="00843A16">
        <w:t>change</w:t>
      </w:r>
      <w:r w:rsidR="008B6085">
        <w:t xml:space="preserve"> </w:t>
      </w:r>
      <w:r w:rsidRPr="00843A16">
        <w:t>had mostly addressed this issue across jurisdictions</w:t>
      </w:r>
      <w:r w:rsidR="007C2BBB">
        <w:t xml:space="preserve"> </w:t>
      </w:r>
      <w:r w:rsidRPr="00843A16">
        <w:t xml:space="preserve">due to </w:t>
      </w:r>
      <w:r w:rsidR="00F038DB">
        <w:t xml:space="preserve">Victoria’s </w:t>
      </w:r>
      <w:r w:rsidR="00810CE3">
        <w:t>PoC</w:t>
      </w:r>
      <w:r w:rsidRPr="00843A16">
        <w:t xml:space="preserve"> regulatory model placing </w:t>
      </w:r>
      <w:r w:rsidR="00CC55BA" w:rsidRPr="00843A16">
        <w:t xml:space="preserve">this </w:t>
      </w:r>
      <w:r w:rsidRPr="00843A16">
        <w:t>obligation</w:t>
      </w:r>
      <w:r w:rsidR="00CC55BA" w:rsidRPr="00843A16">
        <w:t xml:space="preserve"> </w:t>
      </w:r>
      <w:r w:rsidRPr="00843A16">
        <w:t xml:space="preserve">on all WSPs </w:t>
      </w:r>
      <w:r w:rsidR="00CC55BA" w:rsidRPr="00843A16">
        <w:t>providing services to Victoria</w:t>
      </w:r>
      <w:r w:rsidR="002133D3">
        <w:t>n</w:t>
      </w:r>
      <w:r w:rsidR="00CC55BA" w:rsidRPr="00843A16">
        <w:t xml:space="preserve"> residents</w:t>
      </w:r>
      <w:r w:rsidRPr="00843A16">
        <w:t xml:space="preserve">. </w:t>
      </w:r>
    </w:p>
    <w:p w14:paraId="07EDA01E" w14:textId="5BE79F4D" w:rsidR="008E700F" w:rsidRPr="00843A16" w:rsidRDefault="008E700F" w:rsidP="008E700F">
      <w:pPr>
        <w:pStyle w:val="Quote"/>
      </w:pPr>
      <w:r w:rsidRPr="00843A16">
        <w:t>There are a number of things that</w:t>
      </w:r>
      <w:r w:rsidR="00EF5EC0">
        <w:t xml:space="preserve"> </w:t>
      </w:r>
      <w:r w:rsidRPr="00843A16">
        <w:t>...</w:t>
      </w:r>
      <w:r w:rsidR="00EF5EC0">
        <w:t xml:space="preserve"> </w:t>
      </w:r>
      <w:r w:rsidRPr="00843A16">
        <w:t>are on the list for cleanup</w:t>
      </w:r>
      <w:r w:rsidR="00EF5EC0">
        <w:t xml:space="preserve"> </w:t>
      </w:r>
      <w:r w:rsidRPr="00843A16">
        <w:t>...</w:t>
      </w:r>
      <w:r w:rsidR="00EF5EC0">
        <w:t xml:space="preserve"> </w:t>
      </w:r>
      <w:r w:rsidRPr="00843A16">
        <w:t>one of the obvious ones, I think was one that Victoria picked up quite early and made changes in theirs, which I think has largely resolved it, but that was around requiring people to pick the box saying that they provide consent to receive marketing as part of the inducements measure and so, one of the requirements was around providing consent and Victoria found that you couldn</w:t>
      </w:r>
      <w:r w:rsidR="00EF5EC0">
        <w:t>’</w:t>
      </w:r>
      <w:r w:rsidRPr="00843A16">
        <w:t>t open an account without providing consent. So yes, there was a tick</w:t>
      </w:r>
      <w:r w:rsidR="000B7D9A" w:rsidRPr="00843A16">
        <w:t xml:space="preserve"> a</w:t>
      </w:r>
      <w:r w:rsidRPr="00843A16">
        <w:t xml:space="preserve"> box</w:t>
      </w:r>
      <w:r w:rsidR="000B7D9A" w:rsidRPr="00843A16">
        <w:t xml:space="preserve"> [system]</w:t>
      </w:r>
      <w:r w:rsidRPr="00843A16">
        <w:t>, but you couldn</w:t>
      </w:r>
      <w:r w:rsidR="00EF5EC0">
        <w:t>’</w:t>
      </w:r>
      <w:r w:rsidRPr="00843A16">
        <w:t xml:space="preserve">t open an account without ticking that box and so, I think they cleaned that up quite quickly. </w:t>
      </w:r>
      <w:r w:rsidR="008F115D">
        <w:t>(</w:t>
      </w:r>
      <w:r w:rsidRPr="00843A16">
        <w:t xml:space="preserve">Policy &amp; </w:t>
      </w:r>
      <w:r w:rsidR="008F115D" w:rsidRPr="00843A16">
        <w:t>regulation stakeholder</w:t>
      </w:r>
      <w:r w:rsidRPr="00843A16">
        <w:t xml:space="preserve">, </w:t>
      </w:r>
      <w:r w:rsidR="00B95535">
        <w:t>s</w:t>
      </w:r>
      <w:r w:rsidR="00BB6B2C">
        <w:t>tate/territory government</w:t>
      </w:r>
      <w:r w:rsidR="008F115D">
        <w:t>)</w:t>
      </w:r>
    </w:p>
    <w:p w14:paraId="422441E4" w14:textId="70078813" w:rsidR="008E700F" w:rsidRDefault="00C33878" w:rsidP="008E700F">
      <w:pPr>
        <w:pStyle w:val="BodyText"/>
      </w:pPr>
      <w:r>
        <w:t xml:space="preserve">No assessment has been undertaken on whether WSPs follow the </w:t>
      </w:r>
      <w:r w:rsidR="0039468D">
        <w:t xml:space="preserve">stronger </w:t>
      </w:r>
      <w:r>
        <w:t xml:space="preserve">model. </w:t>
      </w:r>
      <w:r w:rsidR="008E700F" w:rsidRPr="00843A16">
        <w:t>Adopting the opt-in model would harmonise direct marketing of inducements under the NCPF</w:t>
      </w:r>
      <w:r>
        <w:t xml:space="preserve"> and strengthen consumer protections</w:t>
      </w:r>
      <w:r w:rsidR="001751D1">
        <w:t xml:space="preserve"> to direct marketing exposure</w:t>
      </w:r>
      <w:r w:rsidR="008E700F" w:rsidRPr="00843A16">
        <w:t xml:space="preserve">. </w:t>
      </w:r>
      <w:r w:rsidR="008E700F">
        <w:t xml:space="preserve">See </w:t>
      </w:r>
      <w:hyperlink w:anchor="AppendixDTable9" w:history="1">
        <w:r w:rsidR="00F32B4C">
          <w:rPr>
            <w:rStyle w:val="Hyperlink"/>
            <w:b/>
            <w:bCs/>
          </w:rPr>
          <w:t>Table 11 in Appendix E</w:t>
        </w:r>
      </w:hyperlink>
      <w:r w:rsidR="005535DD" w:rsidRPr="00843A16">
        <w:rPr>
          <w:b/>
          <w:bCs/>
        </w:rPr>
        <w:t xml:space="preserve"> </w:t>
      </w:r>
      <w:r w:rsidR="008E700F" w:rsidRPr="00843A16">
        <w:t xml:space="preserve">for more detail on inconsistencies pertaining to </w:t>
      </w:r>
      <w:r w:rsidR="006839BC">
        <w:t xml:space="preserve">the </w:t>
      </w:r>
      <w:r w:rsidR="001D4B5E">
        <w:t xml:space="preserve">differences in </w:t>
      </w:r>
      <w:r w:rsidR="006839BC">
        <w:t xml:space="preserve">legislation </w:t>
      </w:r>
      <w:r w:rsidR="00A845B2">
        <w:t xml:space="preserve">for the </w:t>
      </w:r>
      <w:r w:rsidR="006839BC">
        <w:t>direct marketing principle of this measure</w:t>
      </w:r>
      <w:r w:rsidR="008E700F" w:rsidRPr="00843A16">
        <w:t>.</w:t>
      </w:r>
    </w:p>
    <w:p w14:paraId="3484AE91" w14:textId="7AF4ECD2" w:rsidR="00311511" w:rsidRDefault="00943859" w:rsidP="008E700F">
      <w:pPr>
        <w:pStyle w:val="BodyText"/>
      </w:pPr>
      <w:r>
        <w:t>The N</w:t>
      </w:r>
      <w:r w:rsidR="00064C5E">
        <w:t xml:space="preserve">PS’s principle (numbered 17 for the purposes of this report) requires that </w:t>
      </w:r>
      <w:r w:rsidR="008F115D">
        <w:t>‘</w:t>
      </w:r>
      <w:r w:rsidR="00064C5E" w:rsidRPr="00CF6D5E">
        <w:rPr>
          <w:i/>
        </w:rPr>
        <w:t xml:space="preserve">No further direct marketing materials may be sent a consumer from the time their unsubscribe request is </w:t>
      </w:r>
      <w:r w:rsidR="00064C5E" w:rsidRPr="00CF6D5E">
        <w:rPr>
          <w:i/>
          <w:iCs/>
        </w:rPr>
        <w:t>received</w:t>
      </w:r>
      <w:r w:rsidR="008F115D">
        <w:rPr>
          <w:i/>
          <w:iCs/>
        </w:rPr>
        <w:t>.’</w:t>
      </w:r>
      <w:r w:rsidR="00CA118F">
        <w:t xml:space="preserve"> </w:t>
      </w:r>
      <w:r w:rsidR="003E53CD">
        <w:t>However, in some jurisdictions, direct marketing materials can still be received up to 5</w:t>
      </w:r>
      <w:r w:rsidR="00E23C53">
        <w:t> </w:t>
      </w:r>
      <w:r w:rsidR="003E53CD">
        <w:t xml:space="preserve">days after </w:t>
      </w:r>
      <w:r w:rsidR="00B90964">
        <w:t xml:space="preserve">the request is received. </w:t>
      </w:r>
      <w:r w:rsidR="00005935">
        <w:t>Thus, implementation is incons</w:t>
      </w:r>
      <w:r w:rsidR="000D0EE3">
        <w:t xml:space="preserve">istent across jurisdictions and should be rectified. </w:t>
      </w:r>
    </w:p>
    <w:p w14:paraId="0DC73135" w14:textId="48EB6B05" w:rsidR="008E700F" w:rsidRPr="00843A16" w:rsidRDefault="008E700F" w:rsidP="00074143">
      <w:pPr>
        <w:pStyle w:val="Heading3"/>
      </w:pPr>
      <w:bookmarkStart w:id="117" w:name="_Toc233643303"/>
      <w:r w:rsidRPr="00843A16">
        <w:lastRenderedPageBreak/>
        <w:t xml:space="preserve">Account </w:t>
      </w:r>
      <w:r w:rsidR="008F115D">
        <w:t>c</w:t>
      </w:r>
      <w:r w:rsidR="008F115D" w:rsidRPr="00843A16">
        <w:t>losure</w:t>
      </w:r>
      <w:bookmarkEnd w:id="117"/>
    </w:p>
    <w:p w14:paraId="49F37751" w14:textId="77777777" w:rsidR="003B1B2C" w:rsidRPr="00B422D8" w:rsidRDefault="003B1B2C" w:rsidP="007A60DE">
      <w:pPr>
        <w:pStyle w:val="BoxHeading1"/>
      </w:pPr>
      <w:r w:rsidRPr="00843A16">
        <w:t>Key finding</w:t>
      </w:r>
      <w:r>
        <w:t>s</w:t>
      </w:r>
    </w:p>
    <w:p w14:paraId="7D982A14" w14:textId="0FB0664F" w:rsidR="003B1B2C" w:rsidRPr="00843A16" w:rsidRDefault="00A940FE" w:rsidP="003B1B2C">
      <w:pPr>
        <w:pStyle w:val="ListBullet"/>
        <w:numPr>
          <w:ilvl w:val="0"/>
          <w:numId w:val="0"/>
        </w:numPr>
        <w:shd w:val="clear" w:color="auto" w:fill="F2F2F2" w:themeFill="background1" w:themeFillShade="F2"/>
      </w:pPr>
      <w:r>
        <w:t xml:space="preserve">There is a lack of national consistency in the length of time </w:t>
      </w:r>
      <w:r w:rsidR="00C068C0">
        <w:t xml:space="preserve">WSPs </w:t>
      </w:r>
      <w:proofErr w:type="gramStart"/>
      <w:r w:rsidR="00C068C0">
        <w:t xml:space="preserve">have </w:t>
      </w:r>
      <w:r w:rsidR="00FE7665">
        <w:t>to</w:t>
      </w:r>
      <w:proofErr w:type="gramEnd"/>
      <w:r w:rsidR="00FE7665">
        <w:t xml:space="preserve"> </w:t>
      </w:r>
      <w:r w:rsidR="00CF5785">
        <w:t xml:space="preserve">stop sending direct marketing material to consumers </w:t>
      </w:r>
      <w:r w:rsidR="00FE7665">
        <w:t xml:space="preserve">after </w:t>
      </w:r>
      <w:r w:rsidR="001F341B">
        <w:t xml:space="preserve">they receive the </w:t>
      </w:r>
      <w:r w:rsidR="00F77C37">
        <w:t xml:space="preserve">unsubscribe </w:t>
      </w:r>
      <w:r w:rsidR="001F341B">
        <w:t xml:space="preserve">request from </w:t>
      </w:r>
      <w:r w:rsidR="004B5018">
        <w:t xml:space="preserve">consumers. </w:t>
      </w:r>
      <w:r w:rsidR="008848CA">
        <w:t>Regulators and c</w:t>
      </w:r>
      <w:r w:rsidR="003B1B2C" w:rsidRPr="00843A16">
        <w:t xml:space="preserve">onsumers </w:t>
      </w:r>
      <w:r w:rsidR="003B1B2C">
        <w:t xml:space="preserve">reported </w:t>
      </w:r>
      <w:r w:rsidR="00CE253A">
        <w:t>W</w:t>
      </w:r>
      <w:r w:rsidR="00F903FC">
        <w:t>SP</w:t>
      </w:r>
      <w:r w:rsidR="00CE253A">
        <w:t xml:space="preserve">s continued to send </w:t>
      </w:r>
      <w:r w:rsidR="00051B34">
        <w:t xml:space="preserve">direct marketing materials </w:t>
      </w:r>
      <w:r w:rsidR="00CE253A">
        <w:t xml:space="preserve">to consumers </w:t>
      </w:r>
      <w:r w:rsidR="00051B34">
        <w:t>after they had closed their account</w:t>
      </w:r>
      <w:r w:rsidR="000E59CA">
        <w:t xml:space="preserve"> and that </w:t>
      </w:r>
      <w:r w:rsidR="009C5181">
        <w:t xml:space="preserve">consumers </w:t>
      </w:r>
      <w:r w:rsidR="000E59CA">
        <w:t xml:space="preserve">could easily re-open their account. </w:t>
      </w:r>
      <w:r w:rsidR="00084E46">
        <w:t xml:space="preserve">Consumers </w:t>
      </w:r>
      <w:r w:rsidR="000E59CA">
        <w:t xml:space="preserve">also </w:t>
      </w:r>
      <w:r w:rsidR="00486DC6">
        <w:t xml:space="preserve">reported </w:t>
      </w:r>
      <w:r w:rsidR="003B1B2C">
        <w:t>experienc</w:t>
      </w:r>
      <w:r w:rsidR="00486DC6">
        <w:t>ing</w:t>
      </w:r>
      <w:r w:rsidR="003B1B2C">
        <w:t xml:space="preserve"> confusion </w:t>
      </w:r>
      <w:r w:rsidR="003B1B2C" w:rsidRPr="00843A16">
        <w:t xml:space="preserve">around account closure, account suspension, self-exclusion and the </w:t>
      </w:r>
      <w:r w:rsidR="003B1B2C">
        <w:t>‘</w:t>
      </w:r>
      <w:r w:rsidR="003B1B2C" w:rsidRPr="00843A16">
        <w:t>tak</w:t>
      </w:r>
      <w:r w:rsidR="003B1B2C">
        <w:t>e</w:t>
      </w:r>
      <w:r w:rsidR="003B1B2C" w:rsidRPr="00843A16">
        <w:t>-a-break</w:t>
      </w:r>
      <w:r w:rsidR="003B1B2C">
        <w:t>’</w:t>
      </w:r>
      <w:r w:rsidR="003B1B2C" w:rsidRPr="00843A16">
        <w:t xml:space="preserve"> consumer protection tools offered by WSPs. </w:t>
      </w:r>
    </w:p>
    <w:p w14:paraId="376F3F88" w14:textId="3B79F8D6" w:rsidR="008F115D" w:rsidRDefault="008F115D" w:rsidP="007A60DE">
      <w:pPr>
        <w:pStyle w:val="BoxHeading2"/>
      </w:pPr>
      <w:r>
        <w:t>Recommendations</w:t>
      </w:r>
    </w:p>
    <w:p w14:paraId="7DA3A21A" w14:textId="7CA9541D" w:rsidR="004209F9" w:rsidRPr="00ED100A" w:rsidRDefault="003B1B2C" w:rsidP="000E638B">
      <w:pPr>
        <w:pStyle w:val="BoxBulletList"/>
        <w:rPr>
          <w:color w:val="005BA3"/>
        </w:rPr>
      </w:pPr>
      <w:r w:rsidRPr="00ED100A">
        <w:rPr>
          <w:b/>
          <w:bCs/>
          <w:color w:val="005BA3"/>
        </w:rPr>
        <w:t xml:space="preserve">Recommendation </w:t>
      </w:r>
      <w:r w:rsidR="004209F9" w:rsidRPr="00ED100A">
        <w:rPr>
          <w:b/>
          <w:bCs/>
          <w:color w:val="005BA3"/>
        </w:rPr>
        <w:t>4a</w:t>
      </w:r>
      <w:r w:rsidR="004209F9" w:rsidRPr="00ED100A">
        <w:rPr>
          <w:color w:val="005BA3"/>
        </w:rPr>
        <w:t xml:space="preserve">: </w:t>
      </w:r>
      <w:r w:rsidR="00ED100A" w:rsidRPr="00FF09E1">
        <w:rPr>
          <w:rFonts w:eastAsia="Arial"/>
          <w:color w:val="00437A" w:themeColor="accent4" w:themeShade="BF"/>
        </w:rPr>
        <w:t>(</w:t>
      </w:r>
      <w:r w:rsidR="00ED100A" w:rsidRPr="00F94966">
        <w:rPr>
          <w:rFonts w:ascii="Bauhaus 93" w:eastAsia="Arial" w:hAnsi="Bauhaus 93"/>
          <w:color w:val="0070C0"/>
        </w:rPr>
        <w:t>R</w:t>
      </w:r>
      <w:r w:rsidR="00ED100A" w:rsidRPr="00FF09E1">
        <w:rPr>
          <w:rFonts w:eastAsia="Arial"/>
          <w:color w:val="00437A" w:themeColor="accent4" w:themeShade="BF"/>
        </w:rPr>
        <w:t>)</w:t>
      </w:r>
      <w:r w:rsidR="00ED100A">
        <w:rPr>
          <w:rFonts w:eastAsia="Arial"/>
          <w:color w:val="00437A" w:themeColor="accent4" w:themeShade="BF"/>
        </w:rPr>
        <w:t xml:space="preserve"> </w:t>
      </w:r>
      <w:r w:rsidR="004209F9" w:rsidRPr="00ED100A">
        <w:rPr>
          <w:color w:val="005BA3"/>
        </w:rPr>
        <w:t xml:space="preserve">State and territory policy makers </w:t>
      </w:r>
      <w:r w:rsidR="006A3BBF" w:rsidRPr="00ED100A">
        <w:rPr>
          <w:color w:val="005BA3"/>
        </w:rPr>
        <w:t xml:space="preserve">should adopt a </w:t>
      </w:r>
      <w:r w:rsidR="00497682" w:rsidRPr="00ED100A">
        <w:rPr>
          <w:color w:val="005BA3"/>
        </w:rPr>
        <w:t xml:space="preserve">nationally consistent </w:t>
      </w:r>
      <w:r w:rsidR="006A3BBF" w:rsidRPr="00ED100A">
        <w:rPr>
          <w:color w:val="005BA3"/>
        </w:rPr>
        <w:t>model</w:t>
      </w:r>
      <w:r w:rsidR="005E3FA3" w:rsidRPr="00ED100A">
        <w:rPr>
          <w:color w:val="005BA3"/>
        </w:rPr>
        <w:t xml:space="preserve"> of account </w:t>
      </w:r>
      <w:r w:rsidR="00497682" w:rsidRPr="00ED100A">
        <w:rPr>
          <w:color w:val="005BA3"/>
        </w:rPr>
        <w:t xml:space="preserve">closure </w:t>
      </w:r>
      <w:r w:rsidR="00023BA5" w:rsidRPr="00ED100A">
        <w:rPr>
          <w:color w:val="005BA3"/>
        </w:rPr>
        <w:t xml:space="preserve">where the account is completely closed and not easily recoverable and that this </w:t>
      </w:r>
      <w:r w:rsidR="001E2112">
        <w:rPr>
          <w:color w:val="005BA3"/>
        </w:rPr>
        <w:t xml:space="preserve">is </w:t>
      </w:r>
      <w:r w:rsidR="00023BA5" w:rsidRPr="00ED100A">
        <w:rPr>
          <w:color w:val="005BA3"/>
        </w:rPr>
        <w:t>actioned by WSPs as soon as reasonably practicable, with a consistent maximum time</w:t>
      </w:r>
      <w:r w:rsidR="00F903FC" w:rsidRPr="00ED100A">
        <w:rPr>
          <w:color w:val="005BA3"/>
        </w:rPr>
        <w:t xml:space="preserve"> </w:t>
      </w:r>
      <w:r w:rsidR="00023BA5" w:rsidRPr="00ED100A">
        <w:rPr>
          <w:color w:val="005BA3"/>
        </w:rPr>
        <w:t>frame to accommodate processing.</w:t>
      </w:r>
      <w:r w:rsidR="001D3817" w:rsidRPr="00ED100A" w:rsidDel="00B3731C">
        <w:rPr>
          <w:color w:val="005BA3"/>
        </w:rPr>
        <w:t xml:space="preserve"> </w:t>
      </w:r>
    </w:p>
    <w:p w14:paraId="519348A9" w14:textId="1B4B243B" w:rsidR="003B1B2C" w:rsidRPr="00ED100A" w:rsidRDefault="003B1B2C" w:rsidP="000E638B">
      <w:pPr>
        <w:pStyle w:val="BoxBulletList"/>
        <w:rPr>
          <w:color w:val="005BA3"/>
        </w:rPr>
      </w:pPr>
      <w:r w:rsidRPr="00ED100A">
        <w:rPr>
          <w:b/>
          <w:bCs/>
          <w:color w:val="005BA3"/>
        </w:rPr>
        <w:t>Recommendation 4</w:t>
      </w:r>
      <w:r w:rsidR="004209F9" w:rsidRPr="00ED100A">
        <w:rPr>
          <w:b/>
          <w:bCs/>
          <w:color w:val="005BA3"/>
        </w:rPr>
        <w:t>b</w:t>
      </w:r>
      <w:r w:rsidRPr="00ED100A">
        <w:rPr>
          <w:color w:val="005BA3"/>
        </w:rPr>
        <w:t xml:space="preserve">: </w:t>
      </w:r>
      <w:r w:rsidR="00ED100A" w:rsidRPr="00FF09E1">
        <w:rPr>
          <w:rFonts w:eastAsia="Arial"/>
          <w:color w:val="00437A" w:themeColor="accent4" w:themeShade="BF"/>
        </w:rPr>
        <w:t>(</w:t>
      </w:r>
      <w:r w:rsidR="00ED100A" w:rsidRPr="00F94966">
        <w:rPr>
          <w:rFonts w:ascii="Bauhaus 93" w:eastAsia="Arial" w:hAnsi="Bauhaus 93"/>
          <w:color w:val="0070C0"/>
        </w:rPr>
        <w:t>R</w:t>
      </w:r>
      <w:r w:rsidR="00ED100A" w:rsidRPr="00FF09E1">
        <w:rPr>
          <w:rFonts w:eastAsia="Arial"/>
          <w:color w:val="00437A" w:themeColor="accent4" w:themeShade="BF"/>
        </w:rPr>
        <w:t>)</w:t>
      </w:r>
      <w:r w:rsidR="00ED100A">
        <w:rPr>
          <w:rFonts w:eastAsia="Arial"/>
          <w:color w:val="00437A" w:themeColor="accent4" w:themeShade="BF"/>
        </w:rPr>
        <w:t xml:space="preserve"> </w:t>
      </w:r>
      <w:r w:rsidRPr="00ED100A">
        <w:rPr>
          <w:color w:val="005BA3"/>
        </w:rPr>
        <w:t>State and territory policy makers should agree to provid</w:t>
      </w:r>
      <w:r w:rsidR="00A80D3C">
        <w:rPr>
          <w:color w:val="005BA3"/>
        </w:rPr>
        <w:t>e</w:t>
      </w:r>
      <w:r w:rsidRPr="00ED100A">
        <w:rPr>
          <w:color w:val="005BA3"/>
        </w:rPr>
        <w:t xml:space="preserve"> consistent information to customers about the differences between </w:t>
      </w:r>
      <w:r w:rsidRPr="00ED100A">
        <w:rPr>
          <w:rFonts w:eastAsia="Arial"/>
          <w:color w:val="005BA3"/>
        </w:rPr>
        <w:t>account closure, account suspension, self-exclusion and taking a break.</w:t>
      </w:r>
    </w:p>
    <w:p w14:paraId="4C90C24B" w14:textId="699A96D4" w:rsidR="004624BC" w:rsidRPr="00843A16" w:rsidRDefault="004624BC" w:rsidP="004624BC">
      <w:pPr>
        <w:pStyle w:val="BodyText"/>
      </w:pPr>
      <w:r w:rsidRPr="00843A16">
        <w:t xml:space="preserve">This measure mandates that the process for closing an online wagering account </w:t>
      </w:r>
      <w:r w:rsidR="0016049A">
        <w:t>be</w:t>
      </w:r>
      <w:r w:rsidR="0016049A" w:rsidRPr="00843A16">
        <w:t xml:space="preserve"> </w:t>
      </w:r>
      <w:r w:rsidRPr="00843A16">
        <w:t xml:space="preserve">easy, readily available and accessible. This measure also ensures that account closures are immediate, with exceptions around pending bets. WSPs are unable to encourage or induce a customer to keep their account open during the closure process. Operators are also </w:t>
      </w:r>
      <w:r w:rsidR="007B2929">
        <w:t>prohibited</w:t>
      </w:r>
      <w:r w:rsidR="007B2929" w:rsidRPr="00843A16">
        <w:t xml:space="preserve"> </w:t>
      </w:r>
      <w:r w:rsidRPr="00843A16">
        <w:t xml:space="preserve">from direct marketing to individuals after receiving a request to close an account (DSS, 2018). </w:t>
      </w:r>
      <w:r w:rsidR="008F7EB2">
        <w:t>However</w:t>
      </w:r>
      <w:r w:rsidR="00040600">
        <w:t>,</w:t>
      </w:r>
      <w:r w:rsidR="008F7EB2">
        <w:t xml:space="preserve"> </w:t>
      </w:r>
      <w:r w:rsidR="008C7675">
        <w:t xml:space="preserve">some inconsistencies </w:t>
      </w:r>
      <w:r w:rsidR="008F7EB2">
        <w:t xml:space="preserve">between jurisdictions </w:t>
      </w:r>
      <w:r w:rsidR="008C7675">
        <w:t>were identified with</w:t>
      </w:r>
      <w:r w:rsidR="008F7EB2">
        <w:t xml:space="preserve"> the length of time after account closure where </w:t>
      </w:r>
      <w:r w:rsidR="008764FC">
        <w:t xml:space="preserve">direct marketing </w:t>
      </w:r>
      <w:r w:rsidR="006D4C54">
        <w:t>is still permitted</w:t>
      </w:r>
      <w:r w:rsidR="008C7675">
        <w:t xml:space="preserve"> </w:t>
      </w:r>
      <w:r w:rsidR="00644396">
        <w:t>(</w:t>
      </w:r>
      <w:r w:rsidR="0016049A">
        <w:t>see</w:t>
      </w:r>
      <w:r w:rsidR="0016049A" w:rsidRPr="00CF6D5E">
        <w:rPr>
          <w:b/>
        </w:rPr>
        <w:t xml:space="preserve"> </w:t>
      </w:r>
      <w:hyperlink w:anchor="AppendixETable11" w:history="1">
        <w:r w:rsidR="005D4865">
          <w:rPr>
            <w:rStyle w:val="Hyperlink"/>
            <w:b/>
            <w:bCs/>
          </w:rPr>
          <w:t>Table 11 of Appendix E</w:t>
        </w:r>
      </w:hyperlink>
      <w:r w:rsidR="00D620E7">
        <w:t>)</w:t>
      </w:r>
      <w:r w:rsidRPr="00843A16">
        <w:t>. See</w:t>
      </w:r>
      <w:r w:rsidR="00137587">
        <w:t xml:space="preserve"> </w:t>
      </w:r>
      <w:hyperlink w:anchor="Table1" w:history="1">
        <w:r w:rsidR="00137587" w:rsidRPr="00137587">
          <w:rPr>
            <w:rStyle w:val="Hyperlink"/>
            <w:b/>
            <w:bCs/>
          </w:rPr>
          <w:t>Table 1</w:t>
        </w:r>
      </w:hyperlink>
      <w:r w:rsidRPr="00843A16">
        <w:t xml:space="preserve"> for an overview of this measure as outlined in the NPS.</w:t>
      </w:r>
    </w:p>
    <w:p w14:paraId="210A3CC2" w14:textId="77777777" w:rsidR="00744BA2" w:rsidRPr="00843A16" w:rsidRDefault="008E700F" w:rsidP="00074143">
      <w:pPr>
        <w:pStyle w:val="Heading4"/>
      </w:pPr>
      <w:r w:rsidRPr="00843A16">
        <w:t>Development and implementation</w:t>
      </w:r>
    </w:p>
    <w:p w14:paraId="3EE9E122" w14:textId="334CCEDC" w:rsidR="005717D3" w:rsidRDefault="005717D3" w:rsidP="005717D3">
      <w:pPr>
        <w:pStyle w:val="BodyText"/>
      </w:pPr>
      <w:r>
        <w:t xml:space="preserve">The NPS’s principle (numbered </w:t>
      </w:r>
      <w:r w:rsidR="006914CC">
        <w:t>24</w:t>
      </w:r>
      <w:r>
        <w:t xml:space="preserve"> </w:t>
      </w:r>
      <w:r w:rsidR="002821A1">
        <w:t xml:space="preserve">in </w:t>
      </w:r>
      <w:r>
        <w:t xml:space="preserve">this report) requires that </w:t>
      </w:r>
      <w:r w:rsidR="00602179">
        <w:t>‘</w:t>
      </w:r>
      <w:r w:rsidR="002D0E03" w:rsidRPr="00CF6D5E">
        <w:rPr>
          <w:i/>
        </w:rPr>
        <w:t xml:space="preserve">An interactive wagering service provider must not directly promote or market to a customer following the closure of the customer’s </w:t>
      </w:r>
      <w:r w:rsidR="002D0E03" w:rsidRPr="00CF6D5E">
        <w:rPr>
          <w:i/>
          <w:iCs/>
        </w:rPr>
        <w:t>account</w:t>
      </w:r>
      <w:r w:rsidR="00602179">
        <w:rPr>
          <w:i/>
          <w:iCs/>
        </w:rPr>
        <w:t>.’</w:t>
      </w:r>
      <w:r>
        <w:t xml:space="preserve"> However, in some jurisdictions, direct marketing materials can still be received up to 5 days after the request </w:t>
      </w:r>
      <w:r w:rsidR="00BD6692">
        <w:t xml:space="preserve">to close the account </w:t>
      </w:r>
      <w:r>
        <w:t xml:space="preserve">is received. Thus, implementation is inconsistent across jurisdictions and should be rectified. </w:t>
      </w:r>
    </w:p>
    <w:p w14:paraId="014E426E" w14:textId="73903DB5" w:rsidR="008F48D8" w:rsidRPr="00843A16" w:rsidRDefault="004C74FC" w:rsidP="008F48D8">
      <w:pPr>
        <w:pStyle w:val="ListBullet"/>
        <w:numPr>
          <w:ilvl w:val="0"/>
          <w:numId w:val="0"/>
        </w:numPr>
      </w:pPr>
      <w:r w:rsidRPr="00843A16">
        <w:t>In addition to closing accounts</w:t>
      </w:r>
      <w:r w:rsidR="00D56F91" w:rsidRPr="00843A16">
        <w:t xml:space="preserve">, other options </w:t>
      </w:r>
      <w:r w:rsidR="0062605F">
        <w:t>for</w:t>
      </w:r>
      <w:r w:rsidR="0062605F" w:rsidRPr="00843A16">
        <w:t xml:space="preserve"> </w:t>
      </w:r>
      <w:r w:rsidR="00D56F91" w:rsidRPr="00843A16">
        <w:t xml:space="preserve">customers to </w:t>
      </w:r>
      <w:r w:rsidR="00FA530C" w:rsidRPr="00843A16">
        <w:t xml:space="preserve">cease </w:t>
      </w:r>
      <w:r w:rsidR="0062605F">
        <w:t>or pause</w:t>
      </w:r>
      <w:r w:rsidR="00FA530C" w:rsidRPr="00843A16">
        <w:t xml:space="preserve"> their betting is by registering with </w:t>
      </w:r>
      <w:r w:rsidR="00416E60">
        <w:t>the NSER</w:t>
      </w:r>
      <w:r w:rsidR="00416E60" w:rsidRPr="00843A16">
        <w:t xml:space="preserve"> </w:t>
      </w:r>
      <w:r w:rsidR="001F2925" w:rsidRPr="00843A16">
        <w:t>or by selecting the ‘</w:t>
      </w:r>
      <w:r w:rsidR="00F9746A">
        <w:t>t</w:t>
      </w:r>
      <w:r w:rsidR="001F2925" w:rsidRPr="00843A16">
        <w:t xml:space="preserve">ake a break’ feature </w:t>
      </w:r>
      <w:r w:rsidR="0045784C" w:rsidRPr="00843A16">
        <w:t xml:space="preserve">offered by WSPs. </w:t>
      </w:r>
      <w:r w:rsidR="009170B8">
        <w:t>The</w:t>
      </w:r>
      <w:r w:rsidR="009170B8" w:rsidRPr="00843A16">
        <w:t xml:space="preserve"> </w:t>
      </w:r>
      <w:r w:rsidR="0045784C" w:rsidRPr="00843A16">
        <w:t xml:space="preserve">latter feature </w:t>
      </w:r>
      <w:r w:rsidR="004E46A7" w:rsidRPr="00843A16">
        <w:t>must be offered by WSPs that are licen</w:t>
      </w:r>
      <w:r w:rsidR="0047785B">
        <w:t>s</w:t>
      </w:r>
      <w:r w:rsidR="004E46A7" w:rsidRPr="00843A16">
        <w:t>ed in the NT</w:t>
      </w:r>
      <w:r w:rsidR="00AE75BD">
        <w:t xml:space="preserve"> (</w:t>
      </w:r>
      <w:r w:rsidR="00AE75BD" w:rsidRPr="00CF6D5E">
        <w:rPr>
          <w:i/>
        </w:rPr>
        <w:t>Code of Practice for Responsible Service of Online Gambling 2019</w:t>
      </w:r>
      <w:r w:rsidR="00AE75BD" w:rsidRPr="00AE75BD">
        <w:t xml:space="preserve"> (NT</w:t>
      </w:r>
      <w:r w:rsidR="00A70003">
        <w:t>))</w:t>
      </w:r>
      <w:r w:rsidR="00E42973" w:rsidRPr="00843A16">
        <w:t>.</w:t>
      </w:r>
    </w:p>
    <w:p w14:paraId="41B9D489" w14:textId="33AAEB2E" w:rsidR="00744BA2" w:rsidRPr="00843A16" w:rsidRDefault="008E700F" w:rsidP="00744BA2">
      <w:pPr>
        <w:pStyle w:val="BodyText"/>
      </w:pPr>
      <w:r w:rsidRPr="00843A16">
        <w:t>Several interviewed WSPs discussed their use of different tools such as ‘deactivation’ and ‘take a break’</w:t>
      </w:r>
      <w:r w:rsidR="00DC08C2" w:rsidRPr="00843A16">
        <w:t xml:space="preserve">. One </w:t>
      </w:r>
      <w:r w:rsidRPr="00843A16">
        <w:t xml:space="preserve">WSP referred to all these tools as ‘account closure </w:t>
      </w:r>
      <w:proofErr w:type="gramStart"/>
      <w:r w:rsidRPr="00843A16">
        <w:t>options’</w:t>
      </w:r>
      <w:proofErr w:type="gramEnd"/>
      <w:r w:rsidR="00DC08C2" w:rsidRPr="00843A16">
        <w:t xml:space="preserve">. </w:t>
      </w:r>
      <w:r w:rsidR="00962F0C" w:rsidRPr="00843A16">
        <w:t>Interviewed regulators reported inconsistencies between how operators present these options.</w:t>
      </w:r>
    </w:p>
    <w:p w14:paraId="712BED25" w14:textId="44311C05" w:rsidR="0076056E" w:rsidRDefault="008E700F" w:rsidP="002F3966">
      <w:pPr>
        <w:pStyle w:val="ListBullet"/>
        <w:numPr>
          <w:ilvl w:val="0"/>
          <w:numId w:val="0"/>
        </w:numPr>
        <w:spacing w:before="240" w:after="240"/>
        <w:ind w:left="425"/>
        <w:rPr>
          <w:rFonts w:eastAsiaTheme="minorEastAsia"/>
          <w:iCs/>
          <w:color w:val="B00051"/>
          <w:lang w:bidi="ar-SA"/>
        </w:rPr>
      </w:pPr>
      <w:r w:rsidRPr="00843A16">
        <w:rPr>
          <w:rFonts w:eastAsiaTheme="minorEastAsia"/>
          <w:iCs/>
          <w:color w:val="B00051"/>
          <w:lang w:bidi="ar-SA"/>
        </w:rPr>
        <w:t xml:space="preserve">What </w:t>
      </w:r>
      <w:r w:rsidR="001E3CB8" w:rsidRPr="00843A16">
        <w:rPr>
          <w:rFonts w:eastAsiaTheme="minorEastAsia"/>
          <w:iCs/>
          <w:color w:val="B00051"/>
          <w:lang w:bidi="ar-SA"/>
        </w:rPr>
        <w:t>we</w:t>
      </w:r>
      <w:r w:rsidR="001E3CB8">
        <w:rPr>
          <w:rFonts w:eastAsiaTheme="minorEastAsia"/>
          <w:iCs/>
          <w:color w:val="B00051"/>
          <w:lang w:bidi="ar-SA"/>
        </w:rPr>
        <w:t>’</w:t>
      </w:r>
      <w:r w:rsidR="001E3CB8" w:rsidRPr="00843A16">
        <w:rPr>
          <w:rFonts w:eastAsiaTheme="minorEastAsia"/>
          <w:iCs/>
          <w:color w:val="B00051"/>
          <w:lang w:bidi="ar-SA"/>
        </w:rPr>
        <w:t xml:space="preserve">re </w:t>
      </w:r>
      <w:r w:rsidRPr="00843A16">
        <w:rPr>
          <w:rFonts w:eastAsiaTheme="minorEastAsia"/>
          <w:iCs/>
          <w:color w:val="B00051"/>
          <w:lang w:bidi="ar-SA"/>
        </w:rPr>
        <w:t xml:space="preserve">finding is mostly with words like deactivation and self-exclusion, closure, take a break. All these words broadly, </w:t>
      </w:r>
      <w:r w:rsidR="001E3CB8" w:rsidRPr="00843A16">
        <w:rPr>
          <w:rFonts w:eastAsiaTheme="minorEastAsia"/>
          <w:iCs/>
          <w:color w:val="B00051"/>
          <w:lang w:bidi="ar-SA"/>
        </w:rPr>
        <w:t>there</w:t>
      </w:r>
      <w:r w:rsidR="001E3CB8">
        <w:rPr>
          <w:rFonts w:eastAsiaTheme="minorEastAsia"/>
          <w:iCs/>
          <w:color w:val="B00051"/>
          <w:lang w:bidi="ar-SA"/>
        </w:rPr>
        <w:t>’</w:t>
      </w:r>
      <w:r w:rsidR="001E3CB8" w:rsidRPr="00843A16">
        <w:rPr>
          <w:rFonts w:eastAsiaTheme="minorEastAsia"/>
          <w:iCs/>
          <w:color w:val="B00051"/>
          <w:lang w:bidi="ar-SA"/>
        </w:rPr>
        <w:t xml:space="preserve">s </w:t>
      </w:r>
      <w:r w:rsidRPr="00843A16">
        <w:rPr>
          <w:rFonts w:eastAsiaTheme="minorEastAsia"/>
          <w:iCs/>
          <w:color w:val="B00051"/>
          <w:lang w:bidi="ar-SA"/>
        </w:rPr>
        <w:t xml:space="preserve">no definition </w:t>
      </w:r>
      <w:r w:rsidR="001E3CB8" w:rsidRPr="00843A16">
        <w:rPr>
          <w:rFonts w:eastAsiaTheme="minorEastAsia"/>
          <w:iCs/>
          <w:color w:val="B00051"/>
          <w:lang w:bidi="ar-SA"/>
        </w:rPr>
        <w:t>that</w:t>
      </w:r>
      <w:r w:rsidR="001E3CB8">
        <w:rPr>
          <w:rFonts w:eastAsiaTheme="minorEastAsia"/>
          <w:iCs/>
          <w:color w:val="B00051"/>
          <w:lang w:bidi="ar-SA"/>
        </w:rPr>
        <w:t>’</w:t>
      </w:r>
      <w:r w:rsidR="001E3CB8" w:rsidRPr="00843A16">
        <w:rPr>
          <w:rFonts w:eastAsiaTheme="minorEastAsia"/>
          <w:iCs/>
          <w:color w:val="B00051"/>
          <w:lang w:bidi="ar-SA"/>
        </w:rPr>
        <w:t xml:space="preserve">s </w:t>
      </w:r>
      <w:r w:rsidRPr="00843A16">
        <w:rPr>
          <w:rFonts w:eastAsiaTheme="minorEastAsia"/>
          <w:iCs/>
          <w:color w:val="B00051"/>
          <w:lang w:bidi="ar-SA"/>
        </w:rPr>
        <w:t xml:space="preserve">the standard. So, we find that one operator might have ‘deactivate’ as ‘actually close’, but another operator will have ‘deactivate’ as ‘take a break’. So, </w:t>
      </w:r>
      <w:r w:rsidR="00A92F42" w:rsidRPr="00843A16">
        <w:rPr>
          <w:rFonts w:eastAsiaTheme="minorEastAsia"/>
          <w:iCs/>
          <w:color w:val="B00051"/>
          <w:lang w:bidi="ar-SA"/>
        </w:rPr>
        <w:t>there</w:t>
      </w:r>
      <w:r w:rsidR="00A92F42">
        <w:rPr>
          <w:rFonts w:eastAsiaTheme="minorEastAsia"/>
          <w:iCs/>
          <w:color w:val="B00051"/>
          <w:lang w:bidi="ar-SA"/>
        </w:rPr>
        <w:t>’</w:t>
      </w:r>
      <w:r w:rsidR="00A92F42" w:rsidRPr="00843A16">
        <w:rPr>
          <w:rFonts w:eastAsiaTheme="minorEastAsia"/>
          <w:iCs/>
          <w:color w:val="B00051"/>
          <w:lang w:bidi="ar-SA"/>
        </w:rPr>
        <w:t xml:space="preserve">s </w:t>
      </w:r>
      <w:r w:rsidRPr="00843A16">
        <w:rPr>
          <w:rFonts w:eastAsiaTheme="minorEastAsia"/>
          <w:iCs/>
          <w:color w:val="B00051"/>
          <w:lang w:bidi="ar-SA"/>
        </w:rPr>
        <w:t>no</w:t>
      </w:r>
      <w:r w:rsidR="00A92F42">
        <w:rPr>
          <w:rFonts w:eastAsiaTheme="minorEastAsia"/>
          <w:iCs/>
          <w:color w:val="B00051"/>
          <w:lang w:bidi="ar-SA"/>
        </w:rPr>
        <w:t>,</w:t>
      </w:r>
      <w:r w:rsidRPr="00843A16">
        <w:rPr>
          <w:rFonts w:eastAsiaTheme="minorEastAsia"/>
          <w:iCs/>
          <w:color w:val="B00051"/>
          <w:lang w:bidi="ar-SA"/>
        </w:rPr>
        <w:t xml:space="preserve"> like</w:t>
      </w:r>
      <w:r w:rsidR="00A92F42">
        <w:rPr>
          <w:rFonts w:eastAsiaTheme="minorEastAsia"/>
          <w:iCs/>
          <w:color w:val="B00051"/>
          <w:lang w:bidi="ar-SA"/>
        </w:rPr>
        <w:t>,</w:t>
      </w:r>
      <w:r w:rsidRPr="00843A16">
        <w:rPr>
          <w:rFonts w:eastAsiaTheme="minorEastAsia"/>
          <w:iCs/>
          <w:color w:val="B00051"/>
          <w:lang w:bidi="ar-SA"/>
        </w:rPr>
        <w:t xml:space="preserve"> a set standard and what </w:t>
      </w:r>
      <w:r w:rsidR="00A92F42" w:rsidRPr="00843A16">
        <w:rPr>
          <w:rFonts w:eastAsiaTheme="minorEastAsia"/>
          <w:iCs/>
          <w:color w:val="B00051"/>
          <w:lang w:bidi="ar-SA"/>
        </w:rPr>
        <w:t>we</w:t>
      </w:r>
      <w:r w:rsidR="00A92F42">
        <w:rPr>
          <w:rFonts w:eastAsiaTheme="minorEastAsia"/>
          <w:iCs/>
          <w:color w:val="B00051"/>
          <w:lang w:bidi="ar-SA"/>
        </w:rPr>
        <w:t>’</w:t>
      </w:r>
      <w:r w:rsidR="00A92F42" w:rsidRPr="00843A16">
        <w:rPr>
          <w:rFonts w:eastAsiaTheme="minorEastAsia"/>
          <w:iCs/>
          <w:color w:val="B00051"/>
          <w:lang w:bidi="ar-SA"/>
        </w:rPr>
        <w:t xml:space="preserve">re </w:t>
      </w:r>
      <w:r w:rsidRPr="00843A16">
        <w:rPr>
          <w:rFonts w:eastAsiaTheme="minorEastAsia"/>
          <w:iCs/>
          <w:color w:val="B00051"/>
          <w:lang w:bidi="ar-SA"/>
        </w:rPr>
        <w:t xml:space="preserve">seeing </w:t>
      </w:r>
      <w:r w:rsidRPr="00843A16">
        <w:rPr>
          <w:rFonts w:eastAsiaTheme="minorEastAsia"/>
          <w:iCs/>
          <w:color w:val="B00051"/>
          <w:lang w:bidi="ar-SA"/>
        </w:rPr>
        <w:lastRenderedPageBreak/>
        <w:t xml:space="preserve">with industry, </w:t>
      </w:r>
      <w:r w:rsidR="00A92F42" w:rsidRPr="00843A16">
        <w:rPr>
          <w:rFonts w:eastAsiaTheme="minorEastAsia"/>
          <w:iCs/>
          <w:color w:val="B00051"/>
          <w:lang w:bidi="ar-SA"/>
        </w:rPr>
        <w:t>they</w:t>
      </w:r>
      <w:r w:rsidR="00A92F42">
        <w:rPr>
          <w:rFonts w:eastAsiaTheme="minorEastAsia"/>
          <w:iCs/>
          <w:color w:val="B00051"/>
          <w:lang w:bidi="ar-SA"/>
        </w:rPr>
        <w:t>’</w:t>
      </w:r>
      <w:r w:rsidR="00A92F42" w:rsidRPr="00843A16">
        <w:rPr>
          <w:rFonts w:eastAsiaTheme="minorEastAsia"/>
          <w:iCs/>
          <w:color w:val="B00051"/>
          <w:lang w:bidi="ar-SA"/>
        </w:rPr>
        <w:t xml:space="preserve">ll </w:t>
      </w:r>
      <w:r w:rsidRPr="00843A16">
        <w:rPr>
          <w:rFonts w:eastAsiaTheme="minorEastAsia"/>
          <w:iCs/>
          <w:color w:val="B00051"/>
          <w:lang w:bidi="ar-SA"/>
        </w:rPr>
        <w:t xml:space="preserve">have all these different terminologies across big and small operators and </w:t>
      </w:r>
      <w:r w:rsidR="00A92F42" w:rsidRPr="00843A16">
        <w:rPr>
          <w:rFonts w:eastAsiaTheme="minorEastAsia"/>
          <w:iCs/>
          <w:color w:val="B00051"/>
          <w:lang w:bidi="ar-SA"/>
        </w:rPr>
        <w:t>there</w:t>
      </w:r>
      <w:r w:rsidR="00A92F42">
        <w:rPr>
          <w:rFonts w:eastAsiaTheme="minorEastAsia"/>
          <w:iCs/>
          <w:color w:val="B00051"/>
          <w:lang w:bidi="ar-SA"/>
        </w:rPr>
        <w:t>’</w:t>
      </w:r>
      <w:r w:rsidR="00A92F42" w:rsidRPr="00843A16">
        <w:rPr>
          <w:rFonts w:eastAsiaTheme="minorEastAsia"/>
          <w:iCs/>
          <w:color w:val="B00051"/>
          <w:lang w:bidi="ar-SA"/>
        </w:rPr>
        <w:t xml:space="preserve">s </w:t>
      </w:r>
      <w:r w:rsidRPr="00843A16">
        <w:rPr>
          <w:rFonts w:eastAsiaTheme="minorEastAsia"/>
          <w:iCs/>
          <w:color w:val="B00051"/>
          <w:lang w:bidi="ar-SA"/>
        </w:rPr>
        <w:t xml:space="preserve">no standard because everyone has their own interpretation of what these things </w:t>
      </w:r>
      <w:proofErr w:type="gramStart"/>
      <w:r w:rsidRPr="00843A16">
        <w:rPr>
          <w:rFonts w:eastAsiaTheme="minorEastAsia"/>
          <w:iCs/>
          <w:color w:val="B00051"/>
          <w:lang w:bidi="ar-SA"/>
        </w:rPr>
        <w:t>mean.</w:t>
      </w:r>
      <w:r w:rsidR="00A92F42">
        <w:rPr>
          <w:rFonts w:eastAsiaTheme="minorEastAsia"/>
          <w:iCs/>
          <w:color w:val="B00051"/>
          <w:lang w:bidi="ar-SA"/>
        </w:rPr>
        <w:t>–</w:t>
      </w:r>
      <w:proofErr w:type="gramEnd"/>
      <w:r w:rsidRPr="00843A16">
        <w:rPr>
          <w:rFonts w:eastAsiaTheme="minorEastAsia"/>
          <w:iCs/>
          <w:color w:val="B00051"/>
          <w:lang w:bidi="ar-SA"/>
        </w:rPr>
        <w:t xml:space="preserve"> </w:t>
      </w:r>
      <w:r w:rsidR="00A92F42">
        <w:rPr>
          <w:rFonts w:eastAsiaTheme="minorEastAsia"/>
          <w:iCs/>
          <w:color w:val="B00051"/>
          <w:lang w:bidi="ar-SA"/>
        </w:rPr>
        <w:t>(</w:t>
      </w:r>
      <w:r w:rsidRPr="00843A16">
        <w:rPr>
          <w:rFonts w:eastAsiaTheme="minorEastAsia"/>
          <w:iCs/>
          <w:color w:val="B00051"/>
          <w:lang w:bidi="ar-SA"/>
        </w:rPr>
        <w:t xml:space="preserve">Policy &amp; </w:t>
      </w:r>
      <w:r w:rsidR="00A92F42" w:rsidRPr="00843A16">
        <w:rPr>
          <w:rFonts w:eastAsiaTheme="minorEastAsia"/>
          <w:iCs/>
          <w:color w:val="B00051"/>
          <w:lang w:bidi="ar-SA"/>
        </w:rPr>
        <w:t>regulation stak</w:t>
      </w:r>
      <w:r w:rsidRPr="00843A16">
        <w:rPr>
          <w:rFonts w:eastAsiaTheme="minorEastAsia"/>
          <w:iCs/>
          <w:color w:val="B00051"/>
          <w:lang w:bidi="ar-SA"/>
        </w:rPr>
        <w:t xml:space="preserve">eholders, </w:t>
      </w:r>
      <w:r w:rsidR="00B95535">
        <w:rPr>
          <w:rFonts w:eastAsiaTheme="minorEastAsia"/>
          <w:iCs/>
          <w:color w:val="B00051"/>
          <w:lang w:bidi="ar-SA"/>
        </w:rPr>
        <w:t>s</w:t>
      </w:r>
      <w:r w:rsidR="00BB6B2C">
        <w:rPr>
          <w:rFonts w:eastAsiaTheme="minorEastAsia"/>
          <w:iCs/>
          <w:color w:val="B00051"/>
          <w:lang w:bidi="ar-SA"/>
        </w:rPr>
        <w:t>tate/territory government</w:t>
      </w:r>
      <w:r w:rsidR="00A92F42">
        <w:rPr>
          <w:rFonts w:eastAsiaTheme="minorEastAsia"/>
          <w:iCs/>
          <w:color w:val="B00051"/>
          <w:lang w:bidi="ar-SA"/>
        </w:rPr>
        <w:t>)</w:t>
      </w:r>
    </w:p>
    <w:p w14:paraId="694F707D" w14:textId="2349D83E" w:rsidR="006755E8" w:rsidRPr="00843A16" w:rsidRDefault="005C7244" w:rsidP="007A60DE">
      <w:pPr>
        <w:pStyle w:val="BodyText"/>
      </w:pPr>
      <w:r w:rsidRPr="00843A16">
        <w:t>Financial Counselling Australia</w:t>
      </w:r>
      <w:r w:rsidR="006D75D4" w:rsidRPr="00843A16">
        <w:t>’s</w:t>
      </w:r>
      <w:r w:rsidRPr="00843A16">
        <w:t xml:space="preserve"> (</w:t>
      </w:r>
      <w:r w:rsidR="008E700F" w:rsidRPr="00843A16">
        <w:t>FCA</w:t>
      </w:r>
      <w:r w:rsidR="006D75D4" w:rsidRPr="00843A16">
        <w:t>)</w:t>
      </w:r>
      <w:r w:rsidR="008E700F" w:rsidRPr="00843A16">
        <w:t xml:space="preserve"> submission to the</w:t>
      </w:r>
      <w:r w:rsidR="00A441E2" w:rsidRPr="00843A16">
        <w:t xml:space="preserve"> </w:t>
      </w:r>
      <w:r w:rsidR="00CD7667" w:rsidRPr="004A7145">
        <w:t xml:space="preserve">House of Representatives Standing Committee on Social Policy and Legal Affairs </w:t>
      </w:r>
      <w:r w:rsidR="00CD7667" w:rsidRPr="00D73D41">
        <w:rPr>
          <w:i/>
          <w:iCs/>
        </w:rPr>
        <w:t>You win some, you lose more</w:t>
      </w:r>
      <w:r w:rsidR="00D73D41">
        <w:rPr>
          <w:i/>
          <w:iCs/>
        </w:rPr>
        <w:t xml:space="preserve"> </w:t>
      </w:r>
      <w:r w:rsidR="00A441E2" w:rsidRPr="001C02BA">
        <w:rPr>
          <w:i/>
          <w:iCs/>
        </w:rPr>
        <w:t xml:space="preserve">Inquiry into online gambling and its impacts on those experiencing gambling harm </w:t>
      </w:r>
      <w:r w:rsidR="006024D9" w:rsidRPr="00843A16">
        <w:t>(</w:t>
      </w:r>
      <w:r w:rsidR="00DC63B7" w:rsidRPr="00843A16">
        <w:t>SPLA, 202</w:t>
      </w:r>
      <w:r w:rsidR="00E87926" w:rsidRPr="00843A16">
        <w:t>3</w:t>
      </w:r>
      <w:r w:rsidR="006024D9" w:rsidRPr="00843A16">
        <w:t>)</w:t>
      </w:r>
      <w:r w:rsidR="008E700F" w:rsidRPr="00843A16">
        <w:t xml:space="preserve"> found wagerers reported feeling confused about the differences between closing an account and placing themselves on self-exclusion registers. </w:t>
      </w:r>
      <w:r w:rsidR="00E14117" w:rsidRPr="00843A16">
        <w:t>The</w:t>
      </w:r>
      <w:r w:rsidR="00E14117">
        <w:t xml:space="preserve"> FCA</w:t>
      </w:r>
      <w:r w:rsidR="00E14117" w:rsidRPr="00843A16">
        <w:t xml:space="preserve"> </w:t>
      </w:r>
      <w:r w:rsidR="008E700F" w:rsidRPr="00843A16">
        <w:t xml:space="preserve">found that some wagerers believed they </w:t>
      </w:r>
      <w:r w:rsidR="006F1E5C">
        <w:t xml:space="preserve">had </w:t>
      </w:r>
      <w:r w:rsidR="008E700F" w:rsidRPr="00843A16">
        <w:t>closed their account and would be fully restricted from online wagering</w:t>
      </w:r>
      <w:r w:rsidR="006F1E5C">
        <w:t>;</w:t>
      </w:r>
      <w:r w:rsidR="006F1E5C" w:rsidRPr="00843A16">
        <w:t xml:space="preserve"> </w:t>
      </w:r>
      <w:r w:rsidR="008E700F" w:rsidRPr="00843A16">
        <w:t xml:space="preserve">however, they were able to simply reopen an account and continue wagering (FCA, 2023). </w:t>
      </w:r>
    </w:p>
    <w:p w14:paraId="573A5D88" w14:textId="7CD0BE7F" w:rsidR="00F0655A" w:rsidRPr="00843A16" w:rsidRDefault="00F0655A" w:rsidP="00C477E9">
      <w:pPr>
        <w:pStyle w:val="Quote"/>
      </w:pPr>
      <w:r w:rsidRPr="00843A16">
        <w:t>I’m hearing</w:t>
      </w:r>
      <w:r w:rsidR="008C1776">
        <w:t xml:space="preserve"> </w:t>
      </w:r>
      <w:r w:rsidRPr="00843A16">
        <w:t>…</w:t>
      </w:r>
      <w:r w:rsidR="008C1776">
        <w:t xml:space="preserve"> </w:t>
      </w:r>
      <w:r w:rsidRPr="00843A16">
        <w:t>customers are often having trouble with account closure and it’s more of a holding or a suspension as opposed to a closure</w:t>
      </w:r>
      <w:r w:rsidR="008C1776">
        <w:t xml:space="preserve"> </w:t>
      </w:r>
      <w:r w:rsidRPr="00843A16">
        <w:t>…</w:t>
      </w:r>
      <w:r w:rsidR="008C1776">
        <w:t xml:space="preserve"> </w:t>
      </w:r>
      <w:r w:rsidRPr="00843A16">
        <w:t>People are saying that when they’ve tried to close the account that</w:t>
      </w:r>
      <w:r w:rsidR="008C1776">
        <w:t xml:space="preserve"> </w:t>
      </w:r>
      <w:r w:rsidRPr="00843A16">
        <w:t>…</w:t>
      </w:r>
      <w:r w:rsidR="008C1776">
        <w:t xml:space="preserve"> </w:t>
      </w:r>
      <w:r w:rsidRPr="00843A16">
        <w:t xml:space="preserve">you go through this whole process, but the account isn’t </w:t>
      </w:r>
      <w:proofErr w:type="gramStart"/>
      <w:r w:rsidRPr="00843A16">
        <w:t>actually closed</w:t>
      </w:r>
      <w:proofErr w:type="gramEnd"/>
      <w:r w:rsidRPr="00843A16">
        <w:t>. It’s kind of there in stasis. And it’s not ‘take a break’</w:t>
      </w:r>
      <w:r w:rsidR="008C1776">
        <w:t xml:space="preserve"> </w:t>
      </w:r>
      <w:r w:rsidRPr="00843A16">
        <w:t>...</w:t>
      </w:r>
      <w:r w:rsidR="008C1776">
        <w:t xml:space="preserve"> </w:t>
      </w:r>
      <w:r w:rsidRPr="00843A16">
        <w:t>it’s almost like it’s just sitting there with no money</w:t>
      </w:r>
      <w:r w:rsidR="008C1776">
        <w:t xml:space="preserve"> </w:t>
      </w:r>
      <w:r w:rsidRPr="00843A16">
        <w:t>…</w:t>
      </w:r>
      <w:r w:rsidR="008C1776">
        <w:t xml:space="preserve"> </w:t>
      </w:r>
      <w:r w:rsidRPr="00843A16">
        <w:t xml:space="preserve">and no activity, but it still exists. </w:t>
      </w:r>
      <w:r w:rsidR="008C1776">
        <w:t>(</w:t>
      </w:r>
      <w:r w:rsidRPr="00843A16">
        <w:t>Gambling harm advocacy body</w:t>
      </w:r>
      <w:r w:rsidR="008C1776">
        <w:t>)</w:t>
      </w:r>
    </w:p>
    <w:p w14:paraId="52F9AAA7" w14:textId="0B0605C1" w:rsidR="0076056E" w:rsidRDefault="008E700F" w:rsidP="007A60DE">
      <w:pPr>
        <w:pStyle w:val="BodyText"/>
      </w:pPr>
      <w:r w:rsidRPr="00843A16">
        <w:t>The lack of clarity around the account deactivation features appear</w:t>
      </w:r>
      <w:r w:rsidR="006755E8" w:rsidRPr="00843A16">
        <w:t>s</w:t>
      </w:r>
      <w:r w:rsidRPr="00843A16">
        <w:t xml:space="preserve"> to be a barrier to this measure’s intended purpose of increasing simplicity and clarity. </w:t>
      </w:r>
    </w:p>
    <w:p w14:paraId="6364129B" w14:textId="3B99582D" w:rsidR="007A4E41" w:rsidRPr="00843A16" w:rsidRDefault="007A4E41" w:rsidP="00074143">
      <w:pPr>
        <w:pStyle w:val="Heading3"/>
      </w:pPr>
      <w:bookmarkStart w:id="118" w:name="_Toc233643304"/>
      <w:r w:rsidRPr="00843A16">
        <w:t xml:space="preserve">Deposit </w:t>
      </w:r>
      <w:r w:rsidR="008C1776" w:rsidRPr="00843A16">
        <w:t>l</w:t>
      </w:r>
      <w:r w:rsidRPr="00843A16">
        <w:t>imits</w:t>
      </w:r>
      <w:bookmarkEnd w:id="118"/>
    </w:p>
    <w:p w14:paraId="2D0EDAFB" w14:textId="77777777" w:rsidR="00D96206" w:rsidRPr="00B422D8" w:rsidRDefault="00D96206" w:rsidP="007A60DE">
      <w:pPr>
        <w:pStyle w:val="BoxHeading1"/>
      </w:pPr>
      <w:r w:rsidRPr="00843A16">
        <w:t>Key finding</w:t>
      </w:r>
      <w:r>
        <w:t>s</w:t>
      </w:r>
    </w:p>
    <w:p w14:paraId="2DF39B63" w14:textId="6F2911B5" w:rsidR="00D96206" w:rsidRDefault="00D96206" w:rsidP="00D96206">
      <w:pPr>
        <w:pStyle w:val="ListBullet"/>
        <w:numPr>
          <w:ilvl w:val="0"/>
          <w:numId w:val="0"/>
        </w:numPr>
        <w:shd w:val="clear" w:color="auto" w:fill="F2F2F2" w:themeFill="background1" w:themeFillShade="F2"/>
      </w:pPr>
      <w:r w:rsidRPr="00843A16">
        <w:t xml:space="preserve">Jurisdictions have not implemented this measure consistently, with only 2 jurisdictions </w:t>
      </w:r>
      <w:r>
        <w:t xml:space="preserve">(ACT and </w:t>
      </w:r>
      <w:r w:rsidR="008C1776">
        <w:t>Tas</w:t>
      </w:r>
      <w:r>
        <w:t xml:space="preserve">) </w:t>
      </w:r>
      <w:r w:rsidRPr="00843A16">
        <w:t xml:space="preserve">making it mandatory for WSPs to offer deposit limits for </w:t>
      </w:r>
      <w:r>
        <w:t xml:space="preserve">the </w:t>
      </w:r>
      <w:r w:rsidRPr="00843A16">
        <w:t>4 time periods</w:t>
      </w:r>
      <w:r>
        <w:t xml:space="preserve"> in the NPS</w:t>
      </w:r>
      <w:r w:rsidRPr="00843A16">
        <w:t xml:space="preserve"> (daily, weekly, fortnightly and monthly). </w:t>
      </w:r>
    </w:p>
    <w:p w14:paraId="5257C187" w14:textId="61C93D44" w:rsidR="008C1776" w:rsidRPr="00843A16" w:rsidRDefault="008C1776" w:rsidP="008C1776">
      <w:pPr>
        <w:pStyle w:val="BoxHeading2"/>
      </w:pPr>
      <w:r>
        <w:t>Recommendations</w:t>
      </w:r>
    </w:p>
    <w:p w14:paraId="759CF463" w14:textId="15994B76" w:rsidR="00D96206" w:rsidRPr="00843A16" w:rsidRDefault="00D96206" w:rsidP="007A60DE">
      <w:pPr>
        <w:pStyle w:val="BoxBulletList"/>
        <w:rPr>
          <w:rFonts w:eastAsia="Arial"/>
        </w:rPr>
      </w:pPr>
      <w:r w:rsidRPr="00843A16">
        <w:rPr>
          <w:b/>
          <w:bCs/>
        </w:rPr>
        <w:t xml:space="preserve">Recommendation </w:t>
      </w:r>
      <w:r>
        <w:rPr>
          <w:b/>
          <w:bCs/>
        </w:rPr>
        <w:t>5a</w:t>
      </w:r>
      <w:r w:rsidRPr="00843A16">
        <w:rPr>
          <w:b/>
          <w:bCs/>
        </w:rPr>
        <w:t xml:space="preserve">: </w:t>
      </w:r>
      <w:r w:rsidR="0098771B">
        <w:rPr>
          <w:rFonts w:eastAsia="Arial"/>
        </w:rPr>
        <w:t>(</w:t>
      </w:r>
      <w:r w:rsidR="0098771B" w:rsidRPr="000570DE">
        <w:rPr>
          <w:rFonts w:ascii="Bauhaus 93" w:eastAsia="Arial" w:hAnsi="Bauhaus 93"/>
        </w:rPr>
        <w:t>C</w:t>
      </w:r>
      <w:r w:rsidR="0098771B">
        <w:rPr>
          <w:rFonts w:eastAsia="Arial"/>
        </w:rPr>
        <w:t xml:space="preserve">) </w:t>
      </w:r>
      <w:r w:rsidRPr="00843A16">
        <w:t>State and territory policy makers and regulators should align their legislation and guidance to be consistent with the NCPF requirement to make it mandatory for WSPs to offer deposit limits for 4 time periods</w:t>
      </w:r>
      <w:r w:rsidR="008C1776">
        <w:t xml:space="preserve">: </w:t>
      </w:r>
      <w:r w:rsidRPr="00843A16">
        <w:t xml:space="preserve">daily, weekly, fortnightly and monthly. </w:t>
      </w:r>
    </w:p>
    <w:p w14:paraId="2158687C" w14:textId="6787F5AA" w:rsidR="00D96206" w:rsidRDefault="00D96206" w:rsidP="007A60DE">
      <w:pPr>
        <w:pStyle w:val="BoxBulletList"/>
        <w:rPr>
          <w:rFonts w:eastAsia="Arial"/>
        </w:rPr>
      </w:pPr>
      <w:r w:rsidRPr="00843A16">
        <w:rPr>
          <w:rFonts w:eastAsia="Arial"/>
          <w:b/>
          <w:bCs/>
        </w:rPr>
        <w:t xml:space="preserve">Recommendation </w:t>
      </w:r>
      <w:r>
        <w:rPr>
          <w:rFonts w:eastAsia="Arial"/>
          <w:b/>
          <w:bCs/>
        </w:rPr>
        <w:t>5b</w:t>
      </w:r>
      <w:r w:rsidRPr="00843A16">
        <w:rPr>
          <w:rFonts w:eastAsia="Arial"/>
          <w:b/>
          <w:bCs/>
        </w:rPr>
        <w:t>:</w:t>
      </w:r>
      <w:r w:rsidRPr="00843A16">
        <w:rPr>
          <w:rFonts w:eastAsia="Arial"/>
        </w:rPr>
        <w:t xml:space="preserve"> </w:t>
      </w:r>
      <w:r w:rsidR="0098771B">
        <w:rPr>
          <w:rFonts w:eastAsia="Arial"/>
        </w:rPr>
        <w:t>(</w:t>
      </w:r>
      <w:r w:rsidR="0098771B" w:rsidRPr="000570DE">
        <w:rPr>
          <w:rFonts w:ascii="Bauhaus 93" w:eastAsia="Arial" w:hAnsi="Bauhaus 93"/>
        </w:rPr>
        <w:t>C</w:t>
      </w:r>
      <w:r w:rsidR="0098771B">
        <w:rPr>
          <w:rFonts w:eastAsia="Arial"/>
        </w:rPr>
        <w:t xml:space="preserve">) </w:t>
      </w:r>
      <w:r w:rsidR="008C1776">
        <w:rPr>
          <w:rFonts w:eastAsia="Arial"/>
        </w:rPr>
        <w:t xml:space="preserve">The </w:t>
      </w:r>
      <w:r>
        <w:rPr>
          <w:rFonts w:eastAsia="Arial"/>
        </w:rPr>
        <w:t>DSS should commission a</w:t>
      </w:r>
      <w:r w:rsidRPr="00843A16">
        <w:rPr>
          <w:rFonts w:eastAsia="Arial"/>
        </w:rPr>
        <w:t xml:space="preserve"> multi-operator deposit scheme feasibility study. </w:t>
      </w:r>
    </w:p>
    <w:p w14:paraId="112AC1D1" w14:textId="34F0A757" w:rsidR="007A4E41" w:rsidRPr="00843A16" w:rsidRDefault="007A4E41" w:rsidP="00E150FD">
      <w:pPr>
        <w:pStyle w:val="BodyText"/>
        <w:rPr>
          <w:lang w:bidi="ar-SA"/>
        </w:rPr>
      </w:pPr>
      <w:r w:rsidRPr="00843A16">
        <w:rPr>
          <w:lang w:bidi="ar-SA"/>
        </w:rPr>
        <w:t>The voluntary opt-out pre-commitment scheme (deposit limits) provides consumers with a tool to help monitor and manage their wagering by allowing them to set limits on the amount they deposit in an online wagering platform. Under this measure, wagering operators are required, at a minimum, to actively promote deposit limits to customers during account setup. The NPS provides that deposit limits must be offered for a range of periods including daily, weekly, fortnightly and monthly.</w:t>
      </w:r>
    </w:p>
    <w:p w14:paraId="305A2BEB" w14:textId="1C8A4A39" w:rsidR="007A4E41" w:rsidRPr="00843A16" w:rsidRDefault="007A4E41" w:rsidP="00E150FD">
      <w:pPr>
        <w:pStyle w:val="BodyText"/>
      </w:pPr>
      <w:r w:rsidRPr="00843A16">
        <w:rPr>
          <w:lang w:bidi="ar-SA"/>
        </w:rPr>
        <w:t>Deposit limits are binding and an operator must not accept deposit</w:t>
      </w:r>
      <w:r w:rsidR="00CC34EE">
        <w:rPr>
          <w:lang w:bidi="ar-SA"/>
        </w:rPr>
        <w:t>s</w:t>
      </w:r>
      <w:r w:rsidRPr="00843A16">
        <w:rPr>
          <w:lang w:bidi="ar-SA"/>
        </w:rPr>
        <w:t xml:space="preserve"> over what the customer has set for the specific </w:t>
      </w:r>
      <w:proofErr w:type="gramStart"/>
      <w:r w:rsidR="00656896">
        <w:rPr>
          <w:lang w:bidi="ar-SA"/>
        </w:rPr>
        <w:t>time</w:t>
      </w:r>
      <w:r w:rsidR="00387A32">
        <w:rPr>
          <w:lang w:bidi="ar-SA"/>
        </w:rPr>
        <w:t xml:space="preserve"> </w:t>
      </w:r>
      <w:r w:rsidR="00656896">
        <w:rPr>
          <w:lang w:bidi="ar-SA"/>
        </w:rPr>
        <w:t>period</w:t>
      </w:r>
      <w:proofErr w:type="gramEnd"/>
      <w:r w:rsidRPr="00843A16">
        <w:rPr>
          <w:lang w:bidi="ar-SA"/>
        </w:rPr>
        <w:t xml:space="preserve">. Customers may adjust their deposit limits. Requests to decrease a limit will take effect immediately, while requests to increase a limit </w:t>
      </w:r>
      <w:r w:rsidR="00315958">
        <w:rPr>
          <w:lang w:bidi="ar-SA"/>
        </w:rPr>
        <w:t xml:space="preserve">are </w:t>
      </w:r>
      <w:r w:rsidRPr="00843A16">
        <w:rPr>
          <w:lang w:bidi="ar-SA"/>
        </w:rPr>
        <w:t>implemented after a 7-</w:t>
      </w:r>
      <w:r w:rsidRPr="00843A16">
        <w:rPr>
          <w:lang w:bidi="ar-SA"/>
        </w:rPr>
        <w:lastRenderedPageBreak/>
        <w:t xml:space="preserve">day delay. Offering other types of limits (e.g. spend limit) </w:t>
      </w:r>
      <w:r w:rsidR="009D4B24">
        <w:rPr>
          <w:lang w:bidi="ar-SA"/>
        </w:rPr>
        <w:t>is</w:t>
      </w:r>
      <w:r w:rsidR="009D4B24" w:rsidRPr="00843A16">
        <w:rPr>
          <w:lang w:bidi="ar-SA"/>
        </w:rPr>
        <w:t xml:space="preserve"> </w:t>
      </w:r>
      <w:r w:rsidRPr="00843A16">
        <w:rPr>
          <w:lang w:bidi="ar-SA"/>
        </w:rPr>
        <w:t xml:space="preserve">optional (DSS, 2018). </w:t>
      </w:r>
      <w:r w:rsidRPr="00843A16">
        <w:t>See</w:t>
      </w:r>
      <w:r w:rsidR="00137587">
        <w:t xml:space="preserve"> </w:t>
      </w:r>
      <w:hyperlink w:anchor="Table1" w:history="1">
        <w:r w:rsidR="00137587" w:rsidRPr="00137587">
          <w:rPr>
            <w:rStyle w:val="Hyperlink"/>
            <w:b/>
            <w:bCs/>
          </w:rPr>
          <w:t>Table 1</w:t>
        </w:r>
      </w:hyperlink>
      <w:r w:rsidRPr="00843A16">
        <w:rPr>
          <w:b/>
          <w:bCs/>
          <w:color w:val="2C2341"/>
        </w:rPr>
        <w:t xml:space="preserve"> </w:t>
      </w:r>
      <w:r w:rsidRPr="00843A16">
        <w:t>for an overview of this measure as outlined in the NPS.</w:t>
      </w:r>
    </w:p>
    <w:p w14:paraId="0E53AAAB" w14:textId="77777777" w:rsidR="007A4E41" w:rsidRPr="00843A16" w:rsidRDefault="007A4E41" w:rsidP="00074143">
      <w:pPr>
        <w:pStyle w:val="Heading4"/>
      </w:pPr>
      <w:r w:rsidRPr="00843A16">
        <w:t>Development and implementation</w:t>
      </w:r>
    </w:p>
    <w:p w14:paraId="3AC722DC" w14:textId="1A59674C" w:rsidR="007A4E41" w:rsidRPr="00843A16" w:rsidRDefault="0042149A" w:rsidP="007A4E41">
      <w:pPr>
        <w:pStyle w:val="BodyText"/>
      </w:pPr>
      <w:proofErr w:type="gramStart"/>
      <w:r>
        <w:t>The majority of</w:t>
      </w:r>
      <w:proofErr w:type="gramEnd"/>
      <w:r>
        <w:t xml:space="preserve"> </w:t>
      </w:r>
      <w:r w:rsidR="007A4E41" w:rsidRPr="00843A16">
        <w:t xml:space="preserve">state and territory </w:t>
      </w:r>
      <w:r w:rsidR="009A13AF">
        <w:t>government</w:t>
      </w:r>
      <w:r w:rsidR="007A4E41" w:rsidRPr="00843A16">
        <w:t xml:space="preserve">s enacted this measure within </w:t>
      </w:r>
      <w:r w:rsidR="0050101A">
        <w:t>a year</w:t>
      </w:r>
      <w:r w:rsidR="007A4E41" w:rsidRPr="00843A16">
        <w:t xml:space="preserve"> of the National Framework’s commencement (</w:t>
      </w:r>
      <w:r w:rsidR="001B0B09">
        <w:t xml:space="preserve">by </w:t>
      </w:r>
      <w:r w:rsidR="0050101A">
        <w:t>November</w:t>
      </w:r>
      <w:r w:rsidR="007A4E41" w:rsidRPr="00843A16">
        <w:t xml:space="preserve"> 2019) through existing laws, regulations and licences. However, inconsistencies in implementation have occurred across jurisdictions and wagering operators. </w:t>
      </w:r>
    </w:p>
    <w:p w14:paraId="0491295E" w14:textId="004E328B" w:rsidR="007A4E41" w:rsidRPr="00843A16" w:rsidRDefault="007A4E41" w:rsidP="007A60DE">
      <w:pPr>
        <w:pStyle w:val="BodyText"/>
      </w:pPr>
      <w:r w:rsidRPr="00843A16">
        <w:t xml:space="preserve">Jurisdictions have not implemented this measure consistently in their legislation and other guidance. Only </w:t>
      </w:r>
      <w:r w:rsidR="00802A40">
        <w:t>2</w:t>
      </w:r>
      <w:r w:rsidRPr="00843A16">
        <w:t xml:space="preserve"> jurisdictions ma</w:t>
      </w:r>
      <w:r w:rsidR="00354A83">
        <w:t>d</w:t>
      </w:r>
      <w:r w:rsidRPr="00843A16">
        <w:t xml:space="preserve">e it mandatory for WSPs to offer deposit limits for </w:t>
      </w:r>
      <w:r w:rsidR="00275D7D" w:rsidRPr="00843A16">
        <w:t>the</w:t>
      </w:r>
      <w:r w:rsidRPr="00843A16">
        <w:t xml:space="preserve"> 4 time periods</w:t>
      </w:r>
      <w:r w:rsidR="00275D7D" w:rsidRPr="00843A16">
        <w:t xml:space="preserve"> specified in the NPS</w:t>
      </w:r>
      <w:r w:rsidR="000E747B">
        <w:t xml:space="preserve"> (ACT</w:t>
      </w:r>
      <w:r w:rsidR="005A5E6A">
        <w:t xml:space="preserve"> and </w:t>
      </w:r>
      <w:r w:rsidR="00F8241D">
        <w:t>Tas</w:t>
      </w:r>
      <w:r w:rsidR="005A5E6A">
        <w:t>)</w:t>
      </w:r>
      <w:r w:rsidRPr="00843A16">
        <w:t xml:space="preserve">. In other jurisdictions, the number of time periods offered by WSPs is at their discretion. </w:t>
      </w:r>
      <w:hyperlink w:anchor="AppendixETable12" w:history="1">
        <w:r w:rsidR="00A81DAF">
          <w:rPr>
            <w:rStyle w:val="Hyperlink"/>
            <w:b/>
            <w:bCs/>
          </w:rPr>
          <w:t>Table</w:t>
        </w:r>
        <w:r w:rsidR="005D4865">
          <w:rPr>
            <w:rStyle w:val="Hyperlink"/>
            <w:b/>
            <w:bCs/>
          </w:rPr>
          <w:t xml:space="preserve"> 12</w:t>
        </w:r>
        <w:r w:rsidR="00A81DAF">
          <w:rPr>
            <w:rStyle w:val="Hyperlink"/>
            <w:b/>
            <w:bCs/>
          </w:rPr>
          <w:t xml:space="preserve"> of Appendix E</w:t>
        </w:r>
      </w:hyperlink>
      <w:r>
        <w:t xml:space="preserve"> shows the differences that exist between jurisdictions. </w:t>
      </w:r>
    </w:p>
    <w:p w14:paraId="4FECADA6" w14:textId="52F5BD0F" w:rsidR="007A4E41" w:rsidRPr="00843A16" w:rsidRDefault="007A4E41" w:rsidP="007A60DE">
      <w:pPr>
        <w:pStyle w:val="BodyText"/>
      </w:pPr>
      <w:r w:rsidRPr="00843A16">
        <w:t>Some operators reported that daily, weekly, fortnightly and monthly deposit</w:t>
      </w:r>
      <w:r w:rsidR="009153FD">
        <w:t>-</w:t>
      </w:r>
      <w:r w:rsidRPr="00843A16">
        <w:t xml:space="preserve">limit time periods are now standard, while others offer fewer or additional options, creating inconsistency. </w:t>
      </w:r>
    </w:p>
    <w:p w14:paraId="45CEA37A" w14:textId="2E8582A5" w:rsidR="007A4E41" w:rsidRPr="00843A16" w:rsidRDefault="007A4E41" w:rsidP="002F3966">
      <w:pPr>
        <w:pStyle w:val="ListBullet"/>
        <w:numPr>
          <w:ilvl w:val="0"/>
          <w:numId w:val="0"/>
        </w:numPr>
        <w:spacing w:before="240" w:after="240"/>
        <w:ind w:left="425"/>
        <w:rPr>
          <w:rFonts w:eastAsiaTheme="minorEastAsia"/>
          <w:iCs/>
          <w:color w:val="B00051"/>
          <w:lang w:bidi="ar-SA"/>
        </w:rPr>
      </w:pPr>
      <w:r w:rsidRPr="00843A16">
        <w:rPr>
          <w:rFonts w:eastAsiaTheme="minorEastAsia"/>
          <w:iCs/>
          <w:color w:val="B00051"/>
          <w:lang w:bidi="ar-SA"/>
        </w:rPr>
        <w:t xml:space="preserve">I think </w:t>
      </w:r>
      <w:proofErr w:type="gramStart"/>
      <w:r w:rsidRPr="00843A16">
        <w:rPr>
          <w:rFonts w:eastAsiaTheme="minorEastAsia"/>
          <w:iCs/>
          <w:color w:val="B00051"/>
          <w:lang w:bidi="ar-SA"/>
        </w:rPr>
        <w:t>at the moment</w:t>
      </w:r>
      <w:proofErr w:type="gramEnd"/>
      <w:r w:rsidRPr="00843A16">
        <w:rPr>
          <w:rFonts w:eastAsiaTheme="minorEastAsia"/>
          <w:iCs/>
          <w:color w:val="B00051"/>
          <w:lang w:bidi="ar-SA"/>
        </w:rPr>
        <w:t xml:space="preserve"> every service provider is kind of doing their own thing when it comes to promoting </w:t>
      </w:r>
      <w:proofErr w:type="gramStart"/>
      <w:r w:rsidRPr="00843A16">
        <w:rPr>
          <w:rFonts w:eastAsiaTheme="minorEastAsia"/>
          <w:iCs/>
          <w:color w:val="B00051"/>
          <w:lang w:bidi="ar-SA"/>
        </w:rPr>
        <w:t>various different</w:t>
      </w:r>
      <w:proofErr w:type="gramEnd"/>
      <w:r w:rsidRPr="00843A16">
        <w:rPr>
          <w:rFonts w:eastAsiaTheme="minorEastAsia"/>
          <w:iCs/>
          <w:color w:val="B00051"/>
          <w:lang w:bidi="ar-SA"/>
        </w:rPr>
        <w:t xml:space="preserve"> tools and </w:t>
      </w:r>
      <w:proofErr w:type="gramStart"/>
      <w:r w:rsidRPr="00843A16">
        <w:rPr>
          <w:rFonts w:eastAsiaTheme="minorEastAsia"/>
          <w:iCs/>
          <w:color w:val="B00051"/>
          <w:lang w:bidi="ar-SA"/>
        </w:rPr>
        <w:t>various different</w:t>
      </w:r>
      <w:proofErr w:type="gramEnd"/>
      <w:r w:rsidRPr="00843A16">
        <w:rPr>
          <w:rFonts w:eastAsiaTheme="minorEastAsia"/>
          <w:iCs/>
          <w:color w:val="B00051"/>
          <w:lang w:bidi="ar-SA"/>
        </w:rPr>
        <w:t xml:space="preserve"> measures. And I think that</w:t>
      </w:r>
      <w:r w:rsidR="003D6939">
        <w:rPr>
          <w:rFonts w:eastAsiaTheme="minorEastAsia"/>
          <w:iCs/>
          <w:color w:val="B00051"/>
          <w:lang w:bidi="ar-SA"/>
        </w:rPr>
        <w:t>’</w:t>
      </w:r>
      <w:r w:rsidRPr="00843A16">
        <w:rPr>
          <w:rFonts w:eastAsiaTheme="minorEastAsia"/>
          <w:iCs/>
          <w:color w:val="B00051"/>
          <w:lang w:bidi="ar-SA"/>
        </w:rPr>
        <w:t>s inherent because we all have different tools and we all have slightly different measures. So</w:t>
      </w:r>
      <w:r w:rsidR="003D6939">
        <w:rPr>
          <w:rFonts w:eastAsiaTheme="minorEastAsia"/>
          <w:iCs/>
          <w:color w:val="B00051"/>
          <w:lang w:bidi="ar-SA"/>
        </w:rPr>
        <w:t>,</w:t>
      </w:r>
      <w:r w:rsidRPr="00843A16">
        <w:rPr>
          <w:rFonts w:eastAsiaTheme="minorEastAsia"/>
          <w:iCs/>
          <w:color w:val="B00051"/>
          <w:lang w:bidi="ar-SA"/>
        </w:rPr>
        <w:t xml:space="preserve"> you know, we have one, </w:t>
      </w:r>
      <w:r w:rsidR="00B06230">
        <w:rPr>
          <w:rFonts w:eastAsiaTheme="minorEastAsia"/>
          <w:iCs/>
          <w:color w:val="B00051"/>
          <w:lang w:bidi="ar-SA"/>
        </w:rPr>
        <w:t>7</w:t>
      </w:r>
      <w:r w:rsidRPr="00843A16">
        <w:rPr>
          <w:rFonts w:eastAsiaTheme="minorEastAsia"/>
          <w:iCs/>
          <w:color w:val="B00051"/>
          <w:lang w:bidi="ar-SA"/>
        </w:rPr>
        <w:t xml:space="preserve">, 14-day, 30-day deposit limits. Some operators might have </w:t>
      </w:r>
      <w:r w:rsidR="00332FF0">
        <w:rPr>
          <w:rFonts w:eastAsiaTheme="minorEastAsia"/>
          <w:iCs/>
          <w:color w:val="B00051"/>
          <w:lang w:bidi="ar-SA"/>
        </w:rPr>
        <w:t>3</w:t>
      </w:r>
      <w:r w:rsidRPr="00843A16">
        <w:rPr>
          <w:rFonts w:eastAsiaTheme="minorEastAsia"/>
          <w:iCs/>
          <w:color w:val="B00051"/>
          <w:lang w:bidi="ar-SA"/>
        </w:rPr>
        <w:t>-day deposit limits in addition to that. So</w:t>
      </w:r>
      <w:r w:rsidR="00F15F44">
        <w:rPr>
          <w:rFonts w:eastAsiaTheme="minorEastAsia"/>
          <w:iCs/>
          <w:color w:val="B00051"/>
          <w:lang w:bidi="ar-SA"/>
        </w:rPr>
        <w:t>,</w:t>
      </w:r>
      <w:r w:rsidRPr="00843A16">
        <w:rPr>
          <w:rFonts w:eastAsiaTheme="minorEastAsia"/>
          <w:iCs/>
          <w:color w:val="B00051"/>
          <w:lang w:bidi="ar-SA"/>
        </w:rPr>
        <w:t xml:space="preserve"> it kind of depends, I guess I think there is a real opportunity for some of that to be a little bit more coordinated. </w:t>
      </w:r>
      <w:r w:rsidR="003D6939">
        <w:rPr>
          <w:rFonts w:eastAsiaTheme="minorEastAsia"/>
          <w:iCs/>
          <w:color w:val="B00051"/>
          <w:lang w:bidi="ar-SA"/>
        </w:rPr>
        <w:t>(</w:t>
      </w:r>
      <w:r w:rsidRPr="00843A16">
        <w:rPr>
          <w:rFonts w:eastAsiaTheme="minorEastAsia"/>
          <w:iCs/>
          <w:color w:val="B00051"/>
          <w:lang w:bidi="ar-SA"/>
        </w:rPr>
        <w:t>WSP, large corporate bookmaker, all S/T licensed except WA</w:t>
      </w:r>
      <w:r w:rsidR="003D6939">
        <w:rPr>
          <w:rFonts w:eastAsiaTheme="minorEastAsia"/>
          <w:iCs/>
          <w:color w:val="B00051"/>
          <w:lang w:bidi="ar-SA"/>
        </w:rPr>
        <w:t>)</w:t>
      </w:r>
    </w:p>
    <w:p w14:paraId="236267EC" w14:textId="77777777" w:rsidR="007A4E41" w:rsidRPr="00843A16" w:rsidRDefault="007A4E41" w:rsidP="007A60DE">
      <w:pPr>
        <w:pStyle w:val="BodyText"/>
      </w:pPr>
      <w:r w:rsidRPr="00843A16">
        <w:t>This lack of uniformity can confuse consumers and make it harder to understand and manage deposit limits across platforms. It may also restrict access to time periods that better suit individual wagering patterns.</w:t>
      </w:r>
    </w:p>
    <w:p w14:paraId="11399218" w14:textId="1E1D699C" w:rsidR="007A4E41" w:rsidRDefault="007A4E41" w:rsidP="002F3966">
      <w:pPr>
        <w:pStyle w:val="ListBullet"/>
        <w:numPr>
          <w:ilvl w:val="0"/>
          <w:numId w:val="0"/>
        </w:numPr>
        <w:spacing w:before="240" w:after="240"/>
        <w:ind w:left="425"/>
        <w:rPr>
          <w:rFonts w:eastAsiaTheme="minorEastAsia"/>
          <w:iCs/>
          <w:color w:val="B00051"/>
          <w:lang w:bidi="ar-SA"/>
        </w:rPr>
      </w:pPr>
      <w:r w:rsidRPr="00843A16">
        <w:rPr>
          <w:rFonts w:eastAsiaTheme="minorEastAsia"/>
          <w:iCs/>
          <w:color w:val="B00051"/>
          <w:lang w:bidi="ar-SA"/>
        </w:rPr>
        <w:t>We should acknowledge that there are a proportion of customers who</w:t>
      </w:r>
      <w:r w:rsidR="003D6939">
        <w:rPr>
          <w:rFonts w:eastAsiaTheme="minorEastAsia"/>
          <w:iCs/>
          <w:color w:val="B00051"/>
          <w:lang w:bidi="ar-SA"/>
        </w:rPr>
        <w:t xml:space="preserve"> </w:t>
      </w:r>
      <w:r w:rsidRPr="00843A16">
        <w:rPr>
          <w:rFonts w:eastAsiaTheme="minorEastAsia"/>
          <w:iCs/>
          <w:color w:val="B00051"/>
          <w:lang w:bidi="ar-SA"/>
        </w:rPr>
        <w:t>... choose to have multiple accounts because different bookmakers have different offerings and so to expand to their interests</w:t>
      </w:r>
      <w:r w:rsidR="003D6939">
        <w:rPr>
          <w:rFonts w:eastAsiaTheme="minorEastAsia"/>
          <w:iCs/>
          <w:color w:val="B00051"/>
          <w:lang w:bidi="ar-SA"/>
        </w:rPr>
        <w:t>,</w:t>
      </w:r>
      <w:r w:rsidRPr="00843A16">
        <w:rPr>
          <w:rFonts w:eastAsiaTheme="minorEastAsia"/>
          <w:iCs/>
          <w:color w:val="B00051"/>
          <w:lang w:bidi="ar-SA"/>
        </w:rPr>
        <w:t xml:space="preserve"> it’s appropriate for them to have multiple accounts</w:t>
      </w:r>
      <w:r w:rsidR="003D6939">
        <w:rPr>
          <w:rFonts w:eastAsiaTheme="minorEastAsia"/>
          <w:iCs/>
          <w:color w:val="B00051"/>
          <w:lang w:bidi="ar-SA"/>
        </w:rPr>
        <w:t xml:space="preserve"> </w:t>
      </w:r>
      <w:r w:rsidRPr="00843A16">
        <w:rPr>
          <w:rFonts w:eastAsiaTheme="minorEastAsia"/>
          <w:iCs/>
          <w:color w:val="B00051"/>
          <w:lang w:bidi="ar-SA"/>
        </w:rPr>
        <w:t xml:space="preserve">… If I have a deposit limit on both accounts, it’s a bad customer experience if it’s calculated one way in one bookmaker and one way in another and that leads to customer contact and confusion. </w:t>
      </w:r>
      <w:r w:rsidR="003D6939">
        <w:rPr>
          <w:rFonts w:eastAsiaTheme="minorEastAsia"/>
          <w:iCs/>
          <w:color w:val="B00051"/>
          <w:lang w:bidi="ar-SA"/>
        </w:rPr>
        <w:t>(</w:t>
      </w:r>
      <w:r w:rsidRPr="00843A16">
        <w:rPr>
          <w:rFonts w:eastAsiaTheme="minorEastAsia"/>
          <w:iCs/>
          <w:color w:val="B00051"/>
          <w:lang w:bidi="ar-SA"/>
        </w:rPr>
        <w:t>WSP, very large corporate bookmaker, NT licensed</w:t>
      </w:r>
      <w:r w:rsidR="003D6939">
        <w:rPr>
          <w:rFonts w:eastAsiaTheme="minorEastAsia"/>
          <w:iCs/>
          <w:color w:val="B00051"/>
          <w:lang w:bidi="ar-SA"/>
        </w:rPr>
        <w:t>)</w:t>
      </w:r>
    </w:p>
    <w:p w14:paraId="33BD3D41" w14:textId="2A08FADB" w:rsidR="00614223" w:rsidRDefault="00614223" w:rsidP="00614223">
      <w:pPr>
        <w:pStyle w:val="ListBullet"/>
        <w:numPr>
          <w:ilvl w:val="0"/>
          <w:numId w:val="0"/>
        </w:numPr>
      </w:pPr>
      <w:r>
        <w:t>One principle</w:t>
      </w:r>
      <w:r w:rsidR="000F67B4">
        <w:t xml:space="preserve"> (numbered 3</w:t>
      </w:r>
      <w:r w:rsidR="005A7604">
        <w:t>8</w:t>
      </w:r>
      <w:r w:rsidR="000F67B4">
        <w:t xml:space="preserve"> in this report)</w:t>
      </w:r>
      <w:r>
        <w:t xml:space="preserve"> </w:t>
      </w:r>
      <w:r w:rsidR="00ED1680">
        <w:t>relating to deposit limits has not been undertaken</w:t>
      </w:r>
      <w:r>
        <w:t xml:space="preserve">: </w:t>
      </w:r>
      <w:r w:rsidR="003D6939">
        <w:t>‘</w:t>
      </w:r>
      <w:r>
        <w:rPr>
          <w:rFonts w:eastAsia="Arial" w:cs="Arial"/>
          <w:i/>
          <w:iCs/>
        </w:rPr>
        <w:t>Government</w:t>
      </w:r>
      <w:r w:rsidRPr="001C02BA">
        <w:rPr>
          <w:rFonts w:eastAsia="Arial" w:cs="Arial"/>
          <w:i/>
          <w:iCs/>
        </w:rPr>
        <w:t>s will assess the feasibility and costs of a centralised pre-commitment system, taking into account the costs and benefits for consumers (feasibility study)</w:t>
      </w:r>
      <w:r w:rsidR="003D6939" w:rsidRPr="007A60DE">
        <w:rPr>
          <w:rFonts w:eastAsia="Arial" w:cs="Arial"/>
        </w:rPr>
        <w:t>’</w:t>
      </w:r>
      <w:r>
        <w:rPr>
          <w:rFonts w:eastAsia="Arial" w:cs="Arial"/>
        </w:rPr>
        <w:t xml:space="preserve"> (DSS, 2018)</w:t>
      </w:r>
      <w:r w:rsidR="003D6939">
        <w:rPr>
          <w:rFonts w:eastAsia="Arial" w:cs="Arial"/>
        </w:rPr>
        <w:t>.</w:t>
      </w:r>
    </w:p>
    <w:p w14:paraId="44AF3A74" w14:textId="0ABF2846" w:rsidR="00614223" w:rsidRDefault="00614223" w:rsidP="00614223">
      <w:pPr>
        <w:pStyle w:val="BodyText"/>
        <w:rPr>
          <w:rFonts w:eastAsia="Arial"/>
        </w:rPr>
      </w:pPr>
      <w:r w:rsidRPr="00E36D07">
        <w:t xml:space="preserve">The </w:t>
      </w:r>
      <w:r>
        <w:t>Implementation Governance Committee (</w:t>
      </w:r>
      <w:r w:rsidRPr="00E36D07">
        <w:t>IGC</w:t>
      </w:r>
      <w:r>
        <w:t>)</w:t>
      </w:r>
      <w:r w:rsidRPr="00E36D07">
        <w:t xml:space="preserve"> agreed to defer this work so it could be informed by the implementation of </w:t>
      </w:r>
      <w:r>
        <w:t>the NSER</w:t>
      </w:r>
      <w:r w:rsidRPr="00E36D07">
        <w:t xml:space="preserve">. The Australian </w:t>
      </w:r>
      <w:r>
        <w:t>Government has advised it</w:t>
      </w:r>
      <w:r w:rsidRPr="00E36D07">
        <w:t xml:space="preserve"> will coordinate with jurisdictional partners to reconsider the case and timing for assessing feasibility, drawing on learnings from </w:t>
      </w:r>
      <w:r>
        <w:t>the NSER</w:t>
      </w:r>
      <w:r w:rsidRPr="00E36D07">
        <w:t xml:space="preserve"> and other NCPF measures</w:t>
      </w:r>
      <w:r>
        <w:t xml:space="preserve"> </w:t>
      </w:r>
      <w:r w:rsidRPr="00843A16">
        <w:rPr>
          <w:rFonts w:eastAsia="Arial"/>
        </w:rPr>
        <w:t>(DSS internal communication</w:t>
      </w:r>
      <w:r>
        <w:rPr>
          <w:rFonts w:eastAsia="Arial"/>
        </w:rPr>
        <w:t>, 2025</w:t>
      </w:r>
      <w:r w:rsidRPr="00843A16">
        <w:rPr>
          <w:rFonts w:eastAsia="Arial"/>
        </w:rPr>
        <w:t xml:space="preserve">). </w:t>
      </w:r>
      <w:r w:rsidR="005C534B">
        <w:t xml:space="preserve">A centralised deposit scheme would enable </w:t>
      </w:r>
      <w:r w:rsidR="00A77901">
        <w:t xml:space="preserve">online </w:t>
      </w:r>
      <w:r w:rsidR="005C534B">
        <w:t>wagerers to set a deposit limit that applied across all WSPs</w:t>
      </w:r>
      <w:r w:rsidR="00AE4D90">
        <w:t xml:space="preserve">. Such a facility </w:t>
      </w:r>
      <w:r w:rsidR="00D02542">
        <w:t xml:space="preserve">could provide </w:t>
      </w:r>
      <w:r w:rsidR="00AE4D90">
        <w:t>enhanced protection to wagerers.</w:t>
      </w:r>
    </w:p>
    <w:p w14:paraId="09BD3F0E" w14:textId="6826D592" w:rsidR="00BB5A6D" w:rsidRDefault="00A85529" w:rsidP="00BB5A6D">
      <w:pPr>
        <w:pStyle w:val="BodyText"/>
        <w:rPr>
          <w:rFonts w:eastAsia="Arial"/>
        </w:rPr>
      </w:pPr>
      <w:r>
        <w:rPr>
          <w:rFonts w:eastAsia="Arial"/>
        </w:rPr>
        <w:t xml:space="preserve">The consumer survey run for this evaluation </w:t>
      </w:r>
      <w:r w:rsidR="00197A49">
        <w:rPr>
          <w:rFonts w:eastAsia="Arial"/>
        </w:rPr>
        <w:t>found that</w:t>
      </w:r>
      <w:r w:rsidR="00E02FA7">
        <w:rPr>
          <w:rFonts w:eastAsia="Arial"/>
        </w:rPr>
        <w:t xml:space="preserve">, of those who opened a wagering account in the last 12 months, 20.5% were not prompted to set a deposit limit. </w:t>
      </w:r>
      <w:r w:rsidR="00012D0E">
        <w:rPr>
          <w:rFonts w:eastAsia="Arial"/>
        </w:rPr>
        <w:t xml:space="preserve">Of those who </w:t>
      </w:r>
      <w:r w:rsidR="00DD0E73">
        <w:rPr>
          <w:rFonts w:eastAsia="Arial"/>
        </w:rPr>
        <w:t>set a deposit lim</w:t>
      </w:r>
      <w:r w:rsidR="00536BB3">
        <w:rPr>
          <w:rFonts w:eastAsia="Arial"/>
        </w:rPr>
        <w:t xml:space="preserve">it, 10.7% were able to deposit more than the deposit limit set. </w:t>
      </w:r>
      <w:r w:rsidR="00E13B5C">
        <w:rPr>
          <w:rFonts w:eastAsia="Arial"/>
        </w:rPr>
        <w:t xml:space="preserve">Of those who had an </w:t>
      </w:r>
      <w:r w:rsidR="00E13B5C">
        <w:rPr>
          <w:rFonts w:eastAsia="Arial"/>
        </w:rPr>
        <w:lastRenderedPageBreak/>
        <w:t>account for 12 months or longer</w:t>
      </w:r>
      <w:r w:rsidR="00E6550F">
        <w:rPr>
          <w:rFonts w:eastAsia="Arial"/>
        </w:rPr>
        <w:t xml:space="preserve">, </w:t>
      </w:r>
      <w:r w:rsidR="00E13B5C">
        <w:rPr>
          <w:rFonts w:eastAsia="Arial"/>
        </w:rPr>
        <w:t xml:space="preserve">59.7% </w:t>
      </w:r>
      <w:r w:rsidR="00E6550F">
        <w:rPr>
          <w:rFonts w:eastAsia="Arial"/>
        </w:rPr>
        <w:t xml:space="preserve">did </w:t>
      </w:r>
      <w:r w:rsidR="00E13B5C">
        <w:rPr>
          <w:rFonts w:eastAsia="Arial"/>
        </w:rPr>
        <w:t>not recall being prompted to set or review a set deposit limit in the last 12 months.</w:t>
      </w:r>
    </w:p>
    <w:p w14:paraId="678CABCB" w14:textId="3C28B3AF" w:rsidR="00A85529" w:rsidRDefault="00D76810">
      <w:pPr>
        <w:pStyle w:val="BodyText"/>
        <w:rPr>
          <w:rFonts w:eastAsia="Arial"/>
        </w:rPr>
      </w:pPr>
      <w:r>
        <w:rPr>
          <w:rFonts w:eastAsia="Arial"/>
        </w:rPr>
        <w:t>R</w:t>
      </w:r>
      <w:r w:rsidR="000743AC">
        <w:rPr>
          <w:rFonts w:eastAsia="Arial"/>
        </w:rPr>
        <w:t xml:space="preserve">egulators </w:t>
      </w:r>
      <w:r w:rsidR="00EE7CB7">
        <w:rPr>
          <w:rFonts w:eastAsia="Arial"/>
        </w:rPr>
        <w:t xml:space="preserve">do not appear to </w:t>
      </w:r>
      <w:r>
        <w:rPr>
          <w:rFonts w:eastAsia="Arial"/>
        </w:rPr>
        <w:t xml:space="preserve">be undertaking </w:t>
      </w:r>
      <w:r w:rsidR="00E812C2">
        <w:rPr>
          <w:rFonts w:eastAsia="Arial"/>
        </w:rPr>
        <w:t xml:space="preserve">investigations </w:t>
      </w:r>
      <w:r w:rsidR="00CD2A00">
        <w:rPr>
          <w:rFonts w:eastAsia="Arial"/>
        </w:rPr>
        <w:t xml:space="preserve">on </w:t>
      </w:r>
      <w:r w:rsidR="007B3CB9">
        <w:rPr>
          <w:rFonts w:eastAsia="Arial"/>
        </w:rPr>
        <w:t>deposit limit</w:t>
      </w:r>
      <w:r w:rsidR="00CA3D9C">
        <w:rPr>
          <w:rFonts w:eastAsia="Arial"/>
        </w:rPr>
        <w:t>s</w:t>
      </w:r>
      <w:r w:rsidR="007B3CB9">
        <w:rPr>
          <w:rFonts w:eastAsia="Arial"/>
        </w:rPr>
        <w:t xml:space="preserve">. </w:t>
      </w:r>
      <w:r w:rsidR="00F56068">
        <w:rPr>
          <w:rFonts w:eastAsia="Arial"/>
        </w:rPr>
        <w:t xml:space="preserve">These consumer survey findings suggest that </w:t>
      </w:r>
      <w:r w:rsidR="008F37AC">
        <w:rPr>
          <w:rFonts w:eastAsia="Arial"/>
        </w:rPr>
        <w:t>compliance activities may be warranted for deposit limits.</w:t>
      </w:r>
    </w:p>
    <w:p w14:paraId="25626C0C" w14:textId="51821B3E" w:rsidR="008E700F" w:rsidRPr="00843A16" w:rsidRDefault="008E700F" w:rsidP="00074143">
      <w:pPr>
        <w:pStyle w:val="Heading3"/>
      </w:pPr>
      <w:bookmarkStart w:id="119" w:name="_Toc233643305"/>
      <w:r w:rsidRPr="00843A16">
        <w:t xml:space="preserve">Activity </w:t>
      </w:r>
      <w:r w:rsidR="0012425C" w:rsidRPr="00843A16">
        <w:t>s</w:t>
      </w:r>
      <w:r w:rsidRPr="00843A16">
        <w:t>tatements</w:t>
      </w:r>
      <w:bookmarkEnd w:id="119"/>
    </w:p>
    <w:p w14:paraId="639AB0EB" w14:textId="77777777" w:rsidR="00D96206" w:rsidRPr="00B422D8" w:rsidRDefault="00D96206" w:rsidP="007A60DE">
      <w:pPr>
        <w:pStyle w:val="BoxHeading1"/>
      </w:pPr>
      <w:r w:rsidRPr="00843A16">
        <w:t>Key findings</w:t>
      </w:r>
    </w:p>
    <w:p w14:paraId="40821EE2" w14:textId="36B6E36C" w:rsidR="00D96206" w:rsidRPr="00843A16" w:rsidRDefault="00D96206" w:rsidP="0004207B">
      <w:pPr>
        <w:pStyle w:val="BoxBulletList"/>
        <w:rPr>
          <w:rFonts w:eastAsia="Arial"/>
        </w:rPr>
      </w:pPr>
      <w:r w:rsidRPr="004C783F">
        <w:rPr>
          <w:rFonts w:eastAsia="Arial"/>
        </w:rPr>
        <w:t>Activity statements offered by WSPs vary significantly from each other and from the</w:t>
      </w:r>
      <w:r>
        <w:rPr>
          <w:rFonts w:eastAsia="Arial"/>
        </w:rPr>
        <w:t xml:space="preserve"> Behavioural Economics Team </w:t>
      </w:r>
      <w:r w:rsidR="000F1BED">
        <w:rPr>
          <w:rFonts w:eastAsia="Arial"/>
        </w:rPr>
        <w:t xml:space="preserve">of the </w:t>
      </w:r>
      <w:r>
        <w:rPr>
          <w:rFonts w:eastAsia="Arial"/>
        </w:rPr>
        <w:t>Australia</w:t>
      </w:r>
      <w:r w:rsidR="000F1BED">
        <w:rPr>
          <w:rFonts w:eastAsia="Arial"/>
        </w:rPr>
        <w:t>n Government</w:t>
      </w:r>
      <w:r w:rsidRPr="004C783F">
        <w:rPr>
          <w:rFonts w:eastAsia="Arial"/>
        </w:rPr>
        <w:t xml:space="preserve"> </w:t>
      </w:r>
      <w:r>
        <w:rPr>
          <w:rFonts w:eastAsia="Arial"/>
        </w:rPr>
        <w:t>(</w:t>
      </w:r>
      <w:r w:rsidRPr="004C783F">
        <w:rPr>
          <w:rFonts w:eastAsia="Arial"/>
        </w:rPr>
        <w:t>BETA</w:t>
      </w:r>
      <w:r>
        <w:rPr>
          <w:rFonts w:eastAsia="Arial"/>
        </w:rPr>
        <w:t>)</w:t>
      </w:r>
      <w:r w:rsidRPr="004C783F">
        <w:rPr>
          <w:rFonts w:eastAsia="Arial"/>
        </w:rPr>
        <w:t xml:space="preserve"> template.</w:t>
      </w:r>
      <w:r w:rsidRPr="00843A16">
        <w:rPr>
          <w:vertAlign w:val="superscript"/>
        </w:rPr>
        <w:footnoteReference w:id="6"/>
      </w:r>
      <w:r w:rsidRPr="004C783F">
        <w:rPr>
          <w:rFonts w:eastAsia="Arial"/>
        </w:rPr>
        <w:t xml:space="preserve"> Differences include how activity statements present inducements</w:t>
      </w:r>
      <w:r w:rsidR="0024399C">
        <w:rPr>
          <w:rFonts w:eastAsia="Arial"/>
        </w:rPr>
        <w:t>,</w:t>
      </w:r>
      <w:r w:rsidRPr="004C783F">
        <w:rPr>
          <w:rFonts w:eastAsia="Arial"/>
        </w:rPr>
        <w:t xml:space="preserve"> the font colour applied to wins and losses and the use of CGM. </w:t>
      </w:r>
      <w:r>
        <w:rPr>
          <w:rFonts w:eastAsia="Arial"/>
        </w:rPr>
        <w:t>St</w:t>
      </w:r>
      <w:r w:rsidRPr="004C783F">
        <w:rPr>
          <w:rFonts w:eastAsia="Arial"/>
        </w:rPr>
        <w:t>akeholders largely supported greater consistency for this measure</w:t>
      </w:r>
      <w:r>
        <w:rPr>
          <w:rFonts w:eastAsia="Arial"/>
        </w:rPr>
        <w:t>.</w:t>
      </w:r>
    </w:p>
    <w:p w14:paraId="5AE79313" w14:textId="12CBFEE1" w:rsidR="00D96206" w:rsidRDefault="00D96206" w:rsidP="0004207B">
      <w:pPr>
        <w:pStyle w:val="BoxBulletList"/>
        <w:rPr>
          <w:rFonts w:eastAsia="Arial"/>
        </w:rPr>
      </w:pPr>
      <w:r w:rsidRPr="00843A16">
        <w:rPr>
          <w:rFonts w:eastAsia="Arial"/>
        </w:rPr>
        <w:t xml:space="preserve">Victoria reviewed the activity statement measure shortly after </w:t>
      </w:r>
      <w:r>
        <w:rPr>
          <w:rFonts w:eastAsia="Arial"/>
        </w:rPr>
        <w:t xml:space="preserve">it was </w:t>
      </w:r>
      <w:r w:rsidRPr="00843A16">
        <w:rPr>
          <w:rFonts w:eastAsia="Arial"/>
        </w:rPr>
        <w:t>implement</w:t>
      </w:r>
      <w:r>
        <w:rPr>
          <w:rFonts w:eastAsia="Arial"/>
        </w:rPr>
        <w:t>ed</w:t>
      </w:r>
      <w:r w:rsidRPr="00843A16">
        <w:rPr>
          <w:rFonts w:eastAsia="Arial"/>
        </w:rPr>
        <w:t xml:space="preserve"> and revised its guidance </w:t>
      </w:r>
      <w:r>
        <w:rPr>
          <w:rFonts w:eastAsia="Arial"/>
        </w:rPr>
        <w:t xml:space="preserve">in 2023 </w:t>
      </w:r>
      <w:r w:rsidRPr="00843A16">
        <w:rPr>
          <w:rFonts w:eastAsia="Arial"/>
        </w:rPr>
        <w:t>to introduce more prescriptive requirements</w:t>
      </w:r>
      <w:r>
        <w:rPr>
          <w:rFonts w:eastAsia="Arial"/>
        </w:rPr>
        <w:t xml:space="preserve"> </w:t>
      </w:r>
      <w:r w:rsidR="005330DB">
        <w:rPr>
          <w:rFonts w:eastAsia="Arial"/>
        </w:rPr>
        <w:t>that</w:t>
      </w:r>
      <w:r>
        <w:rPr>
          <w:rFonts w:eastAsia="Arial"/>
        </w:rPr>
        <w:t xml:space="preserve"> </w:t>
      </w:r>
      <w:r w:rsidR="00FB4F0E">
        <w:rPr>
          <w:rFonts w:eastAsia="Arial"/>
        </w:rPr>
        <w:t xml:space="preserve">largely </w:t>
      </w:r>
      <w:r>
        <w:rPr>
          <w:rFonts w:eastAsia="Arial"/>
        </w:rPr>
        <w:t>align</w:t>
      </w:r>
      <w:r w:rsidR="00FB4F0E">
        <w:rPr>
          <w:rFonts w:eastAsia="Arial"/>
        </w:rPr>
        <w:t>ed</w:t>
      </w:r>
      <w:r>
        <w:rPr>
          <w:rFonts w:eastAsia="Arial"/>
        </w:rPr>
        <w:t xml:space="preserve"> with the BETA model</w:t>
      </w:r>
      <w:r w:rsidRPr="00843A16">
        <w:rPr>
          <w:rFonts w:eastAsia="Arial"/>
        </w:rPr>
        <w:t xml:space="preserve">. </w:t>
      </w:r>
    </w:p>
    <w:p w14:paraId="377A1D1C" w14:textId="25C10B58" w:rsidR="0008337D" w:rsidRPr="00843A16" w:rsidRDefault="0008337D" w:rsidP="0008337D">
      <w:pPr>
        <w:pStyle w:val="BoxHeading2"/>
      </w:pPr>
      <w:r>
        <w:t>Recommendation</w:t>
      </w:r>
    </w:p>
    <w:p w14:paraId="01022AFB" w14:textId="5B0A81F0" w:rsidR="00D96206" w:rsidRPr="00ED100A" w:rsidRDefault="00D96206" w:rsidP="0098771B">
      <w:pPr>
        <w:pStyle w:val="BoxBulletList"/>
        <w:rPr>
          <w:color w:val="005BA3"/>
        </w:rPr>
      </w:pPr>
      <w:r w:rsidRPr="00ED100A">
        <w:rPr>
          <w:b/>
          <w:color w:val="005BA3"/>
        </w:rPr>
        <w:t xml:space="preserve">Recommendation 6: </w:t>
      </w:r>
      <w:r w:rsidR="00ED100A" w:rsidRPr="00FF09E1">
        <w:rPr>
          <w:rFonts w:eastAsia="Arial"/>
          <w:color w:val="00437A" w:themeColor="accent4" w:themeShade="BF"/>
        </w:rPr>
        <w:t>(</w:t>
      </w:r>
      <w:r w:rsidR="00ED100A" w:rsidRPr="00F94966">
        <w:rPr>
          <w:rFonts w:ascii="Bauhaus 93" w:eastAsia="Arial" w:hAnsi="Bauhaus 93"/>
          <w:color w:val="0070C0"/>
        </w:rPr>
        <w:t>R</w:t>
      </w:r>
      <w:r w:rsidR="00ED100A" w:rsidRPr="00FF09E1">
        <w:rPr>
          <w:rFonts w:eastAsia="Arial"/>
          <w:color w:val="00437A" w:themeColor="accent4" w:themeShade="BF"/>
        </w:rPr>
        <w:t>)</w:t>
      </w:r>
      <w:r w:rsidR="00ED100A">
        <w:rPr>
          <w:rFonts w:eastAsia="Arial"/>
          <w:color w:val="00437A" w:themeColor="accent4" w:themeShade="BF"/>
        </w:rPr>
        <w:t xml:space="preserve"> </w:t>
      </w:r>
      <w:r w:rsidRPr="00ED100A">
        <w:rPr>
          <w:color w:val="005BA3"/>
        </w:rPr>
        <w:t xml:space="preserve">State and territory policy makers and regulators should adopt </w:t>
      </w:r>
      <w:r w:rsidR="00D2387E" w:rsidRPr="00ED100A">
        <w:rPr>
          <w:color w:val="005BA3"/>
        </w:rPr>
        <w:t xml:space="preserve">nationally </w:t>
      </w:r>
      <w:r w:rsidRPr="00ED100A">
        <w:rPr>
          <w:color w:val="005BA3"/>
        </w:rPr>
        <w:t>consistent and prescriptive requirements for activity statements</w:t>
      </w:r>
      <w:r w:rsidR="00516DBF" w:rsidRPr="00ED100A">
        <w:rPr>
          <w:color w:val="005BA3"/>
        </w:rPr>
        <w:t xml:space="preserve"> that</w:t>
      </w:r>
      <w:r w:rsidRPr="00ED100A">
        <w:rPr>
          <w:color w:val="005BA3"/>
        </w:rPr>
        <w:t xml:space="preserve"> align with the</w:t>
      </w:r>
      <w:r w:rsidR="004A4BD6" w:rsidRPr="00ED100A">
        <w:rPr>
          <w:color w:val="005BA3"/>
        </w:rPr>
        <w:t xml:space="preserve"> modified version of the</w:t>
      </w:r>
      <w:r w:rsidRPr="00ED100A">
        <w:rPr>
          <w:color w:val="005BA3"/>
        </w:rPr>
        <w:t xml:space="preserve"> BETA template and the requirements under the NPS. </w:t>
      </w:r>
    </w:p>
    <w:p w14:paraId="4BD7C799" w14:textId="03D0FE59" w:rsidR="008E700F" w:rsidRPr="00843A16" w:rsidRDefault="008E700F" w:rsidP="008E700F">
      <w:pPr>
        <w:pStyle w:val="BodyText"/>
      </w:pPr>
      <w:r w:rsidRPr="00843A16">
        <w:t xml:space="preserve">The activity statements measure requires that WSPs provide active customers with a monthly statement detailing their betting activity to assist them to monitor their wagering with that operator and to encourage self-reflection. The NPS required activity statements to be clear and </w:t>
      </w:r>
      <w:r w:rsidR="00AE50D7">
        <w:t xml:space="preserve">to </w:t>
      </w:r>
      <w:r w:rsidRPr="00843A16">
        <w:t xml:space="preserve">contain specific information on betting activity including expenditure, number of bets placed and wins and losses (DSS, 2018). </w:t>
      </w:r>
    </w:p>
    <w:p w14:paraId="30111E1C" w14:textId="78D8A1D8" w:rsidR="008E700F" w:rsidRPr="00843A16" w:rsidRDefault="008E700F" w:rsidP="008E700F">
      <w:pPr>
        <w:pStyle w:val="BodyText"/>
      </w:pPr>
      <w:r w:rsidRPr="00843A16">
        <w:t xml:space="preserve">Statements must be </w:t>
      </w:r>
      <w:r w:rsidR="00056D1B">
        <w:t>emailed</w:t>
      </w:r>
      <w:r w:rsidR="00056D1B" w:rsidRPr="00843A16">
        <w:t xml:space="preserve"> </w:t>
      </w:r>
      <w:r w:rsidRPr="00843A16">
        <w:t>each month</w:t>
      </w:r>
      <w:r w:rsidR="00562DDD">
        <w:t xml:space="preserve"> </w:t>
      </w:r>
      <w:r w:rsidR="00F94578">
        <w:t xml:space="preserve">that </w:t>
      </w:r>
      <w:r w:rsidR="00562DDD">
        <w:t xml:space="preserve">a customer </w:t>
      </w:r>
      <w:r w:rsidR="00390F76">
        <w:t>ha</w:t>
      </w:r>
      <w:r w:rsidR="008271AA">
        <w:t>s</w:t>
      </w:r>
      <w:r w:rsidR="00390F76">
        <w:t xml:space="preserve"> </w:t>
      </w:r>
      <w:r w:rsidR="00562DDD">
        <w:t>actively bet</w:t>
      </w:r>
      <w:r w:rsidRPr="00843A16">
        <w:t xml:space="preserve"> and be available on their </w:t>
      </w:r>
      <w:r w:rsidR="00F94578">
        <w:t xml:space="preserve">online </w:t>
      </w:r>
      <w:r w:rsidRPr="00843A16">
        <w:t>wagering account at any time. Additional provisions around access and the format of statements apply. WSPs must also provide customers with a record of their betting account transactions through their online ‘My Account’ window and upon request via email or post (DSS, 2018).</w:t>
      </w:r>
      <w:r w:rsidR="00EA004D" w:rsidRPr="00843A16">
        <w:t xml:space="preserve"> See</w:t>
      </w:r>
      <w:r w:rsidR="00137587">
        <w:t xml:space="preserve"> </w:t>
      </w:r>
      <w:hyperlink w:anchor="Table1" w:history="1">
        <w:r w:rsidR="00137587" w:rsidRPr="00137587">
          <w:rPr>
            <w:rStyle w:val="Hyperlink"/>
            <w:b/>
            <w:bCs/>
          </w:rPr>
          <w:t>Table 1</w:t>
        </w:r>
      </w:hyperlink>
      <w:r w:rsidR="00EA004D" w:rsidRPr="00843A16">
        <w:t xml:space="preserve"> for an overview of this measure as outlined in the NPS.</w:t>
      </w:r>
    </w:p>
    <w:p w14:paraId="1BBCF6BC" w14:textId="77777777" w:rsidR="008E700F" w:rsidRPr="00843A16" w:rsidRDefault="008E700F" w:rsidP="00074143">
      <w:pPr>
        <w:pStyle w:val="Heading4"/>
      </w:pPr>
      <w:r w:rsidRPr="00843A16">
        <w:t>Development and implementation</w:t>
      </w:r>
    </w:p>
    <w:p w14:paraId="3B52469D" w14:textId="6DFF5C72" w:rsidR="008E700F" w:rsidRPr="00843A16" w:rsidRDefault="008E700F" w:rsidP="008E700F">
      <w:pPr>
        <w:pStyle w:val="BodyText"/>
      </w:pPr>
      <w:r w:rsidRPr="00843A16">
        <w:t xml:space="preserve">All jurisdictions implemented activity statements largely in line with the NPS requirements. However, Victoria diverged slightly from other jurisdictions in 2023 by more tightly defining </w:t>
      </w:r>
      <w:r w:rsidR="0061212D">
        <w:t>a</w:t>
      </w:r>
      <w:r w:rsidRPr="00843A16">
        <w:t xml:space="preserve">ctivity </w:t>
      </w:r>
      <w:r w:rsidR="0061212D">
        <w:t>s</w:t>
      </w:r>
      <w:r w:rsidRPr="00843A16">
        <w:t xml:space="preserve">tatement requirements (DSS, 2018; VGCCC, 2024). </w:t>
      </w:r>
    </w:p>
    <w:p w14:paraId="5E6BD757" w14:textId="4B666571" w:rsidR="008E700F" w:rsidRPr="00843A16" w:rsidRDefault="008E700F" w:rsidP="008E700F">
      <w:pPr>
        <w:pStyle w:val="BodyText"/>
      </w:pPr>
      <w:r w:rsidRPr="00843A16">
        <w:t xml:space="preserve">This measure was intended to be implemented within 18 months from the commencement of the NCPF </w:t>
      </w:r>
      <w:r w:rsidR="009555E2">
        <w:t>(</w:t>
      </w:r>
      <w:r w:rsidRPr="00843A16">
        <w:t>by May 2020</w:t>
      </w:r>
      <w:r w:rsidR="009555E2">
        <w:t>)</w:t>
      </w:r>
      <w:r w:rsidRPr="00843A16">
        <w:t>. The date of effect in most jurisdictions was July 2022, with WSPs in some jurisdictions granted further extensions</w:t>
      </w:r>
      <w:r w:rsidR="00F26BBE">
        <w:t xml:space="preserve"> to later in 2022</w:t>
      </w:r>
      <w:r w:rsidRPr="00843A16">
        <w:t xml:space="preserve">. Delays were due to needing to commission research to inform the implementation of the measure </w:t>
      </w:r>
      <w:r w:rsidR="00732E3F">
        <w:t xml:space="preserve">(BETA, 2020) </w:t>
      </w:r>
      <w:r w:rsidRPr="00843A16">
        <w:t>and extended consultation with industry.</w:t>
      </w:r>
    </w:p>
    <w:p w14:paraId="6A310A6E" w14:textId="77777777" w:rsidR="008E700F" w:rsidRPr="00843A16" w:rsidRDefault="008E700F" w:rsidP="00074143">
      <w:pPr>
        <w:pStyle w:val="Heading4"/>
      </w:pPr>
      <w:r w:rsidRPr="00843A16">
        <w:lastRenderedPageBreak/>
        <w:t>Measure consistency</w:t>
      </w:r>
    </w:p>
    <w:p w14:paraId="766A1864" w14:textId="5E4FDC48" w:rsidR="008E700F" w:rsidRPr="00843A16" w:rsidRDefault="008E700F" w:rsidP="008E700F">
      <w:pPr>
        <w:pStyle w:val="BodyText"/>
      </w:pPr>
      <w:r w:rsidRPr="00843A16">
        <w:t>Australia’s approach to online wagering activity statements was a world</w:t>
      </w:r>
      <w:r w:rsidR="00244E4E">
        <w:t xml:space="preserve"> </w:t>
      </w:r>
      <w:r w:rsidRPr="00843A16">
        <w:t>first (FCA, 2023).</w:t>
      </w:r>
      <w:r w:rsidR="00301746">
        <w:t xml:space="preserve"> </w:t>
      </w:r>
      <w:r w:rsidRPr="00843A16">
        <w:t xml:space="preserve">The measure was primarily informed by a commissioned research project undertaken by </w:t>
      </w:r>
      <w:r w:rsidR="00716239">
        <w:t xml:space="preserve">the </w:t>
      </w:r>
      <w:r w:rsidR="00234403">
        <w:t xml:space="preserve">BETA </w:t>
      </w:r>
      <w:r w:rsidRPr="00843A16">
        <w:t xml:space="preserve">(BETA, 2020). The resulting report found evidence that viewing activity statements led to reduced amounts </w:t>
      </w:r>
      <w:r w:rsidR="000F1BED">
        <w:t xml:space="preserve">being </w:t>
      </w:r>
      <w:r w:rsidRPr="00843A16">
        <w:t xml:space="preserve">wagered and that participants in the research strongly supported receiving monthly activity statements. The BETA prototype was updated to incorporate feedback received from </w:t>
      </w:r>
      <w:r w:rsidR="00322F1E">
        <w:t>WSPs</w:t>
      </w:r>
      <w:r w:rsidRPr="00843A16">
        <w:t xml:space="preserve"> and peak bodies. </w:t>
      </w:r>
    </w:p>
    <w:p w14:paraId="5F36ACE3" w14:textId="75471275" w:rsidR="008E700F" w:rsidRPr="00843A16" w:rsidRDefault="008E700F" w:rsidP="008E700F">
      <w:pPr>
        <w:pStyle w:val="BodyText"/>
      </w:pPr>
      <w:r w:rsidRPr="00843A16">
        <w:t xml:space="preserve">The BETA prototype was not </w:t>
      </w:r>
      <w:r w:rsidR="00C94E48">
        <w:t>mandated for</w:t>
      </w:r>
      <w:r w:rsidRPr="00843A16">
        <w:t xml:space="preserve"> WSPs but</w:t>
      </w:r>
      <w:r w:rsidR="00C94E48">
        <w:t xml:space="preserve"> instead</w:t>
      </w:r>
      <w:r w:rsidRPr="00843A16">
        <w:t xml:space="preserve"> promoted as a best practice template in the guidelines</w:t>
      </w:r>
      <w:r w:rsidR="00BF29A5" w:rsidRPr="00843A16">
        <w:t xml:space="preserve"> issued by DSS</w:t>
      </w:r>
      <w:r w:rsidRPr="00843A16">
        <w:t>, as well as in state guidelines for operators (DSS, 201</w:t>
      </w:r>
      <w:r w:rsidR="00F87055" w:rsidRPr="00843A16">
        <w:t>7</w:t>
      </w:r>
      <w:r w:rsidRPr="00843A16">
        <w:t>; 2018). Providers</w:t>
      </w:r>
      <w:r w:rsidRPr="00843A16" w:rsidDel="00C255DB">
        <w:t xml:space="preserve"> </w:t>
      </w:r>
      <w:r w:rsidR="00C255DB" w:rsidRPr="00843A16">
        <w:t xml:space="preserve">that </w:t>
      </w:r>
      <w:r w:rsidRPr="00843A16">
        <w:t>wanted to use a different format had to ensure their design was compliant with the NPS principles for activity statements.</w:t>
      </w:r>
    </w:p>
    <w:p w14:paraId="4F936458" w14:textId="1632BD3F" w:rsidR="008E700F" w:rsidRPr="00843A16" w:rsidRDefault="008E700F" w:rsidP="008E700F">
      <w:pPr>
        <w:pStyle w:val="BodyText"/>
      </w:pPr>
      <w:r w:rsidRPr="00843A16">
        <w:t xml:space="preserve">One interviewed regulator noted that mandating the BETA prototype was considered by the </w:t>
      </w:r>
      <w:r w:rsidR="003E0842">
        <w:t>I</w:t>
      </w:r>
      <w:r w:rsidR="002A6220">
        <w:t>CG</w:t>
      </w:r>
      <w:r w:rsidRPr="00843A16">
        <w:t xml:space="preserve"> but did not </w:t>
      </w:r>
      <w:r w:rsidR="00717218">
        <w:t>proceed</w:t>
      </w:r>
      <w:r w:rsidR="006F2C19">
        <w:t xml:space="preserve"> and that a</w:t>
      </w:r>
      <w:r w:rsidRPr="00843A16">
        <w:t xml:space="preserve"> more prescriptive model may have improved the consistency of activity statements. Most stakeholders interviewed supported the principle of increased consistency for this measure.</w:t>
      </w:r>
    </w:p>
    <w:p w14:paraId="647D62AD" w14:textId="19752299" w:rsidR="008E700F" w:rsidRPr="00843A16" w:rsidRDefault="008E700F" w:rsidP="008E700F">
      <w:pPr>
        <w:pStyle w:val="Quote"/>
      </w:pPr>
      <w:r w:rsidRPr="00843A16">
        <w:t>The activity statements started off well</w:t>
      </w:r>
      <w:r w:rsidR="000112CF">
        <w:t xml:space="preserve"> </w:t>
      </w:r>
      <w:r w:rsidRPr="00843A16">
        <w:t>...</w:t>
      </w:r>
      <w:r w:rsidR="000112CF">
        <w:t xml:space="preserve"> </w:t>
      </w:r>
      <w:r w:rsidRPr="00843A16">
        <w:t xml:space="preserve">we were </w:t>
      </w:r>
      <w:proofErr w:type="gramStart"/>
      <w:r w:rsidRPr="00843A16">
        <w:t>actually designing</w:t>
      </w:r>
      <w:proofErr w:type="gramEnd"/>
      <w:r w:rsidRPr="00843A16">
        <w:t xml:space="preserve"> a pro forma that we wanted all operators to use. And then they loosened that</w:t>
      </w:r>
      <w:r w:rsidR="000112CF">
        <w:t xml:space="preserve"> </w:t>
      </w:r>
      <w:r w:rsidRPr="00843A16">
        <w:t>...</w:t>
      </w:r>
      <w:r w:rsidR="000112CF">
        <w:t xml:space="preserve"> </w:t>
      </w:r>
      <w:r w:rsidRPr="00843A16">
        <w:t xml:space="preserve">but I think operators would have appreciated an actual pro forma they could have used that was consistent across the board. </w:t>
      </w:r>
      <w:r w:rsidR="000112CF">
        <w:t>(</w:t>
      </w:r>
      <w:r w:rsidRPr="00843A16">
        <w:t xml:space="preserve">Policy &amp; </w:t>
      </w:r>
      <w:r w:rsidR="000112CF" w:rsidRPr="00843A16">
        <w:t>regulation stakeholders</w:t>
      </w:r>
      <w:r w:rsidRPr="00843A16">
        <w:t xml:space="preserve">, </w:t>
      </w:r>
      <w:r w:rsidR="00B95535">
        <w:t>s</w:t>
      </w:r>
      <w:r w:rsidR="00BB6B2C">
        <w:t>tate/territory government</w:t>
      </w:r>
      <w:r w:rsidR="000112CF">
        <w:t>)</w:t>
      </w:r>
    </w:p>
    <w:p w14:paraId="56157495" w14:textId="0F0B4B73" w:rsidR="00165F76" w:rsidRDefault="008E700F" w:rsidP="008E700F">
      <w:pPr>
        <w:pStyle w:val="BodyText"/>
      </w:pPr>
      <w:r w:rsidRPr="00843A16">
        <w:t>Several regulators noted activity statements had significant inconsistencies across WSPs. One</w:t>
      </w:r>
      <w:r w:rsidR="00EC6C2A">
        <w:t> </w:t>
      </w:r>
      <w:r w:rsidRPr="00843A16">
        <w:t xml:space="preserve">area of inconsistency was how bonus bets and inducements are presented. In several activity statements provided to the AGRC, the distinction between inducements provided by WSPs and money spent by consumers on wagering was not clear. </w:t>
      </w:r>
    </w:p>
    <w:p w14:paraId="52D6EA4B" w14:textId="56AF3C16" w:rsidR="008E700F" w:rsidRPr="00843A16" w:rsidRDefault="00341B24" w:rsidP="008E700F">
      <w:pPr>
        <w:pStyle w:val="BodyText"/>
      </w:pPr>
      <w:r>
        <w:t>T</w:t>
      </w:r>
      <w:r w:rsidR="008E700F" w:rsidRPr="00843A16">
        <w:t xml:space="preserve">he NPS (DSS, 2018) </w:t>
      </w:r>
      <w:r>
        <w:t xml:space="preserve">did </w:t>
      </w:r>
      <w:r w:rsidR="008E700F" w:rsidRPr="00843A16">
        <w:t>not provid</w:t>
      </w:r>
      <w:r w:rsidR="00165F76">
        <w:t>e</w:t>
      </w:r>
      <w:r w:rsidR="008E700F" w:rsidRPr="00843A16">
        <w:t xml:space="preserve"> any guidance on how </w:t>
      </w:r>
      <w:r w:rsidR="00A775F6">
        <w:t>inducements</w:t>
      </w:r>
      <w:r w:rsidR="008E700F" w:rsidRPr="00843A16">
        <w:t xml:space="preserve"> should be treated in activity statements.</w:t>
      </w:r>
      <w:r w:rsidR="00165F76">
        <w:t xml:space="preserve"> </w:t>
      </w:r>
      <w:r w:rsidR="008E700F" w:rsidRPr="00843A16">
        <w:t>Several WSPs stated</w:t>
      </w:r>
      <w:r w:rsidR="00BA7F14">
        <w:t xml:space="preserve"> that</w:t>
      </w:r>
      <w:r w:rsidR="008E700F" w:rsidRPr="00843A16">
        <w:t xml:space="preserve"> th</w:t>
      </w:r>
      <w:r w:rsidR="00B51738">
        <w:t>is</w:t>
      </w:r>
      <w:r w:rsidR="008E700F" w:rsidRPr="00843A16">
        <w:t xml:space="preserve"> lack of guidance increased their compliance burden. Some interviewees also noted that this may mislead consumers about their real wagering losses.</w:t>
      </w:r>
    </w:p>
    <w:p w14:paraId="19E725D3" w14:textId="247CE0C4" w:rsidR="008E700F" w:rsidRPr="00843A16" w:rsidRDefault="008E700F" w:rsidP="008E700F">
      <w:pPr>
        <w:pStyle w:val="Quote"/>
      </w:pPr>
      <w:r w:rsidRPr="00843A16">
        <w:rPr>
          <w:rStyle w:val="Strong"/>
          <w:b w:val="0"/>
          <w:bCs w:val="0"/>
        </w:rPr>
        <w:t>The feedback [from clients] is that some activity statements are not that easy to read</w:t>
      </w:r>
      <w:r w:rsidR="00F43DB8">
        <w:rPr>
          <w:rStyle w:val="Strong"/>
          <w:b w:val="0"/>
          <w:bCs w:val="0"/>
        </w:rPr>
        <w:t xml:space="preserve"> </w:t>
      </w:r>
      <w:r w:rsidRPr="00843A16">
        <w:rPr>
          <w:rStyle w:val="Strong"/>
          <w:b w:val="0"/>
          <w:bCs w:val="0"/>
        </w:rPr>
        <w:t>…</w:t>
      </w:r>
      <w:r w:rsidR="00F43DB8">
        <w:rPr>
          <w:rStyle w:val="Strong"/>
          <w:b w:val="0"/>
          <w:bCs w:val="0"/>
        </w:rPr>
        <w:t xml:space="preserve"> </w:t>
      </w:r>
      <w:r w:rsidRPr="00843A16">
        <w:rPr>
          <w:rStyle w:val="Strong"/>
          <w:b w:val="0"/>
          <w:bCs w:val="0"/>
        </w:rPr>
        <w:t>it depends on which company</w:t>
      </w:r>
      <w:r w:rsidR="00F43DB8">
        <w:rPr>
          <w:rStyle w:val="Strong"/>
          <w:b w:val="0"/>
          <w:bCs w:val="0"/>
        </w:rPr>
        <w:t>,</w:t>
      </w:r>
      <w:r w:rsidRPr="00843A16">
        <w:rPr>
          <w:rStyle w:val="Strong"/>
          <w:b w:val="0"/>
          <w:bCs w:val="0"/>
        </w:rPr>
        <w:t xml:space="preserve"> some activity statements can be sending the wrong information. </w:t>
      </w:r>
      <w:proofErr w:type="gramStart"/>
      <w:r w:rsidRPr="00843A16">
        <w:rPr>
          <w:rStyle w:val="Strong"/>
          <w:b w:val="0"/>
          <w:bCs w:val="0"/>
        </w:rPr>
        <w:t>It</w:t>
      </w:r>
      <w:proofErr w:type="gramEnd"/>
      <w:r w:rsidRPr="00843A16">
        <w:rPr>
          <w:rStyle w:val="Strong"/>
          <w:b w:val="0"/>
          <w:bCs w:val="0"/>
        </w:rPr>
        <w:t xml:space="preserve"> [is] not clearly marking your real wins, [when] it could be your real losses. They [WSPs] include the bonus bets, free offers and free credit </w:t>
      </w:r>
      <w:r w:rsidR="00F43DB8" w:rsidRPr="00843A16">
        <w:rPr>
          <w:rStyle w:val="Strong"/>
          <w:b w:val="0"/>
          <w:bCs w:val="0"/>
        </w:rPr>
        <w:t>they</w:t>
      </w:r>
      <w:r w:rsidR="00F43DB8">
        <w:rPr>
          <w:rStyle w:val="Strong"/>
          <w:b w:val="0"/>
          <w:bCs w:val="0"/>
        </w:rPr>
        <w:t>’</w:t>
      </w:r>
      <w:r w:rsidR="00F43DB8" w:rsidRPr="00843A16">
        <w:rPr>
          <w:rStyle w:val="Strong"/>
          <w:b w:val="0"/>
          <w:bCs w:val="0"/>
        </w:rPr>
        <w:t xml:space="preserve">ve </w:t>
      </w:r>
      <w:r w:rsidRPr="00843A16">
        <w:rPr>
          <w:rStyle w:val="Strong"/>
          <w:b w:val="0"/>
          <w:bCs w:val="0"/>
        </w:rPr>
        <w:t xml:space="preserve">offered to you [in the activity statement] to make your losses look like </w:t>
      </w:r>
      <w:r w:rsidR="00F43DB8" w:rsidRPr="00843A16">
        <w:rPr>
          <w:rStyle w:val="Strong"/>
          <w:b w:val="0"/>
          <w:bCs w:val="0"/>
        </w:rPr>
        <w:t>they</w:t>
      </w:r>
      <w:r w:rsidR="00F43DB8">
        <w:rPr>
          <w:rStyle w:val="Strong"/>
          <w:b w:val="0"/>
          <w:bCs w:val="0"/>
        </w:rPr>
        <w:t>’</w:t>
      </w:r>
      <w:r w:rsidR="00F43DB8" w:rsidRPr="00843A16">
        <w:rPr>
          <w:rStyle w:val="Strong"/>
          <w:b w:val="0"/>
          <w:bCs w:val="0"/>
        </w:rPr>
        <w:t xml:space="preserve">re </w:t>
      </w:r>
      <w:r w:rsidRPr="00843A16">
        <w:rPr>
          <w:rStyle w:val="Strong"/>
          <w:b w:val="0"/>
          <w:bCs w:val="0"/>
        </w:rPr>
        <w:t xml:space="preserve">smaller than they really [are]. </w:t>
      </w:r>
      <w:r w:rsidR="00F43DB8">
        <w:rPr>
          <w:rStyle w:val="Strong"/>
          <w:b w:val="0"/>
          <w:bCs w:val="0"/>
        </w:rPr>
        <w:t>(</w:t>
      </w:r>
      <w:r w:rsidRPr="00843A16">
        <w:rPr>
          <w:rStyle w:val="Strong"/>
          <w:b w:val="0"/>
          <w:bCs w:val="0"/>
        </w:rPr>
        <w:t>Gambling help</w:t>
      </w:r>
      <w:r w:rsidR="00283A5C">
        <w:rPr>
          <w:rStyle w:val="Strong"/>
          <w:b w:val="0"/>
          <w:bCs w:val="0"/>
        </w:rPr>
        <w:t xml:space="preserve"> </w:t>
      </w:r>
      <w:r w:rsidRPr="00843A16">
        <w:rPr>
          <w:rStyle w:val="Strong"/>
          <w:b w:val="0"/>
          <w:bCs w:val="0"/>
        </w:rPr>
        <w:t>provider</w:t>
      </w:r>
      <w:r w:rsidR="00F43DB8">
        <w:rPr>
          <w:rStyle w:val="Strong"/>
          <w:b w:val="0"/>
          <w:bCs w:val="0"/>
        </w:rPr>
        <w:t>)</w:t>
      </w:r>
    </w:p>
    <w:p w14:paraId="53A2DCAE" w14:textId="758D03B6" w:rsidR="008E700F" w:rsidRPr="00843A16" w:rsidRDefault="008E700F" w:rsidP="008E700F">
      <w:pPr>
        <w:pStyle w:val="BodyText"/>
      </w:pPr>
      <w:r w:rsidRPr="00843A16">
        <w:t xml:space="preserve">There are also inconsistencies in the use of colour across operators, with brand colours often used in graphs. </w:t>
      </w:r>
      <w:r w:rsidR="008140CC">
        <w:t xml:space="preserve">Activity statements provided to the </w:t>
      </w:r>
      <w:proofErr w:type="gramStart"/>
      <w:r w:rsidR="008140CC">
        <w:t>AGRC</w:t>
      </w:r>
      <w:proofErr w:type="gramEnd"/>
      <w:r w:rsidRPr="00843A16">
        <w:t xml:space="preserve"> and the consumer interviews show operators also </w:t>
      </w:r>
      <w:r w:rsidR="00F842F1">
        <w:t>sometimes</w:t>
      </w:r>
      <w:r w:rsidR="00F842F1" w:rsidRPr="00843A16">
        <w:t xml:space="preserve"> </w:t>
      </w:r>
      <w:r w:rsidRPr="00843A16">
        <w:t xml:space="preserve">use green to show wins. This is contrary to the NPS </w:t>
      </w:r>
      <w:r w:rsidR="00A60391">
        <w:t>principle (numbered 47 in this report)</w:t>
      </w:r>
      <w:r w:rsidR="00E13481">
        <w:t>,</w:t>
      </w:r>
      <w:r w:rsidR="00A60391">
        <w:t xml:space="preserve"> </w:t>
      </w:r>
      <w:r w:rsidRPr="00843A16">
        <w:t xml:space="preserve">which establishes that statements </w:t>
      </w:r>
      <w:r w:rsidR="00E13481">
        <w:t>‘</w:t>
      </w:r>
      <w:r w:rsidRPr="00843A16">
        <w:rPr>
          <w:i/>
          <w:iCs/>
        </w:rPr>
        <w:t>should use red text to show losses and black to show wins (no use of green text)</w:t>
      </w:r>
      <w:r w:rsidR="00104B57">
        <w:t>’</w:t>
      </w:r>
      <w:r w:rsidRPr="00843A16">
        <w:t xml:space="preserve"> (DSS, 2018), although the </w:t>
      </w:r>
      <w:r w:rsidR="003917E2">
        <w:t>prescriptiveness</w:t>
      </w:r>
      <w:r w:rsidR="003917E2" w:rsidRPr="00843A16">
        <w:t xml:space="preserve"> </w:t>
      </w:r>
      <w:r w:rsidRPr="00843A16">
        <w:t xml:space="preserve">of the word ‘should’ is unclear. This </w:t>
      </w:r>
      <w:r w:rsidR="00DF0E67">
        <w:t xml:space="preserve">could </w:t>
      </w:r>
      <w:r w:rsidR="00F84549">
        <w:t>have con</w:t>
      </w:r>
      <w:r w:rsidR="00DF0E67">
        <w:t>tributed</w:t>
      </w:r>
      <w:r w:rsidR="00424402">
        <w:t xml:space="preserve"> to</w:t>
      </w:r>
      <w:r w:rsidR="00DF0E67">
        <w:t xml:space="preserve"> </w:t>
      </w:r>
      <w:r w:rsidR="0048078B">
        <w:t xml:space="preserve">guidance on activity statements having </w:t>
      </w:r>
      <w:r w:rsidRPr="00843A16">
        <w:t>been implemented differently across jurisdictions, with several substituting ‘must’ for ‘should’ (</w:t>
      </w:r>
      <w:r w:rsidR="00F84549">
        <w:t>s</w:t>
      </w:r>
      <w:r w:rsidR="00F84549" w:rsidRPr="00843A16">
        <w:t xml:space="preserve">ee </w:t>
      </w:r>
      <w:hyperlink w:anchor="AppendixETable13" w:history="1">
        <w:r w:rsidR="00A81DAF">
          <w:rPr>
            <w:rStyle w:val="Hyperlink"/>
            <w:b/>
            <w:bCs/>
          </w:rPr>
          <w:t>Table</w:t>
        </w:r>
        <w:r w:rsidR="005D4865">
          <w:rPr>
            <w:rStyle w:val="Hyperlink"/>
            <w:b/>
            <w:bCs/>
          </w:rPr>
          <w:t xml:space="preserve"> 13</w:t>
        </w:r>
        <w:r w:rsidR="00A81DAF">
          <w:rPr>
            <w:rStyle w:val="Hyperlink"/>
            <w:b/>
            <w:bCs/>
          </w:rPr>
          <w:t xml:space="preserve"> of Appendix E</w:t>
        </w:r>
      </w:hyperlink>
      <w:r w:rsidRPr="00843A16">
        <w:t xml:space="preserve">). </w:t>
      </w:r>
    </w:p>
    <w:p w14:paraId="6DCF26E1" w14:textId="5A32FCA9" w:rsidR="004D30F5" w:rsidRPr="002E1ACE" w:rsidRDefault="004D30F5" w:rsidP="008E700F">
      <w:pPr>
        <w:pStyle w:val="BodyText"/>
      </w:pPr>
      <w:r>
        <w:t xml:space="preserve">Further </w:t>
      </w:r>
      <w:r w:rsidR="007B5732">
        <w:t xml:space="preserve">jurisdictional </w:t>
      </w:r>
      <w:r>
        <w:t>inconsistencies were noted around</w:t>
      </w:r>
      <w:r w:rsidR="0041124B">
        <w:t xml:space="preserve"> </w:t>
      </w:r>
      <w:r w:rsidR="00812038">
        <w:t xml:space="preserve">whether </w:t>
      </w:r>
      <w:r w:rsidR="00C04BA5">
        <w:t xml:space="preserve">operators </w:t>
      </w:r>
      <w:r w:rsidR="00912694">
        <w:t>could</w:t>
      </w:r>
      <w:r w:rsidR="00C04BA5">
        <w:t xml:space="preserve"> </w:t>
      </w:r>
      <w:r w:rsidR="00812038">
        <w:t>ask for a</w:t>
      </w:r>
      <w:r w:rsidR="00E40E2A">
        <w:t xml:space="preserve"> password </w:t>
      </w:r>
      <w:r w:rsidR="00812038">
        <w:t>for a consumer</w:t>
      </w:r>
      <w:r w:rsidR="00E40E2A">
        <w:t xml:space="preserve"> </w:t>
      </w:r>
      <w:r w:rsidR="00A7028C">
        <w:t>to</w:t>
      </w:r>
      <w:r w:rsidR="00E40E2A">
        <w:t xml:space="preserve"> </w:t>
      </w:r>
      <w:r w:rsidR="00C04BA5">
        <w:t>access</w:t>
      </w:r>
      <w:r w:rsidR="00A7028C">
        <w:t xml:space="preserve"> their</w:t>
      </w:r>
      <w:r w:rsidR="00E40E2A">
        <w:t xml:space="preserve"> activity statements</w:t>
      </w:r>
      <w:r w:rsidR="00C04BA5">
        <w:t xml:space="preserve"> (</w:t>
      </w:r>
      <w:r w:rsidR="00F84549">
        <w:t xml:space="preserve">see </w:t>
      </w:r>
      <w:hyperlink w:anchor="AppendixETable14" w:history="1">
        <w:r w:rsidR="00A81DAF">
          <w:rPr>
            <w:rStyle w:val="Hyperlink"/>
            <w:b/>
            <w:bCs/>
          </w:rPr>
          <w:t>Table</w:t>
        </w:r>
        <w:r w:rsidR="005D4865">
          <w:rPr>
            <w:rStyle w:val="Hyperlink"/>
            <w:b/>
            <w:bCs/>
          </w:rPr>
          <w:t xml:space="preserve"> 14</w:t>
        </w:r>
        <w:r w:rsidR="00A81DAF">
          <w:rPr>
            <w:rStyle w:val="Hyperlink"/>
            <w:b/>
            <w:bCs/>
          </w:rPr>
          <w:t xml:space="preserve"> of Appendix E</w:t>
        </w:r>
      </w:hyperlink>
      <w:r w:rsidR="00C04BA5">
        <w:t xml:space="preserve">). </w:t>
      </w:r>
      <w:r w:rsidR="00AF4E65">
        <w:lastRenderedPageBreak/>
        <w:t>While several</w:t>
      </w:r>
      <w:r w:rsidR="00CF74BA">
        <w:t xml:space="preserve"> </w:t>
      </w:r>
      <w:r w:rsidR="00AF4E65">
        <w:t>interviewed consumers</w:t>
      </w:r>
      <w:r w:rsidR="00CF74BA">
        <w:t xml:space="preserve"> </w:t>
      </w:r>
      <w:r w:rsidR="00AA44F4">
        <w:t xml:space="preserve">saw the use of passwords as a barrier to </w:t>
      </w:r>
      <w:r w:rsidR="005173D7">
        <w:t>the use of</w:t>
      </w:r>
      <w:r w:rsidR="00AA44F4">
        <w:t xml:space="preserve"> activity statements,</w:t>
      </w:r>
      <w:r w:rsidR="00C507DF">
        <w:t xml:space="preserve"> WSPs </w:t>
      </w:r>
      <w:r w:rsidR="005173D7">
        <w:t>largely</w:t>
      </w:r>
      <w:r w:rsidR="00C507DF">
        <w:t xml:space="preserve"> </w:t>
      </w:r>
      <w:r w:rsidR="005173D7">
        <w:t>expressed</w:t>
      </w:r>
      <w:r w:rsidR="00C507DF">
        <w:t xml:space="preserve"> their support for </w:t>
      </w:r>
      <w:r w:rsidR="00AF4E65">
        <w:t>them</w:t>
      </w:r>
      <w:r w:rsidR="00B53145">
        <w:t xml:space="preserve"> as a privacy measure.</w:t>
      </w:r>
      <w:r w:rsidR="00E40E2A">
        <w:t xml:space="preserve"> </w:t>
      </w:r>
      <w:r w:rsidR="00ED031D">
        <w:t xml:space="preserve">This could be attributed to differing interpretations of </w:t>
      </w:r>
      <w:r w:rsidR="008A3087">
        <w:t xml:space="preserve">accessibility </w:t>
      </w:r>
      <w:r w:rsidR="002E1ACE">
        <w:t>as</w:t>
      </w:r>
      <w:r w:rsidR="008A3087">
        <w:t xml:space="preserve"> suggested by </w:t>
      </w:r>
      <w:r w:rsidR="002869F4">
        <w:t xml:space="preserve">the NPS principle </w:t>
      </w:r>
      <w:r w:rsidR="00835FE1">
        <w:t>(numbered 43 in this report)</w:t>
      </w:r>
      <w:r w:rsidR="002869F4">
        <w:t xml:space="preserve"> </w:t>
      </w:r>
      <w:r w:rsidR="00BC0968">
        <w:t xml:space="preserve">that activity statements </w:t>
      </w:r>
      <w:r w:rsidR="00F84549">
        <w:t>‘</w:t>
      </w:r>
      <w:r w:rsidR="00CF0EBC">
        <w:rPr>
          <w:i/>
          <w:iCs/>
        </w:rPr>
        <w:t>must be accessible by a customer</w:t>
      </w:r>
      <w:r w:rsidR="00F84549">
        <w:rPr>
          <w:i/>
          <w:iCs/>
        </w:rPr>
        <w:t xml:space="preserve"> </w:t>
      </w:r>
      <w:r w:rsidR="00E62F1D">
        <w:rPr>
          <w:i/>
          <w:iCs/>
        </w:rPr>
        <w:t>…</w:t>
      </w:r>
      <w:r w:rsidR="00F84549">
        <w:rPr>
          <w:i/>
          <w:iCs/>
        </w:rPr>
        <w:t xml:space="preserve"> </w:t>
      </w:r>
      <w:r w:rsidR="00E62F1D">
        <w:rPr>
          <w:i/>
          <w:iCs/>
        </w:rPr>
        <w:t>on request at any ti</w:t>
      </w:r>
      <w:r w:rsidR="00343642">
        <w:rPr>
          <w:i/>
          <w:iCs/>
        </w:rPr>
        <w:t>me by email</w:t>
      </w:r>
      <w:r w:rsidR="00F84549">
        <w:rPr>
          <w:i/>
          <w:iCs/>
        </w:rPr>
        <w:t xml:space="preserve">’ </w:t>
      </w:r>
      <w:r w:rsidR="002E1ACE">
        <w:t xml:space="preserve">(DSS, 2018). </w:t>
      </w:r>
    </w:p>
    <w:p w14:paraId="29F8CE90" w14:textId="77777777" w:rsidR="008E700F" w:rsidRPr="00843A16" w:rsidRDefault="008E700F" w:rsidP="00074143">
      <w:pPr>
        <w:pStyle w:val="Heading4"/>
      </w:pPr>
      <w:r w:rsidRPr="00843A16">
        <w:t>VGCCC measure review and changes</w:t>
      </w:r>
    </w:p>
    <w:p w14:paraId="49192B80" w14:textId="41792FA8" w:rsidR="008E700F" w:rsidRPr="00843A16" w:rsidRDefault="008E700F" w:rsidP="008E700F">
      <w:pPr>
        <w:pStyle w:val="BodyText"/>
        <w:jc w:val="both"/>
      </w:pPr>
      <w:r w:rsidRPr="00843A16">
        <w:t xml:space="preserve">In 2022, the VGCCC reviewed the activity statements </w:t>
      </w:r>
      <w:r w:rsidR="00F44A84">
        <w:t>used</w:t>
      </w:r>
      <w:r w:rsidRPr="00843A16">
        <w:t xml:space="preserve"> by several WSPs operating in Victoria. They identified many of the previously mentioned inconsistencies, such as the unclear treatment of inducements and the inconsistent use of </w:t>
      </w:r>
      <w:r w:rsidR="007514C5">
        <w:t xml:space="preserve">text </w:t>
      </w:r>
      <w:r w:rsidRPr="00843A16">
        <w:t>colour</w:t>
      </w:r>
      <w:r w:rsidR="007514C5">
        <w:t xml:space="preserve"> for wins and losses</w:t>
      </w:r>
      <w:r w:rsidRPr="00843A16">
        <w:t xml:space="preserve"> across WSPs (VGCCC, 2023). </w:t>
      </w:r>
    </w:p>
    <w:p w14:paraId="65A6A863" w14:textId="66C7932D" w:rsidR="008E700F" w:rsidRPr="00843A16" w:rsidRDefault="008E700F" w:rsidP="008E700F">
      <w:pPr>
        <w:pStyle w:val="BodyText"/>
      </w:pPr>
      <w:r w:rsidRPr="00843A16">
        <w:t>Victoria issued new guidance and expectation guidelines for WSPs to follow in 2023 (VGCCC, 2024). These guidelines are more prescriptive and were designed to ensure activity statements were closer to the BETA model, which remains an example template for WSPs to adopt. Changes include</w:t>
      </w:r>
      <w:r w:rsidR="00420D86">
        <w:t>d</w:t>
      </w:r>
      <w:r w:rsidRPr="00843A16">
        <w:t>:</w:t>
      </w:r>
    </w:p>
    <w:p w14:paraId="4596C477" w14:textId="21423018" w:rsidR="008E700F" w:rsidRPr="00843A16" w:rsidRDefault="00420D86" w:rsidP="008E700F">
      <w:pPr>
        <w:pStyle w:val="ListBullet"/>
      </w:pPr>
      <w:r>
        <w:t>r</w:t>
      </w:r>
      <w:r w:rsidRPr="00843A16">
        <w:t xml:space="preserve">equiring </w:t>
      </w:r>
      <w:r w:rsidR="008E700F" w:rsidRPr="00843A16">
        <w:t xml:space="preserve">operators </w:t>
      </w:r>
      <w:r w:rsidR="00446B14">
        <w:t xml:space="preserve">to </w:t>
      </w:r>
      <w:r w:rsidR="008E700F" w:rsidRPr="00843A16">
        <w:t>distinguish between financial inducements and other losses incurred by consumers</w:t>
      </w:r>
    </w:p>
    <w:p w14:paraId="43FBF5A7" w14:textId="28787BC4" w:rsidR="008E700F" w:rsidRPr="00843A16" w:rsidRDefault="00420D86" w:rsidP="008E700F">
      <w:pPr>
        <w:pStyle w:val="ListBullet"/>
      </w:pPr>
      <w:r>
        <w:t>m</w:t>
      </w:r>
      <w:r w:rsidRPr="00843A16">
        <w:t xml:space="preserve">andating </w:t>
      </w:r>
      <w:r w:rsidR="008E700F" w:rsidRPr="00843A16">
        <w:t xml:space="preserve">the use of black for wins and red for losses, with green expressly </w:t>
      </w:r>
      <w:r w:rsidR="00603736">
        <w:t>prohibited</w:t>
      </w:r>
    </w:p>
    <w:p w14:paraId="340BDB24" w14:textId="3130CF05" w:rsidR="008E700F" w:rsidRPr="00843A16" w:rsidRDefault="00420D86" w:rsidP="008E700F">
      <w:pPr>
        <w:pStyle w:val="ListBullet"/>
      </w:pPr>
      <w:r>
        <w:t>r</w:t>
      </w:r>
      <w:r w:rsidRPr="00843A16">
        <w:t xml:space="preserve">equiring </w:t>
      </w:r>
      <w:r w:rsidR="008E700F" w:rsidRPr="00843A16">
        <w:t xml:space="preserve">activity statements </w:t>
      </w:r>
      <w:r w:rsidR="0049795C">
        <w:t xml:space="preserve">to </w:t>
      </w:r>
      <w:r w:rsidR="008E700F" w:rsidRPr="00843A16">
        <w:t xml:space="preserve">rotate the safer gambling taglines introduced under the CGM measure. </w:t>
      </w:r>
    </w:p>
    <w:p w14:paraId="45E2B4E4" w14:textId="3EE3A9D1" w:rsidR="008E700F" w:rsidRPr="00843A16" w:rsidRDefault="008E700F" w:rsidP="008E700F">
      <w:pPr>
        <w:pStyle w:val="BodyText"/>
      </w:pPr>
      <w:r w:rsidRPr="00843A16">
        <w:t>Other regulators stated they believed that these changes would also impact the activity statements offered in their jurisdictions as WSPs would have to alter their activity statements to comply with Victoria’s PoC model. However, interviewed WSPs and the activity statements provided to the AGRC show the Victorian changes have not been adopted by all WSPs</w:t>
      </w:r>
      <w:r w:rsidR="001818F0">
        <w:t xml:space="preserve"> in other jurisdictions</w:t>
      </w:r>
      <w:r w:rsidRPr="00843A16">
        <w:t xml:space="preserve">. </w:t>
      </w:r>
    </w:p>
    <w:p w14:paraId="25426D3D" w14:textId="0558FE85" w:rsidR="008E700F" w:rsidRPr="00843A16" w:rsidRDefault="008E700F" w:rsidP="008E700F">
      <w:pPr>
        <w:pStyle w:val="Quote"/>
      </w:pPr>
      <w:r w:rsidRPr="00843A16">
        <w:t xml:space="preserve">We’re now in a situation where if you’re in Victoria you get a particular form of activity statement and if you’re in any other state or territory then get a different form to the Victorian one. </w:t>
      </w:r>
      <w:r w:rsidR="000D6FA5">
        <w:t>(</w:t>
      </w:r>
      <w:r w:rsidRPr="00843A16">
        <w:t>WSP, medium betting exchange, NT licensed</w:t>
      </w:r>
      <w:r w:rsidR="000D6FA5">
        <w:t>)</w:t>
      </w:r>
    </w:p>
    <w:p w14:paraId="2C70C72C" w14:textId="05DCCF27" w:rsidR="008E700F" w:rsidRPr="00843A16" w:rsidRDefault="008E700F" w:rsidP="00074143">
      <w:pPr>
        <w:pStyle w:val="Heading3"/>
      </w:pPr>
      <w:bookmarkStart w:id="120" w:name="_Toc233643306"/>
      <w:r w:rsidRPr="00843A16">
        <w:t xml:space="preserve">Consistent </w:t>
      </w:r>
      <w:r w:rsidR="000D6FA5" w:rsidRPr="00843A16">
        <w:t>gambling messaging</w:t>
      </w:r>
      <w:bookmarkEnd w:id="120"/>
    </w:p>
    <w:p w14:paraId="01380287" w14:textId="77777777" w:rsidR="00D96206" w:rsidRPr="00B422D8" w:rsidRDefault="00D96206" w:rsidP="007A60DE">
      <w:pPr>
        <w:pStyle w:val="BoxHeading2"/>
      </w:pPr>
      <w:r w:rsidRPr="00843A16">
        <w:t>Key findings</w:t>
      </w:r>
    </w:p>
    <w:p w14:paraId="5CC59A5B" w14:textId="61E5DCC3" w:rsidR="00D96206" w:rsidRDefault="00D96206" w:rsidP="0004207B">
      <w:pPr>
        <w:pStyle w:val="BoxBulletList"/>
        <w:rPr>
          <w:rFonts w:eastAsia="Arial"/>
        </w:rPr>
      </w:pPr>
      <w:r>
        <w:rPr>
          <w:rFonts w:eastAsia="Arial"/>
        </w:rPr>
        <w:t xml:space="preserve">There were delays in implementing the CGM measure due to </w:t>
      </w:r>
      <w:r w:rsidR="00A23CCE">
        <w:rPr>
          <w:rFonts w:eastAsia="Arial"/>
        </w:rPr>
        <w:t xml:space="preserve">a dependency on the completion of </w:t>
      </w:r>
      <w:r>
        <w:rPr>
          <w:rFonts w:eastAsia="Arial"/>
        </w:rPr>
        <w:t xml:space="preserve">3 research studies </w:t>
      </w:r>
      <w:r w:rsidR="00A23CCE">
        <w:rPr>
          <w:rFonts w:eastAsia="Arial"/>
        </w:rPr>
        <w:t xml:space="preserve">commissioned by </w:t>
      </w:r>
      <w:r w:rsidR="00C742C3">
        <w:rPr>
          <w:rFonts w:eastAsia="Arial"/>
        </w:rPr>
        <w:t xml:space="preserve">the </w:t>
      </w:r>
      <w:r w:rsidR="00A23CCE">
        <w:rPr>
          <w:rFonts w:eastAsia="Arial"/>
        </w:rPr>
        <w:t xml:space="preserve">DSS </w:t>
      </w:r>
      <w:r>
        <w:rPr>
          <w:rFonts w:eastAsia="Arial"/>
        </w:rPr>
        <w:t>to inform its design.</w:t>
      </w:r>
    </w:p>
    <w:p w14:paraId="23BF806F" w14:textId="375BB487" w:rsidR="00D96206" w:rsidRDefault="00D96206" w:rsidP="0004207B">
      <w:pPr>
        <w:pStyle w:val="BoxBulletList"/>
        <w:rPr>
          <w:rFonts w:eastAsia="Arial"/>
        </w:rPr>
      </w:pPr>
      <w:r>
        <w:rPr>
          <w:rFonts w:eastAsia="Arial"/>
        </w:rPr>
        <w:t xml:space="preserve">Additional guidance was provided to WSPs on when the CGM taglines needed to be displayed and the volume and tone at which CGM </w:t>
      </w:r>
      <w:r w:rsidR="00C742C3">
        <w:rPr>
          <w:rFonts w:eastAsia="Arial"/>
        </w:rPr>
        <w:t xml:space="preserve">were to be </w:t>
      </w:r>
      <w:r>
        <w:rPr>
          <w:rFonts w:eastAsia="Arial"/>
        </w:rPr>
        <w:t xml:space="preserve">delivered after the initial implementation of the measure. </w:t>
      </w:r>
    </w:p>
    <w:p w14:paraId="04AEEC6F" w14:textId="3AB1FEB0" w:rsidR="00D96206" w:rsidRPr="00843A16" w:rsidRDefault="00D96206" w:rsidP="0004207B">
      <w:pPr>
        <w:pStyle w:val="BoxBulletList"/>
        <w:rPr>
          <w:rFonts w:eastAsia="Arial"/>
        </w:rPr>
      </w:pPr>
      <w:r w:rsidRPr="00843A16">
        <w:rPr>
          <w:rFonts w:eastAsia="Arial"/>
        </w:rPr>
        <w:t xml:space="preserve">CGM </w:t>
      </w:r>
      <w:r>
        <w:rPr>
          <w:rFonts w:eastAsia="Arial"/>
        </w:rPr>
        <w:t xml:space="preserve">implementation </w:t>
      </w:r>
      <w:r w:rsidR="00BA702A">
        <w:rPr>
          <w:rFonts w:eastAsia="Arial"/>
        </w:rPr>
        <w:t xml:space="preserve">by WSPs </w:t>
      </w:r>
      <w:r>
        <w:rPr>
          <w:rFonts w:eastAsia="Arial"/>
        </w:rPr>
        <w:t xml:space="preserve">is not fully consistent with the guidance provided by jurisdictions. Clarifying this guidance is expected to improve the impact of CGM. </w:t>
      </w:r>
    </w:p>
    <w:p w14:paraId="45B10417" w14:textId="33CD2312" w:rsidR="00D96206" w:rsidRDefault="00D96206" w:rsidP="0004207B">
      <w:pPr>
        <w:pStyle w:val="BoxBulletList"/>
        <w:rPr>
          <w:rFonts w:eastAsia="Arial"/>
        </w:rPr>
      </w:pPr>
      <w:r>
        <w:rPr>
          <w:rFonts w:eastAsia="Arial"/>
        </w:rPr>
        <w:t xml:space="preserve">Consumers were more likely to be aware of and use protective measures when they appeared as calls to action in CGM. </w:t>
      </w:r>
    </w:p>
    <w:p w14:paraId="5718733F" w14:textId="4BA322AC" w:rsidR="00C64390" w:rsidRPr="00843A16" w:rsidRDefault="00EE613E" w:rsidP="00C64390">
      <w:pPr>
        <w:pStyle w:val="BoxHeading2"/>
      </w:pPr>
      <w:r>
        <w:t>Recommendations</w:t>
      </w:r>
    </w:p>
    <w:p w14:paraId="32F6AED0" w14:textId="5E7010B6" w:rsidR="00D96206" w:rsidRPr="00ED100A" w:rsidRDefault="00D96206" w:rsidP="009C1BF9">
      <w:pPr>
        <w:pStyle w:val="BoxBulletList"/>
        <w:rPr>
          <w:rFonts w:eastAsia="Arial"/>
          <w:color w:val="005BA3"/>
        </w:rPr>
      </w:pPr>
      <w:r w:rsidRPr="00ED100A">
        <w:rPr>
          <w:rFonts w:eastAsia="Arial"/>
          <w:b/>
          <w:color w:val="005BA3"/>
        </w:rPr>
        <w:t xml:space="preserve">Recommendation 7a: </w:t>
      </w:r>
      <w:r w:rsidR="00ED100A" w:rsidRPr="00FF09E1">
        <w:rPr>
          <w:rFonts w:eastAsia="Arial"/>
          <w:color w:val="00437A" w:themeColor="accent4" w:themeShade="BF"/>
        </w:rPr>
        <w:t>(</w:t>
      </w:r>
      <w:r w:rsidR="00ED100A" w:rsidRPr="00F94966">
        <w:rPr>
          <w:rFonts w:ascii="Bauhaus 93" w:eastAsia="Arial" w:hAnsi="Bauhaus 93"/>
          <w:color w:val="0070C0"/>
        </w:rPr>
        <w:t>R</w:t>
      </w:r>
      <w:r w:rsidR="00ED100A" w:rsidRPr="00FF09E1">
        <w:rPr>
          <w:rFonts w:eastAsia="Arial"/>
          <w:color w:val="00437A" w:themeColor="accent4" w:themeShade="BF"/>
        </w:rPr>
        <w:t>)</w:t>
      </w:r>
      <w:r w:rsidR="00ED100A">
        <w:rPr>
          <w:rFonts w:eastAsia="Arial"/>
          <w:color w:val="00437A" w:themeColor="accent4" w:themeShade="BF"/>
        </w:rPr>
        <w:t xml:space="preserve"> </w:t>
      </w:r>
      <w:r w:rsidRPr="00ED100A">
        <w:rPr>
          <w:rFonts w:eastAsia="Arial"/>
          <w:color w:val="005BA3"/>
        </w:rPr>
        <w:t xml:space="preserve">State and territory policy makers and regulators should refine guidance on CGM requirements to support </w:t>
      </w:r>
      <w:r w:rsidR="006E0416" w:rsidRPr="00ED100A">
        <w:rPr>
          <w:rFonts w:eastAsia="Arial"/>
          <w:color w:val="005BA3"/>
        </w:rPr>
        <w:t xml:space="preserve">nationally </w:t>
      </w:r>
      <w:r w:rsidRPr="00ED100A">
        <w:rPr>
          <w:rFonts w:eastAsia="Arial"/>
          <w:color w:val="005BA3"/>
        </w:rPr>
        <w:t xml:space="preserve">consistent adoption by WSPs. </w:t>
      </w:r>
    </w:p>
    <w:p w14:paraId="3C9D2DD7" w14:textId="6DF5E3B4" w:rsidR="00D96206" w:rsidRPr="00ED100A" w:rsidRDefault="00D96206" w:rsidP="009C1BF9">
      <w:pPr>
        <w:pStyle w:val="BoxBulletList"/>
        <w:rPr>
          <w:rFonts w:eastAsia="Arial"/>
          <w:color w:val="005BA3"/>
        </w:rPr>
      </w:pPr>
      <w:r w:rsidRPr="00ED100A">
        <w:rPr>
          <w:rFonts w:eastAsia="Arial"/>
          <w:b/>
          <w:color w:val="005BA3"/>
        </w:rPr>
        <w:lastRenderedPageBreak/>
        <w:t>Recommendation 7b</w:t>
      </w:r>
      <w:r w:rsidRPr="00ED100A">
        <w:rPr>
          <w:rFonts w:eastAsia="Arial"/>
          <w:color w:val="005BA3"/>
        </w:rPr>
        <w:t xml:space="preserve">: </w:t>
      </w:r>
      <w:r w:rsidR="00ED100A" w:rsidRPr="00FF09E1">
        <w:rPr>
          <w:rFonts w:eastAsia="Arial"/>
          <w:color w:val="00437A" w:themeColor="accent4" w:themeShade="BF"/>
        </w:rPr>
        <w:t>(</w:t>
      </w:r>
      <w:r w:rsidR="00ED100A" w:rsidRPr="00F94966">
        <w:rPr>
          <w:rFonts w:ascii="Bauhaus 93" w:eastAsia="Arial" w:hAnsi="Bauhaus 93"/>
          <w:color w:val="0070C0"/>
        </w:rPr>
        <w:t>R</w:t>
      </w:r>
      <w:r w:rsidR="00ED100A" w:rsidRPr="00FF09E1">
        <w:rPr>
          <w:rFonts w:eastAsia="Arial"/>
          <w:color w:val="00437A" w:themeColor="accent4" w:themeShade="BF"/>
        </w:rPr>
        <w:t>)</w:t>
      </w:r>
      <w:r w:rsidR="00ED100A">
        <w:rPr>
          <w:rFonts w:eastAsia="Arial"/>
          <w:color w:val="00437A" w:themeColor="accent4" w:themeShade="BF"/>
        </w:rPr>
        <w:t xml:space="preserve"> </w:t>
      </w:r>
      <w:r w:rsidRPr="00ED100A">
        <w:rPr>
          <w:rFonts w:eastAsia="Arial"/>
          <w:color w:val="005BA3"/>
        </w:rPr>
        <w:t xml:space="preserve">CGM taglines should place more emphasis on calls to action to encourage greater use of consumer protection tools. </w:t>
      </w:r>
    </w:p>
    <w:p w14:paraId="727A1357" w14:textId="6EEBD789" w:rsidR="008E700F" w:rsidRPr="00843A16" w:rsidRDefault="008E700F" w:rsidP="00CF6D5E">
      <w:pPr>
        <w:pStyle w:val="BodyText"/>
        <w:spacing w:after="120"/>
      </w:pPr>
      <w:r w:rsidRPr="00843A16">
        <w:t xml:space="preserve">This measure requires all marketing content for online wagering operators </w:t>
      </w:r>
      <w:r w:rsidR="00EE329D">
        <w:t xml:space="preserve">to </w:t>
      </w:r>
      <w:r w:rsidRPr="00843A16">
        <w:t>include</w:t>
      </w:r>
      <w:r w:rsidR="00216E93">
        <w:t xml:space="preserve"> </w:t>
      </w:r>
      <w:r w:rsidR="00AA0337">
        <w:t>1</w:t>
      </w:r>
      <w:r w:rsidR="002E2E38">
        <w:t> </w:t>
      </w:r>
      <w:r w:rsidRPr="00843A16">
        <w:t>of</w:t>
      </w:r>
      <w:r w:rsidR="002E2E38">
        <w:t> </w:t>
      </w:r>
      <w:r w:rsidRPr="00843A16">
        <w:t>7</w:t>
      </w:r>
      <w:r w:rsidR="002E2E38">
        <w:t> </w:t>
      </w:r>
      <w:r w:rsidRPr="00843A16">
        <w:t xml:space="preserve">prescribed </w:t>
      </w:r>
      <w:r w:rsidR="00573A6E">
        <w:t>safer</w:t>
      </w:r>
      <w:r w:rsidR="00573A6E" w:rsidRPr="00843A16">
        <w:t xml:space="preserve"> </w:t>
      </w:r>
      <w:r w:rsidRPr="00843A16">
        <w:t xml:space="preserve">gambling taglines. Websites and apps dedicated to online wagering are also required to include these </w:t>
      </w:r>
      <w:r w:rsidR="00CF069F">
        <w:t>taglines</w:t>
      </w:r>
      <w:r w:rsidRPr="00843A16">
        <w:t>. There are strict requirements governing the display of these messages, including around the font size, the rotation of the messages and the</w:t>
      </w:r>
      <w:r w:rsidR="00F61C10">
        <w:t>ir</w:t>
      </w:r>
      <w:r w:rsidRPr="00843A16">
        <w:t xml:space="preserve"> length in televised or broadcast advertising. All messages must also be accompanied with a ‘call to action’ (DSS, 2018). </w:t>
      </w:r>
      <w:hyperlink w:anchor="Figure7" w:history="1">
        <w:r w:rsidR="009600A0" w:rsidRPr="4D528504">
          <w:rPr>
            <w:rStyle w:val="Hyperlink"/>
            <w:b/>
            <w:bCs/>
          </w:rPr>
          <w:t>Figure 7</w:t>
        </w:r>
      </w:hyperlink>
      <w:r w:rsidR="009A2627" w:rsidRPr="00843A16">
        <w:t xml:space="preserve"> </w:t>
      </w:r>
      <w:r w:rsidRPr="00843A16">
        <w:t xml:space="preserve">below shows the different tagline requirements on different platforms for this measure. </w:t>
      </w:r>
    </w:p>
    <w:p w14:paraId="0077FFB5" w14:textId="54295DAF" w:rsidR="008E700F" w:rsidRPr="00FF7BBF" w:rsidRDefault="008E700F" w:rsidP="00CF6D5E">
      <w:pPr>
        <w:pStyle w:val="FigureCaption"/>
        <w:rPr>
          <w:szCs w:val="20"/>
        </w:rPr>
      </w:pPr>
      <w:bookmarkStart w:id="121" w:name="Figure8"/>
      <w:bookmarkStart w:id="122" w:name="Figure7"/>
      <w:r w:rsidRPr="00FF7BBF">
        <w:t>Figure</w:t>
      </w:r>
      <w:r w:rsidR="002C1E60" w:rsidRPr="00FF7BBF">
        <w:t xml:space="preserve"> </w:t>
      </w:r>
      <w:bookmarkEnd w:id="121"/>
      <w:r w:rsidR="009F45BD">
        <w:t>7</w:t>
      </w:r>
      <w:bookmarkEnd w:id="122"/>
      <w:r w:rsidRPr="00FF7BBF">
        <w:t xml:space="preserve">: Consistent </w:t>
      </w:r>
      <w:r w:rsidR="00205569" w:rsidRPr="00FF7BBF">
        <w:t xml:space="preserve">gambling messaging </w:t>
      </w:r>
      <w:r w:rsidRPr="00FF7BBF">
        <w:t xml:space="preserve">tagline requirements by platform </w:t>
      </w:r>
    </w:p>
    <w:p w14:paraId="16997C27" w14:textId="77777777" w:rsidR="008E700F" w:rsidRDefault="008E700F" w:rsidP="00093B92">
      <w:pPr>
        <w:pStyle w:val="ListBullet"/>
        <w:numPr>
          <w:ilvl w:val="0"/>
          <w:numId w:val="0"/>
        </w:numPr>
        <w:spacing w:before="0"/>
        <w:ind w:left="425" w:hanging="425"/>
        <w:jc w:val="both"/>
      </w:pPr>
      <w:r w:rsidRPr="00023FAD">
        <w:rPr>
          <w:noProof/>
        </w:rPr>
        <w:drawing>
          <wp:inline distT="0" distB="0" distL="0" distR="0" wp14:anchorId="438BBA43" wp14:editId="600DFF05">
            <wp:extent cx="5378640" cy="2370712"/>
            <wp:effectExtent l="19050" t="19050" r="12700" b="10795"/>
            <wp:docPr id="2111221026" name="Picture 1" descr="A chart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20217" name="Picture 1" descr="A chart with green dots&#10;&#10;AI-generated content may be incorrect."/>
                    <pic:cNvPicPr/>
                  </pic:nvPicPr>
                  <pic:blipFill>
                    <a:blip r:embed="rId35"/>
                    <a:stretch>
                      <a:fillRect/>
                    </a:stretch>
                  </pic:blipFill>
                  <pic:spPr>
                    <a:xfrm>
                      <a:off x="0" y="0"/>
                      <a:ext cx="5429627" cy="2393185"/>
                    </a:xfrm>
                    <a:prstGeom prst="rect">
                      <a:avLst/>
                    </a:prstGeom>
                    <a:ln>
                      <a:solidFill>
                        <a:schemeClr val="bg1">
                          <a:lumMod val="85000"/>
                        </a:schemeClr>
                      </a:solidFill>
                    </a:ln>
                  </pic:spPr>
                </pic:pic>
              </a:graphicData>
            </a:graphic>
          </wp:inline>
        </w:drawing>
      </w:r>
    </w:p>
    <w:p w14:paraId="2D1BAD32" w14:textId="7D4F89C9" w:rsidR="00205569" w:rsidRPr="00FF7BBF" w:rsidRDefault="00205569" w:rsidP="007A60DE">
      <w:pPr>
        <w:pStyle w:val="FigureNotes"/>
        <w:rPr>
          <w:szCs w:val="20"/>
        </w:rPr>
      </w:pPr>
      <w:r>
        <w:t xml:space="preserve">Source: </w:t>
      </w:r>
      <w:r w:rsidRPr="00FF7BBF">
        <w:t xml:space="preserve">DSS </w:t>
      </w:r>
      <w:r>
        <w:t>(</w:t>
      </w:r>
      <w:r w:rsidRPr="00FF7BBF">
        <w:t>202</w:t>
      </w:r>
      <w:r w:rsidR="00674972">
        <w:t>2</w:t>
      </w:r>
      <w:r w:rsidR="00472568">
        <w:t>b</w:t>
      </w:r>
      <w:r w:rsidRPr="00FF7BBF">
        <w:t>)</w:t>
      </w:r>
    </w:p>
    <w:p w14:paraId="193C9CE4" w14:textId="77777777" w:rsidR="008E700F" w:rsidRPr="00843A16" w:rsidRDefault="008E700F" w:rsidP="00074143">
      <w:pPr>
        <w:pStyle w:val="Heading4"/>
      </w:pPr>
      <w:r w:rsidRPr="00843A16">
        <w:t>Development and implementation</w:t>
      </w:r>
    </w:p>
    <w:p w14:paraId="69EA8645" w14:textId="794EC3E5" w:rsidR="008E700F" w:rsidRPr="00843A16" w:rsidRDefault="005E6E94" w:rsidP="00E0681C">
      <w:pPr>
        <w:pStyle w:val="BodyText"/>
      </w:pPr>
      <w:r>
        <w:t>Research and t</w:t>
      </w:r>
      <w:r w:rsidR="008E700F" w:rsidRPr="00843A16">
        <w:t xml:space="preserve">esting </w:t>
      </w:r>
      <w:r w:rsidR="00D60063">
        <w:t>were</w:t>
      </w:r>
      <w:r>
        <w:t xml:space="preserve"> undertaken </w:t>
      </w:r>
      <w:r w:rsidR="008E700F" w:rsidRPr="00843A16">
        <w:t>to inform the taglines</w:t>
      </w:r>
      <w:r w:rsidR="00F31325">
        <w:t xml:space="preserve"> (DSS, 2017)</w:t>
      </w:r>
      <w:r w:rsidR="008E700F" w:rsidRPr="00843A16">
        <w:t xml:space="preserve">. The first research piece was a behavioural research trial regarding gambling messaging commissioned by Gambling Research Australia </w:t>
      </w:r>
      <w:r w:rsidR="0005128E" w:rsidRPr="00843A16">
        <w:t xml:space="preserve">(GRA) </w:t>
      </w:r>
      <w:r w:rsidR="008E700F" w:rsidRPr="00843A16">
        <w:t>and undertaken by Central Queensland University</w:t>
      </w:r>
      <w:r w:rsidR="005B11E9" w:rsidRPr="00843A16">
        <w:t xml:space="preserve"> (CQU)</w:t>
      </w:r>
      <w:r w:rsidR="008E700F" w:rsidRPr="00843A16">
        <w:t>. This trial found little difference in outcomes between test messages</w:t>
      </w:r>
      <w:r w:rsidR="00E67AD9">
        <w:t>, with</w:t>
      </w:r>
      <w:r w:rsidR="008E700F" w:rsidRPr="00843A16">
        <w:t xml:space="preserve"> the most important factor for reducing gambling harm simply having a responsible gambling message (</w:t>
      </w:r>
      <w:proofErr w:type="spellStart"/>
      <w:r w:rsidR="008E700F" w:rsidRPr="00843A16">
        <w:t>Rockloff</w:t>
      </w:r>
      <w:proofErr w:type="spellEnd"/>
      <w:r w:rsidR="008E700F" w:rsidRPr="00843A16">
        <w:t xml:space="preserve"> et al., 2021). </w:t>
      </w:r>
    </w:p>
    <w:p w14:paraId="652DEA4B" w14:textId="5D018A42" w:rsidR="008E700F" w:rsidRPr="00843A16" w:rsidRDefault="008E700F" w:rsidP="008E700F">
      <w:pPr>
        <w:pStyle w:val="BodyText"/>
      </w:pPr>
      <w:r w:rsidRPr="00843A16">
        <w:t>Hall &amp; Partners (H&amp;P) was then commissioned to produce 2 consecutive behavioural research pieces to develop and test new taglines. H</w:t>
      </w:r>
      <w:r w:rsidR="00E7235F">
        <w:t xml:space="preserve">all </w:t>
      </w:r>
      <w:r w:rsidRPr="00843A16">
        <w:t>&amp;</w:t>
      </w:r>
      <w:r w:rsidR="00E7235F">
        <w:t xml:space="preserve"> </w:t>
      </w:r>
      <w:r w:rsidRPr="00843A16">
        <w:t>P</w:t>
      </w:r>
      <w:r w:rsidR="00E7235F">
        <w:t>artners</w:t>
      </w:r>
      <w:r w:rsidRPr="00843A16">
        <w:t xml:space="preserve"> first developed taglines grouped under themes relevant to online wagerers (</w:t>
      </w:r>
      <w:r w:rsidR="00E7235F">
        <w:t>H&amp;P</w:t>
      </w:r>
      <w:r w:rsidRPr="00843A16">
        <w:t xml:space="preserve">, 2021). The taglines were then subject to market testing, with those having the highest ratings among consumers recommended </w:t>
      </w:r>
      <w:r w:rsidR="00E7235F">
        <w:t>for implementation</w:t>
      </w:r>
      <w:r w:rsidR="00066A53">
        <w:t xml:space="preserve"> und</w:t>
      </w:r>
      <w:r w:rsidR="00891233">
        <w:t xml:space="preserve">er </w:t>
      </w:r>
      <w:r w:rsidRPr="00843A16">
        <w:t>the CGM measure (</w:t>
      </w:r>
      <w:r w:rsidR="00E7235F">
        <w:t>H&amp;P</w:t>
      </w:r>
      <w:r w:rsidRPr="00843A16">
        <w:t xml:space="preserve">, 2022). </w:t>
      </w:r>
    </w:p>
    <w:p w14:paraId="2D82284C" w14:textId="77777777" w:rsidR="008E700F" w:rsidRPr="00843A16" w:rsidRDefault="008E700F" w:rsidP="008E700F">
      <w:pPr>
        <w:pStyle w:val="BodyText"/>
        <w:rPr>
          <w:szCs w:val="20"/>
        </w:rPr>
      </w:pPr>
      <w:r w:rsidRPr="00843A16">
        <w:rPr>
          <w:szCs w:val="20"/>
        </w:rPr>
        <w:t>The public health academic who was interviewed for the NCPF evaluation expressed some dissatisfaction with the process following these research pieces.</w:t>
      </w:r>
    </w:p>
    <w:p w14:paraId="7550B868" w14:textId="7514FE3F" w:rsidR="008E700F" w:rsidRPr="00843A16" w:rsidRDefault="008E700F" w:rsidP="008E700F">
      <w:pPr>
        <w:pStyle w:val="Quote"/>
        <w:jc w:val="both"/>
        <w:rPr>
          <w:szCs w:val="20"/>
        </w:rPr>
      </w:pPr>
      <w:r w:rsidRPr="00843A16">
        <w:rPr>
          <w:szCs w:val="20"/>
        </w:rPr>
        <w:t>What you had was</w:t>
      </w:r>
      <w:r w:rsidR="00A33F96">
        <w:rPr>
          <w:szCs w:val="20"/>
        </w:rPr>
        <w:t xml:space="preserve"> </w:t>
      </w:r>
      <w:r w:rsidRPr="00843A16">
        <w:rPr>
          <w:szCs w:val="20"/>
        </w:rPr>
        <w:t>... an initial piece of work that was done by CQU</w:t>
      </w:r>
      <w:r w:rsidR="00A33F96">
        <w:rPr>
          <w:szCs w:val="20"/>
        </w:rPr>
        <w:t xml:space="preserve"> </w:t>
      </w:r>
      <w:r w:rsidRPr="00843A16">
        <w:rPr>
          <w:szCs w:val="20"/>
        </w:rPr>
        <w:t>... and that was fine, I think that was a good starting point, but I would say too it was a limited starting point, in that I mean it didn’t pretend to be anything more than the sort of summary document that</w:t>
      </w:r>
      <w:r w:rsidR="00B63F8B">
        <w:rPr>
          <w:szCs w:val="20"/>
        </w:rPr>
        <w:t xml:space="preserve"> </w:t>
      </w:r>
      <w:r w:rsidRPr="00843A16">
        <w:rPr>
          <w:szCs w:val="20"/>
        </w:rPr>
        <w:t xml:space="preserve">... they were asked to produce. </w:t>
      </w:r>
      <w:r w:rsidR="00B63F8B">
        <w:rPr>
          <w:szCs w:val="20"/>
        </w:rPr>
        <w:t>(</w:t>
      </w:r>
      <w:r w:rsidRPr="00843A16">
        <w:rPr>
          <w:szCs w:val="20"/>
        </w:rPr>
        <w:t xml:space="preserve">Public </w:t>
      </w:r>
      <w:r w:rsidR="00B63F8B" w:rsidRPr="00843A16">
        <w:rPr>
          <w:szCs w:val="20"/>
        </w:rPr>
        <w:t>health academic</w:t>
      </w:r>
      <w:r w:rsidR="00B63F8B">
        <w:rPr>
          <w:szCs w:val="20"/>
        </w:rPr>
        <w:t>)</w:t>
      </w:r>
    </w:p>
    <w:p w14:paraId="733690ED" w14:textId="77777777" w:rsidR="00445770" w:rsidRPr="00843A16" w:rsidRDefault="00445770" w:rsidP="00445770">
      <w:pPr>
        <w:pStyle w:val="BodyText"/>
      </w:pPr>
      <w:r>
        <w:lastRenderedPageBreak/>
        <w:t xml:space="preserve">The NPS (DSS, 2018) stated CGM </w:t>
      </w:r>
      <w:r w:rsidRPr="00843A16">
        <w:t>was supposed to be in effect 6 months from the completion of trialling and testing of its features. This was met by most jurisdictions.</w:t>
      </w:r>
    </w:p>
    <w:p w14:paraId="578891DE" w14:textId="53AFC800" w:rsidR="005E2302" w:rsidRDefault="00B63F8B" w:rsidP="001C02BA">
      <w:pPr>
        <w:pStyle w:val="BodyText"/>
      </w:pPr>
      <w:r>
        <w:t xml:space="preserve">The </w:t>
      </w:r>
      <w:r w:rsidR="00FA4039">
        <w:t xml:space="preserve">DSS produced </w:t>
      </w:r>
      <w:r w:rsidR="003474DA">
        <w:t>FAQs to assist with implementing CGM</w:t>
      </w:r>
      <w:r w:rsidR="00FC1E33">
        <w:t xml:space="preserve"> in November 2022</w:t>
      </w:r>
      <w:r w:rsidR="00A666F7">
        <w:t xml:space="preserve"> </w:t>
      </w:r>
      <w:r w:rsidR="00617B05">
        <w:t>which were</w:t>
      </w:r>
      <w:r w:rsidR="00FC1E33">
        <w:t xml:space="preserve"> updated 3 times </w:t>
      </w:r>
      <w:r w:rsidR="00421A27">
        <w:t>(DSS, 202</w:t>
      </w:r>
      <w:r w:rsidR="00B62D46">
        <w:t>4</w:t>
      </w:r>
      <w:r w:rsidR="00421A27">
        <w:t xml:space="preserve">). </w:t>
      </w:r>
      <w:r w:rsidR="00BC58C4">
        <w:t>I</w:t>
      </w:r>
      <w:r w:rsidR="005E2302">
        <w:t>n 2023 Victoria implemented revised requirements that WSPs licensed in Victoria must rotate CGM</w:t>
      </w:r>
      <w:r w:rsidR="005E2302" w:rsidRPr="00C64870">
        <w:t xml:space="preserve"> taglines</w:t>
      </w:r>
      <w:r w:rsidR="005E2302">
        <w:t xml:space="preserve"> in activity statements</w:t>
      </w:r>
      <w:r w:rsidR="00AF108D">
        <w:t xml:space="preserve"> </w:t>
      </w:r>
      <w:r w:rsidR="00D93EF9">
        <w:t xml:space="preserve">as expected by the guidelines. </w:t>
      </w:r>
    </w:p>
    <w:p w14:paraId="34BF74F4" w14:textId="77777777" w:rsidR="008E700F" w:rsidRPr="00843A16" w:rsidRDefault="008E700F" w:rsidP="00074143">
      <w:pPr>
        <w:pStyle w:val="Heading4"/>
      </w:pPr>
      <w:r w:rsidRPr="00843A16">
        <w:t>Compliance</w:t>
      </w:r>
    </w:p>
    <w:p w14:paraId="1D096B1C" w14:textId="77777777" w:rsidR="007F3B16" w:rsidRDefault="007F3B16" w:rsidP="007F3B16">
      <w:pPr>
        <w:pStyle w:val="BodyText"/>
        <w:rPr>
          <w:rFonts w:eastAsia="Arial"/>
        </w:rPr>
      </w:pPr>
      <w:r w:rsidRPr="00843A16">
        <w:rPr>
          <w:rFonts w:eastAsia="Arial"/>
        </w:rPr>
        <w:t xml:space="preserve">Some post-implementation compliance issues appear to have been resolved through engagement between regulators and WSPs. However, the CGM measure has not been implemented by WSPs </w:t>
      </w:r>
      <w:r>
        <w:rPr>
          <w:rFonts w:eastAsia="Arial"/>
        </w:rPr>
        <w:t xml:space="preserve">in a manner </w:t>
      </w:r>
      <w:r w:rsidRPr="00843A16">
        <w:rPr>
          <w:rFonts w:eastAsia="Arial"/>
        </w:rPr>
        <w:t xml:space="preserve">consistent with the CGM guidelines. </w:t>
      </w:r>
    </w:p>
    <w:p w14:paraId="445399C0" w14:textId="2173A400" w:rsidR="003B5F3F" w:rsidRDefault="00645658" w:rsidP="003B5F3F">
      <w:pPr>
        <w:pStyle w:val="BodyText"/>
      </w:pPr>
      <w:r w:rsidRPr="00843A16">
        <w:t xml:space="preserve">The </w:t>
      </w:r>
      <w:r w:rsidR="002D5204">
        <w:t xml:space="preserve">evaluation conducted an </w:t>
      </w:r>
      <w:r w:rsidRPr="00843A16">
        <w:t>environmental scan of</w:t>
      </w:r>
      <w:r w:rsidR="008763DC">
        <w:t xml:space="preserve"> </w:t>
      </w:r>
      <w:r w:rsidR="00A45857">
        <w:t>websites and apps</w:t>
      </w:r>
      <w:r w:rsidRPr="00843A16">
        <w:t xml:space="preserve"> </w:t>
      </w:r>
      <w:r w:rsidR="003B5F3F">
        <w:t xml:space="preserve">to check for compliance with CGM requirements. </w:t>
      </w:r>
      <w:hyperlink w:anchor="AppendixG" w:history="1">
        <w:r w:rsidR="005D4865">
          <w:rPr>
            <w:rStyle w:val="Hyperlink"/>
            <w:b/>
            <w:bCs/>
          </w:rPr>
          <w:t>Appendix </w:t>
        </w:r>
        <w:r w:rsidR="00707F22">
          <w:rPr>
            <w:rStyle w:val="Hyperlink"/>
            <w:b/>
            <w:bCs/>
          </w:rPr>
          <w:t>G</w:t>
        </w:r>
      </w:hyperlink>
      <w:r w:rsidR="003B5F3F">
        <w:t xml:space="preserve"> provides the criteria used for this scan along with detailed findings. </w:t>
      </w:r>
    </w:p>
    <w:p w14:paraId="415A9DA3" w14:textId="416AA2DC" w:rsidR="00AF54A6" w:rsidRDefault="005133CE" w:rsidP="008E700F">
      <w:pPr>
        <w:pStyle w:val="BodyText"/>
      </w:pPr>
      <w:r>
        <w:t>The scan</w:t>
      </w:r>
      <w:r w:rsidR="00645658" w:rsidRPr="00843A16">
        <w:t xml:space="preserve"> found</w:t>
      </w:r>
      <w:r w:rsidR="00645658">
        <w:t xml:space="preserve"> a</w:t>
      </w:r>
      <w:r w:rsidR="008763DC">
        <w:t xml:space="preserve">ll </w:t>
      </w:r>
      <w:r w:rsidR="00A45857">
        <w:t>websites and apps</w:t>
      </w:r>
      <w:r w:rsidR="0000005A">
        <w:t>,</w:t>
      </w:r>
      <w:r w:rsidR="00FC2551">
        <w:t xml:space="preserve"> </w:t>
      </w:r>
      <w:proofErr w:type="gramStart"/>
      <w:r w:rsidR="00FC2551">
        <w:t>with the exception of</w:t>
      </w:r>
      <w:proofErr w:type="gramEnd"/>
      <w:r w:rsidR="00B90E0B">
        <w:t xml:space="preserve"> one</w:t>
      </w:r>
      <w:r w:rsidR="004647A6">
        <w:t>,</w:t>
      </w:r>
      <w:r w:rsidR="00B90E0B">
        <w:t xml:space="preserve"> </w:t>
      </w:r>
      <w:r w:rsidR="00A45857">
        <w:t xml:space="preserve">had </w:t>
      </w:r>
      <w:r w:rsidR="00020E6D">
        <w:t>CGM messaging</w:t>
      </w:r>
      <w:r>
        <w:t xml:space="preserve"> but t</w:t>
      </w:r>
      <w:r w:rsidR="006C182F">
        <w:t xml:space="preserve">here were </w:t>
      </w:r>
      <w:r w:rsidR="008E700F" w:rsidRPr="00843A16">
        <w:t>several areas where many platforms did not comply with the CGM implementation guide</w:t>
      </w:r>
      <w:r w:rsidR="0068042F" w:rsidRPr="00843A16">
        <w:t>lines</w:t>
      </w:r>
      <w:r w:rsidR="008E700F" w:rsidRPr="00843A16">
        <w:t xml:space="preserve">. </w:t>
      </w:r>
    </w:p>
    <w:p w14:paraId="2FF68231" w14:textId="32F6A205" w:rsidR="008E700F" w:rsidRDefault="0000005A" w:rsidP="008E700F">
      <w:pPr>
        <w:pStyle w:val="BodyText"/>
      </w:pPr>
      <w:r>
        <w:t>O</w:t>
      </w:r>
      <w:r w:rsidR="008E700F" w:rsidRPr="00843A16">
        <w:t>f the 40 platforms (websites and apps)</w:t>
      </w:r>
      <w:r>
        <w:t>, 50%</w:t>
      </w:r>
      <w:r w:rsidR="008E700F" w:rsidRPr="00843A16">
        <w:t xml:space="preserve"> were compliant with the CGM requirements</w:t>
      </w:r>
      <w:r w:rsidR="008E700F" w:rsidRPr="00843A16">
        <w:rPr>
          <w:vertAlign w:val="superscript"/>
        </w:rPr>
        <w:footnoteReference w:id="7"/>
      </w:r>
      <w:r w:rsidR="008778FC">
        <w:t xml:space="preserve"> </w:t>
      </w:r>
      <w:r>
        <w:t>(</w:t>
      </w:r>
      <w:r w:rsidR="008E700F" w:rsidRPr="00843A16">
        <w:t>excluding messaging size requirements</w:t>
      </w:r>
      <w:r>
        <w:t>,</w:t>
      </w:r>
      <w:r w:rsidR="008E700F" w:rsidRPr="00843A16">
        <w:t xml:space="preserve"> which are analysed separately). Apps had a much lower compliance rate than websites (35% versus 65%</w:t>
      </w:r>
      <w:r w:rsidR="00A17DBE">
        <w:t xml:space="preserve"> respectively</w:t>
      </w:r>
      <w:r w:rsidR="008E700F" w:rsidRPr="00843A16">
        <w:t xml:space="preserve">).  </w:t>
      </w:r>
    </w:p>
    <w:p w14:paraId="1809826D" w14:textId="77777777" w:rsidR="00D238B0" w:rsidRPr="00843A16" w:rsidRDefault="00D238B0" w:rsidP="00D238B0">
      <w:pPr>
        <w:pStyle w:val="BodyText"/>
      </w:pPr>
      <w:r w:rsidRPr="00843A16">
        <w:t xml:space="preserve">On-course bookmakers were significantly less likely to be compliant than corporate bookmakers, betting exchange services and TABs (33.3% </w:t>
      </w:r>
      <w:r>
        <w:t>versus</w:t>
      </w:r>
      <w:r w:rsidRPr="00843A16">
        <w:t xml:space="preserve"> 54.8%</w:t>
      </w:r>
      <w:r>
        <w:t xml:space="preserve"> respectively</w:t>
      </w:r>
      <w:r w:rsidRPr="00843A16">
        <w:t>). Smaller brand products (those whose app version had less than 1,000 downloads in the Google Play Store) were also less likely than those with over 1,000 downloads to be compliant (35.7% v</w:t>
      </w:r>
      <w:r>
        <w:t>ersus</w:t>
      </w:r>
      <w:r w:rsidRPr="00843A16">
        <w:t xml:space="preserve"> 54.2%</w:t>
      </w:r>
      <w:r>
        <w:t xml:space="preserve"> respectively</w:t>
      </w:r>
      <w:r w:rsidRPr="00843A16">
        <w:t xml:space="preserve">). </w:t>
      </w:r>
    </w:p>
    <w:p w14:paraId="6C8DC226" w14:textId="00CDBE8E" w:rsidR="001057F4" w:rsidRPr="00843A16" w:rsidRDefault="004C40E1" w:rsidP="008E700F">
      <w:pPr>
        <w:pStyle w:val="BodyText"/>
        <w:rPr>
          <w:rFonts w:eastAsia="Arial"/>
        </w:rPr>
      </w:pPr>
      <w:r w:rsidRPr="00843A16">
        <w:rPr>
          <w:rFonts w:eastAsia="Arial"/>
        </w:rPr>
        <w:t>I</w:t>
      </w:r>
      <w:r w:rsidRPr="00843A16">
        <w:t xml:space="preserve">n June 2023, Liquor &amp; Gaming NSW issued show-cause notices to </w:t>
      </w:r>
      <w:r w:rsidR="00144800" w:rsidRPr="00843A16">
        <w:t>2</w:t>
      </w:r>
      <w:r w:rsidRPr="00843A16">
        <w:t xml:space="preserve"> </w:t>
      </w:r>
      <w:r w:rsidR="00A11187">
        <w:t>WSPs</w:t>
      </w:r>
      <w:r w:rsidRPr="00843A16">
        <w:t xml:space="preserve"> due to breaches of</w:t>
      </w:r>
      <w:r w:rsidR="00A11187">
        <w:t xml:space="preserve"> the</w:t>
      </w:r>
      <w:r w:rsidRPr="00843A16">
        <w:t xml:space="preserve"> CGM</w:t>
      </w:r>
      <w:r w:rsidR="00A11187">
        <w:t xml:space="preserve"> measure</w:t>
      </w:r>
      <w:r w:rsidRPr="00843A16">
        <w:t xml:space="preserve"> on television advertising</w:t>
      </w:r>
      <w:r w:rsidR="00AD34C4">
        <w:t xml:space="preserve"> relating to </w:t>
      </w:r>
      <w:r w:rsidRPr="00843A16">
        <w:t>reduced volume and an altered tone for the CGM tagline</w:t>
      </w:r>
      <w:r w:rsidR="007944CA">
        <w:t xml:space="preserve"> </w:t>
      </w:r>
      <w:r w:rsidR="005A0037" w:rsidRPr="00843A16">
        <w:rPr>
          <w:rFonts w:eastAsia="Arial"/>
        </w:rPr>
        <w:t>(Liquor &amp; Gaming NSW, 2023).</w:t>
      </w:r>
      <w:r w:rsidR="00041DAD">
        <w:rPr>
          <w:rFonts w:eastAsia="Arial"/>
        </w:rPr>
        <w:t xml:space="preserve"> </w:t>
      </w:r>
      <w:r w:rsidR="00E2287E">
        <w:rPr>
          <w:rFonts w:eastAsia="Arial"/>
        </w:rPr>
        <w:t>Many c</w:t>
      </w:r>
      <w:r w:rsidR="00BC52D2">
        <w:rPr>
          <w:rFonts w:eastAsia="Arial"/>
        </w:rPr>
        <w:t xml:space="preserve">autions were also issued by NSW. </w:t>
      </w:r>
      <w:r w:rsidR="00AC1874">
        <w:rPr>
          <w:rFonts w:eastAsia="Arial"/>
        </w:rPr>
        <w:t xml:space="preserve">Other </w:t>
      </w:r>
      <w:r w:rsidR="00F112D8">
        <w:rPr>
          <w:rFonts w:eastAsia="Arial"/>
        </w:rPr>
        <w:t>enforcement actions</w:t>
      </w:r>
      <w:r w:rsidR="00AC1874">
        <w:rPr>
          <w:rFonts w:eastAsia="Arial"/>
        </w:rPr>
        <w:t xml:space="preserve"> may have occurred that </w:t>
      </w:r>
      <w:r w:rsidR="00EC10C7">
        <w:rPr>
          <w:rFonts w:eastAsia="Arial"/>
        </w:rPr>
        <w:t xml:space="preserve">were not </w:t>
      </w:r>
      <w:r w:rsidR="00827F37">
        <w:rPr>
          <w:rFonts w:eastAsia="Arial"/>
        </w:rPr>
        <w:t>collected by this evaluation.</w:t>
      </w:r>
      <w:r w:rsidR="00207EB7">
        <w:rPr>
          <w:rFonts w:eastAsia="Arial"/>
        </w:rPr>
        <w:t xml:space="preserve"> </w:t>
      </w:r>
    </w:p>
    <w:p w14:paraId="399D4B66" w14:textId="3AB27A53" w:rsidR="00891E25" w:rsidRPr="00843A16" w:rsidRDefault="0072702C" w:rsidP="00891E25">
      <w:pPr>
        <w:pStyle w:val="BodyText"/>
      </w:pPr>
      <w:r>
        <w:rPr>
          <w:rFonts w:eastAsia="Arial"/>
        </w:rPr>
        <w:t xml:space="preserve">In sum, the findings from this evaluation are that the CGM measure was implemented comprehensively </w:t>
      </w:r>
      <w:r w:rsidR="006541B3">
        <w:rPr>
          <w:rFonts w:eastAsia="Arial"/>
        </w:rPr>
        <w:t xml:space="preserve">as </w:t>
      </w:r>
      <w:r>
        <w:rPr>
          <w:rFonts w:eastAsia="Arial"/>
        </w:rPr>
        <w:t xml:space="preserve">all WSPs had taglines attached to their messages. </w:t>
      </w:r>
      <w:r w:rsidR="00E1795A">
        <w:rPr>
          <w:rFonts w:eastAsia="Arial"/>
        </w:rPr>
        <w:t xml:space="preserve">However, </w:t>
      </w:r>
      <w:r w:rsidR="005B7E33">
        <w:rPr>
          <w:rFonts w:eastAsia="Arial"/>
        </w:rPr>
        <w:t>compliance with specific detail</w:t>
      </w:r>
      <w:r w:rsidR="00A52787">
        <w:rPr>
          <w:rFonts w:eastAsia="Arial"/>
        </w:rPr>
        <w:t>s</w:t>
      </w:r>
      <w:r w:rsidR="00CB42C2">
        <w:rPr>
          <w:rFonts w:eastAsia="Arial"/>
        </w:rPr>
        <w:t xml:space="preserve"> of the guidance</w:t>
      </w:r>
      <w:r w:rsidR="00A52787">
        <w:rPr>
          <w:rFonts w:eastAsia="Arial"/>
        </w:rPr>
        <w:t>,</w:t>
      </w:r>
      <w:r w:rsidR="005B7E33">
        <w:rPr>
          <w:rFonts w:eastAsia="Arial"/>
        </w:rPr>
        <w:t xml:space="preserve"> such as font and placement</w:t>
      </w:r>
      <w:r w:rsidR="00A52787">
        <w:rPr>
          <w:rFonts w:eastAsia="Arial"/>
        </w:rPr>
        <w:t>,</w:t>
      </w:r>
      <w:r w:rsidR="005B7E33">
        <w:rPr>
          <w:rFonts w:eastAsia="Arial"/>
        </w:rPr>
        <w:t xml:space="preserve"> were </w:t>
      </w:r>
      <w:r w:rsidR="00557CEF">
        <w:rPr>
          <w:rFonts w:eastAsia="Arial"/>
        </w:rPr>
        <w:t>poorer</w:t>
      </w:r>
      <w:r w:rsidR="00165463">
        <w:rPr>
          <w:rFonts w:eastAsia="Arial"/>
        </w:rPr>
        <w:t>.</w:t>
      </w:r>
      <w:r w:rsidR="00747EBC">
        <w:rPr>
          <w:rFonts w:eastAsia="Arial"/>
        </w:rPr>
        <w:t xml:space="preserve"> </w:t>
      </w:r>
      <w:r w:rsidR="00B14E93">
        <w:t>Consideration should be given to r</w:t>
      </w:r>
      <w:r w:rsidR="005F31BF">
        <w:t xml:space="preserve">evisiting the implementation guidance </w:t>
      </w:r>
      <w:r w:rsidR="00263392">
        <w:t xml:space="preserve">to ensure it </w:t>
      </w:r>
      <w:r w:rsidR="002E7137">
        <w:t>facilitates compliant WSP behaviour</w:t>
      </w:r>
      <w:r w:rsidR="00B14E93">
        <w:t xml:space="preserve">. </w:t>
      </w:r>
      <w:r w:rsidR="00CE732D">
        <w:t>Providing</w:t>
      </w:r>
      <w:r w:rsidR="005502DF">
        <w:t xml:space="preserve"> graphical assets consistent with the CGM design principles may assist WSPs with complying with CGM requirements. </w:t>
      </w:r>
      <w:r w:rsidR="00223C01">
        <w:t>As an example, f</w:t>
      </w:r>
      <w:r w:rsidR="005A6F86">
        <w:t xml:space="preserve">ree digital images for health warnings, health promotion inserts and on-product health messages </w:t>
      </w:r>
      <w:r w:rsidR="003A617D">
        <w:t xml:space="preserve">are available to manufacturers, packagers, suppliers and retailers of tobacco products </w:t>
      </w:r>
      <w:r w:rsidR="007521B6">
        <w:t>to help them</w:t>
      </w:r>
      <w:r w:rsidR="0014296E">
        <w:t xml:space="preserve"> comply with </w:t>
      </w:r>
      <w:r w:rsidR="007521B6">
        <w:t>the legislative requirements</w:t>
      </w:r>
      <w:r w:rsidR="0014296E">
        <w:t xml:space="preserve"> </w:t>
      </w:r>
      <w:r w:rsidR="002A2D4A" w:rsidRPr="0014296E">
        <w:t>(</w:t>
      </w:r>
      <w:r w:rsidR="00444B81">
        <w:t xml:space="preserve">Department of </w:t>
      </w:r>
      <w:r w:rsidR="002A2D4A" w:rsidRPr="0014296E">
        <w:t>Health</w:t>
      </w:r>
      <w:r w:rsidR="00CA61A1">
        <w:t>, Disability and Ageing</w:t>
      </w:r>
      <w:r w:rsidR="002A2D4A" w:rsidRPr="0014296E">
        <w:t>, 2026).</w:t>
      </w:r>
      <w:r w:rsidR="002A2D4A">
        <w:t xml:space="preserve"> </w:t>
      </w:r>
    </w:p>
    <w:p w14:paraId="0713CF1E" w14:textId="15B1B424" w:rsidR="00003EEF" w:rsidRPr="00843A16" w:rsidRDefault="00947DC6" w:rsidP="00074143">
      <w:pPr>
        <w:pStyle w:val="Heading4"/>
      </w:pPr>
      <w:r>
        <w:t>Calls to action</w:t>
      </w:r>
    </w:p>
    <w:p w14:paraId="6718CB4B" w14:textId="4E567E23" w:rsidR="004D0C85" w:rsidRDefault="00073880" w:rsidP="00031A74">
      <w:pPr>
        <w:pStyle w:val="BodyText"/>
        <w:rPr>
          <w:rStyle w:val="BodyTextChar"/>
          <w:rFonts w:eastAsiaTheme="minorEastAsia"/>
        </w:rPr>
      </w:pPr>
      <w:r>
        <w:rPr>
          <w:rStyle w:val="BodyTextChar"/>
          <w:rFonts w:eastAsiaTheme="minorEastAsia"/>
        </w:rPr>
        <w:t>The</w:t>
      </w:r>
      <w:r w:rsidR="00031A74">
        <w:rPr>
          <w:rStyle w:val="BodyTextChar"/>
          <w:rFonts w:eastAsiaTheme="minorEastAsia"/>
        </w:rPr>
        <w:t xml:space="preserve"> CGM measure requires that all taglines appearing online or in</w:t>
      </w:r>
      <w:r w:rsidR="00573B54">
        <w:rPr>
          <w:rStyle w:val="BodyTextChar"/>
          <w:rFonts w:eastAsiaTheme="minorEastAsia"/>
        </w:rPr>
        <w:t xml:space="preserve"> </w:t>
      </w:r>
      <w:r w:rsidR="00031A74">
        <w:rPr>
          <w:rStyle w:val="BodyTextChar"/>
          <w:rFonts w:eastAsiaTheme="minorEastAsia"/>
        </w:rPr>
        <w:t xml:space="preserve">apps have a </w:t>
      </w:r>
      <w:r w:rsidR="00573B54">
        <w:rPr>
          <w:rStyle w:val="BodyTextChar"/>
          <w:rFonts w:eastAsiaTheme="minorEastAsia"/>
        </w:rPr>
        <w:t>‘</w:t>
      </w:r>
      <w:r w:rsidR="00031A74">
        <w:rPr>
          <w:rStyle w:val="BodyTextChar"/>
          <w:rFonts w:eastAsiaTheme="minorEastAsia"/>
        </w:rPr>
        <w:t>call to action</w:t>
      </w:r>
      <w:r w:rsidR="00573B54">
        <w:rPr>
          <w:rStyle w:val="BodyTextChar"/>
          <w:rFonts w:eastAsiaTheme="minorEastAsia"/>
        </w:rPr>
        <w:t>’</w:t>
      </w:r>
      <w:r w:rsidR="00031A74">
        <w:rPr>
          <w:rStyle w:val="BodyTextChar"/>
          <w:rFonts w:eastAsiaTheme="minorEastAsia"/>
        </w:rPr>
        <w:t xml:space="preserve"> at the end of the tagline</w:t>
      </w:r>
      <w:r w:rsidR="00E50FF5">
        <w:rPr>
          <w:rStyle w:val="BodyTextChar"/>
          <w:rFonts w:eastAsiaTheme="minorEastAsia"/>
        </w:rPr>
        <w:t>. The</w:t>
      </w:r>
      <w:r w:rsidR="000F6ED4">
        <w:rPr>
          <w:rStyle w:val="BodyTextChar"/>
          <w:rFonts w:eastAsiaTheme="minorEastAsia"/>
        </w:rPr>
        <w:t>re are 2</w:t>
      </w:r>
      <w:r w:rsidR="00E50FF5">
        <w:rPr>
          <w:rStyle w:val="BodyTextChar"/>
          <w:rFonts w:eastAsiaTheme="minorEastAsia"/>
        </w:rPr>
        <w:t xml:space="preserve"> </w:t>
      </w:r>
      <w:r w:rsidR="00783B9A">
        <w:rPr>
          <w:rStyle w:val="BodyTextChar"/>
          <w:rFonts w:eastAsiaTheme="minorEastAsia"/>
        </w:rPr>
        <w:t>call</w:t>
      </w:r>
      <w:r w:rsidR="001B4D7B">
        <w:rPr>
          <w:rStyle w:val="BodyTextChar"/>
          <w:rFonts w:eastAsiaTheme="minorEastAsia"/>
        </w:rPr>
        <w:t>s</w:t>
      </w:r>
      <w:r w:rsidR="00783B9A">
        <w:rPr>
          <w:rStyle w:val="BodyTextChar"/>
          <w:rFonts w:eastAsiaTheme="minorEastAsia"/>
        </w:rPr>
        <w:t xml:space="preserve"> to action</w:t>
      </w:r>
      <w:r w:rsidR="00573B54">
        <w:rPr>
          <w:rStyle w:val="BodyTextChar"/>
          <w:rFonts w:eastAsiaTheme="minorEastAsia"/>
        </w:rPr>
        <w:t>:</w:t>
      </w:r>
      <w:r w:rsidR="00031A74">
        <w:rPr>
          <w:rStyle w:val="BodyTextChar"/>
          <w:rFonts w:eastAsiaTheme="minorEastAsia"/>
        </w:rPr>
        <w:t xml:space="preserve"> </w:t>
      </w:r>
      <w:r w:rsidR="00573B54">
        <w:rPr>
          <w:rStyle w:val="BodyTextChar"/>
          <w:rFonts w:eastAsiaTheme="minorEastAsia"/>
        </w:rPr>
        <w:t>‘</w:t>
      </w:r>
      <w:r w:rsidR="00031A74">
        <w:rPr>
          <w:rStyle w:val="BodyTextChar"/>
          <w:rFonts w:eastAsiaTheme="minorEastAsia"/>
        </w:rPr>
        <w:t>Set a deposit limit</w:t>
      </w:r>
      <w:r w:rsidR="00573B54">
        <w:rPr>
          <w:rStyle w:val="BodyTextChar"/>
          <w:rFonts w:eastAsiaTheme="minorEastAsia"/>
        </w:rPr>
        <w:t>’</w:t>
      </w:r>
      <w:r w:rsidR="00031A74">
        <w:rPr>
          <w:rStyle w:val="BodyTextChar"/>
          <w:rFonts w:eastAsiaTheme="minorEastAsia"/>
        </w:rPr>
        <w:t xml:space="preserve"> </w:t>
      </w:r>
      <w:r w:rsidR="000F6ED4">
        <w:rPr>
          <w:rStyle w:val="BodyTextChar"/>
          <w:rFonts w:eastAsiaTheme="minorEastAsia"/>
        </w:rPr>
        <w:t xml:space="preserve">and </w:t>
      </w:r>
      <w:r w:rsidR="00573B54">
        <w:rPr>
          <w:rStyle w:val="BodyTextChar"/>
          <w:rFonts w:eastAsiaTheme="minorEastAsia"/>
        </w:rPr>
        <w:t>‘</w:t>
      </w:r>
      <w:r w:rsidR="000F6ED4">
        <w:rPr>
          <w:rStyle w:val="BodyTextChar"/>
          <w:rFonts w:eastAsiaTheme="minorEastAsia"/>
        </w:rPr>
        <w:t>For free and confidential support call 1800 858 858 or visit gambling</w:t>
      </w:r>
      <w:r w:rsidR="004D0C85">
        <w:rPr>
          <w:rStyle w:val="BodyTextChar"/>
          <w:rFonts w:eastAsiaTheme="minorEastAsia"/>
        </w:rPr>
        <w:t>helponlin</w:t>
      </w:r>
      <w:r w:rsidR="00D35BA5">
        <w:rPr>
          <w:rStyle w:val="BodyTextChar"/>
          <w:rFonts w:eastAsiaTheme="minorEastAsia"/>
        </w:rPr>
        <w:t>e</w:t>
      </w:r>
      <w:r w:rsidR="004D0C85">
        <w:rPr>
          <w:rStyle w:val="BodyTextChar"/>
          <w:rFonts w:eastAsiaTheme="minorEastAsia"/>
        </w:rPr>
        <w:t>.org.au</w:t>
      </w:r>
      <w:r w:rsidR="00573B54">
        <w:rPr>
          <w:rStyle w:val="BodyTextChar"/>
          <w:rFonts w:eastAsiaTheme="minorEastAsia"/>
        </w:rPr>
        <w:t>’</w:t>
      </w:r>
      <w:r w:rsidR="004D0C85">
        <w:rPr>
          <w:rStyle w:val="BodyTextChar"/>
          <w:rFonts w:eastAsiaTheme="minorEastAsia"/>
        </w:rPr>
        <w:t xml:space="preserve"> </w:t>
      </w:r>
      <w:r w:rsidR="00031A74">
        <w:rPr>
          <w:rStyle w:val="BodyTextChar"/>
          <w:rFonts w:eastAsiaTheme="minorEastAsia"/>
        </w:rPr>
        <w:t xml:space="preserve">(DSS, 2022a). </w:t>
      </w:r>
    </w:p>
    <w:p w14:paraId="33C6E7E5" w14:textId="789DD77C" w:rsidR="00B83F76" w:rsidRDefault="00BE6458" w:rsidP="00031A74">
      <w:pPr>
        <w:pStyle w:val="BodyText"/>
        <w:rPr>
          <w:rStyle w:val="BodyTextChar"/>
          <w:rFonts w:eastAsiaTheme="minorEastAsia"/>
        </w:rPr>
      </w:pPr>
      <w:r>
        <w:rPr>
          <w:rStyle w:val="BodyTextChar"/>
          <w:rFonts w:eastAsiaTheme="minorEastAsia"/>
        </w:rPr>
        <w:lastRenderedPageBreak/>
        <w:t xml:space="preserve">The call to action </w:t>
      </w:r>
      <w:r w:rsidR="00AA258F">
        <w:rPr>
          <w:rStyle w:val="BodyTextChar"/>
          <w:rFonts w:eastAsiaTheme="minorEastAsia"/>
        </w:rPr>
        <w:t xml:space="preserve">seems to have been </w:t>
      </w:r>
      <w:r w:rsidR="00C37913">
        <w:rPr>
          <w:rStyle w:val="BodyTextChar"/>
          <w:rFonts w:eastAsiaTheme="minorEastAsia"/>
        </w:rPr>
        <w:t>somewhat effective</w:t>
      </w:r>
      <w:r w:rsidR="00354AEA">
        <w:rPr>
          <w:rStyle w:val="BodyTextChar"/>
          <w:rFonts w:eastAsiaTheme="minorEastAsia"/>
        </w:rPr>
        <w:t xml:space="preserve"> based on </w:t>
      </w:r>
      <w:r w:rsidR="000A5D5A">
        <w:rPr>
          <w:rStyle w:val="BodyTextChar"/>
          <w:rFonts w:eastAsiaTheme="minorEastAsia"/>
        </w:rPr>
        <w:t>consumer survey data</w:t>
      </w:r>
      <w:r w:rsidR="00744E61">
        <w:rPr>
          <w:rStyle w:val="BodyTextChar"/>
          <w:rFonts w:eastAsiaTheme="minorEastAsia"/>
        </w:rPr>
        <w:t xml:space="preserve"> and </w:t>
      </w:r>
      <w:proofErr w:type="spellStart"/>
      <w:r w:rsidR="00744E61">
        <w:rPr>
          <w:rStyle w:val="BodyTextChar"/>
          <w:rFonts w:eastAsiaTheme="minorEastAsia"/>
        </w:rPr>
        <w:t>GambleAware</w:t>
      </w:r>
      <w:proofErr w:type="spellEnd"/>
      <w:r w:rsidR="00744E61">
        <w:rPr>
          <w:rStyle w:val="BodyTextChar"/>
          <w:rFonts w:eastAsiaTheme="minorEastAsia"/>
        </w:rPr>
        <w:t xml:space="preserve"> Helpline data. </w:t>
      </w:r>
    </w:p>
    <w:p w14:paraId="1FFF9301" w14:textId="4B9C78C3" w:rsidR="00031A74" w:rsidRDefault="00031A74" w:rsidP="00D579AC">
      <w:pPr>
        <w:pStyle w:val="BodyText"/>
        <w:jc w:val="both"/>
        <w:rPr>
          <w:rStyle w:val="BodyTextChar"/>
          <w:rFonts w:eastAsiaTheme="minorEastAsia"/>
        </w:rPr>
      </w:pPr>
      <w:r>
        <w:rPr>
          <w:rStyle w:val="BodyTextChar"/>
          <w:rFonts w:eastAsiaTheme="minorEastAsia"/>
        </w:rPr>
        <w:t>The consumer survey conducted for this evaluation found</w:t>
      </w:r>
      <w:r w:rsidR="001C78A7">
        <w:rPr>
          <w:rStyle w:val="BodyTextChar"/>
          <w:rFonts w:eastAsiaTheme="minorEastAsia"/>
        </w:rPr>
        <w:t xml:space="preserve"> that</w:t>
      </w:r>
      <w:r w:rsidR="001733A7">
        <w:rPr>
          <w:rStyle w:val="BodyTextChar"/>
          <w:rFonts w:eastAsiaTheme="minorEastAsia"/>
        </w:rPr>
        <w:t>,</w:t>
      </w:r>
      <w:r>
        <w:rPr>
          <w:rStyle w:val="BodyTextChar"/>
          <w:rFonts w:eastAsiaTheme="minorEastAsia"/>
        </w:rPr>
        <w:t xml:space="preserve"> for online wagerers seeing or hearing the taglines in the past 12</w:t>
      </w:r>
      <w:r w:rsidR="003A40F9">
        <w:rPr>
          <w:rStyle w:val="BodyTextChar"/>
          <w:rFonts w:eastAsiaTheme="minorEastAsia"/>
        </w:rPr>
        <w:t xml:space="preserve"> </w:t>
      </w:r>
      <w:r>
        <w:rPr>
          <w:rStyle w:val="BodyTextChar"/>
          <w:rFonts w:eastAsiaTheme="minorEastAsia"/>
        </w:rPr>
        <w:t xml:space="preserve">months, 7.1% </w:t>
      </w:r>
      <w:r w:rsidR="00DA55A6">
        <w:rPr>
          <w:rStyle w:val="BodyTextChar"/>
          <w:rFonts w:eastAsiaTheme="minorEastAsia"/>
        </w:rPr>
        <w:t xml:space="preserve">were prompted </w:t>
      </w:r>
      <w:r>
        <w:rPr>
          <w:rStyle w:val="BodyTextChar"/>
          <w:rFonts w:eastAsiaTheme="minorEastAsia"/>
        </w:rPr>
        <w:t>to set a deposit limit and 3.1%</w:t>
      </w:r>
      <w:r w:rsidR="00C07182">
        <w:rPr>
          <w:rStyle w:val="BodyTextChar"/>
          <w:rFonts w:eastAsiaTheme="minorEastAsia"/>
        </w:rPr>
        <w:t> </w:t>
      </w:r>
      <w:r>
        <w:rPr>
          <w:rStyle w:val="BodyTextChar"/>
          <w:rFonts w:eastAsiaTheme="minorEastAsia"/>
        </w:rPr>
        <w:t xml:space="preserve">to review their deposit limit. </w:t>
      </w:r>
    </w:p>
    <w:p w14:paraId="7310F31A" w14:textId="7FB23990" w:rsidR="00033FF6" w:rsidRDefault="00D579AC" w:rsidP="00D579AC">
      <w:pPr>
        <w:pStyle w:val="BodyText"/>
        <w:jc w:val="both"/>
        <w:rPr>
          <w:lang w:eastAsia="en-AU"/>
        </w:rPr>
      </w:pPr>
      <w:r w:rsidRPr="006E4E95">
        <w:rPr>
          <w:lang w:eastAsia="en-AU"/>
        </w:rPr>
        <w:t xml:space="preserve">The </w:t>
      </w:r>
      <w:proofErr w:type="spellStart"/>
      <w:r w:rsidRPr="006E4E95">
        <w:rPr>
          <w:lang w:eastAsia="en-AU"/>
        </w:rPr>
        <w:t>GambleAware</w:t>
      </w:r>
      <w:proofErr w:type="spellEnd"/>
      <w:r w:rsidRPr="006E4E95">
        <w:rPr>
          <w:lang w:eastAsia="en-AU"/>
        </w:rPr>
        <w:t xml:space="preserve"> Helpline </w:t>
      </w:r>
      <w:r w:rsidR="00697701">
        <w:rPr>
          <w:lang w:eastAsia="en-AU"/>
        </w:rPr>
        <w:t xml:space="preserve">is </w:t>
      </w:r>
      <w:proofErr w:type="gramStart"/>
      <w:r w:rsidR="00697701">
        <w:rPr>
          <w:lang w:eastAsia="en-AU"/>
        </w:rPr>
        <w:t>a</w:t>
      </w:r>
      <w:proofErr w:type="gramEnd"/>
      <w:r w:rsidR="00697701">
        <w:rPr>
          <w:lang w:eastAsia="en-AU"/>
        </w:rPr>
        <w:t xml:space="preserve"> NSW-based service that </w:t>
      </w:r>
      <w:r w:rsidRPr="006E4E95">
        <w:rPr>
          <w:lang w:eastAsia="en-AU"/>
        </w:rPr>
        <w:t xml:space="preserve">answers calls </w:t>
      </w:r>
      <w:r>
        <w:rPr>
          <w:lang w:eastAsia="en-AU"/>
        </w:rPr>
        <w:t>from</w:t>
      </w:r>
      <w:r w:rsidRPr="006E4E95">
        <w:rPr>
          <w:lang w:eastAsia="en-AU"/>
        </w:rPr>
        <w:t xml:space="preserve"> clients.</w:t>
      </w:r>
      <w:r>
        <w:rPr>
          <w:lang w:eastAsia="en-AU"/>
        </w:rPr>
        <w:t xml:space="preserve"> </w:t>
      </w:r>
      <w:r w:rsidR="004139ED">
        <w:rPr>
          <w:lang w:eastAsia="en-AU"/>
        </w:rPr>
        <w:t>The national 1800 number routes caller</w:t>
      </w:r>
      <w:r w:rsidR="00F66D85">
        <w:rPr>
          <w:lang w:eastAsia="en-AU"/>
        </w:rPr>
        <w:t xml:space="preserve">s to state and territory services. </w:t>
      </w:r>
      <w:r>
        <w:rPr>
          <w:lang w:eastAsia="en-AU"/>
        </w:rPr>
        <w:t>There was a 53.7% increase in calls received between 2022</w:t>
      </w:r>
      <w:r w:rsidR="00573B54">
        <w:rPr>
          <w:lang w:eastAsia="en-AU"/>
        </w:rPr>
        <w:t>–</w:t>
      </w:r>
      <w:r>
        <w:rPr>
          <w:lang w:eastAsia="en-AU"/>
        </w:rPr>
        <w:t>23 and 2023</w:t>
      </w:r>
      <w:r w:rsidR="00573B54">
        <w:rPr>
          <w:lang w:eastAsia="en-AU"/>
        </w:rPr>
        <w:t>–</w:t>
      </w:r>
      <w:r>
        <w:rPr>
          <w:lang w:eastAsia="en-AU"/>
        </w:rPr>
        <w:t xml:space="preserve">24 (see </w:t>
      </w:r>
      <w:hyperlink w:anchor="Table8" w:history="1">
        <w:r w:rsidR="00901511" w:rsidRPr="00CF6D5E">
          <w:rPr>
            <w:rStyle w:val="Hyperlink"/>
            <w:b/>
            <w:lang w:eastAsia="en-AU"/>
          </w:rPr>
          <w:t>Table</w:t>
        </w:r>
        <w:bookmarkStart w:id="123" w:name="_Hlt233642206"/>
        <w:r w:rsidR="00901511" w:rsidRPr="00CF6D5E">
          <w:rPr>
            <w:rStyle w:val="Hyperlink"/>
            <w:b/>
            <w:lang w:eastAsia="en-AU"/>
          </w:rPr>
          <w:t xml:space="preserve"> </w:t>
        </w:r>
        <w:bookmarkEnd w:id="123"/>
        <w:r w:rsidR="00901511" w:rsidRPr="00CF6D5E">
          <w:rPr>
            <w:rStyle w:val="Hyperlink"/>
            <w:b/>
            <w:lang w:eastAsia="en-AU"/>
          </w:rPr>
          <w:t>8</w:t>
        </w:r>
      </w:hyperlink>
      <w:r w:rsidRPr="648A5E95">
        <w:rPr>
          <w:lang w:eastAsia="en-AU"/>
        </w:rPr>
        <w:t>).</w:t>
      </w:r>
      <w:r>
        <w:rPr>
          <w:lang w:eastAsia="en-AU"/>
        </w:rPr>
        <w:t xml:space="preserve"> </w:t>
      </w:r>
    </w:p>
    <w:p w14:paraId="2B1DA969" w14:textId="782D4D5E" w:rsidR="00D579AC" w:rsidRDefault="00D579AC" w:rsidP="00D579AC">
      <w:pPr>
        <w:pStyle w:val="BodyText"/>
        <w:jc w:val="both"/>
        <w:rPr>
          <w:lang w:eastAsia="en-AU"/>
        </w:rPr>
      </w:pPr>
      <w:r w:rsidRPr="006A48CA">
        <w:rPr>
          <w:lang w:eastAsia="en-AU"/>
        </w:rPr>
        <w:t xml:space="preserve">The Gambling Help Online </w:t>
      </w:r>
      <w:r>
        <w:rPr>
          <w:lang w:eastAsia="en-AU"/>
        </w:rPr>
        <w:t xml:space="preserve">website </w:t>
      </w:r>
      <w:r w:rsidRPr="006A48CA">
        <w:rPr>
          <w:lang w:eastAsia="en-AU"/>
        </w:rPr>
        <w:t>is a national website with state and territory specific pages.</w:t>
      </w:r>
      <w:r>
        <w:rPr>
          <w:lang w:eastAsia="en-AU"/>
        </w:rPr>
        <w:t xml:space="preserve"> The website displays both the Helpline telephone number and offers a chat function. There was a 44.5% increase in chat requests between 2022</w:t>
      </w:r>
      <w:r w:rsidR="00573B54">
        <w:rPr>
          <w:lang w:eastAsia="en-AU"/>
        </w:rPr>
        <w:t>–</w:t>
      </w:r>
      <w:r>
        <w:rPr>
          <w:lang w:eastAsia="en-AU"/>
        </w:rPr>
        <w:t>23 and 2023</w:t>
      </w:r>
      <w:r w:rsidR="00573B54">
        <w:rPr>
          <w:lang w:eastAsia="en-AU"/>
        </w:rPr>
        <w:t>–</w:t>
      </w:r>
      <w:r>
        <w:rPr>
          <w:lang w:eastAsia="en-AU"/>
        </w:rPr>
        <w:t xml:space="preserve">24. </w:t>
      </w:r>
    </w:p>
    <w:p w14:paraId="2BF8E8DA" w14:textId="3D659F90" w:rsidR="00D579AC" w:rsidRDefault="00D579AC" w:rsidP="00CF6D5E">
      <w:pPr>
        <w:pStyle w:val="TableCaption"/>
      </w:pPr>
      <w:bookmarkStart w:id="124" w:name="Table8"/>
      <w:bookmarkStart w:id="125" w:name="Bookmark3"/>
      <w:bookmarkStart w:id="126" w:name="_Ref213834089"/>
      <w:r>
        <w:t xml:space="preserve">Table </w:t>
      </w:r>
      <w:bookmarkEnd w:id="124"/>
      <w:bookmarkEnd w:id="125"/>
      <w:bookmarkEnd w:id="126"/>
      <w:r w:rsidR="00573B54">
        <w:t>8</w:t>
      </w:r>
      <w:r>
        <w:t xml:space="preserve">: </w:t>
      </w:r>
      <w:r w:rsidRPr="6D64BFBA">
        <w:t xml:space="preserve">Gambling Help Online contacts, </w:t>
      </w:r>
      <w:r w:rsidRPr="46531D54">
        <w:t>April</w:t>
      </w:r>
      <w:r w:rsidR="00573B54">
        <w:t>–</w:t>
      </w:r>
      <w:r w:rsidRPr="46531D54">
        <w:t xml:space="preserve">March </w:t>
      </w:r>
      <w:r w:rsidRPr="6D64BFBA">
        <w:t>2022</w:t>
      </w:r>
      <w:r w:rsidR="00573B54">
        <w:t>–</w:t>
      </w:r>
      <w:r w:rsidRPr="6D64BFBA">
        <w:t>23, 2023</w:t>
      </w:r>
      <w:r w:rsidR="00573B54">
        <w:t>–</w:t>
      </w:r>
      <w:r w:rsidRPr="6D64BFBA">
        <w:t>24, 2024</w:t>
      </w:r>
      <w:r w:rsidR="00573B54">
        <w:t>–</w:t>
      </w:r>
      <w:r w:rsidRPr="6D64BFBA">
        <w:t xml:space="preserve">25 </w:t>
      </w:r>
    </w:p>
    <w:tbl>
      <w:tblPr>
        <w:tblStyle w:val="TableGrid8"/>
        <w:tblW w:w="8505" w:type="dxa"/>
        <w:tblLook w:val="04A0" w:firstRow="1" w:lastRow="0" w:firstColumn="1" w:lastColumn="0" w:noHBand="0" w:noVBand="1"/>
      </w:tblPr>
      <w:tblGrid>
        <w:gridCol w:w="2148"/>
        <w:gridCol w:w="3239"/>
        <w:gridCol w:w="3118"/>
      </w:tblGrid>
      <w:tr w:rsidR="00D579AC" w14:paraId="6D090322" w14:textId="77777777" w:rsidTr="00CF6D5E">
        <w:trPr>
          <w:cnfStyle w:val="100000000000" w:firstRow="1" w:lastRow="0" w:firstColumn="0" w:lastColumn="0" w:oddVBand="0" w:evenVBand="0" w:oddHBand="0" w:evenHBand="0" w:firstRowFirstColumn="0" w:firstRowLastColumn="0" w:lastRowFirstColumn="0" w:lastRowLastColumn="0"/>
          <w:trHeight w:val="300"/>
        </w:trPr>
        <w:tc>
          <w:tcPr>
            <w:tcW w:w="2148" w:type="dxa"/>
          </w:tcPr>
          <w:p w14:paraId="0709C685" w14:textId="77777777" w:rsidR="00D579AC" w:rsidRDefault="00D579AC">
            <w:pPr>
              <w:pStyle w:val="TableColHeadLeft"/>
            </w:pPr>
            <w:r>
              <w:t>Time Period</w:t>
            </w:r>
          </w:p>
        </w:tc>
        <w:tc>
          <w:tcPr>
            <w:tcW w:w="3239" w:type="dxa"/>
          </w:tcPr>
          <w:p w14:paraId="1D118F32" w14:textId="6AFBC38E" w:rsidR="00D579AC" w:rsidRDefault="00D579AC">
            <w:pPr>
              <w:pStyle w:val="TableColHeadLeft"/>
            </w:pPr>
            <w:proofErr w:type="spellStart"/>
            <w:r>
              <w:t>GambleAware</w:t>
            </w:r>
            <w:proofErr w:type="spellEnd"/>
            <w:r>
              <w:t xml:space="preserve"> Helpline</w:t>
            </w:r>
            <w:r w:rsidR="00AA39D1">
              <w:t xml:space="preserve"> (NSW)</w:t>
            </w:r>
          </w:p>
        </w:tc>
        <w:tc>
          <w:tcPr>
            <w:tcW w:w="3118" w:type="dxa"/>
          </w:tcPr>
          <w:p w14:paraId="45AF3174" w14:textId="040B5617" w:rsidR="00D579AC" w:rsidRDefault="00D579AC">
            <w:pPr>
              <w:pStyle w:val="TableColHeadLeft"/>
            </w:pPr>
            <w:r>
              <w:t>Gambling Help Online</w:t>
            </w:r>
            <w:r w:rsidR="006B709D">
              <w:t xml:space="preserve"> (Australia)</w:t>
            </w:r>
          </w:p>
        </w:tc>
      </w:tr>
      <w:tr w:rsidR="00D579AC" w14:paraId="673001D5" w14:textId="77777777" w:rsidTr="00CF6D5E">
        <w:trPr>
          <w:trHeight w:val="300"/>
        </w:trPr>
        <w:tc>
          <w:tcPr>
            <w:tcW w:w="2148" w:type="dxa"/>
          </w:tcPr>
          <w:p w14:paraId="0DCA20F2" w14:textId="7EA730B3" w:rsidR="00D579AC" w:rsidRDefault="00D579AC">
            <w:pPr>
              <w:pStyle w:val="TableText"/>
            </w:pPr>
            <w:r>
              <w:t>April 2022</w:t>
            </w:r>
            <w:r w:rsidR="00573B54">
              <w:t>–</w:t>
            </w:r>
            <w:r>
              <w:t>March 2023</w:t>
            </w:r>
          </w:p>
        </w:tc>
        <w:tc>
          <w:tcPr>
            <w:tcW w:w="3239" w:type="dxa"/>
          </w:tcPr>
          <w:p w14:paraId="1E5EA57B" w14:textId="77777777" w:rsidR="00D579AC" w:rsidRDefault="00D579AC">
            <w:pPr>
              <w:pStyle w:val="TableText"/>
            </w:pPr>
            <w:r>
              <w:t>15,818 calls received</w:t>
            </w:r>
          </w:p>
        </w:tc>
        <w:tc>
          <w:tcPr>
            <w:tcW w:w="3118" w:type="dxa"/>
          </w:tcPr>
          <w:p w14:paraId="2FFF10B0" w14:textId="77777777" w:rsidR="00D579AC" w:rsidRDefault="00D579AC">
            <w:pPr>
              <w:pStyle w:val="TableText"/>
            </w:pPr>
            <w:r>
              <w:t>7,746 chat requests</w:t>
            </w:r>
          </w:p>
        </w:tc>
      </w:tr>
      <w:tr w:rsidR="00D579AC" w14:paraId="38422E0D" w14:textId="77777777" w:rsidTr="00CF6D5E">
        <w:trPr>
          <w:trHeight w:val="300"/>
        </w:trPr>
        <w:tc>
          <w:tcPr>
            <w:tcW w:w="2148" w:type="dxa"/>
          </w:tcPr>
          <w:p w14:paraId="37C336AD" w14:textId="6F04379D" w:rsidR="00D579AC" w:rsidRDefault="00D579AC">
            <w:pPr>
              <w:pStyle w:val="TableText"/>
            </w:pPr>
            <w:r>
              <w:t>April 2023</w:t>
            </w:r>
            <w:r w:rsidR="00573B54">
              <w:t>–</w:t>
            </w:r>
            <w:r>
              <w:t>March 2024</w:t>
            </w:r>
          </w:p>
        </w:tc>
        <w:tc>
          <w:tcPr>
            <w:tcW w:w="3239" w:type="dxa"/>
          </w:tcPr>
          <w:p w14:paraId="57154CB5" w14:textId="77777777" w:rsidR="00D579AC" w:rsidRDefault="00D579AC">
            <w:pPr>
              <w:pStyle w:val="TableText"/>
            </w:pPr>
            <w:r>
              <w:t>24,314 calls received</w:t>
            </w:r>
          </w:p>
        </w:tc>
        <w:tc>
          <w:tcPr>
            <w:tcW w:w="3118" w:type="dxa"/>
          </w:tcPr>
          <w:p w14:paraId="672CAEFE" w14:textId="77777777" w:rsidR="00D579AC" w:rsidRDefault="00D579AC">
            <w:pPr>
              <w:pStyle w:val="TableText"/>
            </w:pPr>
            <w:r>
              <w:t>11,190 chat requests</w:t>
            </w:r>
          </w:p>
        </w:tc>
      </w:tr>
      <w:tr w:rsidR="00D579AC" w14:paraId="4438AC28" w14:textId="77777777" w:rsidTr="00CF6D5E">
        <w:trPr>
          <w:trHeight w:val="300"/>
        </w:trPr>
        <w:tc>
          <w:tcPr>
            <w:tcW w:w="2148" w:type="dxa"/>
          </w:tcPr>
          <w:p w14:paraId="5DED7227" w14:textId="0FD67427" w:rsidR="00D579AC" w:rsidRDefault="00D579AC">
            <w:pPr>
              <w:pStyle w:val="TableText"/>
            </w:pPr>
            <w:r>
              <w:t>April 2024</w:t>
            </w:r>
            <w:r w:rsidR="00573B54">
              <w:t>–</w:t>
            </w:r>
            <w:r>
              <w:t>March 2025</w:t>
            </w:r>
          </w:p>
        </w:tc>
        <w:tc>
          <w:tcPr>
            <w:tcW w:w="3239" w:type="dxa"/>
          </w:tcPr>
          <w:p w14:paraId="79411C4E" w14:textId="77777777" w:rsidR="00D579AC" w:rsidRDefault="00D579AC">
            <w:pPr>
              <w:pStyle w:val="TableText"/>
            </w:pPr>
            <w:r>
              <w:t>17,936 calls received</w:t>
            </w:r>
          </w:p>
        </w:tc>
        <w:tc>
          <w:tcPr>
            <w:tcW w:w="3118" w:type="dxa"/>
          </w:tcPr>
          <w:p w14:paraId="51E7C9E1" w14:textId="77777777" w:rsidR="00D579AC" w:rsidRDefault="00D579AC">
            <w:pPr>
              <w:pStyle w:val="TableText"/>
            </w:pPr>
            <w:r>
              <w:t>12,488 chat requests</w:t>
            </w:r>
          </w:p>
        </w:tc>
      </w:tr>
    </w:tbl>
    <w:p w14:paraId="3E695554" w14:textId="3132C839" w:rsidR="001C1380" w:rsidRDefault="00882904" w:rsidP="00CF6D5E">
      <w:pPr>
        <w:pStyle w:val="BodyText"/>
        <w:rPr>
          <w:lang w:eastAsia="en-AU"/>
        </w:rPr>
      </w:pPr>
      <w:r>
        <w:rPr>
          <w:lang w:eastAsia="en-AU"/>
        </w:rPr>
        <w:t xml:space="preserve">Three </w:t>
      </w:r>
      <w:r w:rsidR="002F04C1">
        <w:rPr>
          <w:lang w:eastAsia="en-AU"/>
        </w:rPr>
        <w:t xml:space="preserve">changes occurred </w:t>
      </w:r>
      <w:r w:rsidR="0071715E">
        <w:rPr>
          <w:lang w:eastAsia="en-AU"/>
        </w:rPr>
        <w:t xml:space="preserve">to the services </w:t>
      </w:r>
      <w:r w:rsidR="002F04C1">
        <w:rPr>
          <w:lang w:eastAsia="en-AU"/>
        </w:rPr>
        <w:t xml:space="preserve">over </w:t>
      </w:r>
      <w:r w:rsidR="0071715E">
        <w:rPr>
          <w:lang w:eastAsia="en-AU"/>
        </w:rPr>
        <w:t>2022 to 2025</w:t>
      </w:r>
      <w:r>
        <w:rPr>
          <w:lang w:eastAsia="en-AU"/>
        </w:rPr>
        <w:t xml:space="preserve">: </w:t>
      </w:r>
      <w:r w:rsidR="00361A39">
        <w:rPr>
          <w:lang w:eastAsia="en-AU"/>
        </w:rPr>
        <w:t>procurement and transition to a new NSW helpline provider (January 2023)</w:t>
      </w:r>
      <w:r w:rsidR="00431108">
        <w:rPr>
          <w:lang w:eastAsia="en-AU"/>
        </w:rPr>
        <w:t xml:space="preserve">, </w:t>
      </w:r>
      <w:r w:rsidR="00361A39">
        <w:rPr>
          <w:lang w:eastAsia="en-AU"/>
        </w:rPr>
        <w:t xml:space="preserve">the Gambling Help Online website </w:t>
      </w:r>
      <w:r w:rsidR="00E60832">
        <w:rPr>
          <w:lang w:eastAsia="en-AU"/>
        </w:rPr>
        <w:t xml:space="preserve">was </w:t>
      </w:r>
      <w:r w:rsidR="00361A39">
        <w:rPr>
          <w:lang w:eastAsia="en-AU"/>
        </w:rPr>
        <w:t>redesign</w:t>
      </w:r>
      <w:r w:rsidR="00E60832">
        <w:rPr>
          <w:lang w:eastAsia="en-AU"/>
        </w:rPr>
        <w:t>ed</w:t>
      </w:r>
      <w:r w:rsidR="00361A39">
        <w:rPr>
          <w:lang w:eastAsia="en-AU"/>
        </w:rPr>
        <w:t xml:space="preserve"> (July 2023</w:t>
      </w:r>
      <w:proofErr w:type="gramStart"/>
      <w:r w:rsidR="00361A39">
        <w:rPr>
          <w:lang w:eastAsia="en-AU"/>
        </w:rPr>
        <w:t>)</w:t>
      </w:r>
      <w:proofErr w:type="gramEnd"/>
      <w:r w:rsidR="00F7304A">
        <w:rPr>
          <w:lang w:eastAsia="en-AU"/>
        </w:rPr>
        <w:t xml:space="preserve"> and a </w:t>
      </w:r>
      <w:r w:rsidR="00361A39">
        <w:rPr>
          <w:lang w:eastAsia="en-AU"/>
        </w:rPr>
        <w:t xml:space="preserve">requirement </w:t>
      </w:r>
      <w:r w:rsidR="00E60832">
        <w:rPr>
          <w:lang w:eastAsia="en-AU"/>
        </w:rPr>
        <w:t xml:space="preserve">was removed </w:t>
      </w:r>
      <w:r w:rsidR="00361A39">
        <w:rPr>
          <w:lang w:eastAsia="en-AU"/>
        </w:rPr>
        <w:t>for clients to provide personal or demographic information prior to accessing online chat</w:t>
      </w:r>
      <w:r w:rsidR="006F0D82">
        <w:rPr>
          <w:lang w:eastAsia="en-AU"/>
        </w:rPr>
        <w:t>.</w:t>
      </w:r>
    </w:p>
    <w:p w14:paraId="4D315831" w14:textId="0EFC0EBA" w:rsidR="00D579AC" w:rsidRDefault="00681AD1" w:rsidP="00D579AC">
      <w:pPr>
        <w:pStyle w:val="BodyText"/>
        <w:jc w:val="both"/>
        <w:rPr>
          <w:lang w:eastAsia="en-AU"/>
        </w:rPr>
      </w:pPr>
      <w:r>
        <w:rPr>
          <w:lang w:eastAsia="en-AU"/>
        </w:rPr>
        <w:t>It appears that t</w:t>
      </w:r>
      <w:r w:rsidR="00D579AC" w:rsidRPr="7A736968">
        <w:rPr>
          <w:lang w:eastAsia="en-AU"/>
        </w:rPr>
        <w:t xml:space="preserve">he increase in </w:t>
      </w:r>
      <w:r w:rsidR="001C6152">
        <w:rPr>
          <w:lang w:eastAsia="en-AU"/>
        </w:rPr>
        <w:t xml:space="preserve">calls and </w:t>
      </w:r>
      <w:r w:rsidR="00D579AC" w:rsidRPr="7A736968">
        <w:rPr>
          <w:lang w:eastAsia="en-AU"/>
        </w:rPr>
        <w:t xml:space="preserve">chat requests may have been due to the call to action advertised in the </w:t>
      </w:r>
      <w:r w:rsidR="003C5C93">
        <w:rPr>
          <w:lang w:eastAsia="en-AU"/>
        </w:rPr>
        <w:t>CGM</w:t>
      </w:r>
      <w:r w:rsidR="00EC434D">
        <w:rPr>
          <w:lang w:eastAsia="en-AU"/>
        </w:rPr>
        <w:t xml:space="preserve">. The increase </w:t>
      </w:r>
      <w:r w:rsidR="00CF3C42">
        <w:rPr>
          <w:lang w:eastAsia="en-AU"/>
        </w:rPr>
        <w:t xml:space="preserve">in chat requests </w:t>
      </w:r>
      <w:r w:rsidR="007B3012">
        <w:rPr>
          <w:lang w:eastAsia="en-AU"/>
        </w:rPr>
        <w:t xml:space="preserve">may also have been due to removing </w:t>
      </w:r>
      <w:r w:rsidR="00D579AC" w:rsidRPr="7A736968">
        <w:rPr>
          <w:lang w:eastAsia="en-AU"/>
        </w:rPr>
        <w:t>an access barrier</w:t>
      </w:r>
      <w:r w:rsidR="00CF38A2">
        <w:rPr>
          <w:lang w:eastAsia="en-AU"/>
        </w:rPr>
        <w:t>,</w:t>
      </w:r>
      <w:r w:rsidR="00D579AC" w:rsidRPr="7A736968">
        <w:rPr>
          <w:lang w:eastAsia="en-AU"/>
        </w:rPr>
        <w:t xml:space="preserve"> </w:t>
      </w:r>
      <w:r w:rsidR="005226FB">
        <w:rPr>
          <w:lang w:eastAsia="en-AU"/>
        </w:rPr>
        <w:t xml:space="preserve">with </w:t>
      </w:r>
      <w:r w:rsidR="00D579AC" w:rsidRPr="7A736968">
        <w:rPr>
          <w:lang w:eastAsia="en-AU"/>
        </w:rPr>
        <w:t>clients no longer needing to provide information prior to being able to chat.</w:t>
      </w:r>
    </w:p>
    <w:p w14:paraId="0FE2C4D9" w14:textId="77777777" w:rsidR="00CF38A2" w:rsidRDefault="00EA1484" w:rsidP="008E700F">
      <w:pPr>
        <w:pStyle w:val="BodyText"/>
        <w:rPr>
          <w:rFonts w:eastAsia="Arial"/>
        </w:rPr>
      </w:pPr>
      <w:r>
        <w:rPr>
          <w:rStyle w:val="BodyTextChar"/>
          <w:rFonts w:eastAsiaTheme="minorEastAsia"/>
        </w:rPr>
        <w:t xml:space="preserve">There was no call to action </w:t>
      </w:r>
      <w:r w:rsidR="0001473D">
        <w:rPr>
          <w:rStyle w:val="BodyTextChar"/>
          <w:rFonts w:eastAsiaTheme="minorEastAsia"/>
        </w:rPr>
        <w:t>that referenced the NSER</w:t>
      </w:r>
      <w:r w:rsidR="005E12D9">
        <w:rPr>
          <w:rStyle w:val="BodyTextChar"/>
          <w:rFonts w:eastAsiaTheme="minorEastAsia"/>
        </w:rPr>
        <w:t xml:space="preserve"> as the NSER was </w:t>
      </w:r>
      <w:r w:rsidR="004A7B4E">
        <w:rPr>
          <w:rStyle w:val="BodyTextChar"/>
          <w:rFonts w:eastAsiaTheme="minorEastAsia"/>
        </w:rPr>
        <w:t xml:space="preserve">implemented after </w:t>
      </w:r>
      <w:r w:rsidR="00CF38A2">
        <w:rPr>
          <w:rStyle w:val="BodyTextChar"/>
          <w:rFonts w:eastAsiaTheme="minorEastAsia"/>
        </w:rPr>
        <w:t xml:space="preserve">the </w:t>
      </w:r>
      <w:r w:rsidR="004A7B4E">
        <w:rPr>
          <w:rStyle w:val="BodyTextChar"/>
          <w:rFonts w:eastAsiaTheme="minorEastAsia"/>
        </w:rPr>
        <w:t>CGM</w:t>
      </w:r>
      <w:r w:rsidR="0001473D">
        <w:rPr>
          <w:rStyle w:val="BodyTextChar"/>
          <w:rFonts w:eastAsiaTheme="minorEastAsia"/>
        </w:rPr>
        <w:t xml:space="preserve">. </w:t>
      </w:r>
      <w:r w:rsidR="00DB30F2">
        <w:rPr>
          <w:rStyle w:val="BodyTextChar"/>
          <w:rFonts w:eastAsiaTheme="minorEastAsia"/>
        </w:rPr>
        <w:t xml:space="preserve">There was also relatively low awareness of the </w:t>
      </w:r>
      <w:r w:rsidR="00DB30F2" w:rsidRPr="12BCEAC1">
        <w:rPr>
          <w:rStyle w:val="BodyTextChar"/>
          <w:rFonts w:eastAsiaTheme="minorEastAsia"/>
        </w:rPr>
        <w:t>NSE</w:t>
      </w:r>
      <w:r w:rsidR="72110FF1" w:rsidRPr="12BCEAC1">
        <w:rPr>
          <w:rStyle w:val="BodyTextChar"/>
          <w:rFonts w:eastAsiaTheme="minorEastAsia"/>
        </w:rPr>
        <w:t>R</w:t>
      </w:r>
      <w:r w:rsidR="00DB30F2">
        <w:rPr>
          <w:rStyle w:val="BodyTextChar"/>
          <w:rFonts w:eastAsiaTheme="minorEastAsia"/>
        </w:rPr>
        <w:t>.</w:t>
      </w:r>
      <w:r w:rsidR="005A760D">
        <w:rPr>
          <w:rStyle w:val="BodyTextChar"/>
          <w:rFonts w:eastAsiaTheme="minorEastAsia"/>
        </w:rPr>
        <w:t xml:space="preserve"> </w:t>
      </w:r>
      <w:r w:rsidR="001338F9">
        <w:rPr>
          <w:rFonts w:eastAsia="Arial"/>
        </w:rPr>
        <w:t>AGRC</w:t>
      </w:r>
      <w:r w:rsidR="00D37EAF">
        <w:rPr>
          <w:rFonts w:eastAsia="Arial"/>
        </w:rPr>
        <w:t xml:space="preserve"> </w:t>
      </w:r>
      <w:r w:rsidR="007B26B1">
        <w:rPr>
          <w:rFonts w:eastAsia="Arial"/>
        </w:rPr>
        <w:t xml:space="preserve">found that </w:t>
      </w:r>
      <w:r w:rsidR="00D2550A">
        <w:rPr>
          <w:rFonts w:eastAsia="Arial"/>
        </w:rPr>
        <w:t xml:space="preserve">only 33.5% of people who </w:t>
      </w:r>
      <w:r w:rsidR="00CF38A2">
        <w:rPr>
          <w:rFonts w:eastAsia="Arial"/>
        </w:rPr>
        <w:t xml:space="preserve">had </w:t>
      </w:r>
      <w:r w:rsidR="00D2550A">
        <w:rPr>
          <w:rFonts w:eastAsia="Arial"/>
        </w:rPr>
        <w:t>place</w:t>
      </w:r>
      <w:r w:rsidR="00CF38A2">
        <w:rPr>
          <w:rFonts w:eastAsia="Arial"/>
        </w:rPr>
        <w:t>d</w:t>
      </w:r>
      <w:r w:rsidR="00D2550A">
        <w:rPr>
          <w:rFonts w:eastAsia="Arial"/>
        </w:rPr>
        <w:t xml:space="preserve"> bets in the past 12</w:t>
      </w:r>
      <w:r w:rsidR="00B12DA2">
        <w:rPr>
          <w:rFonts w:eastAsia="Arial"/>
        </w:rPr>
        <w:t> </w:t>
      </w:r>
      <w:r w:rsidR="00D2550A">
        <w:rPr>
          <w:rFonts w:eastAsia="Arial"/>
        </w:rPr>
        <w:t xml:space="preserve">months </w:t>
      </w:r>
      <w:r w:rsidR="00795305">
        <w:rPr>
          <w:rFonts w:eastAsia="Arial"/>
        </w:rPr>
        <w:t xml:space="preserve">were aware of </w:t>
      </w:r>
      <w:r w:rsidR="00E212BB">
        <w:rPr>
          <w:rFonts w:eastAsia="Arial"/>
        </w:rPr>
        <w:t>the NSER</w:t>
      </w:r>
      <w:r w:rsidR="003F4297">
        <w:rPr>
          <w:rFonts w:eastAsia="Arial"/>
        </w:rPr>
        <w:t xml:space="preserve"> (Sakata et al</w:t>
      </w:r>
      <w:r w:rsidR="003F07B8">
        <w:rPr>
          <w:rFonts w:eastAsia="Arial"/>
        </w:rPr>
        <w:t>.</w:t>
      </w:r>
      <w:r w:rsidR="003F4297">
        <w:rPr>
          <w:rFonts w:eastAsia="Arial"/>
        </w:rPr>
        <w:t>, 2025)</w:t>
      </w:r>
      <w:r w:rsidR="00795305">
        <w:rPr>
          <w:rFonts w:eastAsia="Arial"/>
        </w:rPr>
        <w:t xml:space="preserve">. </w:t>
      </w:r>
    </w:p>
    <w:p w14:paraId="1F72DF30" w14:textId="2B62FF24" w:rsidR="00003EEF" w:rsidRDefault="00E61050" w:rsidP="008E700F">
      <w:pPr>
        <w:pStyle w:val="BodyText"/>
        <w:rPr>
          <w:rFonts w:eastAsia="Arial"/>
        </w:rPr>
      </w:pPr>
      <w:r>
        <w:rPr>
          <w:rFonts w:eastAsia="Arial"/>
        </w:rPr>
        <w:t xml:space="preserve">The </w:t>
      </w:r>
      <w:r w:rsidR="00416E60">
        <w:rPr>
          <w:rFonts w:eastAsia="Arial"/>
        </w:rPr>
        <w:t>NSER</w:t>
      </w:r>
      <w:r>
        <w:rPr>
          <w:rFonts w:eastAsia="Arial"/>
        </w:rPr>
        <w:t xml:space="preserve"> statutory review (Eccles, 2025) </w:t>
      </w:r>
      <w:r w:rsidR="00011D7A">
        <w:rPr>
          <w:rFonts w:eastAsia="Arial"/>
        </w:rPr>
        <w:t>recommended various strategies</w:t>
      </w:r>
      <w:r w:rsidR="001338F9">
        <w:rPr>
          <w:rFonts w:eastAsia="Arial"/>
        </w:rPr>
        <w:t xml:space="preserve"> to</w:t>
      </w:r>
      <w:r w:rsidR="00011D7A">
        <w:rPr>
          <w:rFonts w:eastAsia="Arial"/>
        </w:rPr>
        <w:t xml:space="preserve"> </w:t>
      </w:r>
      <w:r w:rsidR="00B12DA2">
        <w:rPr>
          <w:rFonts w:eastAsia="Arial"/>
        </w:rPr>
        <w:t xml:space="preserve">improve awareness of </w:t>
      </w:r>
      <w:r w:rsidR="00416E60">
        <w:rPr>
          <w:rFonts w:eastAsia="Arial"/>
        </w:rPr>
        <w:t>the NSER</w:t>
      </w:r>
      <w:r w:rsidR="00B12DA2">
        <w:rPr>
          <w:rFonts w:eastAsia="Arial"/>
        </w:rPr>
        <w:t xml:space="preserve">. One of </w:t>
      </w:r>
      <w:r w:rsidR="001162AA">
        <w:rPr>
          <w:rFonts w:eastAsia="Arial"/>
        </w:rPr>
        <w:t xml:space="preserve">these recommendations </w:t>
      </w:r>
      <w:r w:rsidR="004B4612">
        <w:rPr>
          <w:rFonts w:eastAsia="Arial"/>
        </w:rPr>
        <w:t>wa</w:t>
      </w:r>
      <w:r w:rsidR="001162AA">
        <w:rPr>
          <w:rFonts w:eastAsia="Arial"/>
        </w:rPr>
        <w:t>s that:</w:t>
      </w:r>
    </w:p>
    <w:p w14:paraId="05597A2F" w14:textId="35D00D93" w:rsidR="001162AA" w:rsidRDefault="001162AA" w:rsidP="00CF6D5E">
      <w:pPr>
        <w:pStyle w:val="Quote"/>
      </w:pPr>
      <w:r>
        <w:t xml:space="preserve">References </w:t>
      </w:r>
      <w:r w:rsidR="00982021">
        <w:t>to the NSER be made prominent in the consistent gambling messaging measure of the National Consumer Protection Framework</w:t>
      </w:r>
      <w:r w:rsidR="00AD3B53">
        <w:t xml:space="preserve"> for online </w:t>
      </w:r>
      <w:r w:rsidR="00665612">
        <w:t xml:space="preserve">wagering. This could include a reference to the NSER on gambling taglines and a QR code for direct access to the NSER. </w:t>
      </w:r>
    </w:p>
    <w:p w14:paraId="6CDA3551" w14:textId="03D6FA00" w:rsidR="004F358C" w:rsidRPr="004F358C" w:rsidRDefault="005C3129" w:rsidP="004F358C">
      <w:pPr>
        <w:pStyle w:val="BodyText"/>
        <w:rPr>
          <w:rFonts w:eastAsia="Arial"/>
        </w:rPr>
      </w:pPr>
      <w:r>
        <w:rPr>
          <w:rFonts w:eastAsia="Arial"/>
        </w:rPr>
        <w:t xml:space="preserve">Greater </w:t>
      </w:r>
      <w:r w:rsidR="00724EDF">
        <w:rPr>
          <w:rFonts w:eastAsia="Arial"/>
        </w:rPr>
        <w:t>use</w:t>
      </w:r>
      <w:r>
        <w:rPr>
          <w:rFonts w:eastAsia="Arial"/>
        </w:rPr>
        <w:t xml:space="preserve"> of</w:t>
      </w:r>
      <w:r w:rsidR="008F18C8">
        <w:rPr>
          <w:rFonts w:eastAsia="Arial"/>
        </w:rPr>
        <w:t xml:space="preserve"> c</w:t>
      </w:r>
      <w:r w:rsidR="004F358C">
        <w:rPr>
          <w:rFonts w:eastAsia="Arial"/>
        </w:rPr>
        <w:t>alls to action</w:t>
      </w:r>
      <w:r>
        <w:rPr>
          <w:rFonts w:eastAsia="Arial"/>
        </w:rPr>
        <w:t xml:space="preserve"> within the taglines</w:t>
      </w:r>
      <w:r w:rsidR="004F358C">
        <w:rPr>
          <w:rFonts w:eastAsia="Arial"/>
        </w:rPr>
        <w:t xml:space="preserve"> </w:t>
      </w:r>
      <w:r w:rsidR="0007013F">
        <w:rPr>
          <w:rFonts w:eastAsia="Arial"/>
        </w:rPr>
        <w:t>has the potential to</w:t>
      </w:r>
      <w:r w:rsidR="008F18C8">
        <w:rPr>
          <w:rFonts w:eastAsia="Arial"/>
        </w:rPr>
        <w:t xml:space="preserve"> assist </w:t>
      </w:r>
      <w:r w:rsidR="00844592">
        <w:rPr>
          <w:rFonts w:eastAsia="Arial"/>
        </w:rPr>
        <w:t>wagerers in</w:t>
      </w:r>
      <w:r w:rsidR="008F18C8">
        <w:rPr>
          <w:rFonts w:eastAsia="Arial"/>
        </w:rPr>
        <w:t xml:space="preserve"> </w:t>
      </w:r>
      <w:r w:rsidR="00603821">
        <w:rPr>
          <w:rFonts w:eastAsia="Arial"/>
        </w:rPr>
        <w:t xml:space="preserve">positively </w:t>
      </w:r>
      <w:r w:rsidR="0007013F">
        <w:rPr>
          <w:rFonts w:eastAsia="Arial"/>
        </w:rPr>
        <w:t xml:space="preserve">changing their behaviour </w:t>
      </w:r>
      <w:r w:rsidR="00CE629D">
        <w:rPr>
          <w:rFonts w:eastAsia="Arial"/>
        </w:rPr>
        <w:t>by</w:t>
      </w:r>
      <w:r w:rsidR="0007013F">
        <w:rPr>
          <w:rFonts w:eastAsia="Arial"/>
        </w:rPr>
        <w:t xml:space="preserve"> adopt</w:t>
      </w:r>
      <w:r w:rsidR="00724EDF">
        <w:rPr>
          <w:rFonts w:eastAsia="Arial"/>
        </w:rPr>
        <w:t>ing</w:t>
      </w:r>
      <w:r w:rsidR="0007013F">
        <w:rPr>
          <w:rFonts w:eastAsia="Arial"/>
        </w:rPr>
        <w:t xml:space="preserve"> consumer protection tools.</w:t>
      </w:r>
      <w:r w:rsidR="004F358C">
        <w:rPr>
          <w:rFonts w:eastAsia="Arial"/>
        </w:rPr>
        <w:t xml:space="preserve"> </w:t>
      </w:r>
    </w:p>
    <w:p w14:paraId="01166DCD" w14:textId="386F5524" w:rsidR="00836A04" w:rsidRPr="00843A16" w:rsidRDefault="00035E18" w:rsidP="00074143">
      <w:pPr>
        <w:pStyle w:val="Heading2"/>
      </w:pPr>
      <w:bookmarkStart w:id="127" w:name="_Unintended_consequences"/>
      <w:bookmarkStart w:id="128" w:name="_Toc233643307"/>
      <w:bookmarkEnd w:id="127"/>
      <w:r w:rsidRPr="00843A16">
        <w:t>Unintended consequences</w:t>
      </w:r>
      <w:bookmarkEnd w:id="128"/>
    </w:p>
    <w:p w14:paraId="111D7F28" w14:textId="209E853A" w:rsidR="00603821" w:rsidRPr="00843A16" w:rsidRDefault="005E6011" w:rsidP="00074143">
      <w:pPr>
        <w:pStyle w:val="Heading3"/>
      </w:pPr>
      <w:bookmarkStart w:id="129" w:name="_Toc233643308"/>
      <w:r>
        <w:t xml:space="preserve">Gambling with </w:t>
      </w:r>
      <w:r w:rsidR="00DE5D6B">
        <w:t xml:space="preserve">illegal offshore </w:t>
      </w:r>
      <w:r>
        <w:t>WSPs</w:t>
      </w:r>
      <w:bookmarkEnd w:id="129"/>
    </w:p>
    <w:p w14:paraId="60C830F5" w14:textId="6FAC100E" w:rsidR="00E53776" w:rsidRPr="00843A16" w:rsidRDefault="00246B56" w:rsidP="00E53776">
      <w:pPr>
        <w:pStyle w:val="BodyText"/>
        <w:rPr>
          <w:rFonts w:eastAsia="Arial"/>
        </w:rPr>
      </w:pPr>
      <w:r>
        <w:rPr>
          <w:rFonts w:eastAsia="Arial"/>
        </w:rPr>
        <w:t>As part of the impact assessment</w:t>
      </w:r>
      <w:r w:rsidR="00EF0A98">
        <w:rPr>
          <w:rFonts w:eastAsia="Arial"/>
        </w:rPr>
        <w:t xml:space="preserve"> for any new regulation, </w:t>
      </w:r>
      <w:r w:rsidR="00E53776">
        <w:rPr>
          <w:rFonts w:eastAsia="Arial"/>
        </w:rPr>
        <w:t xml:space="preserve">consideration </w:t>
      </w:r>
      <w:r w:rsidR="009B2447">
        <w:rPr>
          <w:rFonts w:eastAsia="Arial"/>
        </w:rPr>
        <w:t>needs to be given to</w:t>
      </w:r>
      <w:r w:rsidR="00E53776">
        <w:rPr>
          <w:rFonts w:eastAsia="Arial"/>
        </w:rPr>
        <w:t xml:space="preserve"> t</w:t>
      </w:r>
      <w:r w:rsidR="00E53776" w:rsidRPr="00843A16">
        <w:rPr>
          <w:rFonts w:eastAsia="Arial"/>
        </w:rPr>
        <w:t xml:space="preserve">he likelihood of </w:t>
      </w:r>
      <w:r w:rsidR="009B2447">
        <w:rPr>
          <w:rFonts w:eastAsia="Arial"/>
        </w:rPr>
        <w:t xml:space="preserve">it </w:t>
      </w:r>
      <w:r w:rsidR="00E53776" w:rsidRPr="00843A16">
        <w:rPr>
          <w:rFonts w:eastAsia="Arial"/>
        </w:rPr>
        <w:t xml:space="preserve">generating </w:t>
      </w:r>
      <w:r w:rsidR="0054167D">
        <w:rPr>
          <w:rFonts w:eastAsia="Arial"/>
        </w:rPr>
        <w:t>unintended</w:t>
      </w:r>
      <w:r w:rsidR="00E53776" w:rsidRPr="00843A16">
        <w:rPr>
          <w:rFonts w:eastAsia="Arial"/>
        </w:rPr>
        <w:t xml:space="preserve"> consequences (Office of Impact Analysis, 2023). </w:t>
      </w:r>
    </w:p>
    <w:p w14:paraId="5FAECD8E" w14:textId="36ED9FB5" w:rsidR="002117AC" w:rsidRDefault="00287240" w:rsidP="000E06DE">
      <w:pPr>
        <w:pStyle w:val="BodyText"/>
        <w:rPr>
          <w:rFonts w:eastAsia="Arial"/>
        </w:rPr>
      </w:pPr>
      <w:r w:rsidRPr="00843A16">
        <w:rPr>
          <w:rFonts w:eastAsia="Arial"/>
        </w:rPr>
        <w:lastRenderedPageBreak/>
        <w:t>While r</w:t>
      </w:r>
      <w:r w:rsidR="00061C49" w:rsidRPr="00843A16">
        <w:rPr>
          <w:rFonts w:eastAsia="Arial"/>
        </w:rPr>
        <w:t xml:space="preserve">egulations </w:t>
      </w:r>
      <w:r w:rsidR="00912A60">
        <w:rPr>
          <w:rFonts w:eastAsia="Arial"/>
        </w:rPr>
        <w:t xml:space="preserve">aim to protect </w:t>
      </w:r>
      <w:r w:rsidR="00061C49" w:rsidRPr="00843A16">
        <w:rPr>
          <w:rFonts w:eastAsia="Arial"/>
        </w:rPr>
        <w:t xml:space="preserve">the community </w:t>
      </w:r>
      <w:r w:rsidR="00FD7DF8" w:rsidRPr="00843A16">
        <w:rPr>
          <w:rFonts w:eastAsia="Arial"/>
        </w:rPr>
        <w:t>from gambling harm</w:t>
      </w:r>
      <w:r w:rsidR="00ED7409" w:rsidRPr="00843A16">
        <w:rPr>
          <w:rFonts w:eastAsia="Arial"/>
        </w:rPr>
        <w:t xml:space="preserve">, </w:t>
      </w:r>
      <w:r w:rsidRPr="00843A16">
        <w:rPr>
          <w:rFonts w:eastAsia="Arial"/>
        </w:rPr>
        <w:t xml:space="preserve">they </w:t>
      </w:r>
      <w:r w:rsidR="00F061C9" w:rsidRPr="00843A16">
        <w:rPr>
          <w:rFonts w:eastAsia="Arial"/>
        </w:rPr>
        <w:t xml:space="preserve">can </w:t>
      </w:r>
      <w:r w:rsidR="00FD7DF8" w:rsidRPr="00843A16">
        <w:rPr>
          <w:rFonts w:eastAsia="Arial"/>
        </w:rPr>
        <w:t xml:space="preserve">also </w:t>
      </w:r>
      <w:r w:rsidR="00F061C9" w:rsidRPr="00843A16">
        <w:rPr>
          <w:rFonts w:eastAsia="Arial"/>
        </w:rPr>
        <w:t>result in unintended consequences</w:t>
      </w:r>
      <w:r w:rsidR="003E5DF6" w:rsidRPr="00843A16">
        <w:rPr>
          <w:rFonts w:eastAsia="Arial"/>
        </w:rPr>
        <w:t xml:space="preserve">. </w:t>
      </w:r>
      <w:r w:rsidR="00402941">
        <w:rPr>
          <w:rFonts w:eastAsia="Arial"/>
        </w:rPr>
        <w:t xml:space="preserve">Regulations are generally designed </w:t>
      </w:r>
      <w:r w:rsidR="006425D5">
        <w:rPr>
          <w:rFonts w:eastAsia="Arial"/>
        </w:rPr>
        <w:t>so that unintended consequences are avoided where possible.</w:t>
      </w:r>
      <w:r w:rsidR="00EB426E">
        <w:rPr>
          <w:rFonts w:eastAsia="Arial"/>
        </w:rPr>
        <w:t xml:space="preserve"> Part of the reason for undertaking this evaluation is to examine if </w:t>
      </w:r>
      <w:r w:rsidR="001F563F">
        <w:rPr>
          <w:rFonts w:eastAsia="Arial"/>
        </w:rPr>
        <w:t xml:space="preserve">unintended consequences have occurred </w:t>
      </w:r>
      <w:r w:rsidR="00B91323">
        <w:rPr>
          <w:rFonts w:eastAsia="Arial"/>
        </w:rPr>
        <w:t>due to the regulations</w:t>
      </w:r>
      <w:r w:rsidR="00425C71">
        <w:rPr>
          <w:rFonts w:eastAsia="Arial"/>
        </w:rPr>
        <w:t xml:space="preserve"> and if change is needed to </w:t>
      </w:r>
      <w:r w:rsidR="001D7BD0">
        <w:rPr>
          <w:rFonts w:eastAsia="Arial"/>
        </w:rPr>
        <w:t>address any issues.</w:t>
      </w:r>
    </w:p>
    <w:p w14:paraId="083208F5" w14:textId="55EB01C1" w:rsidR="002B6223" w:rsidRPr="00843A16" w:rsidRDefault="0040691C" w:rsidP="002B6223">
      <w:pPr>
        <w:pStyle w:val="BodyText"/>
        <w:rPr>
          <w:rFonts w:eastAsia="Arial"/>
        </w:rPr>
      </w:pPr>
      <w:r>
        <w:rPr>
          <w:rFonts w:eastAsia="Arial"/>
        </w:rPr>
        <w:t xml:space="preserve">Wagering regulations </w:t>
      </w:r>
      <w:r w:rsidR="00E477CE">
        <w:rPr>
          <w:rFonts w:eastAsia="Arial"/>
        </w:rPr>
        <w:t>prohibit</w:t>
      </w:r>
      <w:r>
        <w:rPr>
          <w:rFonts w:eastAsia="Arial"/>
        </w:rPr>
        <w:t xml:space="preserve"> </w:t>
      </w:r>
      <w:r w:rsidR="001B67F2">
        <w:rPr>
          <w:rFonts w:eastAsia="Arial"/>
        </w:rPr>
        <w:t xml:space="preserve">WSPs </w:t>
      </w:r>
      <w:r w:rsidR="00E8184E">
        <w:rPr>
          <w:rFonts w:eastAsia="Arial"/>
        </w:rPr>
        <w:t xml:space="preserve">from </w:t>
      </w:r>
      <w:r w:rsidR="001B67F2">
        <w:rPr>
          <w:rFonts w:eastAsia="Arial"/>
        </w:rPr>
        <w:t xml:space="preserve">offering </w:t>
      </w:r>
      <w:r w:rsidR="00D81983">
        <w:rPr>
          <w:rFonts w:eastAsia="Arial"/>
        </w:rPr>
        <w:t xml:space="preserve">online </w:t>
      </w:r>
      <w:r w:rsidR="00861BA3">
        <w:rPr>
          <w:rFonts w:eastAsia="Arial"/>
        </w:rPr>
        <w:t xml:space="preserve">gambling on </w:t>
      </w:r>
      <w:r w:rsidR="00B11EB2">
        <w:rPr>
          <w:rFonts w:eastAsia="Arial"/>
        </w:rPr>
        <w:t xml:space="preserve">casino-style </w:t>
      </w:r>
      <w:r w:rsidR="00861BA3">
        <w:rPr>
          <w:rFonts w:eastAsia="Arial"/>
        </w:rPr>
        <w:t>games</w:t>
      </w:r>
      <w:r w:rsidR="00CC1FCD">
        <w:rPr>
          <w:rFonts w:eastAsia="Arial"/>
        </w:rPr>
        <w:t xml:space="preserve"> </w:t>
      </w:r>
      <w:r w:rsidR="00CF6219">
        <w:rPr>
          <w:rFonts w:eastAsia="Arial"/>
        </w:rPr>
        <w:t>(</w:t>
      </w:r>
      <w:r w:rsidR="00CF6219" w:rsidRPr="00CF6219">
        <w:rPr>
          <w:rFonts w:eastAsia="Arial"/>
          <w:i/>
          <w:iCs/>
        </w:rPr>
        <w:t>Interactive Gambling Act 2001</w:t>
      </w:r>
      <w:r w:rsidR="00CF6219">
        <w:rPr>
          <w:rFonts w:eastAsia="Arial"/>
        </w:rPr>
        <w:t xml:space="preserve"> (</w:t>
      </w:r>
      <w:proofErr w:type="spellStart"/>
      <w:r w:rsidR="00CF6219">
        <w:rPr>
          <w:rFonts w:eastAsia="Arial"/>
        </w:rPr>
        <w:t>Cth</w:t>
      </w:r>
      <w:proofErr w:type="spellEnd"/>
      <w:r w:rsidR="00CF6219">
        <w:rPr>
          <w:rFonts w:eastAsia="Arial"/>
        </w:rPr>
        <w:t>))</w:t>
      </w:r>
      <w:r w:rsidR="00CC1FCD" w:rsidRPr="00DA572C">
        <w:rPr>
          <w:rFonts w:eastAsia="Arial"/>
        </w:rPr>
        <w:t>.</w:t>
      </w:r>
      <w:r w:rsidR="00CC1FCD">
        <w:rPr>
          <w:rFonts w:eastAsia="Arial"/>
        </w:rPr>
        <w:t xml:space="preserve"> This type of restriction may cause </w:t>
      </w:r>
      <w:r w:rsidR="002A0A5F">
        <w:rPr>
          <w:rFonts w:eastAsia="Arial"/>
        </w:rPr>
        <w:t xml:space="preserve">Australians to </w:t>
      </w:r>
      <w:r w:rsidR="00531759">
        <w:rPr>
          <w:rFonts w:eastAsia="Arial"/>
        </w:rPr>
        <w:t xml:space="preserve">access these products on </w:t>
      </w:r>
      <w:r w:rsidR="00D52E61">
        <w:rPr>
          <w:rFonts w:eastAsia="Arial"/>
        </w:rPr>
        <w:t xml:space="preserve">offshore </w:t>
      </w:r>
      <w:r w:rsidR="002A0A5F">
        <w:rPr>
          <w:rFonts w:eastAsia="Arial"/>
        </w:rPr>
        <w:t>gambl</w:t>
      </w:r>
      <w:r w:rsidR="00D52E61">
        <w:rPr>
          <w:rFonts w:eastAsia="Arial"/>
        </w:rPr>
        <w:t>ing sites</w:t>
      </w:r>
      <w:r w:rsidR="002A0A5F">
        <w:rPr>
          <w:rFonts w:eastAsia="Arial"/>
        </w:rPr>
        <w:t xml:space="preserve">. </w:t>
      </w:r>
      <w:r w:rsidR="0006296E">
        <w:rPr>
          <w:rFonts w:eastAsia="Arial"/>
        </w:rPr>
        <w:t>C</w:t>
      </w:r>
      <w:r w:rsidR="00B82D4D">
        <w:rPr>
          <w:rFonts w:eastAsia="Arial"/>
        </w:rPr>
        <w:t xml:space="preserve">oncerns </w:t>
      </w:r>
      <w:r w:rsidR="001D7413">
        <w:rPr>
          <w:rFonts w:eastAsia="Arial"/>
        </w:rPr>
        <w:t xml:space="preserve">were expressed by some stakeholders </w:t>
      </w:r>
      <w:r w:rsidR="00B82D4D">
        <w:rPr>
          <w:rFonts w:eastAsia="Arial"/>
        </w:rPr>
        <w:t>that</w:t>
      </w:r>
      <w:r w:rsidR="002B6223" w:rsidRPr="00843A16">
        <w:rPr>
          <w:rFonts w:eastAsia="Arial"/>
        </w:rPr>
        <w:t xml:space="preserve"> regulations </w:t>
      </w:r>
      <w:r w:rsidR="0078225C">
        <w:rPr>
          <w:rFonts w:eastAsia="Arial"/>
        </w:rPr>
        <w:t>on Australian licen</w:t>
      </w:r>
      <w:r w:rsidR="0047785B">
        <w:rPr>
          <w:rFonts w:eastAsia="Arial"/>
        </w:rPr>
        <w:t>s</w:t>
      </w:r>
      <w:r w:rsidR="0078225C">
        <w:rPr>
          <w:rFonts w:eastAsia="Arial"/>
        </w:rPr>
        <w:t xml:space="preserve">ed WSPs </w:t>
      </w:r>
      <w:r w:rsidR="002B6223" w:rsidRPr="00843A16">
        <w:rPr>
          <w:rFonts w:eastAsia="Arial"/>
        </w:rPr>
        <w:t xml:space="preserve">have the potential to </w:t>
      </w:r>
      <w:r w:rsidR="002B6223">
        <w:rPr>
          <w:rFonts w:eastAsia="Arial"/>
        </w:rPr>
        <w:t>drive</w:t>
      </w:r>
      <w:r w:rsidR="002B6223" w:rsidRPr="00843A16">
        <w:rPr>
          <w:rFonts w:eastAsia="Arial"/>
        </w:rPr>
        <w:t xml:space="preserve"> some customers to wager on illegal offshore sites </w:t>
      </w:r>
      <w:r w:rsidR="002B6223">
        <w:rPr>
          <w:rFonts w:eastAsia="Arial"/>
        </w:rPr>
        <w:t xml:space="preserve">without </w:t>
      </w:r>
      <w:r w:rsidR="00FC2082">
        <w:rPr>
          <w:rFonts w:eastAsia="Arial"/>
        </w:rPr>
        <w:t xml:space="preserve">the same level of </w:t>
      </w:r>
      <w:r w:rsidR="002B6223">
        <w:rPr>
          <w:rFonts w:eastAsia="Arial"/>
        </w:rPr>
        <w:t>consumer protections</w:t>
      </w:r>
      <w:r w:rsidR="00845556">
        <w:rPr>
          <w:rFonts w:eastAsia="Arial"/>
        </w:rPr>
        <w:t>.</w:t>
      </w:r>
      <w:r w:rsidR="002B6223" w:rsidRPr="00843A16">
        <w:rPr>
          <w:rFonts w:eastAsia="Arial"/>
        </w:rPr>
        <w:t xml:space="preserve"> </w:t>
      </w:r>
      <w:r w:rsidR="006F440A">
        <w:rPr>
          <w:rFonts w:eastAsia="Arial"/>
        </w:rPr>
        <w:t>The NCPF was designed from the outset</w:t>
      </w:r>
      <w:r w:rsidR="002B6223" w:rsidRPr="00843A16">
        <w:rPr>
          <w:rFonts w:eastAsia="Arial"/>
        </w:rPr>
        <w:t xml:space="preserve"> with </w:t>
      </w:r>
      <w:r w:rsidR="006F440A">
        <w:rPr>
          <w:rFonts w:eastAsia="Arial"/>
        </w:rPr>
        <w:t>this risk in mind</w:t>
      </w:r>
      <w:r w:rsidR="002B6223" w:rsidRPr="00843A16">
        <w:rPr>
          <w:rFonts w:eastAsia="Arial"/>
        </w:rPr>
        <w:t>.</w:t>
      </w:r>
    </w:p>
    <w:p w14:paraId="607D9268" w14:textId="20295455" w:rsidR="00FA1CF4" w:rsidRPr="00843A16" w:rsidRDefault="00FA1CF4" w:rsidP="00FA1CF4">
      <w:pPr>
        <w:pStyle w:val="BodyText"/>
        <w:rPr>
          <w:rFonts w:eastAsia="Arial"/>
        </w:rPr>
      </w:pPr>
      <w:r w:rsidRPr="00843A16">
        <w:rPr>
          <w:rFonts w:eastAsia="Arial"/>
        </w:rPr>
        <w:t xml:space="preserve">RWA commissioned a report by H2 Gambling Capital (RWA, 2025) </w:t>
      </w:r>
      <w:r w:rsidR="00D23CF6">
        <w:rPr>
          <w:rFonts w:eastAsia="Arial"/>
        </w:rPr>
        <w:t>that</w:t>
      </w:r>
      <w:r w:rsidR="00D23CF6" w:rsidRPr="00843A16">
        <w:rPr>
          <w:rFonts w:eastAsia="Arial"/>
        </w:rPr>
        <w:t xml:space="preserve"> </w:t>
      </w:r>
      <w:r w:rsidRPr="00843A16">
        <w:rPr>
          <w:rFonts w:eastAsia="Arial"/>
        </w:rPr>
        <w:t xml:space="preserve">noted that the illegal offshore gambling market is growing. The United Kingdom Gambling Commission (UKGC) has undertaken extensive work to try to estimate the size of the illegal market and has been unable to develop reliable current expenditure estimates, with forecasting being </w:t>
      </w:r>
      <w:r>
        <w:rPr>
          <w:rFonts w:eastAsia="Arial"/>
        </w:rPr>
        <w:t xml:space="preserve">even </w:t>
      </w:r>
      <w:r w:rsidRPr="00843A16">
        <w:rPr>
          <w:rFonts w:eastAsia="Arial"/>
        </w:rPr>
        <w:t>more problematic (UKGC, 2025</w:t>
      </w:r>
      <w:r w:rsidR="00370E5C">
        <w:rPr>
          <w:rFonts w:eastAsia="Arial"/>
        </w:rPr>
        <w:t>a</w:t>
      </w:r>
      <w:r>
        <w:rPr>
          <w:rFonts w:eastAsia="Arial"/>
        </w:rPr>
        <w:t>; UKGC communications, 2025</w:t>
      </w:r>
      <w:r w:rsidRPr="00843A16">
        <w:rPr>
          <w:rFonts w:eastAsia="Arial"/>
        </w:rPr>
        <w:t xml:space="preserve">). </w:t>
      </w:r>
      <w:r>
        <w:rPr>
          <w:rFonts w:eastAsia="Arial"/>
        </w:rPr>
        <w:t>There is insufficient reliable data available to determine if gamblers are moving to offshore providers in response to regulations.</w:t>
      </w:r>
    </w:p>
    <w:p w14:paraId="1E3D415E" w14:textId="2C717613" w:rsidR="00575B8B" w:rsidRPr="00843A16" w:rsidRDefault="003F1901" w:rsidP="00575B8B">
      <w:pPr>
        <w:pStyle w:val="BodyText"/>
        <w:rPr>
          <w:rFonts w:eastAsia="Arial"/>
        </w:rPr>
      </w:pPr>
      <w:r>
        <w:rPr>
          <w:rFonts w:eastAsia="Arial"/>
        </w:rPr>
        <w:t>An</w:t>
      </w:r>
      <w:r w:rsidRPr="00843A16">
        <w:rPr>
          <w:rFonts w:eastAsia="Arial"/>
        </w:rPr>
        <w:t xml:space="preserve"> </w:t>
      </w:r>
      <w:r w:rsidR="00BB2BFF" w:rsidRPr="00843A16">
        <w:rPr>
          <w:rFonts w:eastAsia="Arial"/>
        </w:rPr>
        <w:t xml:space="preserve">interviewed </w:t>
      </w:r>
      <w:r w:rsidR="00BB2BFF">
        <w:rPr>
          <w:rFonts w:eastAsia="Arial"/>
        </w:rPr>
        <w:t xml:space="preserve">gambling </w:t>
      </w:r>
      <w:r w:rsidR="00BB2BFF" w:rsidRPr="00843A16">
        <w:rPr>
          <w:rFonts w:eastAsia="Arial"/>
        </w:rPr>
        <w:t>help</w:t>
      </w:r>
      <w:r w:rsidR="00BB2BFF">
        <w:rPr>
          <w:rFonts w:eastAsia="Arial"/>
        </w:rPr>
        <w:t xml:space="preserve"> provider </w:t>
      </w:r>
      <w:r w:rsidR="00BB2BFF" w:rsidRPr="00843A16">
        <w:rPr>
          <w:rFonts w:eastAsia="Arial"/>
        </w:rPr>
        <w:t>found that people seeking help primarily wagered with licen</w:t>
      </w:r>
      <w:r w:rsidR="0047785B">
        <w:rPr>
          <w:rFonts w:eastAsia="Arial"/>
        </w:rPr>
        <w:t>s</w:t>
      </w:r>
      <w:r w:rsidR="00BB2BFF" w:rsidRPr="00843A16">
        <w:rPr>
          <w:rFonts w:eastAsia="Arial"/>
        </w:rPr>
        <w:t>ed Australian operators rather than offshore providers.</w:t>
      </w:r>
      <w:r w:rsidR="00BB2BFF">
        <w:rPr>
          <w:rFonts w:eastAsia="Arial"/>
        </w:rPr>
        <w:t xml:space="preserve"> </w:t>
      </w:r>
      <w:r w:rsidR="00575B8B" w:rsidRPr="00843A16">
        <w:rPr>
          <w:rFonts w:eastAsia="Arial"/>
        </w:rPr>
        <w:t xml:space="preserve">Desktop review, interviews and surveys undertaken for this evaluation reflected continued broad support for regulations that protect gamblers and the community from harms associated with gambling. </w:t>
      </w:r>
    </w:p>
    <w:p w14:paraId="0A5C3C50" w14:textId="69DC7133" w:rsidR="00F530D3" w:rsidRPr="00843A16" w:rsidRDefault="00F530D3" w:rsidP="003F1901">
      <w:pPr>
        <w:pStyle w:val="Heading1Outline"/>
      </w:pPr>
      <w:bookmarkStart w:id="130" w:name="_Phase_2_evaluation"/>
      <w:bookmarkStart w:id="131" w:name="_Toc225413199"/>
      <w:bookmarkStart w:id="132" w:name="_Toc225413200"/>
      <w:bookmarkStart w:id="133" w:name="_Toc225413201"/>
      <w:bookmarkStart w:id="134" w:name="_Toc225413202"/>
      <w:bookmarkStart w:id="135" w:name="_Toc225413203"/>
      <w:bookmarkStart w:id="136" w:name="_Toc225413204"/>
      <w:bookmarkStart w:id="137" w:name="_Toc225413205"/>
      <w:bookmarkStart w:id="138" w:name="_Conclusion_and_next"/>
      <w:bookmarkStart w:id="139" w:name="_Toc233643309"/>
      <w:bookmarkEnd w:id="130"/>
      <w:bookmarkEnd w:id="131"/>
      <w:bookmarkEnd w:id="132"/>
      <w:bookmarkEnd w:id="133"/>
      <w:bookmarkEnd w:id="134"/>
      <w:bookmarkEnd w:id="135"/>
      <w:bookmarkEnd w:id="136"/>
      <w:bookmarkEnd w:id="137"/>
      <w:bookmarkEnd w:id="138"/>
      <w:r w:rsidRPr="00843A16">
        <w:t>Conclusion</w:t>
      </w:r>
      <w:r w:rsidR="003334CA">
        <w:t xml:space="preserve"> and </w:t>
      </w:r>
      <w:r w:rsidR="001678CC">
        <w:t>n</w:t>
      </w:r>
      <w:r w:rsidR="003334CA">
        <w:t xml:space="preserve">ext </w:t>
      </w:r>
      <w:r w:rsidR="001678CC">
        <w:t>s</w:t>
      </w:r>
      <w:r w:rsidR="003334CA">
        <w:t>teps</w:t>
      </w:r>
      <w:bookmarkEnd w:id="139"/>
    </w:p>
    <w:p w14:paraId="77311F47" w14:textId="73E85A03" w:rsidR="00041451" w:rsidRPr="00041451" w:rsidRDefault="002F1C26" w:rsidP="00041451">
      <w:pPr>
        <w:pStyle w:val="BodyText"/>
        <w:keepNext/>
        <w:keepLines/>
      </w:pPr>
      <w:r>
        <w:t xml:space="preserve">The </w:t>
      </w:r>
      <w:r w:rsidR="00041451" w:rsidRPr="00041451">
        <w:t>NCPF</w:t>
      </w:r>
      <w:r w:rsidR="00041451">
        <w:t xml:space="preserve"> </w:t>
      </w:r>
      <w:r w:rsidR="00041451" w:rsidRPr="00041451">
        <w:t xml:space="preserve">introduced minimum protections for online wagerers </w:t>
      </w:r>
      <w:r w:rsidR="00C17E41">
        <w:t xml:space="preserve">that were </w:t>
      </w:r>
      <w:r w:rsidR="00F05AE4">
        <w:t>largely nationally consistent</w:t>
      </w:r>
      <w:r w:rsidR="00041451" w:rsidRPr="00041451">
        <w:t xml:space="preserve"> for the first time. It plays a </w:t>
      </w:r>
      <w:r w:rsidR="00647E8E">
        <w:t>crucial</w:t>
      </w:r>
      <w:r w:rsidR="00647E8E" w:rsidRPr="00041451">
        <w:t xml:space="preserve"> </w:t>
      </w:r>
      <w:r w:rsidR="00041451" w:rsidRPr="00041451">
        <w:t>role in preventing and reducing online gambling harm and reflects substantial interjurisdictional cooperation.</w:t>
      </w:r>
    </w:p>
    <w:p w14:paraId="0415671A" w14:textId="420EB4AA" w:rsidR="00BA4DB2" w:rsidRDefault="00FC375A" w:rsidP="00E00BC8">
      <w:pPr>
        <w:pStyle w:val="BodyText"/>
        <w:keepNext/>
        <w:keepLines/>
      </w:pPr>
      <w:r>
        <w:t xml:space="preserve">The Phase 1 evaluation </w:t>
      </w:r>
      <w:r w:rsidRPr="00FC375A">
        <w:t>found that the measures were largely implemented as intended and delivered broadly consistent protections across jurisdictions</w:t>
      </w:r>
      <w:r w:rsidR="003F1901">
        <w:t>.</w:t>
      </w:r>
      <w:r w:rsidR="003F1901" w:rsidRPr="00FC375A">
        <w:t xml:space="preserve"> </w:t>
      </w:r>
      <w:r w:rsidR="003F1901">
        <w:t>H</w:t>
      </w:r>
      <w:r w:rsidR="003F1901" w:rsidRPr="00FC375A">
        <w:t>owever</w:t>
      </w:r>
      <w:r w:rsidRPr="00FC375A">
        <w:t xml:space="preserve">, full implementation took nearly </w:t>
      </w:r>
      <w:r w:rsidR="00E1046E">
        <w:t xml:space="preserve">6 </w:t>
      </w:r>
      <w:r w:rsidRPr="00FC375A">
        <w:t>years rather than the planned 18 months, indicating that the original time</w:t>
      </w:r>
      <w:r w:rsidR="003F1901">
        <w:t xml:space="preserve"> </w:t>
      </w:r>
      <w:r w:rsidRPr="00FC375A">
        <w:t>frame was unrealistic.</w:t>
      </w:r>
      <w:r w:rsidR="003F29D5">
        <w:t xml:space="preserve"> </w:t>
      </w:r>
    </w:p>
    <w:p w14:paraId="3367AF39" w14:textId="7A5D00AA" w:rsidR="00BA4DB2" w:rsidRDefault="003F29D5" w:rsidP="00E00BC8">
      <w:pPr>
        <w:pStyle w:val="BodyText"/>
        <w:keepNext/>
        <w:keepLines/>
      </w:pPr>
      <w:r>
        <w:t>Moreover, the evaluation</w:t>
      </w:r>
      <w:r w:rsidR="003334CA">
        <w:t xml:space="preserve"> </w:t>
      </w:r>
      <w:r w:rsidR="003334CA" w:rsidRPr="00EB3B3B">
        <w:t xml:space="preserve">shows </w:t>
      </w:r>
      <w:r w:rsidR="003334CA">
        <w:t xml:space="preserve">that the </w:t>
      </w:r>
      <w:r w:rsidR="003F1901">
        <w:t xml:space="preserve">National </w:t>
      </w:r>
      <w:r w:rsidR="003334CA">
        <w:t>Framework can be s</w:t>
      </w:r>
      <w:r w:rsidR="003334CA" w:rsidRPr="00EB3B3B">
        <w:t>trengthen</w:t>
      </w:r>
      <w:r w:rsidR="003334CA">
        <w:t xml:space="preserve">ed </w:t>
      </w:r>
      <w:r w:rsidR="003334CA" w:rsidRPr="00EB3B3B">
        <w:t xml:space="preserve">through clearer legislation, more coordinated oversight, improved </w:t>
      </w:r>
      <w:r w:rsidR="003334CA">
        <w:t xml:space="preserve">consumer </w:t>
      </w:r>
      <w:r w:rsidR="003334CA" w:rsidRPr="00EB3B3B">
        <w:t xml:space="preserve">communication and education </w:t>
      </w:r>
      <w:r w:rsidR="003334CA">
        <w:t xml:space="preserve">about the measures and improvements in operational policies for the measures. </w:t>
      </w:r>
    </w:p>
    <w:p w14:paraId="30CA63D1" w14:textId="405CA72A" w:rsidR="00D80D02" w:rsidRDefault="00D80D02" w:rsidP="00E00BC8">
      <w:pPr>
        <w:pStyle w:val="BodyText"/>
        <w:keepNext/>
        <w:keepLines/>
        <w:rPr>
          <w:lang w:bidi="ar-SA"/>
        </w:rPr>
      </w:pPr>
      <w:r>
        <w:rPr>
          <w:lang w:bidi="ar-SA"/>
        </w:rPr>
        <w:t xml:space="preserve">The recommendations in this report provide a clear and actionable roadmap for enhancing national consumer protections for online wagering. </w:t>
      </w:r>
      <w:r w:rsidR="003A2D8C">
        <w:rPr>
          <w:lang w:bidi="ar-SA"/>
        </w:rPr>
        <w:t>Timely action on these recommendations will further build the protective capacity of the NCPF and support safer online wagering environments for all Australians.</w:t>
      </w:r>
      <w:r w:rsidR="003D04E7">
        <w:rPr>
          <w:lang w:bidi="ar-SA"/>
        </w:rPr>
        <w:t xml:space="preserve"> </w:t>
      </w:r>
      <w:hyperlink w:anchor="Figure8a" w:history="1">
        <w:r w:rsidR="2289DFCA" w:rsidRPr="00CF6D5E">
          <w:rPr>
            <w:rStyle w:val="Hyperlink"/>
            <w:b/>
            <w:lang w:bidi="ar-SA"/>
          </w:rPr>
          <w:t xml:space="preserve">Figure </w:t>
        </w:r>
        <w:r w:rsidR="7A69784D" w:rsidRPr="00CF6D5E">
          <w:rPr>
            <w:rStyle w:val="Hyperlink"/>
            <w:b/>
            <w:lang w:bidi="ar-SA"/>
          </w:rPr>
          <w:t>8</w:t>
        </w:r>
      </w:hyperlink>
      <w:r w:rsidR="003D04E7">
        <w:rPr>
          <w:lang w:bidi="ar-SA"/>
        </w:rPr>
        <w:t xml:space="preserve"> </w:t>
      </w:r>
      <w:r w:rsidR="00AB49F6">
        <w:rPr>
          <w:lang w:bidi="ar-SA"/>
        </w:rPr>
        <w:t xml:space="preserve">provides a guide </w:t>
      </w:r>
      <w:r w:rsidR="001E77D5">
        <w:rPr>
          <w:lang w:bidi="ar-SA"/>
        </w:rPr>
        <w:t xml:space="preserve">to </w:t>
      </w:r>
      <w:r w:rsidR="00AB49F6">
        <w:rPr>
          <w:lang w:bidi="ar-SA"/>
        </w:rPr>
        <w:t>the time</w:t>
      </w:r>
      <w:r w:rsidR="003F1901">
        <w:rPr>
          <w:lang w:bidi="ar-SA"/>
        </w:rPr>
        <w:t xml:space="preserve"> </w:t>
      </w:r>
      <w:r w:rsidR="00AB49F6">
        <w:rPr>
          <w:lang w:bidi="ar-SA"/>
        </w:rPr>
        <w:t>frames for implementation</w:t>
      </w:r>
      <w:r w:rsidR="00AB49F6" w:rsidRPr="7080C3F3">
        <w:rPr>
          <w:lang w:bidi="ar-SA"/>
        </w:rPr>
        <w:t>.</w:t>
      </w:r>
      <w:r w:rsidR="00943A34">
        <w:rPr>
          <w:lang w:bidi="ar-SA"/>
        </w:rPr>
        <w:t xml:space="preserve"> </w:t>
      </w:r>
      <w:r w:rsidR="008B1F19">
        <w:rPr>
          <w:lang w:bidi="ar-SA"/>
        </w:rPr>
        <w:t xml:space="preserve">WSPs compliance with the changes may be </w:t>
      </w:r>
      <w:proofErr w:type="gramStart"/>
      <w:r w:rsidR="008B1F19">
        <w:rPr>
          <w:lang w:bidi="ar-SA"/>
        </w:rPr>
        <w:t>subsequent to</w:t>
      </w:r>
      <w:proofErr w:type="gramEnd"/>
      <w:r w:rsidR="008B1F19">
        <w:rPr>
          <w:lang w:bidi="ar-SA"/>
        </w:rPr>
        <w:t xml:space="preserve"> this </w:t>
      </w:r>
      <w:r w:rsidR="00F2110C">
        <w:rPr>
          <w:lang w:bidi="ar-SA"/>
        </w:rPr>
        <w:t>time</w:t>
      </w:r>
      <w:r w:rsidR="001E77D5">
        <w:rPr>
          <w:lang w:bidi="ar-SA"/>
        </w:rPr>
        <w:t xml:space="preserve"> </w:t>
      </w:r>
      <w:r w:rsidR="00F2110C">
        <w:rPr>
          <w:lang w:bidi="ar-SA"/>
        </w:rPr>
        <w:t xml:space="preserve">frame, depending on the time WSPs need to </w:t>
      </w:r>
      <w:r w:rsidR="00033F8E">
        <w:rPr>
          <w:lang w:bidi="ar-SA"/>
        </w:rPr>
        <w:t xml:space="preserve">modify their systems to meet </w:t>
      </w:r>
      <w:r w:rsidR="008D4748">
        <w:rPr>
          <w:lang w:bidi="ar-SA"/>
        </w:rPr>
        <w:t>their ob</w:t>
      </w:r>
      <w:r w:rsidR="00B62972">
        <w:rPr>
          <w:lang w:bidi="ar-SA"/>
        </w:rPr>
        <w:t>ligations.</w:t>
      </w:r>
    </w:p>
    <w:p w14:paraId="73A059D5" w14:textId="7998CAE5" w:rsidR="00E43BD8" w:rsidRPr="00843A16" w:rsidRDefault="00E43BD8" w:rsidP="00953270">
      <w:pPr>
        <w:pStyle w:val="Heading2"/>
      </w:pPr>
      <w:bookmarkStart w:id="140" w:name="_Toc233643310"/>
      <w:r w:rsidRPr="00843A16">
        <w:t>Phase 2 evaluation</w:t>
      </w:r>
      <w:bookmarkEnd w:id="140"/>
    </w:p>
    <w:p w14:paraId="69A33783" w14:textId="640F3522" w:rsidR="00E43BD8" w:rsidRPr="00843A16" w:rsidRDefault="00E43BD8" w:rsidP="00E43BD8">
      <w:pPr>
        <w:pStyle w:val="BodyText"/>
        <w:rPr>
          <w:rFonts w:eastAsiaTheme="minorEastAsia"/>
          <w:lang w:eastAsia="en-AU"/>
        </w:rPr>
      </w:pPr>
      <w:r>
        <w:rPr>
          <w:lang w:eastAsia="en-AU"/>
        </w:rPr>
        <w:t>As with Phase 1, t</w:t>
      </w:r>
      <w:r w:rsidRPr="00843A16">
        <w:rPr>
          <w:lang w:eastAsia="en-AU"/>
        </w:rPr>
        <w:t xml:space="preserve">he Phase 2 </w:t>
      </w:r>
      <w:r>
        <w:rPr>
          <w:lang w:eastAsia="en-AU"/>
        </w:rPr>
        <w:t>e</w:t>
      </w:r>
      <w:r w:rsidRPr="00843A16">
        <w:rPr>
          <w:lang w:eastAsia="en-AU"/>
        </w:rPr>
        <w:t>valuation will be guided by the theory of change developed in the PRES (Communio, 2018)</w:t>
      </w:r>
      <w:r>
        <w:rPr>
          <w:lang w:eastAsia="en-AU"/>
        </w:rPr>
        <w:t xml:space="preserve">. It </w:t>
      </w:r>
      <w:r w:rsidRPr="00843A16">
        <w:rPr>
          <w:lang w:eastAsia="en-AU"/>
        </w:rPr>
        <w:t xml:space="preserve">will use a mixed-methods research approach. The evaluation will draw </w:t>
      </w:r>
      <w:r>
        <w:rPr>
          <w:lang w:eastAsia="en-AU"/>
        </w:rPr>
        <w:t>on</w:t>
      </w:r>
      <w:r w:rsidRPr="00843A16">
        <w:rPr>
          <w:lang w:eastAsia="en-AU"/>
        </w:rPr>
        <w:t xml:space="preserve"> d</w:t>
      </w:r>
      <w:r>
        <w:rPr>
          <w:rFonts w:eastAsiaTheme="minorEastAsia"/>
          <w:lang w:eastAsia="en-AU"/>
        </w:rPr>
        <w:t xml:space="preserve">ata </w:t>
      </w:r>
      <w:r>
        <w:rPr>
          <w:lang w:eastAsia="en-AU"/>
        </w:rPr>
        <w:t>collected during Phase 1. It will also gather additional</w:t>
      </w:r>
      <w:r>
        <w:rPr>
          <w:rFonts w:eastAsiaTheme="minorEastAsia"/>
          <w:lang w:eastAsia="en-AU"/>
        </w:rPr>
        <w:t xml:space="preserve"> literature </w:t>
      </w:r>
      <w:r>
        <w:rPr>
          <w:lang w:eastAsia="en-AU"/>
        </w:rPr>
        <w:t xml:space="preserve">and </w:t>
      </w:r>
      <w:r>
        <w:rPr>
          <w:rFonts w:eastAsiaTheme="minorEastAsia"/>
          <w:lang w:eastAsia="en-AU"/>
        </w:rPr>
        <w:t xml:space="preserve">desk research, </w:t>
      </w:r>
      <w:r>
        <w:rPr>
          <w:lang w:eastAsia="en-AU"/>
        </w:rPr>
        <w:t xml:space="preserve">undertake additional interviews with stakeholders, collect data from WSPs, conduct </w:t>
      </w:r>
      <w:r>
        <w:rPr>
          <w:lang w:eastAsia="en-AU"/>
        </w:rPr>
        <w:lastRenderedPageBreak/>
        <w:t xml:space="preserve">an </w:t>
      </w:r>
      <w:r>
        <w:rPr>
          <w:rFonts w:eastAsiaTheme="minorEastAsia"/>
          <w:lang w:eastAsia="en-AU"/>
        </w:rPr>
        <w:t>environmental scan</w:t>
      </w:r>
      <w:r>
        <w:rPr>
          <w:lang w:eastAsia="en-AU"/>
        </w:rPr>
        <w:t xml:space="preserve"> of wagering accounts to examine measures such as </w:t>
      </w:r>
      <w:r>
        <w:rPr>
          <w:rFonts w:eastAsiaTheme="minorEastAsia"/>
          <w:lang w:eastAsia="en-AU"/>
        </w:rPr>
        <w:t xml:space="preserve">customer identity verification and registration with the NSER </w:t>
      </w:r>
      <w:r w:rsidRPr="00843A16">
        <w:rPr>
          <w:rFonts w:eastAsiaTheme="minorEastAsia"/>
          <w:lang w:eastAsia="en-AU"/>
        </w:rPr>
        <w:t xml:space="preserve">and </w:t>
      </w:r>
      <w:r>
        <w:rPr>
          <w:rFonts w:eastAsiaTheme="minorEastAsia"/>
          <w:lang w:eastAsia="en-AU"/>
        </w:rPr>
        <w:t xml:space="preserve">use </w:t>
      </w:r>
      <w:r w:rsidRPr="00843A16">
        <w:rPr>
          <w:rFonts w:eastAsiaTheme="minorEastAsia"/>
          <w:lang w:eastAsia="en-AU"/>
        </w:rPr>
        <w:t>secondary data sources</w:t>
      </w:r>
      <w:r>
        <w:rPr>
          <w:rFonts w:eastAsiaTheme="minorEastAsia"/>
          <w:lang w:eastAsia="en-AU"/>
        </w:rPr>
        <w:t xml:space="preserve"> such as longitudinal survey data</w:t>
      </w:r>
      <w:r w:rsidRPr="00843A16">
        <w:rPr>
          <w:rFonts w:eastAsiaTheme="minorEastAsia"/>
          <w:lang w:eastAsia="en-AU"/>
        </w:rPr>
        <w:t>.</w:t>
      </w:r>
      <w:r>
        <w:rPr>
          <w:rFonts w:eastAsiaTheme="minorEastAsia"/>
          <w:lang w:eastAsia="en-AU"/>
        </w:rPr>
        <w:t xml:space="preserve"> </w:t>
      </w:r>
    </w:p>
    <w:p w14:paraId="3595959A" w14:textId="77777777" w:rsidR="00E43BD8" w:rsidRDefault="00E43BD8" w:rsidP="007A60DE">
      <w:pPr>
        <w:pStyle w:val="BodyText"/>
        <w:rPr>
          <w:lang w:eastAsia="en-AU"/>
        </w:rPr>
      </w:pPr>
      <w:r>
        <w:rPr>
          <w:lang w:eastAsia="en-AU"/>
        </w:rPr>
        <w:t xml:space="preserve">Phase 2 will focus on determining whether </w:t>
      </w:r>
      <w:r w:rsidRPr="00843A16">
        <w:rPr>
          <w:lang w:eastAsia="en-AU"/>
        </w:rPr>
        <w:t xml:space="preserve">the NCPF and </w:t>
      </w:r>
      <w:r>
        <w:rPr>
          <w:lang w:eastAsia="en-AU"/>
        </w:rPr>
        <w:t xml:space="preserve">its </w:t>
      </w:r>
      <w:r w:rsidRPr="00843A16">
        <w:rPr>
          <w:lang w:eastAsia="en-AU"/>
        </w:rPr>
        <w:t>measures</w:t>
      </w:r>
      <w:r>
        <w:rPr>
          <w:lang w:eastAsia="en-AU"/>
        </w:rPr>
        <w:t xml:space="preserve"> for online wagering have had the intended impact of </w:t>
      </w:r>
      <w:r w:rsidRPr="00843A16">
        <w:rPr>
          <w:lang w:eastAsia="en-AU"/>
        </w:rPr>
        <w:t>reduc</w:t>
      </w:r>
      <w:r>
        <w:rPr>
          <w:lang w:eastAsia="en-AU"/>
        </w:rPr>
        <w:t>ing</w:t>
      </w:r>
      <w:r w:rsidRPr="00843A16">
        <w:rPr>
          <w:lang w:eastAsia="en-AU"/>
        </w:rPr>
        <w:t xml:space="preserve"> risky wagering behaviours and minimis</w:t>
      </w:r>
      <w:r>
        <w:rPr>
          <w:lang w:eastAsia="en-AU"/>
        </w:rPr>
        <w:t>ing</w:t>
      </w:r>
      <w:r w:rsidRPr="00843A16">
        <w:rPr>
          <w:lang w:eastAsia="en-AU"/>
        </w:rPr>
        <w:t xml:space="preserve"> gambling-related harm</w:t>
      </w:r>
      <w:r>
        <w:rPr>
          <w:lang w:eastAsia="en-AU"/>
        </w:rPr>
        <w:t xml:space="preserve"> in Australia</w:t>
      </w:r>
      <w:r w:rsidRPr="00843A16">
        <w:rPr>
          <w:lang w:eastAsia="en-AU"/>
        </w:rPr>
        <w:t xml:space="preserve">. </w:t>
      </w:r>
      <w:r>
        <w:rPr>
          <w:lang w:eastAsia="en-AU"/>
        </w:rPr>
        <w:t xml:space="preserve">Its scope includes providing recommendations to refine and improve the measures. </w:t>
      </w:r>
    </w:p>
    <w:p w14:paraId="4698F5D5" w14:textId="2B2D8D23" w:rsidR="00E43BD8" w:rsidRDefault="00E43BD8" w:rsidP="007A60DE">
      <w:pPr>
        <w:pStyle w:val="BodyText"/>
        <w:rPr>
          <w:lang w:eastAsia="en-AU"/>
        </w:rPr>
      </w:pPr>
      <w:r w:rsidRPr="00C92ED8">
        <w:rPr>
          <w:lang w:eastAsia="en-AU"/>
        </w:rPr>
        <w:t>The ability to measure change in wagering behaviour and gambling</w:t>
      </w:r>
      <w:r w:rsidRPr="00C92ED8">
        <w:rPr>
          <w:rFonts w:ascii="Cambria Math" w:hAnsi="Cambria Math" w:cs="Cambria Math"/>
          <w:lang w:eastAsia="en-AU"/>
        </w:rPr>
        <w:t>‑</w:t>
      </w:r>
      <w:r w:rsidRPr="00C92ED8">
        <w:rPr>
          <w:lang w:eastAsia="en-AU"/>
        </w:rPr>
        <w:t xml:space="preserve">related harm must be considered </w:t>
      </w:r>
      <w:proofErr w:type="gramStart"/>
      <w:r w:rsidRPr="00C92ED8">
        <w:rPr>
          <w:lang w:eastAsia="en-AU"/>
        </w:rPr>
        <w:t>in light of</w:t>
      </w:r>
      <w:proofErr w:type="gramEnd"/>
      <w:r w:rsidRPr="00C92ED8">
        <w:rPr>
          <w:lang w:eastAsia="en-AU"/>
        </w:rPr>
        <w:t xml:space="preserve"> the extended and uneven implementation of NCPF measures, with several measures introduced or refined well beyond the original implementation time</w:t>
      </w:r>
      <w:r w:rsidR="000952DD">
        <w:rPr>
          <w:lang w:eastAsia="en-AU"/>
        </w:rPr>
        <w:t xml:space="preserve"> </w:t>
      </w:r>
      <w:r w:rsidRPr="00C92ED8">
        <w:rPr>
          <w:lang w:eastAsia="en-AU"/>
        </w:rPr>
        <w:t xml:space="preserve">frame and limited baseline or ongoing monitoring data available. These factors constrain the extent to which changes can be confidently attributed to individual measures or to the </w:t>
      </w:r>
      <w:proofErr w:type="gramStart"/>
      <w:r w:rsidR="000952DD">
        <w:rPr>
          <w:lang w:eastAsia="en-AU"/>
        </w:rPr>
        <w:t>f</w:t>
      </w:r>
      <w:r w:rsidR="000952DD" w:rsidRPr="00C92ED8">
        <w:rPr>
          <w:lang w:eastAsia="en-AU"/>
        </w:rPr>
        <w:t xml:space="preserve">ramework </w:t>
      </w:r>
      <w:r w:rsidRPr="00C92ED8">
        <w:rPr>
          <w:lang w:eastAsia="en-AU"/>
        </w:rPr>
        <w:t>as a whole</w:t>
      </w:r>
      <w:proofErr w:type="gramEnd"/>
      <w:r w:rsidRPr="00C92ED8">
        <w:rPr>
          <w:lang w:eastAsia="en-AU"/>
        </w:rPr>
        <w:t xml:space="preserve">. </w:t>
      </w:r>
    </w:p>
    <w:p w14:paraId="751BD1C1" w14:textId="75ACAFA5" w:rsidR="00E43BD8" w:rsidRDefault="00E43BD8" w:rsidP="007A60DE">
      <w:pPr>
        <w:pStyle w:val="BodyText"/>
        <w:rPr>
          <w:lang w:eastAsia="en-AU"/>
        </w:rPr>
      </w:pPr>
      <w:r w:rsidRPr="00C92ED8">
        <w:rPr>
          <w:lang w:eastAsia="en-AU"/>
        </w:rPr>
        <w:t>Phase 2 will therefore adopt a cautious and methodologically proportionate approach, drawing on multiple data sources, longer time series as measures mature and contribution</w:t>
      </w:r>
      <w:r w:rsidRPr="00C92ED8">
        <w:rPr>
          <w:rFonts w:ascii="Cambria Math" w:hAnsi="Cambria Math" w:cs="Cambria Math"/>
          <w:lang w:eastAsia="en-AU"/>
        </w:rPr>
        <w:t>‑</w:t>
      </w:r>
      <w:r w:rsidRPr="00C92ED8">
        <w:rPr>
          <w:lang w:eastAsia="en-AU"/>
        </w:rPr>
        <w:t>based analysis rather than simple attribution. This approach is intended to strengthen confidence in findings while transparently acknowledging the limits of what can be measured given the implementation context.</w:t>
      </w:r>
    </w:p>
    <w:p w14:paraId="1DA676A7" w14:textId="4C66D221" w:rsidR="006A5AD8" w:rsidRDefault="00E43BD8" w:rsidP="007A60DE">
      <w:pPr>
        <w:pStyle w:val="BodyText"/>
        <w:rPr>
          <w:lang w:eastAsia="en-AU"/>
        </w:rPr>
      </w:pPr>
      <w:r>
        <w:rPr>
          <w:lang w:eastAsia="en-AU"/>
        </w:rPr>
        <w:t>The data from Phase 1 and information collected in Phase 2 will be used to support reporting on risk, harm and measure refinement recommendations. The Phase 2 report is due to be finalised by June 2027. As with Phase 1, some evidence gaps are likely to result from the measures being implemented and refined over almost 6 years</w:t>
      </w:r>
      <w:r w:rsidR="006C7109">
        <w:rPr>
          <w:lang w:eastAsia="en-AU"/>
        </w:rPr>
        <w:t>,</w:t>
      </w:r>
      <w:r>
        <w:rPr>
          <w:lang w:eastAsia="en-AU"/>
        </w:rPr>
        <w:t xml:space="preserve"> with most not having monitoring data collected. Thus, some findings may not be attributable to individual measures and instead may apply to the whole of the framework. </w:t>
      </w:r>
    </w:p>
    <w:p w14:paraId="56ADE2F1" w14:textId="708DDB13" w:rsidR="00A05380" w:rsidRDefault="00A05380" w:rsidP="00074143">
      <w:pPr>
        <w:pStyle w:val="Heading2"/>
        <w:rPr>
          <w:lang w:eastAsia="en-AU"/>
        </w:rPr>
      </w:pPr>
      <w:bookmarkStart w:id="141" w:name="_Toc233643311"/>
      <w:r>
        <w:rPr>
          <w:lang w:eastAsia="en-AU"/>
        </w:rPr>
        <w:t xml:space="preserve">Next </w:t>
      </w:r>
      <w:r w:rsidR="003F1901">
        <w:rPr>
          <w:lang w:eastAsia="en-AU"/>
        </w:rPr>
        <w:t>s</w:t>
      </w:r>
      <w:r>
        <w:rPr>
          <w:lang w:eastAsia="en-AU"/>
        </w:rPr>
        <w:t>teps</w:t>
      </w:r>
      <w:bookmarkEnd w:id="141"/>
    </w:p>
    <w:p w14:paraId="0682229D" w14:textId="10367B70" w:rsidR="0040724E" w:rsidRDefault="00DC0828" w:rsidP="009C7063">
      <w:pPr>
        <w:pStyle w:val="BodyText"/>
        <w:keepNext/>
        <w:keepLines/>
      </w:pPr>
      <w:bookmarkStart w:id="142" w:name="_Toc213763524"/>
      <w:r>
        <w:t xml:space="preserve">The Phase </w:t>
      </w:r>
      <w:r w:rsidR="00FF04EA">
        <w:t xml:space="preserve">1 report can be actioned separately to the Phase 2 report. </w:t>
      </w:r>
      <w:r w:rsidR="00F37077">
        <w:t xml:space="preserve">It is expected that the Phase 2 report will </w:t>
      </w:r>
      <w:r w:rsidR="0019618A">
        <w:t xml:space="preserve">contain recommendations that </w:t>
      </w:r>
      <w:r w:rsidR="00F42B62">
        <w:t xml:space="preserve">will require more policy </w:t>
      </w:r>
      <w:r w:rsidR="006E676B">
        <w:t xml:space="preserve">consideration </w:t>
      </w:r>
      <w:r w:rsidR="00281E5B">
        <w:t>by jurisdictions</w:t>
      </w:r>
      <w:r w:rsidR="00A12339">
        <w:t xml:space="preserve"> as they will </w:t>
      </w:r>
      <w:r w:rsidR="00723ED0">
        <w:t xml:space="preserve">be aimed at </w:t>
      </w:r>
      <w:r w:rsidR="00286A4F">
        <w:t>using the existing measures to further reduce risk and harm</w:t>
      </w:r>
      <w:r w:rsidR="00FE32EA">
        <w:t xml:space="preserve"> </w:t>
      </w:r>
      <w:r w:rsidR="00C768A6">
        <w:t xml:space="preserve">to Australians. </w:t>
      </w:r>
    </w:p>
    <w:p w14:paraId="37BB017F" w14:textId="77777777" w:rsidR="0040724E" w:rsidRDefault="0040724E" w:rsidP="009C7063">
      <w:pPr>
        <w:pStyle w:val="BodyText"/>
        <w:keepNext/>
        <w:keepLines/>
      </w:pPr>
    </w:p>
    <w:p w14:paraId="5A66B935" w14:textId="77777777" w:rsidR="0063101D" w:rsidRDefault="0063101D" w:rsidP="009C7063">
      <w:pPr>
        <w:pStyle w:val="BodyText"/>
        <w:keepNext/>
        <w:keepLines/>
        <w:rPr>
          <w:lang w:bidi="ar-SA"/>
        </w:rPr>
        <w:sectPr w:rsidR="0063101D" w:rsidSect="00E958BD">
          <w:headerReference w:type="first" r:id="rId36"/>
          <w:pgSz w:w="11901" w:h="16840"/>
          <w:pgMar w:top="1418" w:right="1701" w:bottom="1418" w:left="1701" w:header="680" w:footer="680" w:gutter="0"/>
          <w:cols w:space="708"/>
          <w:noEndnote/>
          <w:docGrid w:linePitch="272"/>
        </w:sectPr>
      </w:pPr>
    </w:p>
    <w:p w14:paraId="75E786FB" w14:textId="513640D6" w:rsidR="0063101D" w:rsidRDefault="004A5A7A" w:rsidP="7080C3F3">
      <w:pPr>
        <w:pStyle w:val="FigureCaption"/>
        <w:rPr>
          <w:lang w:bidi="ar-SA"/>
        </w:rPr>
      </w:pPr>
      <w:bookmarkStart w:id="143" w:name="Figure8a"/>
      <w:bookmarkStart w:id="144" w:name="Bookmark1"/>
      <w:bookmarkEnd w:id="143"/>
      <w:r>
        <w:lastRenderedPageBreak/>
        <w:t xml:space="preserve">Figure </w:t>
      </w:r>
      <w:r w:rsidR="00E837D8">
        <w:t>8</w:t>
      </w:r>
      <w:r>
        <w:t>:</w:t>
      </w:r>
      <w:bookmarkEnd w:id="144"/>
      <w:r>
        <w:t xml:space="preserve"> </w:t>
      </w:r>
      <w:r w:rsidR="00CC20F9">
        <w:t xml:space="preserve">Suggested </w:t>
      </w:r>
      <w:r w:rsidR="0043153B">
        <w:t>time frames for recommendations</w:t>
      </w:r>
    </w:p>
    <w:p w14:paraId="458389FB" w14:textId="54D24934" w:rsidR="00F72352" w:rsidRPr="00F72352" w:rsidRDefault="003004DA" w:rsidP="00F72352">
      <w:pPr>
        <w:pStyle w:val="BodyText"/>
      </w:pPr>
      <w:r w:rsidRPr="003004DA">
        <w:rPr>
          <w:noProof/>
        </w:rPr>
        <w:drawing>
          <wp:inline distT="0" distB="0" distL="0" distR="0" wp14:anchorId="224F3F89" wp14:editId="377EBACF">
            <wp:extent cx="8892540" cy="4686935"/>
            <wp:effectExtent l="0" t="0" r="3810" b="0"/>
            <wp:docPr id="1915347758" name="Picture 1" descr="The image appears to be a detailed plan or checklist for a communication and education campaign about the National Consumer Protection Framework (NCPF). It includes various timeframes (0-12 months, 12-24 months, 24-36 months), different actions (Rec 1d, Rec 1a, Rec 1c, Rec 1b, Rec 2a, Rec 2b), and topics like consumer awareness, fact sheets, and compliance activities. It suggests that the campaigns should focus on explaining the NCPF tools, promoting consumer engagement, and providing avenues for complaints about non-compli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47758" name="Picture 1" descr="The image appears to be a detailed plan or checklist for a communication and education campaign about the National Consumer Protection Framework (NCPF). It includes various timeframes (0-12 months, 12-24 months, 24-36 months), different actions (Rec 1d, Rec 1a, Rec 1c, Rec 1b, Rec 2a, Rec 2b), and topics like consumer awareness, fact sheets, and compliance activities. It suggests that the campaigns should focus on explaining the NCPF tools, promoting consumer engagement, and providing avenues for complaints about non-compliance.&#10;&#10;AI-generated content may be incorrect."/>
                    <pic:cNvPicPr/>
                  </pic:nvPicPr>
                  <pic:blipFill>
                    <a:blip r:embed="rId37"/>
                    <a:stretch>
                      <a:fillRect/>
                    </a:stretch>
                  </pic:blipFill>
                  <pic:spPr>
                    <a:xfrm>
                      <a:off x="0" y="0"/>
                      <a:ext cx="8892540" cy="4686935"/>
                    </a:xfrm>
                    <a:prstGeom prst="rect">
                      <a:avLst/>
                    </a:prstGeom>
                  </pic:spPr>
                </pic:pic>
              </a:graphicData>
            </a:graphic>
          </wp:inline>
        </w:drawing>
      </w:r>
    </w:p>
    <w:p w14:paraId="09C06445" w14:textId="35B3E501" w:rsidR="00133F62" w:rsidRDefault="00133F62" w:rsidP="00CF6D5E">
      <w:pPr>
        <w:pStyle w:val="BodyText"/>
        <w:keepNext/>
        <w:keepLines/>
        <w:sectPr w:rsidR="00133F62" w:rsidSect="0063101D">
          <w:pgSz w:w="16840" w:h="11901" w:orient="landscape"/>
          <w:pgMar w:top="1701" w:right="1418" w:bottom="1701" w:left="1418" w:header="680" w:footer="680" w:gutter="0"/>
          <w:cols w:space="708"/>
          <w:noEndnote/>
          <w:docGrid w:linePitch="272"/>
        </w:sectPr>
      </w:pPr>
    </w:p>
    <w:p w14:paraId="42233C68" w14:textId="2E4F05C0" w:rsidR="00F04A77" w:rsidRPr="00843A16" w:rsidRDefault="00F04A77" w:rsidP="00F04A77">
      <w:pPr>
        <w:pStyle w:val="Heading1"/>
      </w:pPr>
      <w:bookmarkStart w:id="145" w:name="_Toc233643312"/>
      <w:r w:rsidRPr="00843A16">
        <w:lastRenderedPageBreak/>
        <w:t>References</w:t>
      </w:r>
      <w:bookmarkEnd w:id="142"/>
      <w:bookmarkEnd w:id="145"/>
    </w:p>
    <w:p w14:paraId="446F5065" w14:textId="5B640B4E" w:rsidR="00896B4C" w:rsidRPr="00843A16" w:rsidRDefault="00896B4C" w:rsidP="00896B4C">
      <w:pPr>
        <w:pStyle w:val="Heading2"/>
      </w:pPr>
      <w:bookmarkStart w:id="146" w:name="_Toc233643313"/>
      <w:r w:rsidRPr="00843A16">
        <w:t>Legislation</w:t>
      </w:r>
      <w:r w:rsidR="001466DD" w:rsidRPr="00843A16">
        <w:t xml:space="preserve"> and regulatory codes</w:t>
      </w:r>
      <w:bookmarkEnd w:id="146"/>
      <w:r w:rsidRPr="00843A16">
        <w:t xml:space="preserve"> </w:t>
      </w:r>
    </w:p>
    <w:p w14:paraId="447CA57D" w14:textId="11076260" w:rsidR="00873A73" w:rsidRPr="00843A16" w:rsidRDefault="00873A73" w:rsidP="00896B4C">
      <w:pPr>
        <w:pStyle w:val="References"/>
        <w:rPr>
          <w:i/>
          <w:iCs/>
        </w:rPr>
      </w:pPr>
      <w:r w:rsidRPr="00843A16">
        <w:rPr>
          <w:i/>
          <w:iCs/>
        </w:rPr>
        <w:t xml:space="preserve">Anti-Money Laundering and Counter-Terrorism Financing Rules Instrument 2007 </w:t>
      </w:r>
      <w:r w:rsidRPr="0099699E">
        <w:t>(</w:t>
      </w:r>
      <w:proofErr w:type="spellStart"/>
      <w:r w:rsidRPr="0099699E">
        <w:t>Cth</w:t>
      </w:r>
      <w:proofErr w:type="spellEnd"/>
      <w:r w:rsidRPr="0099699E">
        <w:t>)</w:t>
      </w:r>
    </w:p>
    <w:p w14:paraId="2188F653" w14:textId="40D566A7" w:rsidR="001466DD" w:rsidRPr="00843A16" w:rsidRDefault="001466DD" w:rsidP="00287D55">
      <w:pPr>
        <w:pStyle w:val="References"/>
        <w:rPr>
          <w:rFonts w:eastAsia="Arial"/>
          <w:i/>
          <w:iCs/>
        </w:rPr>
      </w:pPr>
      <w:r w:rsidRPr="00843A16">
        <w:rPr>
          <w:rFonts w:eastAsia="Arial"/>
          <w:i/>
          <w:iCs/>
        </w:rPr>
        <w:t xml:space="preserve">Authorised Betting Operations Gambling Code of Practice </w:t>
      </w:r>
      <w:r w:rsidRPr="0099699E">
        <w:rPr>
          <w:rFonts w:eastAsia="Arial"/>
        </w:rPr>
        <w:t>(SA)</w:t>
      </w:r>
    </w:p>
    <w:p w14:paraId="7672809C" w14:textId="62779B2D" w:rsidR="00896B4C" w:rsidRPr="00843A16" w:rsidRDefault="00896B4C" w:rsidP="00896B4C">
      <w:pPr>
        <w:pStyle w:val="References"/>
        <w:rPr>
          <w:rFonts w:eastAsia="Arial"/>
          <w:i/>
          <w:iCs/>
        </w:rPr>
      </w:pPr>
      <w:r w:rsidRPr="00843A16">
        <w:rPr>
          <w:rFonts w:eastAsia="Arial"/>
          <w:i/>
          <w:iCs/>
        </w:rPr>
        <w:t xml:space="preserve">Betting and Racing Act 1998 </w:t>
      </w:r>
      <w:r w:rsidRPr="0099699E">
        <w:rPr>
          <w:rFonts w:eastAsia="Arial"/>
        </w:rPr>
        <w:t>(NSW)</w:t>
      </w:r>
    </w:p>
    <w:p w14:paraId="022C641E" w14:textId="77777777" w:rsidR="00734F56" w:rsidRPr="00843A16" w:rsidRDefault="00734F56" w:rsidP="00734F56">
      <w:pPr>
        <w:pStyle w:val="References"/>
        <w:rPr>
          <w:i/>
          <w:lang w:bidi="ar-SA"/>
        </w:rPr>
      </w:pPr>
      <w:r w:rsidRPr="00843A16">
        <w:rPr>
          <w:i/>
          <w:lang w:bidi="ar-SA"/>
        </w:rPr>
        <w:t xml:space="preserve">Code of Practice for Responsible Service of Online Gambling 2019 </w:t>
      </w:r>
      <w:r w:rsidRPr="0099699E">
        <w:rPr>
          <w:iCs/>
          <w:lang w:bidi="ar-SA"/>
        </w:rPr>
        <w:t>(NT)</w:t>
      </w:r>
    </w:p>
    <w:p w14:paraId="317C60A9" w14:textId="0CFAD268" w:rsidR="00041C35" w:rsidRPr="00843A16" w:rsidRDefault="00041C35" w:rsidP="00896B4C">
      <w:pPr>
        <w:pStyle w:val="References"/>
        <w:rPr>
          <w:rFonts w:eastAsia="Arial"/>
          <w:i/>
          <w:iCs/>
        </w:rPr>
      </w:pPr>
      <w:r w:rsidRPr="00843A16">
        <w:rPr>
          <w:rFonts w:eastAsia="Arial"/>
          <w:i/>
          <w:iCs/>
        </w:rPr>
        <w:t xml:space="preserve">Gambling and Racing Control (Code of Practice) Regulation 2002 </w:t>
      </w:r>
      <w:r w:rsidRPr="009A337F">
        <w:rPr>
          <w:rFonts w:eastAsia="Arial"/>
        </w:rPr>
        <w:t>(ACT)</w:t>
      </w:r>
    </w:p>
    <w:p w14:paraId="32EF954F" w14:textId="0FB4C62F" w:rsidR="00734F56" w:rsidRPr="009A337F" w:rsidRDefault="00734F56" w:rsidP="00896B4C">
      <w:pPr>
        <w:pStyle w:val="References"/>
        <w:rPr>
          <w:rFonts w:eastAsia="Arial"/>
        </w:rPr>
      </w:pPr>
      <w:r w:rsidRPr="00843A16">
        <w:rPr>
          <w:rFonts w:eastAsia="Arial"/>
          <w:i/>
          <w:iCs/>
        </w:rPr>
        <w:t xml:space="preserve">Gaming and Wagering Commission Regulations 1988 </w:t>
      </w:r>
      <w:r w:rsidRPr="009A337F">
        <w:rPr>
          <w:rFonts w:eastAsia="Arial"/>
        </w:rPr>
        <w:t>(WA)</w:t>
      </w:r>
    </w:p>
    <w:p w14:paraId="26916FD8" w14:textId="54EFD17F" w:rsidR="00896B4C" w:rsidRPr="00843A16" w:rsidRDefault="00896B4C" w:rsidP="00896B4C">
      <w:pPr>
        <w:pStyle w:val="References"/>
        <w:rPr>
          <w:rFonts w:eastAsia="Arial"/>
          <w:i/>
          <w:lang w:bidi="ar-SA"/>
        </w:rPr>
      </w:pPr>
      <w:r w:rsidRPr="00843A16">
        <w:rPr>
          <w:rFonts w:eastAsia="Arial"/>
          <w:i/>
          <w:iCs/>
        </w:rPr>
        <w:t xml:space="preserve">Gambling Regulation Act 2003 </w:t>
      </w:r>
      <w:r w:rsidRPr="009A337F">
        <w:rPr>
          <w:rFonts w:eastAsia="Arial"/>
        </w:rPr>
        <w:t>(V</w:t>
      </w:r>
      <w:r w:rsidR="00734F56" w:rsidRPr="009A337F">
        <w:rPr>
          <w:rFonts w:eastAsia="Arial"/>
        </w:rPr>
        <w:t>ic</w:t>
      </w:r>
      <w:r w:rsidRPr="009A337F">
        <w:rPr>
          <w:rFonts w:eastAsia="Arial"/>
        </w:rPr>
        <w:t>)</w:t>
      </w:r>
    </w:p>
    <w:p w14:paraId="27223FF3" w14:textId="041452AD" w:rsidR="00165F07" w:rsidRDefault="00165F07" w:rsidP="00896B4C">
      <w:pPr>
        <w:pStyle w:val="References"/>
        <w:rPr>
          <w:rFonts w:eastAsia="Arial"/>
          <w:i/>
          <w:iCs/>
        </w:rPr>
      </w:pPr>
      <w:r w:rsidRPr="00843A16">
        <w:rPr>
          <w:rFonts w:eastAsia="Arial"/>
          <w:i/>
          <w:iCs/>
        </w:rPr>
        <w:t>Gambling Regulations Amendment Regulations (No 2) 2025</w:t>
      </w:r>
      <w:r w:rsidR="001C4FAA" w:rsidRPr="00843A16">
        <w:rPr>
          <w:rFonts w:eastAsia="Arial"/>
          <w:i/>
          <w:iCs/>
        </w:rPr>
        <w:t xml:space="preserve"> </w:t>
      </w:r>
      <w:r w:rsidR="001C4FAA" w:rsidRPr="009A337F">
        <w:rPr>
          <w:rFonts w:eastAsia="Arial"/>
        </w:rPr>
        <w:t>(WA)</w:t>
      </w:r>
    </w:p>
    <w:p w14:paraId="671EEFE5" w14:textId="2B017079" w:rsidR="00B13CDB" w:rsidRPr="00B13CDB" w:rsidRDefault="00B13CDB" w:rsidP="00896B4C">
      <w:pPr>
        <w:pStyle w:val="References"/>
        <w:rPr>
          <w:rFonts w:eastAsia="Arial"/>
          <w:i/>
          <w:iCs/>
        </w:rPr>
      </w:pPr>
      <w:r w:rsidRPr="00FF0C88">
        <w:rPr>
          <w:i/>
          <w:iCs/>
        </w:rPr>
        <w:t xml:space="preserve">Interactive Gambling Act 2001 </w:t>
      </w:r>
      <w:r w:rsidRPr="009A337F">
        <w:t>(</w:t>
      </w:r>
      <w:proofErr w:type="spellStart"/>
      <w:r w:rsidRPr="009A337F">
        <w:t>Cth</w:t>
      </w:r>
      <w:proofErr w:type="spellEnd"/>
      <w:r w:rsidRPr="009A337F">
        <w:t>)</w:t>
      </w:r>
    </w:p>
    <w:p w14:paraId="3C27313D" w14:textId="0700BD84" w:rsidR="00917887" w:rsidRPr="00843A16" w:rsidRDefault="00917887" w:rsidP="00896B4C">
      <w:pPr>
        <w:pStyle w:val="References"/>
        <w:rPr>
          <w:rFonts w:eastAsia="Arial"/>
          <w:i/>
          <w:lang w:bidi="ar-SA"/>
        </w:rPr>
      </w:pPr>
      <w:r>
        <w:rPr>
          <w:rFonts w:eastAsia="Arial"/>
          <w:i/>
          <w:iCs/>
        </w:rPr>
        <w:t xml:space="preserve">Interactive Gambling Amendment (Credit and Other Measures) </w:t>
      </w:r>
      <w:r w:rsidR="000873E1">
        <w:rPr>
          <w:rFonts w:eastAsia="Arial"/>
          <w:i/>
          <w:iCs/>
        </w:rPr>
        <w:t>Act 2023</w:t>
      </w:r>
      <w:r w:rsidR="005F0C35">
        <w:rPr>
          <w:rFonts w:eastAsia="Arial"/>
          <w:i/>
          <w:iCs/>
        </w:rPr>
        <w:t xml:space="preserve"> </w:t>
      </w:r>
      <w:r w:rsidR="005F0C35" w:rsidRPr="009A337F">
        <w:rPr>
          <w:rFonts w:eastAsia="Arial"/>
        </w:rPr>
        <w:t>(</w:t>
      </w:r>
      <w:proofErr w:type="spellStart"/>
      <w:r w:rsidR="005F0C35" w:rsidRPr="009A337F">
        <w:rPr>
          <w:rFonts w:eastAsia="Arial"/>
        </w:rPr>
        <w:t>Cth</w:t>
      </w:r>
      <w:proofErr w:type="spellEnd"/>
      <w:r w:rsidR="005F0C35" w:rsidRPr="009A337F">
        <w:rPr>
          <w:rFonts w:eastAsia="Arial"/>
        </w:rPr>
        <w:t>)</w:t>
      </w:r>
    </w:p>
    <w:p w14:paraId="7967BD60" w14:textId="430F1981" w:rsidR="00873A73" w:rsidRPr="00843A16" w:rsidRDefault="00873A73" w:rsidP="00896B4C">
      <w:pPr>
        <w:pStyle w:val="References"/>
        <w:rPr>
          <w:i/>
        </w:rPr>
      </w:pPr>
      <w:r w:rsidRPr="00843A16">
        <w:rPr>
          <w:i/>
        </w:rPr>
        <w:t>Interactive Gambling (National Self-exclusion Register) Register Rules 2022</w:t>
      </w:r>
      <w:r w:rsidRPr="00843A16">
        <w:rPr>
          <w:i/>
          <w:iCs/>
        </w:rPr>
        <w:t> </w:t>
      </w:r>
      <w:r w:rsidRPr="009A337F">
        <w:t>(</w:t>
      </w:r>
      <w:proofErr w:type="spellStart"/>
      <w:r w:rsidRPr="009A337F">
        <w:t>Cth</w:t>
      </w:r>
      <w:proofErr w:type="spellEnd"/>
      <w:r w:rsidRPr="009A337F">
        <w:t>)</w:t>
      </w:r>
    </w:p>
    <w:p w14:paraId="2F9F8A12" w14:textId="1B89C6DF" w:rsidR="00734F56" w:rsidRPr="00843A16" w:rsidRDefault="00734F56" w:rsidP="00896B4C">
      <w:pPr>
        <w:pStyle w:val="References"/>
        <w:rPr>
          <w:i/>
          <w:lang w:bidi="ar-SA"/>
        </w:rPr>
      </w:pPr>
      <w:r w:rsidRPr="00843A16">
        <w:rPr>
          <w:i/>
          <w:lang w:bidi="ar-SA"/>
        </w:rPr>
        <w:t xml:space="preserve">Tasmanian Gaming Licence Standards </w:t>
      </w:r>
      <w:r w:rsidRPr="009A337F">
        <w:rPr>
          <w:iCs/>
          <w:lang w:bidi="ar-SA"/>
        </w:rPr>
        <w:t>(Tas)</w:t>
      </w:r>
    </w:p>
    <w:p w14:paraId="79DBCEFA" w14:textId="1120E2AC" w:rsidR="00287D55" w:rsidRPr="009A337F" w:rsidRDefault="00287D55" w:rsidP="00896B4C">
      <w:pPr>
        <w:pStyle w:val="References"/>
        <w:rPr>
          <w:iCs/>
          <w:lang w:bidi="ar-SA"/>
        </w:rPr>
      </w:pPr>
      <w:r w:rsidRPr="00843A16">
        <w:rPr>
          <w:i/>
          <w:lang w:bidi="ar-SA"/>
        </w:rPr>
        <w:t xml:space="preserve">Wagering Act 1998 </w:t>
      </w:r>
      <w:r w:rsidRPr="009A337F">
        <w:rPr>
          <w:iCs/>
          <w:lang w:bidi="ar-SA"/>
        </w:rPr>
        <w:t>(Q</w:t>
      </w:r>
      <w:r w:rsidR="00FD460C" w:rsidRPr="009A337F">
        <w:rPr>
          <w:iCs/>
          <w:lang w:bidi="ar-SA"/>
        </w:rPr>
        <w:t>ld</w:t>
      </w:r>
      <w:r w:rsidRPr="009A337F">
        <w:rPr>
          <w:iCs/>
          <w:lang w:bidi="ar-SA"/>
        </w:rPr>
        <w:t>)</w:t>
      </w:r>
    </w:p>
    <w:p w14:paraId="57C5F6CF" w14:textId="6E440E38" w:rsidR="007A1181" w:rsidRPr="00843A16" w:rsidRDefault="00734F56" w:rsidP="00896B4C">
      <w:pPr>
        <w:pStyle w:val="References"/>
        <w:rPr>
          <w:i/>
          <w:iCs/>
          <w:lang w:bidi="ar-SA"/>
        </w:rPr>
      </w:pPr>
      <w:r w:rsidRPr="00843A16">
        <w:rPr>
          <w:i/>
          <w:iCs/>
          <w:lang w:bidi="ar-SA"/>
        </w:rPr>
        <w:t xml:space="preserve">Wagering Control Manual </w:t>
      </w:r>
      <w:r w:rsidRPr="009A337F">
        <w:rPr>
          <w:lang w:bidi="ar-SA"/>
        </w:rPr>
        <w:t>(Q</w:t>
      </w:r>
      <w:r w:rsidR="00FD460C" w:rsidRPr="009A337F">
        <w:rPr>
          <w:lang w:bidi="ar-SA"/>
        </w:rPr>
        <w:t>ld</w:t>
      </w:r>
      <w:r w:rsidRPr="009A337F">
        <w:rPr>
          <w:lang w:bidi="ar-SA"/>
        </w:rPr>
        <w:t>)</w:t>
      </w:r>
    </w:p>
    <w:p w14:paraId="6F793657" w14:textId="78AA84B1" w:rsidR="00F04A77" w:rsidRPr="00843A16" w:rsidRDefault="006B255F" w:rsidP="006B255F">
      <w:pPr>
        <w:pStyle w:val="Heading2"/>
      </w:pPr>
      <w:bookmarkStart w:id="147" w:name="_Toc233643314"/>
      <w:r w:rsidRPr="00843A16">
        <w:t>Other references</w:t>
      </w:r>
      <w:bookmarkEnd w:id="147"/>
    </w:p>
    <w:p w14:paraId="1BC02E9E" w14:textId="1E152B00" w:rsidR="00AC1AFD" w:rsidRPr="00AC1AFD" w:rsidRDefault="00AC1AFD" w:rsidP="00AC1AFD">
      <w:pPr>
        <w:pStyle w:val="References"/>
        <w:rPr>
          <w:rFonts w:eastAsia="Arial"/>
        </w:rPr>
      </w:pPr>
      <w:r w:rsidRPr="00AC1AFD">
        <w:rPr>
          <w:rFonts w:eastAsia="Arial"/>
        </w:rPr>
        <w:t>Australia</w:t>
      </w:r>
      <w:r w:rsidR="00242248">
        <w:rPr>
          <w:rFonts w:eastAsia="Arial"/>
        </w:rPr>
        <w:t>n</w:t>
      </w:r>
      <w:r w:rsidR="00242248" w:rsidRPr="00AC1AFD">
        <w:rPr>
          <w:rFonts w:eastAsia="Arial"/>
        </w:rPr>
        <w:t xml:space="preserve"> </w:t>
      </w:r>
      <w:r w:rsidRPr="00AC1AFD">
        <w:rPr>
          <w:rFonts w:eastAsia="Arial"/>
        </w:rPr>
        <w:t>Parliament</w:t>
      </w:r>
      <w:r w:rsidR="00242248">
        <w:rPr>
          <w:rFonts w:eastAsia="Arial"/>
        </w:rPr>
        <w:t>,</w:t>
      </w:r>
      <w:r w:rsidRPr="00AC1AFD">
        <w:rPr>
          <w:rFonts w:eastAsia="Arial"/>
        </w:rPr>
        <w:t xml:space="preserve"> Senate</w:t>
      </w:r>
      <w:r w:rsidR="00242248">
        <w:rPr>
          <w:rFonts w:eastAsia="Arial"/>
        </w:rPr>
        <w:t>,</w:t>
      </w:r>
      <w:r w:rsidRPr="00AC1AFD">
        <w:rPr>
          <w:rFonts w:eastAsia="Arial"/>
        </w:rPr>
        <w:t xml:space="preserve"> Environment and Communications Legislation Committee</w:t>
      </w:r>
      <w:r w:rsidR="00242248">
        <w:rPr>
          <w:rFonts w:eastAsia="Arial"/>
        </w:rPr>
        <w:t>.</w:t>
      </w:r>
      <w:r w:rsidRPr="00AC1AFD">
        <w:rPr>
          <w:rFonts w:eastAsia="Arial"/>
        </w:rPr>
        <w:t xml:space="preserve"> (2026)</w:t>
      </w:r>
      <w:r w:rsidR="00242248">
        <w:rPr>
          <w:rFonts w:eastAsia="Arial"/>
        </w:rPr>
        <w:t>.</w:t>
      </w:r>
      <w:r w:rsidRPr="00AC1AFD">
        <w:rPr>
          <w:rFonts w:eastAsia="Arial"/>
        </w:rPr>
        <w:t xml:space="preserve"> </w:t>
      </w:r>
      <w:r w:rsidRPr="00AC1AFD">
        <w:rPr>
          <w:rFonts w:eastAsia="Arial"/>
          <w:i/>
          <w:iCs/>
        </w:rPr>
        <w:t xml:space="preserve">Budget estimates 2026–27: </w:t>
      </w:r>
      <w:r w:rsidR="00242248">
        <w:rPr>
          <w:rFonts w:eastAsia="Arial"/>
          <w:i/>
          <w:iCs/>
        </w:rPr>
        <w:t>O</w:t>
      </w:r>
      <w:r w:rsidR="00242248" w:rsidRPr="00AC1AFD">
        <w:rPr>
          <w:rFonts w:eastAsia="Arial"/>
          <w:i/>
          <w:iCs/>
        </w:rPr>
        <w:t xml:space="preserve">fficial </w:t>
      </w:r>
      <w:r w:rsidRPr="00AC1AFD">
        <w:rPr>
          <w:rFonts w:eastAsia="Arial"/>
          <w:i/>
          <w:iCs/>
        </w:rPr>
        <w:t>committee Hansard</w:t>
      </w:r>
      <w:r w:rsidRPr="00AC1AFD">
        <w:rPr>
          <w:rFonts w:eastAsia="Arial"/>
        </w:rPr>
        <w:t xml:space="preserve">, 27 May. Canberra: Parliament of Australia. </w:t>
      </w:r>
      <w:hyperlink r:id="rId38" w:history="1">
        <w:r w:rsidR="00242248" w:rsidRPr="00242248">
          <w:rPr>
            <w:rStyle w:val="Hyperlink"/>
            <w:rFonts w:eastAsia="Arial"/>
          </w:rPr>
          <w:t>www.aph.gov.au/-/media/Estimates/ec/bud2627/27526__Proof_Hansard__EC_BE20267.pdf</w:t>
        </w:r>
      </w:hyperlink>
      <w:r w:rsidRPr="00AC1AFD">
        <w:rPr>
          <w:rFonts w:eastAsia="Arial"/>
        </w:rPr>
        <w:t xml:space="preserve"> </w:t>
      </w:r>
    </w:p>
    <w:p w14:paraId="13448B4D" w14:textId="25DAC36B" w:rsidR="00242248" w:rsidRDefault="00C42541" w:rsidP="005D4CC3">
      <w:pPr>
        <w:pStyle w:val="References"/>
      </w:pPr>
      <w:r w:rsidRPr="00843A16">
        <w:rPr>
          <w:rFonts w:eastAsia="Arial"/>
        </w:rPr>
        <w:t xml:space="preserve">Australian Communications Media Authority </w:t>
      </w:r>
      <w:r w:rsidR="00242248">
        <w:rPr>
          <w:rFonts w:eastAsia="Arial"/>
        </w:rPr>
        <w:t>(</w:t>
      </w:r>
      <w:r w:rsidRPr="00843A16">
        <w:rPr>
          <w:rFonts w:eastAsia="Arial"/>
        </w:rPr>
        <w:t>ACMA</w:t>
      </w:r>
      <w:r w:rsidR="00242248">
        <w:rPr>
          <w:rFonts w:eastAsia="Arial"/>
        </w:rPr>
        <w:t>)</w:t>
      </w:r>
      <w:r w:rsidR="00242248" w:rsidRPr="00843A16">
        <w:rPr>
          <w:rFonts w:eastAsia="Arial"/>
        </w:rPr>
        <w:t xml:space="preserve">. </w:t>
      </w:r>
      <w:r w:rsidRPr="00843A16">
        <w:rPr>
          <w:rFonts w:eastAsia="Arial"/>
        </w:rPr>
        <w:t xml:space="preserve">(2025). </w:t>
      </w:r>
      <w:r w:rsidR="0064651F" w:rsidRPr="00843A16">
        <w:rPr>
          <w:rFonts w:eastAsia="Arial"/>
          <w:i/>
          <w:iCs/>
        </w:rPr>
        <w:t>Cost recovery implementation statement: National Self-Exclusion Register – Cost Recovery Levy 2024</w:t>
      </w:r>
      <w:r w:rsidR="00242248">
        <w:rPr>
          <w:rFonts w:eastAsia="Arial"/>
          <w:i/>
          <w:iCs/>
        </w:rPr>
        <w:t>–</w:t>
      </w:r>
      <w:r w:rsidR="0064651F" w:rsidRPr="00843A16">
        <w:rPr>
          <w:rFonts w:eastAsia="Arial"/>
          <w:i/>
          <w:iCs/>
        </w:rPr>
        <w:t xml:space="preserve">25. </w:t>
      </w:r>
      <w:r w:rsidR="0064651F" w:rsidRPr="00843A16">
        <w:rPr>
          <w:rFonts w:eastAsia="Arial"/>
        </w:rPr>
        <w:t xml:space="preserve">Canberra: ACMA. </w:t>
      </w:r>
      <w:hyperlink r:id="rId39" w:history="1">
        <w:r w:rsidR="00FF0C88" w:rsidRPr="00FA29A2">
          <w:rPr>
            <w:rStyle w:val="Hyperlink"/>
            <w:rFonts w:eastAsia="Arial"/>
          </w:rPr>
          <w:t>www.acma.gov.au/sites/default/files/2025-03/Cost%20recovery%20implementation%20statement%20-%20National%20Self-Exclusion%20Register%202024-25.pdf</w:t>
        </w:r>
      </w:hyperlink>
    </w:p>
    <w:p w14:paraId="0CB79B43" w14:textId="21CB3A8C" w:rsidR="005D4CC3" w:rsidRPr="005D4CC3" w:rsidRDefault="005D4CC3" w:rsidP="005D4CC3">
      <w:pPr>
        <w:pStyle w:val="References"/>
        <w:rPr>
          <w:rFonts w:eastAsia="Arial"/>
        </w:rPr>
      </w:pPr>
      <w:r w:rsidRPr="005D4CC3">
        <w:rPr>
          <w:rFonts w:eastAsia="Arial"/>
        </w:rPr>
        <w:t xml:space="preserve">Australian Gambling Research Centre </w:t>
      </w:r>
      <w:r w:rsidR="00242248">
        <w:rPr>
          <w:rFonts w:eastAsia="Arial"/>
        </w:rPr>
        <w:t>(</w:t>
      </w:r>
      <w:r w:rsidRPr="005D4CC3">
        <w:rPr>
          <w:rFonts w:eastAsia="Arial"/>
        </w:rPr>
        <w:t>AGRC</w:t>
      </w:r>
      <w:r w:rsidR="00242248">
        <w:rPr>
          <w:rFonts w:eastAsia="Arial"/>
        </w:rPr>
        <w:t>).</w:t>
      </w:r>
      <w:r w:rsidR="00242248" w:rsidRPr="005D4CC3">
        <w:rPr>
          <w:rFonts w:eastAsia="Arial"/>
        </w:rPr>
        <w:t xml:space="preserve"> </w:t>
      </w:r>
      <w:r w:rsidR="00242248">
        <w:rPr>
          <w:rFonts w:eastAsia="Arial"/>
        </w:rPr>
        <w:t>(</w:t>
      </w:r>
      <w:r w:rsidRPr="005D4CC3">
        <w:rPr>
          <w:rFonts w:eastAsia="Arial"/>
        </w:rPr>
        <w:t>2023</w:t>
      </w:r>
      <w:r w:rsidR="00242248">
        <w:rPr>
          <w:rFonts w:eastAsia="Arial"/>
        </w:rPr>
        <w:t>).</w:t>
      </w:r>
      <w:r w:rsidRPr="005D4CC3">
        <w:rPr>
          <w:rFonts w:eastAsia="Arial"/>
        </w:rPr>
        <w:t xml:space="preserve"> </w:t>
      </w:r>
      <w:r w:rsidRPr="005D4CC3">
        <w:rPr>
          <w:rFonts w:eastAsia="Arial"/>
          <w:i/>
          <w:iCs/>
        </w:rPr>
        <w:t>Gambling participation</w:t>
      </w:r>
      <w:r w:rsidR="006D7763">
        <w:rPr>
          <w:rFonts w:eastAsia="Arial"/>
          <w:i/>
          <w:iCs/>
        </w:rPr>
        <w:t xml:space="preserve"> and</w:t>
      </w:r>
      <w:r w:rsidRPr="005D4CC3">
        <w:rPr>
          <w:rFonts w:eastAsia="Arial"/>
          <w:i/>
          <w:iCs/>
        </w:rPr>
        <w:t xml:space="preserve"> experience of harm</w:t>
      </w:r>
      <w:r w:rsidR="00242248">
        <w:rPr>
          <w:rFonts w:eastAsia="Arial"/>
          <w:i/>
          <w:iCs/>
        </w:rPr>
        <w:t>.</w:t>
      </w:r>
      <w:r w:rsidR="00675919">
        <w:rPr>
          <w:rFonts w:eastAsia="Arial"/>
          <w:i/>
          <w:iCs/>
        </w:rPr>
        <w:t xml:space="preserve"> </w:t>
      </w:r>
      <w:r w:rsidR="00675919" w:rsidRPr="007A60DE">
        <w:rPr>
          <w:rFonts w:eastAsia="Arial"/>
        </w:rPr>
        <w:t>Research snapshot</w:t>
      </w:r>
      <w:r w:rsidR="00242248">
        <w:rPr>
          <w:rFonts w:eastAsia="Arial"/>
        </w:rPr>
        <w:t>.</w:t>
      </w:r>
      <w:r w:rsidR="00242248" w:rsidRPr="005D4CC3">
        <w:rPr>
          <w:rFonts w:eastAsia="Arial"/>
        </w:rPr>
        <w:t xml:space="preserve"> </w:t>
      </w:r>
      <w:r w:rsidR="00242248">
        <w:rPr>
          <w:rFonts w:eastAsia="Arial"/>
        </w:rPr>
        <w:t xml:space="preserve">Melbourne: </w:t>
      </w:r>
      <w:r w:rsidRPr="005D4CC3">
        <w:rPr>
          <w:rFonts w:eastAsia="Arial"/>
        </w:rPr>
        <w:t>Australian Institute of Family Studies</w:t>
      </w:r>
      <w:r w:rsidR="00610B8D">
        <w:rPr>
          <w:rFonts w:eastAsia="Arial"/>
        </w:rPr>
        <w:t>.</w:t>
      </w:r>
      <w:r w:rsidRPr="005D4CC3">
        <w:rPr>
          <w:rFonts w:eastAsia="Arial"/>
        </w:rPr>
        <w:t xml:space="preserve"> </w:t>
      </w:r>
    </w:p>
    <w:p w14:paraId="3EA1DC15" w14:textId="26865842" w:rsidR="003F0EF9" w:rsidRPr="00843A16" w:rsidRDefault="00BC23EF" w:rsidP="003F0EF9">
      <w:pPr>
        <w:pStyle w:val="References"/>
        <w:rPr>
          <w:rFonts w:eastAsia="Arial"/>
        </w:rPr>
      </w:pPr>
      <w:r>
        <w:rPr>
          <w:rFonts w:eastAsia="Arial"/>
        </w:rPr>
        <w:t>Australian</w:t>
      </w:r>
      <w:r w:rsidR="003F0EF9" w:rsidRPr="00843A16">
        <w:rPr>
          <w:rFonts w:eastAsia="Arial"/>
        </w:rPr>
        <w:t xml:space="preserve"> Transaction Reports and Analysis Centre </w:t>
      </w:r>
      <w:r w:rsidR="00620EBB">
        <w:rPr>
          <w:rFonts w:eastAsia="Arial"/>
        </w:rPr>
        <w:t>(</w:t>
      </w:r>
      <w:r w:rsidR="003F0EF9" w:rsidRPr="00843A16">
        <w:rPr>
          <w:rFonts w:eastAsia="Arial"/>
        </w:rPr>
        <w:t>AUSTRAC</w:t>
      </w:r>
      <w:r w:rsidR="00620EBB">
        <w:rPr>
          <w:rFonts w:eastAsia="Arial"/>
        </w:rPr>
        <w:t>)</w:t>
      </w:r>
      <w:r w:rsidR="00620EBB" w:rsidRPr="00843A16">
        <w:rPr>
          <w:rFonts w:eastAsia="Arial"/>
        </w:rPr>
        <w:t xml:space="preserve">. </w:t>
      </w:r>
      <w:r w:rsidR="003F0EF9" w:rsidRPr="00843A16">
        <w:rPr>
          <w:rFonts w:eastAsia="Arial"/>
        </w:rPr>
        <w:t xml:space="preserve">(2025). </w:t>
      </w:r>
      <w:r w:rsidR="003F0EF9" w:rsidRPr="00843A16">
        <w:rPr>
          <w:rFonts w:eastAsia="Arial"/>
          <w:i/>
        </w:rPr>
        <w:t>Reporting</w:t>
      </w:r>
      <w:r w:rsidR="003F0EF9" w:rsidRPr="00843A16">
        <w:rPr>
          <w:rFonts w:eastAsia="Arial"/>
        </w:rPr>
        <w:t xml:space="preserve">. </w:t>
      </w:r>
      <w:r w:rsidR="00620EBB">
        <w:rPr>
          <w:rFonts w:eastAsia="Arial"/>
        </w:rPr>
        <w:t xml:space="preserve">AUSTRAC. </w:t>
      </w:r>
      <w:hyperlink r:id="rId40" w:history="1">
        <w:r w:rsidR="003F0EF9" w:rsidRPr="00843A16">
          <w:rPr>
            <w:rStyle w:val="Hyperlink"/>
            <w:rFonts w:eastAsia="Arial"/>
          </w:rPr>
          <w:t>www.austrac.gov.au/business/core-guidance/reporting</w:t>
        </w:r>
      </w:hyperlink>
    </w:p>
    <w:p w14:paraId="7A688C21" w14:textId="63780394" w:rsidR="00EB1197" w:rsidRPr="00843A16" w:rsidRDefault="00EB1197" w:rsidP="00EB1197">
      <w:pPr>
        <w:pStyle w:val="References"/>
      </w:pPr>
      <w:r w:rsidRPr="00FF7BBF">
        <w:rPr>
          <w:lang w:val="en-US"/>
        </w:rPr>
        <w:t xml:space="preserve">Behavioural Economics Team of the Australian </w:t>
      </w:r>
      <w:r w:rsidR="009A13AF">
        <w:rPr>
          <w:lang w:val="en-US"/>
        </w:rPr>
        <w:t>Government</w:t>
      </w:r>
      <w:r w:rsidRPr="00FF7BBF">
        <w:rPr>
          <w:lang w:val="en-US"/>
        </w:rPr>
        <w:t xml:space="preserve"> </w:t>
      </w:r>
      <w:r w:rsidR="00620EBB">
        <w:rPr>
          <w:lang w:val="en-US"/>
        </w:rPr>
        <w:t>(</w:t>
      </w:r>
      <w:r w:rsidRPr="00FF7BBF">
        <w:rPr>
          <w:lang w:val="en-US"/>
        </w:rPr>
        <w:t>BETA</w:t>
      </w:r>
      <w:r w:rsidR="00620EBB">
        <w:rPr>
          <w:lang w:val="en-US"/>
        </w:rPr>
        <w:t>)</w:t>
      </w:r>
      <w:r w:rsidR="00620EBB" w:rsidRPr="00FF7BBF">
        <w:rPr>
          <w:lang w:val="en-US"/>
        </w:rPr>
        <w:t xml:space="preserve">. </w:t>
      </w:r>
      <w:r w:rsidRPr="00FF7BBF">
        <w:rPr>
          <w:lang w:val="en-US"/>
        </w:rPr>
        <w:t xml:space="preserve">(2020). </w:t>
      </w:r>
      <w:r w:rsidRPr="00FF7BBF">
        <w:rPr>
          <w:i/>
          <w:lang w:val="en-US"/>
        </w:rPr>
        <w:t xml:space="preserve">Better Choices: Enhanced informed decision-making for online wagering consumers. </w:t>
      </w:r>
      <w:r w:rsidRPr="00FF7BBF">
        <w:rPr>
          <w:lang w:val="en-US"/>
        </w:rPr>
        <w:t xml:space="preserve">Canberra: </w:t>
      </w:r>
      <w:r w:rsidR="009C2203" w:rsidRPr="00843A16">
        <w:t>Commonwealth of Australia,</w:t>
      </w:r>
      <w:r w:rsidRPr="00843A16">
        <w:t xml:space="preserve"> </w:t>
      </w:r>
      <w:r w:rsidRPr="00FF7BBF">
        <w:rPr>
          <w:lang w:val="en-US"/>
        </w:rPr>
        <w:t>Department of the Prime Minister and Cabinet</w:t>
      </w:r>
      <w:r w:rsidR="008708C9" w:rsidRPr="00FF7BBF">
        <w:rPr>
          <w:lang w:val="en-US"/>
        </w:rPr>
        <w:t xml:space="preserve">. </w:t>
      </w:r>
    </w:p>
    <w:p w14:paraId="242105D4" w14:textId="1C167DF0" w:rsidR="00761B50" w:rsidRPr="00AE3B58" w:rsidRDefault="00761B50" w:rsidP="007F52F1">
      <w:pPr>
        <w:pStyle w:val="References"/>
      </w:pPr>
      <w:r>
        <w:t>Browne, M., Langham, E., Rawat</w:t>
      </w:r>
      <w:r w:rsidR="00EB45CB">
        <w:t xml:space="preserve">, V., Greer, N., Li, E., Rose, R., Rockloff, M., Donaldson, P., Thorne, H., Goodwin, B., Bryden, G., </w:t>
      </w:r>
      <w:r w:rsidR="00452BAA">
        <w:t xml:space="preserve">&amp; </w:t>
      </w:r>
      <w:r w:rsidR="00EB45CB">
        <w:t>Best, T.</w:t>
      </w:r>
      <w:r w:rsidR="00153E6F">
        <w:t xml:space="preserve"> (2016). </w:t>
      </w:r>
      <w:r w:rsidR="00153E6F">
        <w:rPr>
          <w:i/>
          <w:iCs/>
        </w:rPr>
        <w:t>Assessing gambling-</w:t>
      </w:r>
      <w:r w:rsidR="00AE3B58">
        <w:rPr>
          <w:i/>
          <w:iCs/>
        </w:rPr>
        <w:t>related</w:t>
      </w:r>
      <w:r w:rsidR="00153E6F">
        <w:rPr>
          <w:i/>
          <w:iCs/>
        </w:rPr>
        <w:t xml:space="preserve"> harm in Victoria</w:t>
      </w:r>
      <w:r w:rsidR="00620EBB">
        <w:rPr>
          <w:i/>
          <w:iCs/>
        </w:rPr>
        <w:t>:</w:t>
      </w:r>
      <w:r w:rsidR="00153E6F">
        <w:rPr>
          <w:i/>
          <w:iCs/>
        </w:rPr>
        <w:t xml:space="preserve"> A public health </w:t>
      </w:r>
      <w:r w:rsidR="00AE3B58">
        <w:rPr>
          <w:i/>
          <w:iCs/>
        </w:rPr>
        <w:t>perspective</w:t>
      </w:r>
      <w:r w:rsidR="00620EBB">
        <w:t xml:space="preserve">. </w:t>
      </w:r>
      <w:r w:rsidR="00AE3B58">
        <w:t>Victorian Responsible Gambling Foundation.</w:t>
      </w:r>
    </w:p>
    <w:p w14:paraId="6E46725C" w14:textId="25EA20A1" w:rsidR="007F52F1" w:rsidRPr="00843A16" w:rsidRDefault="007F52F1" w:rsidP="007F52F1">
      <w:pPr>
        <w:pStyle w:val="References"/>
        <w:rPr>
          <w:color w:val="0000FF" w:themeColor="hyperlink"/>
          <w:u w:val="single"/>
        </w:rPr>
      </w:pPr>
      <w:r w:rsidRPr="00843A16">
        <w:t>Browne, M.</w:t>
      </w:r>
      <w:r w:rsidRPr="00843A16">
        <w:rPr>
          <w:i/>
          <w:iCs/>
        </w:rPr>
        <w:t xml:space="preserve">, </w:t>
      </w:r>
      <w:r w:rsidRPr="00843A16">
        <w:t>Russell, A. M. T., Dellosa, G., Rockloff, M., &amp; Hing, N. (2024).</w:t>
      </w:r>
      <w:r w:rsidR="00153E6F">
        <w:t xml:space="preserve"> </w:t>
      </w:r>
      <w:r w:rsidRPr="00843A16">
        <w:rPr>
          <w:i/>
          <w:iCs/>
        </w:rPr>
        <w:t>NSW Gambling Survey 2024</w:t>
      </w:r>
      <w:r w:rsidRPr="00843A16">
        <w:t xml:space="preserve">. Central Queensland University, NSW Responsible Gambling Fund. </w:t>
      </w:r>
      <w:hyperlink r:id="rId41">
        <w:r w:rsidRPr="00843A16">
          <w:rPr>
            <w:rStyle w:val="Hyperlink"/>
          </w:rPr>
          <w:t>www.gambleaware.nsw.gov.au/resources-and-education/check-out-our-research/published-research/nsw-gambling-survey-2024</w:t>
        </w:r>
      </w:hyperlink>
    </w:p>
    <w:p w14:paraId="15B6E977" w14:textId="4B6F3652" w:rsidR="00566361" w:rsidRPr="00843A16" w:rsidRDefault="00566361" w:rsidP="00426C9D">
      <w:pPr>
        <w:pStyle w:val="References"/>
        <w:rPr>
          <w:i/>
        </w:rPr>
      </w:pPr>
      <w:r w:rsidRPr="00843A16">
        <w:t>Communio</w:t>
      </w:r>
      <w:r w:rsidR="00821AAD" w:rsidRPr="00843A16">
        <w:t>.</w:t>
      </w:r>
      <w:r w:rsidR="0034708B" w:rsidRPr="00843A16">
        <w:t xml:space="preserve"> (2018)</w:t>
      </w:r>
      <w:r w:rsidR="00821AAD" w:rsidRPr="00843A16">
        <w:t xml:space="preserve">. </w:t>
      </w:r>
      <w:r w:rsidR="001F199E" w:rsidRPr="00843A16">
        <w:rPr>
          <w:i/>
        </w:rPr>
        <w:t xml:space="preserve">Development of a Performance, Review and Evaluation Strategy (PRES) and </w:t>
      </w:r>
      <w:r w:rsidR="00620EBB" w:rsidRPr="00843A16">
        <w:rPr>
          <w:i/>
        </w:rPr>
        <w:t>cost opti</w:t>
      </w:r>
      <w:r w:rsidR="001F199E" w:rsidRPr="00843A16">
        <w:rPr>
          <w:i/>
        </w:rPr>
        <w:t>ons for the National Consumer Protection Framework (NCPF) for Online Wagering in Australia</w:t>
      </w:r>
      <w:r w:rsidR="00620EBB">
        <w:rPr>
          <w:i/>
        </w:rPr>
        <w:t xml:space="preserve">. </w:t>
      </w:r>
    </w:p>
    <w:p w14:paraId="3FBFE5A9" w14:textId="5ACCA0FF" w:rsidR="00C77C41" w:rsidRPr="00E228DB" w:rsidRDefault="00C77C41" w:rsidP="00426C9D">
      <w:pPr>
        <w:pStyle w:val="References"/>
      </w:pPr>
      <w:r>
        <w:t>Department of Health, Disability and Ageing</w:t>
      </w:r>
      <w:r w:rsidR="004C50AC">
        <w:t>.</w:t>
      </w:r>
      <w:r w:rsidR="00444B81">
        <w:t xml:space="preserve"> </w:t>
      </w:r>
      <w:r w:rsidR="002F0645">
        <w:t>(2026)</w:t>
      </w:r>
      <w:r w:rsidR="004C50AC">
        <w:t>.</w:t>
      </w:r>
      <w:r w:rsidR="002F0645">
        <w:t xml:space="preserve"> </w:t>
      </w:r>
      <w:r w:rsidR="002F0645">
        <w:rPr>
          <w:i/>
          <w:iCs/>
        </w:rPr>
        <w:t>Health warnings, health promotion insets</w:t>
      </w:r>
      <w:r w:rsidR="0023113F">
        <w:rPr>
          <w:i/>
          <w:iCs/>
        </w:rPr>
        <w:t>,</w:t>
      </w:r>
      <w:r w:rsidR="002F0645">
        <w:rPr>
          <w:i/>
          <w:iCs/>
        </w:rPr>
        <w:t xml:space="preserve"> and on-product health messages for tobacco products.</w:t>
      </w:r>
      <w:r w:rsidR="002E0BA7">
        <w:rPr>
          <w:i/>
          <w:iCs/>
        </w:rPr>
        <w:t xml:space="preserve"> </w:t>
      </w:r>
      <w:r w:rsidR="002E0BA7" w:rsidRPr="00FF7BBF">
        <w:rPr>
          <w:lang w:val="en-US"/>
        </w:rPr>
        <w:t xml:space="preserve">Canberra: </w:t>
      </w:r>
      <w:r w:rsidR="002E0BA7" w:rsidRPr="00843A16">
        <w:t xml:space="preserve">Commonwealth of Australia, </w:t>
      </w:r>
      <w:r w:rsidR="002E0BA7">
        <w:t>Department of Health, Disability and Ageing.</w:t>
      </w:r>
      <w:r w:rsidR="002F0645">
        <w:rPr>
          <w:i/>
          <w:iCs/>
        </w:rPr>
        <w:t xml:space="preserve"> </w:t>
      </w:r>
      <w:hyperlink r:id="rId42" w:history="1">
        <w:r w:rsidR="002F0645" w:rsidRPr="00E228DB">
          <w:rPr>
            <w:rStyle w:val="Hyperlink"/>
          </w:rPr>
          <w:t>Health warnings, health promotion inserts, and on-product health messages for tobacco products | Australian Government Department of Health, Disability and Ageing</w:t>
        </w:r>
      </w:hyperlink>
    </w:p>
    <w:p w14:paraId="430D454E" w14:textId="22D44FEA" w:rsidR="00FF0C88" w:rsidRDefault="00166932" w:rsidP="00166932">
      <w:pPr>
        <w:pStyle w:val="References"/>
      </w:pPr>
      <w:r w:rsidRPr="00843A16">
        <w:t xml:space="preserve">Department of Social Services </w:t>
      </w:r>
      <w:r w:rsidR="002E0BA7">
        <w:t>(</w:t>
      </w:r>
      <w:r w:rsidRPr="00843A16">
        <w:t>DSS</w:t>
      </w:r>
      <w:r w:rsidR="002E0BA7">
        <w:t>)</w:t>
      </w:r>
      <w:r w:rsidR="002E0BA7" w:rsidRPr="00843A16">
        <w:t xml:space="preserve">. </w:t>
      </w:r>
      <w:r w:rsidRPr="00843A16">
        <w:t>(201</w:t>
      </w:r>
      <w:r w:rsidR="00F87055" w:rsidRPr="00843A16">
        <w:t>7</w:t>
      </w:r>
      <w:r w:rsidRPr="00843A16">
        <w:t>).</w:t>
      </w:r>
      <w:r w:rsidRPr="00843A16">
        <w:rPr>
          <w:i/>
        </w:rPr>
        <w:t xml:space="preserve"> A National Consumer Protection Framework for Online Wagering in Australia</w:t>
      </w:r>
      <w:r w:rsidR="002E0BA7">
        <w:rPr>
          <w:i/>
        </w:rPr>
        <w:t>:</w:t>
      </w:r>
      <w:r w:rsidRPr="00843A16">
        <w:rPr>
          <w:i/>
        </w:rPr>
        <w:t xml:space="preserve"> Decision </w:t>
      </w:r>
      <w:r w:rsidR="00FB4840" w:rsidRPr="00843A16">
        <w:rPr>
          <w:i/>
        </w:rPr>
        <w:t>Regulation Impact Statement</w:t>
      </w:r>
      <w:r w:rsidR="00C823F3" w:rsidRPr="00843A16">
        <w:rPr>
          <w:i/>
        </w:rPr>
        <w:t>.</w:t>
      </w:r>
      <w:r w:rsidR="00C823F3" w:rsidRPr="00843A16">
        <w:t xml:space="preserve"> </w:t>
      </w:r>
      <w:r w:rsidR="00027AC3" w:rsidRPr="00843A16">
        <w:t xml:space="preserve">Canberra: Commonwealth of Australia, </w:t>
      </w:r>
      <w:r w:rsidR="00FB4840">
        <w:t>DSS</w:t>
      </w:r>
      <w:r w:rsidR="00027AC3" w:rsidRPr="00843A16">
        <w:t>.</w:t>
      </w:r>
      <w:r w:rsidR="009C2203" w:rsidRPr="00843A16">
        <w:t xml:space="preserve"> </w:t>
      </w:r>
      <w:r w:rsidR="00FF0C88">
        <w:t>w</w:t>
      </w:r>
      <w:r w:rsidR="00C823F3" w:rsidRPr="00843A16">
        <w:t>ww.</w:t>
      </w:r>
      <w:hyperlink r:id="rId43">
        <w:r w:rsidRPr="00843A16">
          <w:rPr>
            <w:rStyle w:val="Hyperlink"/>
            <w:color w:val="2C2624"/>
            <w:u w:val="none"/>
          </w:rPr>
          <w:t>oia.pmc.gov.au/sites/default/files/posts/2018/11/3_coag_decision_</w:t>
        </w:r>
        <w:proofErr w:type="gramStart"/>
        <w:r w:rsidRPr="00843A16">
          <w:rPr>
            <w:rStyle w:val="Hyperlink"/>
            <w:color w:val="2C2624"/>
            <w:u w:val="none"/>
          </w:rPr>
          <w:t>ris.pd</w:t>
        </w:r>
        <w:proofErr w:type="gramEnd"/>
      </w:hyperlink>
      <w:r w:rsidR="00FF0C88">
        <w:t>f</w:t>
      </w:r>
    </w:p>
    <w:p w14:paraId="236FC8DD" w14:textId="29622D75" w:rsidR="003E0935" w:rsidRPr="00843A16" w:rsidRDefault="003E0935" w:rsidP="003E0935">
      <w:pPr>
        <w:pStyle w:val="References"/>
      </w:pPr>
      <w:r w:rsidRPr="00843A16">
        <w:t>Department of Social Services</w:t>
      </w:r>
      <w:r w:rsidR="00FB4840">
        <w:t xml:space="preserve">. </w:t>
      </w:r>
      <w:r w:rsidRPr="00843A16">
        <w:t>(2018</w:t>
      </w:r>
      <w:r w:rsidR="00F31F59">
        <w:t xml:space="preserve"> [updated 2022]</w:t>
      </w:r>
      <w:r w:rsidRPr="00843A16">
        <w:t xml:space="preserve">). </w:t>
      </w:r>
      <w:r w:rsidRPr="00843A16">
        <w:rPr>
          <w:i/>
          <w:iCs/>
        </w:rPr>
        <w:t>National Consumer Protection Framework for Online Wagering in Australia</w:t>
      </w:r>
      <w:r w:rsidR="00FB4840">
        <w:rPr>
          <w:i/>
          <w:iCs/>
        </w:rPr>
        <w:t>:</w:t>
      </w:r>
      <w:r w:rsidRPr="00843A16">
        <w:rPr>
          <w:i/>
          <w:iCs/>
        </w:rPr>
        <w:t xml:space="preserve"> National Policy Statement.</w:t>
      </w:r>
      <w:r w:rsidRPr="00843A16">
        <w:t xml:space="preserve"> </w:t>
      </w:r>
      <w:r w:rsidR="00027AC3" w:rsidRPr="00843A16">
        <w:t xml:space="preserve">Canberra: Commonwealth of Australia, </w:t>
      </w:r>
      <w:r w:rsidR="00FB4840">
        <w:t>DSS</w:t>
      </w:r>
      <w:r w:rsidR="00027AC3" w:rsidRPr="00843A16">
        <w:t>.</w:t>
      </w:r>
      <w:r w:rsidRPr="00843A16">
        <w:t xml:space="preserve"> </w:t>
      </w:r>
      <w:r w:rsidR="004D6210" w:rsidRPr="00D252E6">
        <w:t>www.dss.gov.au/system/files/resources/national-policy-statement-updated-3-may-2022.pdf</w:t>
      </w:r>
      <w:r w:rsidR="004D6210" w:rsidRPr="00F92A91" w:rsidDel="004D6210">
        <w:t xml:space="preserve"> </w:t>
      </w:r>
    </w:p>
    <w:p w14:paraId="212B0315" w14:textId="77777777" w:rsidR="009D4CAA" w:rsidRPr="00843A16" w:rsidRDefault="009D4CAA" w:rsidP="009D4CAA">
      <w:pPr>
        <w:pStyle w:val="References"/>
      </w:pPr>
      <w:r w:rsidRPr="00843A16">
        <w:lastRenderedPageBreak/>
        <w:t>Department of Social Services. (202</w:t>
      </w:r>
      <w:r>
        <w:t>2a</w:t>
      </w:r>
      <w:r w:rsidRPr="00843A16">
        <w:t xml:space="preserve">). </w:t>
      </w:r>
      <w:r w:rsidRPr="00843A16">
        <w:rPr>
          <w:i/>
        </w:rPr>
        <w:t xml:space="preserve">Consistent gambling messaging implementation </w:t>
      </w:r>
      <w:r>
        <w:rPr>
          <w:i/>
        </w:rPr>
        <w:t>plan</w:t>
      </w:r>
      <w:r w:rsidRPr="00843A16">
        <w:rPr>
          <w:i/>
        </w:rPr>
        <w:t>.</w:t>
      </w:r>
      <w:r w:rsidRPr="00843A16">
        <w:t xml:space="preserve"> Canberra: Commonwealth of Australia, </w:t>
      </w:r>
      <w:r>
        <w:t>DSS</w:t>
      </w:r>
      <w:r w:rsidRPr="00843A16">
        <w:t xml:space="preserve">. </w:t>
      </w:r>
      <w:hyperlink r:id="rId44" w:history="1">
        <w:r w:rsidRPr="00843A16">
          <w:rPr>
            <w:rStyle w:val="Hyperlink"/>
          </w:rPr>
          <w:t>www.dss.gov.au/system/files/resources/consistent-gambling-messaging-implementation-factsheet_0.pdf</w:t>
        </w:r>
      </w:hyperlink>
    </w:p>
    <w:p w14:paraId="0B427041" w14:textId="00DE8463" w:rsidR="00C92389" w:rsidRPr="00843A16" w:rsidRDefault="00C92389" w:rsidP="00C92389">
      <w:pPr>
        <w:pStyle w:val="References"/>
      </w:pPr>
      <w:r w:rsidRPr="00843A16">
        <w:t>Department of Social Services. (</w:t>
      </w:r>
      <w:r w:rsidR="009D4CAA" w:rsidRPr="00843A16">
        <w:t>202</w:t>
      </w:r>
      <w:r w:rsidR="009D4CAA">
        <w:t>2</w:t>
      </w:r>
      <w:r w:rsidR="004D6210">
        <w:t>b</w:t>
      </w:r>
      <w:r w:rsidRPr="00843A16">
        <w:t xml:space="preserve">). </w:t>
      </w:r>
      <w:r w:rsidRPr="00843A16">
        <w:rPr>
          <w:i/>
        </w:rPr>
        <w:t>National Consumer Protection Framework for Online Wagering: Supplementary Factsheet</w:t>
      </w:r>
      <w:r w:rsidR="009D4CAA">
        <w:rPr>
          <w:i/>
        </w:rPr>
        <w:t>.</w:t>
      </w:r>
      <w:r w:rsidRPr="00843A16">
        <w:rPr>
          <w:i/>
        </w:rPr>
        <w:t xml:space="preserve"> Consistent gambling messaging – platform definitions and permitted taglines</w:t>
      </w:r>
      <w:r w:rsidRPr="00843A16">
        <w:t xml:space="preserve">. Canberra: Commonwealth of Australia, </w:t>
      </w:r>
      <w:r w:rsidR="009D4CAA">
        <w:t>DSS</w:t>
      </w:r>
      <w:r w:rsidRPr="00843A16">
        <w:t xml:space="preserve">. </w:t>
      </w:r>
      <w:hyperlink r:id="rId45" w:history="1">
        <w:r w:rsidRPr="00843A16">
          <w:rPr>
            <w:rStyle w:val="Hyperlink"/>
          </w:rPr>
          <w:t>www.dss.gov.au/system/files/documents/2024-11/consistent-gambling-messaging-supplementary-fact-sheet-definitions.pdf</w:t>
        </w:r>
      </w:hyperlink>
      <w:r w:rsidRPr="00843A16">
        <w:t xml:space="preserve"> </w:t>
      </w:r>
    </w:p>
    <w:p w14:paraId="031F0418" w14:textId="73897485" w:rsidR="00AA3C4F" w:rsidRPr="00843A16" w:rsidRDefault="00AA3C4F" w:rsidP="00AA3C4F">
      <w:pPr>
        <w:pStyle w:val="References"/>
      </w:pPr>
      <w:r w:rsidRPr="00843A16">
        <w:t>Department of Social Services. (202</w:t>
      </w:r>
      <w:r w:rsidR="00041695">
        <w:t>4</w:t>
      </w:r>
      <w:r w:rsidRPr="00843A16">
        <w:t xml:space="preserve">). </w:t>
      </w:r>
      <w:r w:rsidRPr="00843A16">
        <w:rPr>
          <w:i/>
        </w:rPr>
        <w:t>National Consumer Protection Framework for Online Wagering: Consistent Gambling Messaging Frequently Asked Questions.</w:t>
      </w:r>
      <w:r w:rsidRPr="00843A16">
        <w:t xml:space="preserve"> </w:t>
      </w:r>
      <w:r w:rsidR="00027AC3" w:rsidRPr="00843A16">
        <w:t>Canberra: Commonwealth of Australia,</w:t>
      </w:r>
      <w:r w:rsidRPr="00843A16">
        <w:t xml:space="preserve"> </w:t>
      </w:r>
      <w:r w:rsidR="009D4CAA">
        <w:t>DSS</w:t>
      </w:r>
      <w:r w:rsidR="00027AC3" w:rsidRPr="00843A16">
        <w:t>.</w:t>
      </w:r>
      <w:r w:rsidRPr="00843A16">
        <w:t xml:space="preserve"> </w:t>
      </w:r>
      <w:hyperlink r:id="rId46" w:history="1">
        <w:r w:rsidR="0057316E" w:rsidRPr="00843A16">
          <w:rPr>
            <w:rStyle w:val="Hyperlink"/>
          </w:rPr>
          <w:t>www.dss.gov.au/system/files/documents/2024-11/consistent-gambling-messaging-factsheet-frequently-asked-questions_0.pdf</w:t>
        </w:r>
      </w:hyperlink>
    </w:p>
    <w:p w14:paraId="3E9DD2A5" w14:textId="7EBF8878" w:rsidR="001A0740" w:rsidRPr="00991CDF" w:rsidRDefault="001A0740" w:rsidP="0097128F">
      <w:pPr>
        <w:pStyle w:val="References"/>
      </w:pPr>
      <w:r>
        <w:t>Eccles</w:t>
      </w:r>
      <w:r w:rsidR="00930D5C">
        <w:t>, R. (2025)</w:t>
      </w:r>
      <w:r w:rsidR="00860514">
        <w:t>.</w:t>
      </w:r>
      <w:r w:rsidR="00930D5C">
        <w:t xml:space="preserve"> </w:t>
      </w:r>
      <w:r w:rsidR="00930D5C">
        <w:rPr>
          <w:i/>
          <w:iCs/>
        </w:rPr>
        <w:t xml:space="preserve">Report of the Statutory Review of BetStop – the National Self-Exclusion </w:t>
      </w:r>
      <w:proofErr w:type="spellStart"/>
      <w:r w:rsidR="00930D5C">
        <w:rPr>
          <w:i/>
          <w:iCs/>
        </w:rPr>
        <w:t>Register</w:t>
      </w:r>
      <w:r w:rsidR="00651FCD">
        <w:rPr>
          <w:i/>
          <w:iCs/>
          <w:vertAlign w:val="superscript"/>
        </w:rPr>
        <w:t>TM</w:t>
      </w:r>
      <w:proofErr w:type="spellEnd"/>
      <w:r w:rsidR="00991CDF">
        <w:t>.</w:t>
      </w:r>
      <w:r w:rsidR="008953A9">
        <w:t xml:space="preserve"> </w:t>
      </w:r>
      <w:r w:rsidR="005E3BBB">
        <w:t xml:space="preserve">Canberra: Commonwealth of Australia, Department of </w:t>
      </w:r>
      <w:r w:rsidR="00194106">
        <w:t xml:space="preserve">Infrastructure, Transport, Regional Development, </w:t>
      </w:r>
      <w:r w:rsidR="001F3587">
        <w:t>Communications, Sports and the Arts</w:t>
      </w:r>
      <w:r w:rsidR="00991CDF" w:rsidDel="006A17AF">
        <w:t>.</w:t>
      </w:r>
      <w:r w:rsidR="008953A9" w:rsidDel="006A17AF">
        <w:t xml:space="preserve"> </w:t>
      </w:r>
      <w:r w:rsidR="00011C5F" w:rsidRPr="00011C5F">
        <w:t>www.infrastructure.gov.au/sites/default/files/documents/report-of-the-statutory-review-of-betstop-the-national-self-exclusion-register-december-2025.pdf</w:t>
      </w:r>
    </w:p>
    <w:p w14:paraId="2AED1BD4" w14:textId="719DE4AF" w:rsidR="0097128F" w:rsidRPr="00843A16" w:rsidRDefault="0097128F" w:rsidP="0097128F">
      <w:pPr>
        <w:pStyle w:val="References"/>
      </w:pPr>
      <w:proofErr w:type="spellStart"/>
      <w:r w:rsidRPr="00843A16">
        <w:t>Entain</w:t>
      </w:r>
      <w:proofErr w:type="spellEnd"/>
      <w:r w:rsidRPr="00843A16">
        <w:t xml:space="preserve">. </w:t>
      </w:r>
      <w:r w:rsidR="000E0365" w:rsidRPr="00843A16">
        <w:t xml:space="preserve">(2023). </w:t>
      </w:r>
      <w:r w:rsidRPr="00843A16">
        <w:rPr>
          <w:i/>
          <w:iCs/>
        </w:rPr>
        <w:t xml:space="preserve">Submission to Standing Committee on Social Policy and Legal Affairs </w:t>
      </w:r>
      <w:r w:rsidR="000E0365" w:rsidRPr="00843A16">
        <w:rPr>
          <w:i/>
          <w:iCs/>
        </w:rPr>
        <w:t>Inquiry</w:t>
      </w:r>
      <w:r w:rsidRPr="00843A16">
        <w:rPr>
          <w:i/>
          <w:iCs/>
        </w:rPr>
        <w:t xml:space="preserve">: </w:t>
      </w:r>
      <w:r w:rsidR="002B6D9B">
        <w:rPr>
          <w:i/>
          <w:iCs/>
        </w:rPr>
        <w:t>I</w:t>
      </w:r>
      <w:r w:rsidR="002B6D9B" w:rsidRPr="00843A16">
        <w:rPr>
          <w:i/>
          <w:iCs/>
        </w:rPr>
        <w:t xml:space="preserve">nquiry </w:t>
      </w:r>
      <w:r w:rsidR="000E0365" w:rsidRPr="00843A16">
        <w:rPr>
          <w:i/>
          <w:iCs/>
        </w:rPr>
        <w:t>into online gambling and its impacts on those experiencing gambling harm</w:t>
      </w:r>
      <w:r w:rsidRPr="00843A16">
        <w:rPr>
          <w:i/>
          <w:iCs/>
        </w:rPr>
        <w:t>.</w:t>
      </w:r>
      <w:r w:rsidRPr="00843A16">
        <w:t xml:space="preserve"> Submission 61</w:t>
      </w:r>
      <w:r w:rsidR="00452BAA">
        <w:t>.</w:t>
      </w:r>
      <w:r w:rsidR="000D2585" w:rsidRPr="00843A16">
        <w:t xml:space="preserve"> Inquiry into online gambling and its impacts on those experiencing gambling harm</w:t>
      </w:r>
      <w:r w:rsidRPr="00843A16">
        <w:t xml:space="preserve">. </w:t>
      </w:r>
    </w:p>
    <w:p w14:paraId="5FACEABF" w14:textId="29582937" w:rsidR="009C2203" w:rsidRPr="00843A16" w:rsidRDefault="000E0365" w:rsidP="00125E17">
      <w:pPr>
        <w:pStyle w:val="References"/>
      </w:pPr>
      <w:r w:rsidRPr="00843A16">
        <w:t xml:space="preserve">Financial Counselling Australia (FCA). (2023). </w:t>
      </w:r>
      <w:r w:rsidRPr="00843A16">
        <w:rPr>
          <w:i/>
          <w:iCs/>
        </w:rPr>
        <w:t>Inquiry into online gambling and its impacts on those experiencing gambling harm</w:t>
      </w:r>
      <w:r w:rsidR="00452BAA">
        <w:rPr>
          <w:i/>
          <w:iCs/>
        </w:rPr>
        <w:t>:</w:t>
      </w:r>
      <w:r w:rsidRPr="00843A16">
        <w:rPr>
          <w:i/>
          <w:iCs/>
        </w:rPr>
        <w:t xml:space="preserve"> Submission.</w:t>
      </w:r>
      <w:r w:rsidRPr="00843A16">
        <w:t xml:space="preserve"> </w:t>
      </w:r>
      <w:r w:rsidR="00452BAA">
        <w:t xml:space="preserve">FCA. </w:t>
      </w:r>
      <w:hyperlink r:id="rId47" w:tgtFrame="_blank" w:history="1">
        <w:r w:rsidRPr="00843A16">
          <w:rPr>
            <w:rStyle w:val="Hyperlink"/>
          </w:rPr>
          <w:t>www.financialcounsellingaustralia.org.au/fca-content/uploads/2023/07/Final-FCAsubmission_SPLCInquiryOnlineGambling_Final-22-March-2023.pdf</w:t>
        </w:r>
      </w:hyperlink>
      <w:r w:rsidRPr="00843A16">
        <w:rPr>
          <w:rFonts w:eastAsiaTheme="majorEastAsia"/>
        </w:rPr>
        <w:t> </w:t>
      </w:r>
    </w:p>
    <w:p w14:paraId="77079E84" w14:textId="3631FC25" w:rsidR="00884CD0" w:rsidRPr="00843A16" w:rsidRDefault="00884CD0" w:rsidP="00125E17">
      <w:pPr>
        <w:pStyle w:val="References"/>
      </w:pPr>
      <w:proofErr w:type="spellStart"/>
      <w:r w:rsidRPr="00843A16">
        <w:t>Gainsbury</w:t>
      </w:r>
      <w:proofErr w:type="spellEnd"/>
      <w:r w:rsidRPr="00843A16">
        <w:t>, S. M., Angus, D. J., Procter, L., </w:t>
      </w:r>
      <w:r w:rsidR="00452BAA">
        <w:t xml:space="preserve">&amp; </w:t>
      </w:r>
      <w:proofErr w:type="spellStart"/>
      <w:r w:rsidRPr="00843A16">
        <w:t>Blaszczynski</w:t>
      </w:r>
      <w:proofErr w:type="spellEnd"/>
      <w:r w:rsidRPr="00843A16">
        <w:t xml:space="preserve">, A. (2019). Use of </w:t>
      </w:r>
      <w:r w:rsidR="00CE54E7" w:rsidRPr="00843A16">
        <w:t>consumer protection tools on internet gambling sites</w:t>
      </w:r>
      <w:r w:rsidRPr="00843A16">
        <w:t xml:space="preserve">: Customer </w:t>
      </w:r>
      <w:r w:rsidR="00CE54E7" w:rsidRPr="00843A16">
        <w:t>perceptions, motivators, and barriers to use</w:t>
      </w:r>
      <w:r w:rsidRPr="00843A16">
        <w:t>. </w:t>
      </w:r>
      <w:r w:rsidRPr="00843A16">
        <w:rPr>
          <w:i/>
          <w:iCs/>
        </w:rPr>
        <w:t>Journal of Gambling Studies, 36, </w:t>
      </w:r>
      <w:r w:rsidRPr="00843A16">
        <w:t>259</w:t>
      </w:r>
      <w:r w:rsidR="00CE54E7">
        <w:t>–</w:t>
      </w:r>
      <w:r w:rsidRPr="00843A16">
        <w:t xml:space="preserve">276, </w:t>
      </w:r>
      <w:proofErr w:type="spellStart"/>
      <w:r w:rsidR="00CE54E7" w:rsidRPr="00843A16">
        <w:t>doi</w:t>
      </w:r>
      <w:proofErr w:type="spellEnd"/>
      <w:r w:rsidRPr="00843A16">
        <w:t>: 10.1007/s10899-019-09859-8 </w:t>
      </w:r>
    </w:p>
    <w:p w14:paraId="504A6A53" w14:textId="2F2A9194" w:rsidR="007F727B" w:rsidRPr="00843A16" w:rsidRDefault="007F727B" w:rsidP="007F727B">
      <w:pPr>
        <w:pStyle w:val="References"/>
      </w:pPr>
      <w:r w:rsidRPr="00843A16">
        <w:rPr>
          <w:rFonts w:eastAsia="Arial"/>
        </w:rPr>
        <w:t xml:space="preserve">H2 Gambling Capital. (2025). </w:t>
      </w:r>
      <w:r w:rsidRPr="00843A16">
        <w:rPr>
          <w:rFonts w:eastAsia="Arial"/>
          <w:i/>
          <w:iCs/>
        </w:rPr>
        <w:t xml:space="preserve">H2 Global </w:t>
      </w:r>
      <w:r w:rsidR="004B2E1C" w:rsidRPr="00843A16">
        <w:rPr>
          <w:rFonts w:eastAsia="Arial"/>
          <w:i/>
          <w:iCs/>
        </w:rPr>
        <w:t xml:space="preserve">all product </w:t>
      </w:r>
      <w:proofErr w:type="gramStart"/>
      <w:r w:rsidR="004B2E1C" w:rsidRPr="00843A16">
        <w:rPr>
          <w:rFonts w:eastAsia="Arial"/>
          <w:i/>
          <w:iCs/>
        </w:rPr>
        <w:t>summary</w:t>
      </w:r>
      <w:proofErr w:type="gramEnd"/>
      <w:r w:rsidRPr="00843A16">
        <w:rPr>
          <w:rFonts w:eastAsia="Arial"/>
        </w:rPr>
        <w:t xml:space="preserve">. </w:t>
      </w:r>
      <w:r w:rsidR="004B2E1C" w:rsidRPr="00843A16">
        <w:rPr>
          <w:rFonts w:eastAsia="Arial"/>
        </w:rPr>
        <w:t xml:space="preserve">H2 Gambling Capital. </w:t>
      </w:r>
      <w:r w:rsidRPr="00843A16">
        <w:t>www.</w:t>
      </w:r>
      <w:r w:rsidRPr="00843A16">
        <w:rPr>
          <w:rFonts w:eastAsia="Arial"/>
        </w:rPr>
        <w:t>h2gc.com</w:t>
      </w:r>
    </w:p>
    <w:p w14:paraId="09144DEF" w14:textId="36A2F720" w:rsidR="00125E17" w:rsidRPr="00843A16" w:rsidRDefault="00125E17" w:rsidP="00125E17">
      <w:pPr>
        <w:pStyle w:val="References"/>
      </w:pPr>
      <w:r w:rsidRPr="00843A16">
        <w:t xml:space="preserve">Hall &amp; Partners. (2021). </w:t>
      </w:r>
      <w:r w:rsidRPr="00843A16">
        <w:rPr>
          <w:i/>
        </w:rPr>
        <w:t xml:space="preserve">Consistent </w:t>
      </w:r>
      <w:r w:rsidR="004B2E1C" w:rsidRPr="00843A16">
        <w:rPr>
          <w:i/>
        </w:rPr>
        <w:t xml:space="preserve">gambling messaging – phase </w:t>
      </w:r>
      <w:r w:rsidRPr="00843A16">
        <w:rPr>
          <w:i/>
        </w:rPr>
        <w:t xml:space="preserve">1: Development and </w:t>
      </w:r>
      <w:r w:rsidR="004B2E1C" w:rsidRPr="00843A16">
        <w:rPr>
          <w:i/>
        </w:rPr>
        <w:t>r</w:t>
      </w:r>
      <w:r w:rsidRPr="00843A16">
        <w:rPr>
          <w:i/>
        </w:rPr>
        <w:t>efinement.</w:t>
      </w:r>
      <w:r w:rsidRPr="00843A16">
        <w:t xml:space="preserve"> </w:t>
      </w:r>
      <w:r w:rsidR="00027AC3" w:rsidRPr="00843A16">
        <w:t xml:space="preserve">Canberra: Commonwealth of Australia, </w:t>
      </w:r>
      <w:r w:rsidRPr="00843A16">
        <w:t xml:space="preserve">Department of Social Services. </w:t>
      </w:r>
      <w:hyperlink r:id="rId48" w:history="1">
        <w:r w:rsidR="00BD088E" w:rsidRPr="00843A16">
          <w:rPr>
            <w:rStyle w:val="Hyperlink"/>
          </w:rPr>
          <w:t>www.dss.gov.au/system/files/resources/phase-i-dss-gambling-messaging-development-publishable-hall-and-partners-report-2021.pdf</w:t>
        </w:r>
      </w:hyperlink>
    </w:p>
    <w:p w14:paraId="6AFE85D7" w14:textId="7374A1D2" w:rsidR="00125E17" w:rsidRPr="00843A16" w:rsidRDefault="00125E17" w:rsidP="00125E17">
      <w:pPr>
        <w:pStyle w:val="References"/>
      </w:pPr>
      <w:r w:rsidRPr="00843A16">
        <w:t xml:space="preserve">Hall &amp; Partners. (2022). </w:t>
      </w:r>
      <w:r w:rsidRPr="00843A16">
        <w:rPr>
          <w:i/>
        </w:rPr>
        <w:t xml:space="preserve">Gambling </w:t>
      </w:r>
      <w:r w:rsidR="004B2E1C" w:rsidRPr="00843A16">
        <w:rPr>
          <w:i/>
        </w:rPr>
        <w:t xml:space="preserve">tagline research – phase </w:t>
      </w:r>
      <w:r w:rsidRPr="00843A16">
        <w:rPr>
          <w:i/>
        </w:rPr>
        <w:t xml:space="preserve">2: Implementation </w:t>
      </w:r>
      <w:r w:rsidR="004B2E1C" w:rsidRPr="00843A16">
        <w:rPr>
          <w:i/>
        </w:rPr>
        <w:t>and market testing</w:t>
      </w:r>
      <w:r w:rsidRPr="00843A16">
        <w:rPr>
          <w:i/>
        </w:rPr>
        <w:t>.</w:t>
      </w:r>
      <w:r w:rsidRPr="00843A16">
        <w:t xml:space="preserve"> </w:t>
      </w:r>
      <w:r w:rsidR="00A66515" w:rsidRPr="00843A16">
        <w:t>Canberra: Commonwealth of Australia, Department of Social Services</w:t>
      </w:r>
      <w:r w:rsidRPr="00843A16">
        <w:t xml:space="preserve">. </w:t>
      </w:r>
      <w:hyperlink r:id="rId49" w:history="1">
        <w:r w:rsidR="00BD088E" w:rsidRPr="00843A16">
          <w:rPr>
            <w:rStyle w:val="Hyperlink"/>
          </w:rPr>
          <w:t>www.dss.gov.au/system/files/resources/phase-ii-dss-gambling-tagline-testing-and-implementation-publishable-hall-and-partners-report-2022.pdf</w:t>
        </w:r>
      </w:hyperlink>
    </w:p>
    <w:p w14:paraId="2CB9A245" w14:textId="5C70E142" w:rsidR="00FE42AC" w:rsidRDefault="00FE42AC" w:rsidP="00FE42AC">
      <w:pPr>
        <w:pStyle w:val="References"/>
      </w:pPr>
      <w:r w:rsidRPr="00843A16">
        <w:t xml:space="preserve">Hing, N., </w:t>
      </w:r>
      <w:proofErr w:type="spellStart"/>
      <w:r w:rsidRPr="00843A16">
        <w:t>Gainsbury</w:t>
      </w:r>
      <w:proofErr w:type="spellEnd"/>
      <w:r w:rsidRPr="00843A16">
        <w:t xml:space="preserve">, S., </w:t>
      </w:r>
      <w:proofErr w:type="spellStart"/>
      <w:r w:rsidRPr="00843A16">
        <w:t>Blaszczynski</w:t>
      </w:r>
      <w:proofErr w:type="spellEnd"/>
      <w:r w:rsidRPr="00843A16">
        <w:t xml:space="preserve">, A., Wood, R., Lubman, D., </w:t>
      </w:r>
      <w:r w:rsidR="00A66515">
        <w:t xml:space="preserve">&amp; </w:t>
      </w:r>
      <w:r w:rsidRPr="00843A16">
        <w:t xml:space="preserve">Russell, A. (2014). </w:t>
      </w:r>
      <w:r w:rsidRPr="00843A16">
        <w:rPr>
          <w:i/>
          <w:iCs/>
        </w:rPr>
        <w:t xml:space="preserve">Interactive Gambling Study. </w:t>
      </w:r>
      <w:r w:rsidRPr="00843A16">
        <w:t>Sydney: Gambling Research Australia. webarchive.nla.gov.au/awa/20251028223923/https://www.gamblingresearch.org.au/publications/interactive-gambling-study</w:t>
      </w:r>
    </w:p>
    <w:p w14:paraId="75EEBA8F" w14:textId="717E976F" w:rsidR="00F24961" w:rsidRPr="00843A16" w:rsidRDefault="00F24961" w:rsidP="00F24961">
      <w:pPr>
        <w:pStyle w:val="References"/>
        <w:rPr>
          <w:rFonts w:eastAsia="Arial"/>
          <w:color w:val="0000FF" w:themeColor="hyperlink"/>
          <w:u w:val="single"/>
          <w:lang w:bidi="ar-SA"/>
        </w:rPr>
      </w:pPr>
      <w:r w:rsidRPr="00843A16">
        <w:rPr>
          <w:rFonts w:eastAsia="Arial"/>
          <w:lang w:bidi="ar-SA"/>
        </w:rPr>
        <w:t>Hing, N., Russell, A., Browne, M., Rockloff, M., Greer, N., Rawat, V.,</w:t>
      </w:r>
      <w:r w:rsidRPr="00843A16">
        <w:t xml:space="preserve"> Stevens, M., Dowling, N., Merkouris, S., King, D., Breen, H., Salonen, A., &amp; W</w:t>
      </w:r>
      <w:r w:rsidRPr="00843A16">
        <w:rPr>
          <w:rFonts w:eastAsia="Arial"/>
          <w:lang w:bidi="ar-SA"/>
        </w:rPr>
        <w:t xml:space="preserve">oo, L. (2021). </w:t>
      </w:r>
      <w:r w:rsidRPr="00843A16">
        <w:rPr>
          <w:rFonts w:eastAsia="Arial"/>
          <w:i/>
          <w:lang w:bidi="ar-SA"/>
        </w:rPr>
        <w:t>The second national study of interactive gambling in Australia (2019–2020)</w:t>
      </w:r>
      <w:r w:rsidRPr="00843A16">
        <w:rPr>
          <w:rFonts w:eastAsia="Arial"/>
          <w:lang w:bidi="ar-SA"/>
        </w:rPr>
        <w:t xml:space="preserve">. Sydney: Gambling Research Australia. </w:t>
      </w:r>
      <w:hyperlink r:id="rId50" w:history="1">
        <w:r w:rsidR="00A66515" w:rsidRPr="00A66515">
          <w:rPr>
            <w:rStyle w:val="Hyperlink"/>
            <w:rFonts w:eastAsia="Arial"/>
            <w:lang w:bidi="ar-SA"/>
          </w:rPr>
          <w:t>www.gamblingresearch.org.au/publications/second-national-study-interactive-gambling-australia-2019-20</w:t>
        </w:r>
      </w:hyperlink>
    </w:p>
    <w:p w14:paraId="1CC40220" w14:textId="20848433" w:rsidR="00FF0C88" w:rsidRDefault="00063D58" w:rsidP="004517AC">
      <w:pPr>
        <w:pStyle w:val="References"/>
        <w:rPr>
          <w:rFonts w:eastAsia="Arial"/>
          <w:color w:val="000000" w:themeColor="text1"/>
        </w:rPr>
      </w:pPr>
      <w:r w:rsidRPr="00843A16">
        <w:rPr>
          <w:rFonts w:eastAsia="Arial"/>
          <w:color w:val="000000" w:themeColor="text1"/>
        </w:rPr>
        <w:t xml:space="preserve">House of Representatives Standing Committee on Social Policy and Legal Affairs (SPLA, 2023). </w:t>
      </w:r>
      <w:r w:rsidRPr="00843A16">
        <w:rPr>
          <w:rFonts w:eastAsia="Arial"/>
          <w:i/>
          <w:iCs/>
          <w:color w:val="000000" w:themeColor="text1"/>
        </w:rPr>
        <w:t>You win some, you lose more: Online gambling and its impacts on those experiencing gambling harm.</w:t>
      </w:r>
      <w:r w:rsidRPr="00843A16">
        <w:rPr>
          <w:rFonts w:eastAsia="Arial"/>
          <w:color w:val="000000" w:themeColor="text1"/>
        </w:rPr>
        <w:t xml:space="preserve"> Canberra: Parliament of Australia. </w:t>
      </w:r>
      <w:hyperlink r:id="rId51" w:history="1">
        <w:r w:rsidR="00FF0C88" w:rsidRPr="00FA29A2">
          <w:rPr>
            <w:rStyle w:val="Hyperlink"/>
            <w:rFonts w:eastAsia="Arial"/>
          </w:rPr>
          <w:t>www.aph.gov.au/Parliamentary_Business/Committees/House/Social_Policy_and_Legal_Affairs/Onlinegamblingimpacts/Report</w:t>
        </w:r>
      </w:hyperlink>
    </w:p>
    <w:p w14:paraId="1049E482" w14:textId="2D1F5F24" w:rsidR="00AF5428" w:rsidRPr="00843A16" w:rsidRDefault="00AF5428" w:rsidP="00AF5428">
      <w:pPr>
        <w:pStyle w:val="References"/>
        <w:rPr>
          <w:rFonts w:eastAsia="Arial"/>
          <w:b/>
          <w:bCs/>
        </w:rPr>
      </w:pPr>
      <w:r w:rsidRPr="00843A16">
        <w:rPr>
          <w:rFonts w:eastAsia="Arial"/>
        </w:rPr>
        <w:t xml:space="preserve">Institute of Public Administration Australia (IPAA) ACT. (2023). </w:t>
      </w:r>
      <w:r w:rsidRPr="00843A16">
        <w:rPr>
          <w:rFonts w:eastAsia="Arial"/>
          <w:i/>
          <w:iCs/>
        </w:rPr>
        <w:t xml:space="preserve">Spirit of Service Award Winners 2023. </w:t>
      </w:r>
      <w:r w:rsidRPr="00843A16">
        <w:rPr>
          <w:rFonts w:eastAsia="Arial"/>
        </w:rPr>
        <w:t xml:space="preserve">Canberra: IPAA ACT. Retrieved from </w:t>
      </w:r>
      <w:hyperlink r:id="rId52" w:history="1">
        <w:r w:rsidR="00DA6485" w:rsidRPr="00DA6485">
          <w:rPr>
            <w:rStyle w:val="Hyperlink"/>
            <w:rFonts w:eastAsia="Arial"/>
          </w:rPr>
          <w:t>act.ipaa.org.au/spirit-of-service-award-winners-2023</w:t>
        </w:r>
      </w:hyperlink>
      <w:r w:rsidRPr="00843A16">
        <w:rPr>
          <w:rFonts w:eastAsia="Arial"/>
        </w:rPr>
        <w:t xml:space="preserve"> </w:t>
      </w:r>
    </w:p>
    <w:p w14:paraId="481E205F" w14:textId="6AA20948" w:rsidR="00604EBD" w:rsidRPr="00843A16" w:rsidRDefault="00604EBD" w:rsidP="004517AC">
      <w:pPr>
        <w:pStyle w:val="References"/>
        <w:rPr>
          <w:rFonts w:eastAsia="Arial"/>
          <w:color w:val="000000" w:themeColor="text1"/>
        </w:rPr>
      </w:pPr>
      <w:r w:rsidRPr="00843A16">
        <w:rPr>
          <w:rFonts w:eastAsia="Arial"/>
          <w:color w:val="000000" w:themeColor="text1"/>
        </w:rPr>
        <w:t>Jenkinson, R., Khokhar, T., Tajin, R., Jatkar, U., &amp; </w:t>
      </w:r>
      <w:proofErr w:type="spellStart"/>
      <w:r w:rsidRPr="00843A16">
        <w:rPr>
          <w:rFonts w:eastAsia="Arial"/>
          <w:color w:val="000000" w:themeColor="text1"/>
        </w:rPr>
        <w:t>Deblaquiere</w:t>
      </w:r>
      <w:proofErr w:type="spellEnd"/>
      <w:r w:rsidRPr="00843A16">
        <w:rPr>
          <w:rFonts w:eastAsia="Arial"/>
          <w:color w:val="000000" w:themeColor="text1"/>
        </w:rPr>
        <w:t>, J. (2019). </w:t>
      </w:r>
      <w:r w:rsidRPr="00843A16">
        <w:rPr>
          <w:rFonts w:eastAsia="Arial"/>
          <w:i/>
          <w:iCs/>
          <w:color w:val="000000" w:themeColor="text1"/>
        </w:rPr>
        <w:t>National Consumer Protection Framework for Online Wagering Baseline study</w:t>
      </w:r>
      <w:r w:rsidR="00DA6485">
        <w:rPr>
          <w:rFonts w:eastAsia="Arial"/>
          <w:i/>
          <w:iCs/>
          <w:color w:val="000000" w:themeColor="text1"/>
        </w:rPr>
        <w:t>:</w:t>
      </w:r>
      <w:r w:rsidRPr="00843A16">
        <w:rPr>
          <w:rFonts w:eastAsia="Arial"/>
          <w:i/>
          <w:iCs/>
          <w:color w:val="000000" w:themeColor="text1"/>
        </w:rPr>
        <w:t xml:space="preserve"> Final report. </w:t>
      </w:r>
      <w:r w:rsidRPr="00843A16">
        <w:rPr>
          <w:rFonts w:eastAsia="Arial"/>
          <w:color w:val="000000" w:themeColor="text1"/>
        </w:rPr>
        <w:t>Melbourne: Australian Gambling Research Centre, Australian Institute of Family Studies. </w:t>
      </w:r>
    </w:p>
    <w:p w14:paraId="61976261" w14:textId="49CEDDE8" w:rsidR="00AB3276" w:rsidRDefault="00AB3276" w:rsidP="004517AC">
      <w:pPr>
        <w:pStyle w:val="References"/>
        <w:rPr>
          <w:rFonts w:eastAsia="Arial"/>
          <w:color w:val="000000" w:themeColor="text1"/>
        </w:rPr>
      </w:pPr>
      <w:r w:rsidRPr="00843A16">
        <w:rPr>
          <w:rFonts w:eastAsia="Arial"/>
          <w:color w:val="000000" w:themeColor="text1"/>
        </w:rPr>
        <w:t xml:space="preserve">Liquor &amp; Gaming </w:t>
      </w:r>
      <w:r w:rsidR="008C6267">
        <w:rPr>
          <w:rFonts w:eastAsia="Arial"/>
          <w:color w:val="000000" w:themeColor="text1"/>
        </w:rPr>
        <w:t>NSW</w:t>
      </w:r>
      <w:r w:rsidRPr="00843A16">
        <w:rPr>
          <w:rFonts w:eastAsia="Arial"/>
          <w:color w:val="000000" w:themeColor="text1"/>
        </w:rPr>
        <w:t xml:space="preserve">. (2023). </w:t>
      </w:r>
      <w:r w:rsidR="009A13AF">
        <w:rPr>
          <w:rFonts w:eastAsia="Arial"/>
          <w:i/>
          <w:iCs/>
          <w:color w:val="000000" w:themeColor="text1"/>
        </w:rPr>
        <w:t>Government</w:t>
      </w:r>
      <w:r w:rsidR="00AF7F3B" w:rsidRPr="00843A16">
        <w:rPr>
          <w:rFonts w:eastAsia="Arial"/>
          <w:i/>
          <w:iCs/>
          <w:color w:val="000000" w:themeColor="text1"/>
        </w:rPr>
        <w:t xml:space="preserve"> warns industry about going quiet on gambling harm messaging in TV ads. </w:t>
      </w:r>
      <w:r w:rsidR="008C6267" w:rsidRPr="00843A16">
        <w:rPr>
          <w:rFonts w:eastAsia="Arial"/>
          <w:color w:val="000000" w:themeColor="text1"/>
        </w:rPr>
        <w:t xml:space="preserve">NSW </w:t>
      </w:r>
      <w:r w:rsidR="008C6267">
        <w:rPr>
          <w:rFonts w:eastAsia="Arial"/>
          <w:color w:val="000000" w:themeColor="text1"/>
        </w:rPr>
        <w:t>Government,</w:t>
      </w:r>
      <w:r w:rsidR="008C6267" w:rsidRPr="00843A16">
        <w:rPr>
          <w:rFonts w:eastAsia="Arial"/>
          <w:color w:val="000000" w:themeColor="text1"/>
        </w:rPr>
        <w:t xml:space="preserve"> </w:t>
      </w:r>
      <w:r w:rsidR="00AF7F3B" w:rsidRPr="00843A16">
        <w:rPr>
          <w:rFonts w:eastAsia="Arial"/>
          <w:color w:val="000000" w:themeColor="text1"/>
        </w:rPr>
        <w:t xml:space="preserve">Liquor &amp; Gaming </w:t>
      </w:r>
      <w:proofErr w:type="gramStart"/>
      <w:r w:rsidR="00AF7F3B" w:rsidRPr="00843A16">
        <w:rPr>
          <w:rFonts w:eastAsia="Arial"/>
          <w:color w:val="000000" w:themeColor="text1"/>
        </w:rPr>
        <w:t>NSW</w:t>
      </w:r>
      <w:r w:rsidR="00454049">
        <w:rPr>
          <w:rFonts w:eastAsia="Arial"/>
          <w:color w:val="000000" w:themeColor="text1"/>
        </w:rPr>
        <w:t>.</w:t>
      </w:r>
      <w:r w:rsidR="00AF7F3B" w:rsidRPr="00843A16">
        <w:rPr>
          <w:rFonts w:eastAsia="Arial"/>
          <w:color w:val="000000" w:themeColor="text1"/>
        </w:rPr>
        <w:t>.</w:t>
      </w:r>
      <w:proofErr w:type="gramEnd"/>
      <w:r w:rsidR="00AF7F3B" w:rsidRPr="00843A16" w:rsidDel="00ED5215">
        <w:rPr>
          <w:rFonts w:eastAsia="Arial"/>
          <w:color w:val="000000" w:themeColor="text1"/>
        </w:rPr>
        <w:t xml:space="preserve"> </w:t>
      </w:r>
      <w:hyperlink r:id="rId53" w:history="1">
        <w:r w:rsidR="006B57CB" w:rsidRPr="00FA29A2">
          <w:rPr>
            <w:rStyle w:val="Hyperlink"/>
            <w:rFonts w:eastAsia="Arial"/>
          </w:rPr>
          <w:t>www.nsw.gov.au/business-and-economy/liquor-and-gaming/news/</w:t>
        </w:r>
        <w:r w:rsidR="009A13AF">
          <w:rPr>
            <w:rStyle w:val="Hyperlink"/>
            <w:rFonts w:eastAsia="Arial"/>
          </w:rPr>
          <w:t>government</w:t>
        </w:r>
        <w:r w:rsidR="006B57CB" w:rsidRPr="00FA29A2">
          <w:rPr>
            <w:rStyle w:val="Hyperlink"/>
            <w:rFonts w:eastAsia="Arial"/>
          </w:rPr>
          <w:t>-warns-industry-about-going-quiet-on-gambling-harm-messaging-tv-ads</w:t>
        </w:r>
      </w:hyperlink>
    </w:p>
    <w:p w14:paraId="30B0FED9" w14:textId="18770567" w:rsidR="00446345" w:rsidRDefault="00446345" w:rsidP="004517AC">
      <w:pPr>
        <w:pStyle w:val="References"/>
      </w:pPr>
      <w:r w:rsidRPr="00843A16">
        <w:rPr>
          <w:rFonts w:eastAsia="Arial"/>
          <w:color w:val="000000" w:themeColor="text1"/>
        </w:rPr>
        <w:t xml:space="preserve">Liquor &amp; Gaming </w:t>
      </w:r>
      <w:r w:rsidR="00454049">
        <w:rPr>
          <w:rFonts w:eastAsia="Arial"/>
          <w:color w:val="000000" w:themeColor="text1"/>
        </w:rPr>
        <w:t>NSW</w:t>
      </w:r>
      <w:r w:rsidRPr="00843A16">
        <w:rPr>
          <w:rFonts w:eastAsia="Arial"/>
          <w:color w:val="000000" w:themeColor="text1"/>
        </w:rPr>
        <w:t xml:space="preserve">. (2025). </w:t>
      </w:r>
      <w:r w:rsidRPr="00843A16">
        <w:rPr>
          <w:rFonts w:eastAsia="Arial"/>
          <w:i/>
          <w:iCs/>
          <w:color w:val="000000" w:themeColor="text1"/>
        </w:rPr>
        <w:t xml:space="preserve">Gambling advertising restrictions: </w:t>
      </w:r>
      <w:r w:rsidR="00905F02">
        <w:rPr>
          <w:rFonts w:eastAsia="Arial"/>
          <w:i/>
          <w:iCs/>
          <w:color w:val="000000" w:themeColor="text1"/>
        </w:rPr>
        <w:t>W</w:t>
      </w:r>
      <w:r w:rsidR="00905F02" w:rsidRPr="00843A16">
        <w:rPr>
          <w:rFonts w:eastAsia="Arial"/>
          <w:i/>
          <w:iCs/>
          <w:color w:val="000000" w:themeColor="text1"/>
        </w:rPr>
        <w:t>agering</w:t>
      </w:r>
      <w:r w:rsidRPr="00843A16">
        <w:rPr>
          <w:rFonts w:eastAsia="Arial"/>
          <w:i/>
          <w:iCs/>
          <w:color w:val="000000" w:themeColor="text1"/>
        </w:rPr>
        <w:t xml:space="preserve">. </w:t>
      </w:r>
      <w:r w:rsidR="00905F02" w:rsidRPr="00843A16">
        <w:rPr>
          <w:rFonts w:eastAsia="Arial"/>
          <w:color w:val="000000" w:themeColor="text1"/>
        </w:rPr>
        <w:t xml:space="preserve">NSW </w:t>
      </w:r>
      <w:r w:rsidR="00905F02">
        <w:rPr>
          <w:rFonts w:eastAsia="Arial"/>
          <w:color w:val="000000" w:themeColor="text1"/>
        </w:rPr>
        <w:t>Government,</w:t>
      </w:r>
      <w:r w:rsidR="00905F02" w:rsidRPr="00843A16">
        <w:rPr>
          <w:rFonts w:eastAsia="Arial"/>
          <w:color w:val="000000" w:themeColor="text1"/>
        </w:rPr>
        <w:t xml:space="preserve"> </w:t>
      </w:r>
      <w:r w:rsidRPr="00843A16">
        <w:rPr>
          <w:rFonts w:eastAsia="Arial"/>
          <w:color w:val="000000" w:themeColor="text1"/>
        </w:rPr>
        <w:t>Liquor &amp; Gaming NSW.</w:t>
      </w:r>
      <w:r w:rsidR="004517AC" w:rsidRPr="00843A16">
        <w:rPr>
          <w:rFonts w:eastAsia="Arial"/>
          <w:color w:val="000000" w:themeColor="text1"/>
        </w:rPr>
        <w:t xml:space="preserve"> </w:t>
      </w:r>
      <w:hyperlink r:id="rId54" w:history="1">
        <w:r w:rsidR="006B57CB" w:rsidRPr="00FA29A2">
          <w:rPr>
            <w:rStyle w:val="Hyperlink"/>
            <w:rFonts w:eastAsia="Arial"/>
          </w:rPr>
          <w:t>www.nsw.gov.au/business-and-economy/liquor-and-gaming/gaming/wagering-regulation/gambling-advertising</w:t>
        </w:r>
      </w:hyperlink>
    </w:p>
    <w:p w14:paraId="74CFE4E3" w14:textId="2791AE23" w:rsidR="00081904" w:rsidRDefault="00081904" w:rsidP="00214F82">
      <w:pPr>
        <w:pStyle w:val="References"/>
      </w:pPr>
      <w:r w:rsidRPr="00843A16">
        <w:lastRenderedPageBreak/>
        <w:t xml:space="preserve">Northern Territory Department of </w:t>
      </w:r>
      <w:r w:rsidR="00BC21E7" w:rsidRPr="00843A16">
        <w:t xml:space="preserve">Tourism and Hospitality. (n.d.). </w:t>
      </w:r>
      <w:r w:rsidR="00116960" w:rsidRPr="00843A16">
        <w:rPr>
          <w:i/>
          <w:iCs/>
        </w:rPr>
        <w:t xml:space="preserve">Racing and Wagering Commission: </w:t>
      </w:r>
      <w:r w:rsidR="005406A7" w:rsidRPr="00843A16">
        <w:rPr>
          <w:i/>
          <w:iCs/>
        </w:rPr>
        <w:t xml:space="preserve">Racing and Wagering Commission hearings and decisions. </w:t>
      </w:r>
      <w:r w:rsidR="0031286E" w:rsidRPr="00843A16">
        <w:t>Northern Territory Department of Tourism and Hospitality</w:t>
      </w:r>
      <w:r w:rsidR="0031286E">
        <w:t>.</w:t>
      </w:r>
      <w:r w:rsidR="0031286E" w:rsidRPr="00843A16" w:rsidDel="00ED5215">
        <w:t xml:space="preserve"> </w:t>
      </w:r>
      <w:hyperlink r:id="rId55" w:history="1">
        <w:r w:rsidR="0031286E" w:rsidRPr="0031286E">
          <w:rPr>
            <w:rStyle w:val="Hyperlink"/>
          </w:rPr>
          <w:t>dth.nt.gov.au/boards-and-committees/racing-commission/hearings-and-decisions</w:t>
        </w:r>
      </w:hyperlink>
    </w:p>
    <w:p w14:paraId="2A3F564B" w14:textId="59EDBFDF" w:rsidR="003D3238" w:rsidRPr="00031E3E" w:rsidRDefault="003D3238" w:rsidP="00214F82">
      <w:pPr>
        <w:pStyle w:val="References"/>
      </w:pPr>
      <w:r>
        <w:t xml:space="preserve">NSW Department of Creative Industries, </w:t>
      </w:r>
      <w:r w:rsidR="00031E3E">
        <w:t xml:space="preserve">Tourism, Hospitality and Sport. (2025). </w:t>
      </w:r>
      <w:r w:rsidR="00031E3E">
        <w:rPr>
          <w:i/>
          <w:iCs/>
        </w:rPr>
        <w:t xml:space="preserve">Department of Creative Industries, Tourism, Hospitality and Sport: Annual </w:t>
      </w:r>
      <w:r w:rsidR="0031286E">
        <w:rPr>
          <w:i/>
          <w:iCs/>
        </w:rPr>
        <w:t xml:space="preserve">report </w:t>
      </w:r>
      <w:r w:rsidR="00031E3E">
        <w:rPr>
          <w:i/>
          <w:iCs/>
        </w:rPr>
        <w:t>2024</w:t>
      </w:r>
      <w:r w:rsidR="0031286E">
        <w:rPr>
          <w:i/>
          <w:iCs/>
        </w:rPr>
        <w:t>–</w:t>
      </w:r>
      <w:r w:rsidR="00031E3E">
        <w:rPr>
          <w:i/>
          <w:iCs/>
        </w:rPr>
        <w:t>25.</w:t>
      </w:r>
      <w:r w:rsidR="0031286E" w:rsidRPr="0031286E">
        <w:t xml:space="preserve"> </w:t>
      </w:r>
      <w:r w:rsidR="0031286E">
        <w:t>NSW Department of Creative Industries, Tourism, Hospitality and Sport.</w:t>
      </w:r>
      <w:r w:rsidR="00031E3E">
        <w:rPr>
          <w:i/>
          <w:iCs/>
        </w:rPr>
        <w:t xml:space="preserve"> </w:t>
      </w:r>
      <w:r w:rsidR="006E1240" w:rsidRPr="006E1240">
        <w:t>www.nsw.gov.au/departments-and-agencies/dciths/resources</w:t>
      </w:r>
    </w:p>
    <w:p w14:paraId="76CEF0F6" w14:textId="48A8CDDE" w:rsidR="00BB52AF" w:rsidRDefault="00BB52AF" w:rsidP="00BB52AF">
      <w:pPr>
        <w:pStyle w:val="References"/>
      </w:pPr>
      <w:r>
        <w:t xml:space="preserve">NSW Government Gazette. (2022). </w:t>
      </w:r>
      <w:r>
        <w:rPr>
          <w:i/>
          <w:iCs/>
        </w:rPr>
        <w:t xml:space="preserve">Government Gazette of the State of New South Wales – Number 421-Other, Friday, 9 September 2022. </w:t>
      </w:r>
      <w:r>
        <w:t xml:space="preserve">Sydney: NSW Government Gazette, NSW Government. </w:t>
      </w:r>
      <w:r w:rsidRPr="00DD2093">
        <w:t>https://gazette.nsw.gov.au/gazette/2022/9/2022-421.pdf</w:t>
      </w:r>
    </w:p>
    <w:p w14:paraId="4DAA0E16" w14:textId="6D80872E" w:rsidR="00214F82" w:rsidRPr="00843A16" w:rsidRDefault="00214F82" w:rsidP="00214F82">
      <w:pPr>
        <w:pStyle w:val="References"/>
      </w:pPr>
      <w:r w:rsidRPr="00843A16">
        <w:t>NSW Independent Casino Commission. (</w:t>
      </w:r>
      <w:r w:rsidR="0049317D" w:rsidRPr="00843A16">
        <w:t xml:space="preserve">20 October </w:t>
      </w:r>
      <w:r w:rsidRPr="00843A16">
        <w:t xml:space="preserve">2023). </w:t>
      </w:r>
      <w:r w:rsidRPr="00843A16">
        <w:rPr>
          <w:i/>
          <w:iCs/>
        </w:rPr>
        <w:t>Australian casino regulators gather for first forum.</w:t>
      </w:r>
      <w:r w:rsidRPr="00843A16">
        <w:t xml:space="preserve"> Sydney: NSW </w:t>
      </w:r>
      <w:r w:rsidR="009A13AF">
        <w:t>Government</w:t>
      </w:r>
      <w:r w:rsidRPr="00843A16">
        <w:t xml:space="preserve">, NSW Independent Casino Commission. </w:t>
      </w:r>
      <w:hyperlink r:id="rId56" w:history="1">
        <w:r w:rsidRPr="00843A16">
          <w:rPr>
            <w:rStyle w:val="Hyperlink"/>
          </w:rPr>
          <w:t>www.nicc.nsw.gov.au/news-and-media-releases/australian-casino-regulators-gather-for-first-forum</w:t>
        </w:r>
      </w:hyperlink>
    </w:p>
    <w:p w14:paraId="4773E255" w14:textId="5953A5B0" w:rsidR="00EC57A1" w:rsidRPr="00843A16" w:rsidRDefault="00223F19" w:rsidP="008A2791">
      <w:pPr>
        <w:pStyle w:val="References"/>
      </w:pPr>
      <w:r w:rsidRPr="00843A16">
        <w:t xml:space="preserve">O’Farrell, B. (2015). </w:t>
      </w:r>
      <w:r w:rsidRPr="00843A16">
        <w:rPr>
          <w:i/>
          <w:iCs/>
        </w:rPr>
        <w:t xml:space="preserve">Review of illegal offshore wagering. </w:t>
      </w:r>
      <w:r w:rsidRPr="007A60DE">
        <w:t>Report to the Ministers for Social Services and the Minister for Communications and the Arts.</w:t>
      </w:r>
      <w:r w:rsidRPr="00843A16">
        <w:t xml:space="preserve"> Canberra: Commonwealth of Australia, Department of Social Services. </w:t>
      </w:r>
    </w:p>
    <w:p w14:paraId="3B7C7761" w14:textId="1AD24830" w:rsidR="004A26EF" w:rsidRDefault="7E3446E9" w:rsidP="00DD76C9">
      <w:pPr>
        <w:pStyle w:val="References"/>
      </w:pPr>
      <w:r>
        <w:t xml:space="preserve">Office of Impact Analysis. (2023). </w:t>
      </w:r>
      <w:r w:rsidRPr="4E96E9E0">
        <w:rPr>
          <w:i/>
          <w:iCs/>
        </w:rPr>
        <w:t xml:space="preserve">Australian Government </w:t>
      </w:r>
      <w:r w:rsidR="0078265C" w:rsidRPr="4E96E9E0">
        <w:rPr>
          <w:i/>
          <w:iCs/>
        </w:rPr>
        <w:t>guide to policy impact analysis</w:t>
      </w:r>
      <w:r w:rsidRPr="4E96E9E0">
        <w:rPr>
          <w:i/>
          <w:iCs/>
        </w:rPr>
        <w:t xml:space="preserve">. </w:t>
      </w:r>
      <w:r>
        <w:t xml:space="preserve">Canberra: Department of the Prime Minister and Cabinet. </w:t>
      </w:r>
      <w:hyperlink r:id="rId57" w:history="1">
        <w:r w:rsidR="0078265C" w:rsidRPr="0078265C">
          <w:rPr>
            <w:rStyle w:val="Hyperlink"/>
          </w:rPr>
          <w:t>oia.pmc.gov.au/resources/guidance-impact-analysis/australian-government-guide-policy-impact-analysis</w:t>
        </w:r>
      </w:hyperlink>
      <w:r>
        <w:t xml:space="preserve"> </w:t>
      </w:r>
    </w:p>
    <w:p w14:paraId="51D4B844" w14:textId="0711BE2D" w:rsidR="004A26EF" w:rsidRDefault="00265AE1" w:rsidP="00DD76C9">
      <w:pPr>
        <w:pStyle w:val="References"/>
      </w:pPr>
      <w:r>
        <w:t>Office of Liquor and Gaming Regulation</w:t>
      </w:r>
      <w:r w:rsidR="00F45F18">
        <w:t xml:space="preserve"> </w:t>
      </w:r>
      <w:r w:rsidR="0078265C">
        <w:t>(</w:t>
      </w:r>
      <w:r w:rsidR="00F45F18">
        <w:t>OLGR</w:t>
      </w:r>
      <w:r w:rsidR="0078265C">
        <w:t xml:space="preserve">). </w:t>
      </w:r>
      <w:r>
        <w:t xml:space="preserve">(2025). </w:t>
      </w:r>
      <w:r>
        <w:rPr>
          <w:i/>
          <w:iCs/>
        </w:rPr>
        <w:t xml:space="preserve">Harm </w:t>
      </w:r>
      <w:r w:rsidR="0078265C">
        <w:rPr>
          <w:i/>
          <w:iCs/>
        </w:rPr>
        <w:t xml:space="preserve">prevention and regulation: </w:t>
      </w:r>
      <w:r>
        <w:rPr>
          <w:i/>
          <w:iCs/>
        </w:rPr>
        <w:t>Office of Liquor and Gaming Regulation</w:t>
      </w:r>
      <w:r w:rsidR="0078265C">
        <w:rPr>
          <w:i/>
          <w:iCs/>
        </w:rPr>
        <w:t xml:space="preserve">. </w:t>
      </w:r>
      <w:r>
        <w:rPr>
          <w:i/>
          <w:iCs/>
        </w:rPr>
        <w:t>2024</w:t>
      </w:r>
      <w:r w:rsidR="0078265C">
        <w:rPr>
          <w:i/>
          <w:iCs/>
        </w:rPr>
        <w:t>–</w:t>
      </w:r>
      <w:r>
        <w:rPr>
          <w:i/>
          <w:iCs/>
        </w:rPr>
        <w:t xml:space="preserve">25 Regulator Performance Report. </w:t>
      </w:r>
      <w:r w:rsidR="000F62AD">
        <w:t>Brisbane:</w:t>
      </w:r>
      <w:r w:rsidR="009E39B4">
        <w:t xml:space="preserve"> Department of Justice and Attorney-General, Queensland Government. </w:t>
      </w:r>
      <w:r w:rsidR="00F45F18" w:rsidRPr="00F45F18">
        <w:t>www.publications.qld.gov.au/dataset/olgr-annual-reports-and-corporate-resources/resource/24b8ddaa-c57f-4803-8482-7fcd0aefc0d2</w:t>
      </w:r>
    </w:p>
    <w:p w14:paraId="25588C26" w14:textId="667EAC1B" w:rsidR="00DD76C9" w:rsidRPr="00843A16" w:rsidRDefault="00DD76C9" w:rsidP="00DD76C9">
      <w:pPr>
        <w:pStyle w:val="References"/>
      </w:pPr>
      <w:r w:rsidRPr="00843A16">
        <w:t xml:space="preserve">Queensland </w:t>
      </w:r>
      <w:r w:rsidR="009A13AF">
        <w:t>Government</w:t>
      </w:r>
      <w:r w:rsidRPr="00843A16">
        <w:t xml:space="preserve">. (2024). </w:t>
      </w:r>
      <w:r w:rsidRPr="00843A16">
        <w:rPr>
          <w:i/>
        </w:rPr>
        <w:t>Queensland Gambling Survey 2023.</w:t>
      </w:r>
      <w:r w:rsidRPr="00843A16">
        <w:t xml:space="preserve"> Brisbane: Office of Liquor and Gaming Regulation, Department of Justice and Attorney-General. </w:t>
      </w:r>
      <w:hyperlink r:id="rId58">
        <w:r w:rsidRPr="00843A16">
          <w:rPr>
            <w:rStyle w:val="Hyperlink"/>
          </w:rPr>
          <w:t>www.publications.qld.gov.au/ckan-publications-attachments-prod/resources/50ba6699-7699-483b-bc27-ee737698a667/queensland-gambling-survey-2023-final-report.pdf?ETag=d597678c1f1a0d325a1a3b6dc6eca6d9</w:t>
        </w:r>
      </w:hyperlink>
    </w:p>
    <w:p w14:paraId="7422DCC1" w14:textId="3EE2D80C" w:rsidR="00B267FE" w:rsidRDefault="00B267FE" w:rsidP="00B267FE">
      <w:pPr>
        <w:pStyle w:val="References"/>
      </w:pPr>
      <w:r>
        <w:t xml:space="preserve">Queensland </w:t>
      </w:r>
      <w:r w:rsidR="009A13AF">
        <w:t>Government</w:t>
      </w:r>
      <w:r>
        <w:t xml:space="preserve">’s Statistician’s Office </w:t>
      </w:r>
      <w:r w:rsidR="0078265C">
        <w:t>(</w:t>
      </w:r>
      <w:r>
        <w:t>QG</w:t>
      </w:r>
      <w:r w:rsidR="00A0734A">
        <w:t>S</w:t>
      </w:r>
      <w:r>
        <w:t>O</w:t>
      </w:r>
      <w:r w:rsidR="0078265C">
        <w:t xml:space="preserve">). </w:t>
      </w:r>
      <w:r>
        <w:t xml:space="preserve">(2025). </w:t>
      </w:r>
      <w:r w:rsidRPr="1C3734BF">
        <w:rPr>
          <w:i/>
          <w:iCs/>
        </w:rPr>
        <w:t xml:space="preserve">Australian Gambling Statistics, 40th edition, 1998–99 to 2023–24. </w:t>
      </w:r>
      <w:r>
        <w:t xml:space="preserve">Brisbane: The State of Queensland, Queensland </w:t>
      </w:r>
      <w:r w:rsidR="009A13AF">
        <w:t>Government</w:t>
      </w:r>
      <w:r>
        <w:t xml:space="preserve">’s Statistician’s Office. </w:t>
      </w:r>
      <w:hyperlink r:id="rId59">
        <w:r w:rsidR="006B57CB" w:rsidRPr="1C3734BF">
          <w:rPr>
            <w:rStyle w:val="Hyperlink"/>
          </w:rPr>
          <w:t>www.qgso.qld.gov.au/statistics/theme/society/gambling/australian-gambling-statistics</w:t>
        </w:r>
      </w:hyperlink>
    </w:p>
    <w:p w14:paraId="43EA46BC" w14:textId="45358311" w:rsidR="006B57CB" w:rsidRDefault="004F2DA0" w:rsidP="008A2791">
      <w:pPr>
        <w:pStyle w:val="References"/>
      </w:pPr>
      <w:r w:rsidRPr="00843A16">
        <w:t xml:space="preserve">Responsible Wagering Australia </w:t>
      </w:r>
      <w:r w:rsidR="0078265C">
        <w:t>(</w:t>
      </w:r>
      <w:r w:rsidRPr="00843A16">
        <w:t>RWA</w:t>
      </w:r>
      <w:r w:rsidR="0078265C">
        <w:t>)</w:t>
      </w:r>
      <w:r w:rsidR="0078265C" w:rsidRPr="00843A16">
        <w:t xml:space="preserve">. </w:t>
      </w:r>
      <w:r w:rsidRPr="00843A16">
        <w:t xml:space="preserve">(2025). </w:t>
      </w:r>
      <w:r w:rsidRPr="00843A16">
        <w:rPr>
          <w:i/>
          <w:iCs/>
        </w:rPr>
        <w:t xml:space="preserve">Illegal </w:t>
      </w:r>
      <w:r w:rsidR="0078265C" w:rsidRPr="00843A16">
        <w:rPr>
          <w:i/>
          <w:iCs/>
        </w:rPr>
        <w:t>offshore gambling</w:t>
      </w:r>
      <w:r w:rsidRPr="00843A16">
        <w:rPr>
          <w:i/>
          <w:iCs/>
        </w:rPr>
        <w:t xml:space="preserve">: A </w:t>
      </w:r>
      <w:r w:rsidR="0078265C" w:rsidRPr="00843A16">
        <w:rPr>
          <w:i/>
          <w:iCs/>
        </w:rPr>
        <w:t>growing threat</w:t>
      </w:r>
      <w:r w:rsidR="0078265C">
        <w:rPr>
          <w:i/>
          <w:iCs/>
        </w:rPr>
        <w:t>.</w:t>
      </w:r>
      <w:r w:rsidRPr="00843A16">
        <w:rPr>
          <w:i/>
          <w:iCs/>
        </w:rPr>
        <w:t xml:space="preserve"> Australia </w:t>
      </w:r>
      <w:r w:rsidR="0078265C" w:rsidRPr="00843A16">
        <w:rPr>
          <w:i/>
          <w:iCs/>
        </w:rPr>
        <w:t xml:space="preserve">offshore market analysis </w:t>
      </w:r>
      <w:r w:rsidRPr="00843A16">
        <w:rPr>
          <w:i/>
          <w:iCs/>
        </w:rPr>
        <w:t xml:space="preserve">2025 – November 2025. </w:t>
      </w:r>
      <w:r w:rsidR="007267BB" w:rsidRPr="00843A16">
        <w:t xml:space="preserve">H2 Gambling Capital. </w:t>
      </w:r>
      <w:hyperlink r:id="rId60" w:history="1">
        <w:r w:rsidR="006B57CB" w:rsidRPr="00FA29A2">
          <w:rPr>
            <w:rStyle w:val="Hyperlink"/>
          </w:rPr>
          <w:t>responsiblewagering.com.au/wp-content/uploads/2025/11/H2-report-final-2.pdf</w:t>
        </w:r>
      </w:hyperlink>
    </w:p>
    <w:p w14:paraId="6C71BDE9" w14:textId="30F1F8D2" w:rsidR="006B57CB" w:rsidRDefault="00286F52" w:rsidP="008A2791">
      <w:pPr>
        <w:pStyle w:val="References"/>
      </w:pPr>
      <w:r w:rsidRPr="00843A16">
        <w:t xml:space="preserve">Riley, B., Oakes, J., </w:t>
      </w:r>
      <w:r w:rsidR="0078265C">
        <w:t xml:space="preserve">&amp; </w:t>
      </w:r>
      <w:r w:rsidRPr="00843A16">
        <w:t>Lawn, S. (2024). Gambling harm-minimisation tools and their impact on gambling behaviour: A review of the empirical evidence. </w:t>
      </w:r>
      <w:r w:rsidRPr="00843A16">
        <w:rPr>
          <w:i/>
          <w:iCs/>
        </w:rPr>
        <w:t>Internation</w:t>
      </w:r>
      <w:r w:rsidR="007D5D46">
        <w:rPr>
          <w:i/>
          <w:iCs/>
        </w:rPr>
        <w:t>al</w:t>
      </w:r>
      <w:r w:rsidRPr="00843A16">
        <w:rPr>
          <w:i/>
          <w:iCs/>
        </w:rPr>
        <w:t xml:space="preserve"> Journal of Environmental Research and Public Health, 21</w:t>
      </w:r>
      <w:r w:rsidRPr="00843A16">
        <w:t xml:space="preserve">(8), </w:t>
      </w:r>
      <w:proofErr w:type="spellStart"/>
      <w:r w:rsidR="0078265C">
        <w:t>doi</w:t>
      </w:r>
      <w:proofErr w:type="spellEnd"/>
      <w:r w:rsidRPr="00843A16">
        <w:t>: 10.3390/ijerph21080998</w:t>
      </w:r>
    </w:p>
    <w:p w14:paraId="23B848B3" w14:textId="63128420" w:rsidR="00687C9F" w:rsidRPr="00843A16" w:rsidRDefault="00777913" w:rsidP="008A2791">
      <w:pPr>
        <w:pStyle w:val="References"/>
      </w:pPr>
      <w:r w:rsidRPr="00843A16">
        <w:t xml:space="preserve">Rockloff, M., Newall, </w:t>
      </w:r>
      <w:r w:rsidR="0097623E" w:rsidRPr="00843A16">
        <w:t xml:space="preserve">P., Browne, M., </w:t>
      </w:r>
      <w:r w:rsidR="00352889" w:rsidRPr="00843A16">
        <w:t xml:space="preserve">Russell, A. M. T., </w:t>
      </w:r>
      <w:r w:rsidR="00412663" w:rsidRPr="00843A16">
        <w:t>Visintin, T., Hing, N., &amp; Thorne, H. (20</w:t>
      </w:r>
      <w:r w:rsidR="009363C6" w:rsidRPr="00843A16">
        <w:t xml:space="preserve">21). </w:t>
      </w:r>
      <w:r w:rsidR="009363C6" w:rsidRPr="00843A16">
        <w:rPr>
          <w:i/>
          <w:iCs/>
        </w:rPr>
        <w:t xml:space="preserve">Behavioural trial for consistent gambling messaging under the </w:t>
      </w:r>
      <w:r w:rsidR="0060646F" w:rsidRPr="00843A16">
        <w:rPr>
          <w:i/>
          <w:iCs/>
        </w:rPr>
        <w:t>National Consumer Protection Framework.</w:t>
      </w:r>
      <w:r w:rsidR="00484E64" w:rsidRPr="00843A16">
        <w:rPr>
          <w:i/>
          <w:iCs/>
        </w:rPr>
        <w:t xml:space="preserve"> </w:t>
      </w:r>
      <w:r w:rsidR="00484E64" w:rsidRPr="00843A16">
        <w:t xml:space="preserve">Gambling Research Australia. </w:t>
      </w:r>
      <w:hyperlink r:id="rId61" w:history="1">
        <w:r w:rsidR="00664A7D" w:rsidRPr="00843A16">
          <w:rPr>
            <w:rStyle w:val="Hyperlink"/>
          </w:rPr>
          <w:t>webarchive.nla.gov.au/awa/20251028223839/https://www.gamblingresearch.org.au/publications/behavioural-trial-consistent-gambling-messaging-under-national-consumer-protection-framework</w:t>
        </w:r>
      </w:hyperlink>
    </w:p>
    <w:p w14:paraId="2A39C2ED" w14:textId="3E84396A" w:rsidR="00B62B3E" w:rsidRDefault="00B62B3E" w:rsidP="00B62B3E">
      <w:pPr>
        <w:pStyle w:val="References"/>
      </w:pPr>
      <w:r w:rsidRPr="00843A16">
        <w:t xml:space="preserve">Rockloff, M., Russell, A.M.T., Browne, M., &amp; Hing, N. (2025). </w:t>
      </w:r>
      <w:r w:rsidRPr="00843A16">
        <w:rPr>
          <w:i/>
          <w:iCs/>
        </w:rPr>
        <w:t>2024 ACT Gambling Survey</w:t>
      </w:r>
      <w:r w:rsidRPr="00843A16">
        <w:t xml:space="preserve">. Experimental Gambling Research Laboratory, CQUniversity Australia. </w:t>
      </w:r>
      <w:hyperlink r:id="rId62" w:history="1">
        <w:r w:rsidR="006B57CB" w:rsidRPr="00FA29A2">
          <w:rPr>
            <w:rStyle w:val="Hyperlink"/>
          </w:rPr>
          <w:t>www.gamblingandracing.act.gov.au/__data/assets/pdf_file/0012/2861796/2024-ACT-Gambling-Survey.pdf</w:t>
        </w:r>
      </w:hyperlink>
    </w:p>
    <w:p w14:paraId="0AE51A20" w14:textId="31803470" w:rsidR="00FC3AC4" w:rsidRPr="00E50067" w:rsidRDefault="004F1047" w:rsidP="009377D4">
      <w:pPr>
        <w:pStyle w:val="References"/>
      </w:pPr>
      <w:r>
        <w:t>Saka</w:t>
      </w:r>
      <w:r w:rsidR="00FC3AC4">
        <w:t>ta, K.</w:t>
      </w:r>
      <w:r w:rsidR="0010743A">
        <w:t xml:space="preserve">, </w:t>
      </w:r>
      <w:r w:rsidR="00050767">
        <w:t>Budinski, M., Tillman, G, Bosher, P.</w:t>
      </w:r>
      <w:r w:rsidR="00112F4F">
        <w:t xml:space="preserve">, </w:t>
      </w:r>
      <w:r w:rsidR="00075838">
        <w:t xml:space="preserve">&amp; </w:t>
      </w:r>
      <w:r w:rsidR="00112F4F">
        <w:t>Greer, N.</w:t>
      </w:r>
      <w:r w:rsidR="00E53107">
        <w:t xml:space="preserve"> (2025). </w:t>
      </w:r>
      <w:r w:rsidR="00E53107">
        <w:rPr>
          <w:i/>
          <w:iCs/>
        </w:rPr>
        <w:t>Understanding public awareness of BetStop in Australia</w:t>
      </w:r>
      <w:r w:rsidR="00075838">
        <w:rPr>
          <w:i/>
          <w:iCs/>
        </w:rPr>
        <w:t>.</w:t>
      </w:r>
      <w:r w:rsidR="00093C36">
        <w:rPr>
          <w:i/>
          <w:iCs/>
        </w:rPr>
        <w:t xml:space="preserve"> </w:t>
      </w:r>
      <w:r w:rsidR="00225D6A" w:rsidRPr="00CB7B11">
        <w:t>Australian Gambling Research Centre, Australian Institute of Family Studies.</w:t>
      </w:r>
      <w:r w:rsidR="00E50067">
        <w:rPr>
          <w:i/>
          <w:iCs/>
        </w:rPr>
        <w:t xml:space="preserve"> </w:t>
      </w:r>
      <w:hyperlink r:id="rId63" w:history="1">
        <w:r w:rsidR="0058450C" w:rsidRPr="00CB7B11">
          <w:rPr>
            <w:rStyle w:val="Hyperlink"/>
          </w:rPr>
          <w:t>Understanding public awareness of BetStop in Australia</w:t>
        </w:r>
      </w:hyperlink>
    </w:p>
    <w:p w14:paraId="50E45D9D" w14:textId="4DE35B5E" w:rsidR="009377D4" w:rsidRPr="00843A16" w:rsidRDefault="009377D4" w:rsidP="009377D4">
      <w:pPr>
        <w:pStyle w:val="References"/>
      </w:pPr>
      <w:proofErr w:type="spellStart"/>
      <w:r w:rsidRPr="00843A16">
        <w:t>Soulio</w:t>
      </w:r>
      <w:proofErr w:type="spellEnd"/>
      <w:r w:rsidRPr="00843A16">
        <w:t>, D. (2023</w:t>
      </w:r>
      <w:r w:rsidR="00075838">
        <w:t xml:space="preserve">, </w:t>
      </w:r>
      <w:r w:rsidR="00075838" w:rsidRPr="00843A16">
        <w:t>28 February</w:t>
      </w:r>
      <w:r w:rsidRPr="00843A16">
        <w:t xml:space="preserve">). </w:t>
      </w:r>
      <w:r w:rsidRPr="00843A16">
        <w:rPr>
          <w:i/>
        </w:rPr>
        <w:t>Committee Hansard, page 51.</w:t>
      </w:r>
      <w:r w:rsidRPr="00843A16">
        <w:t xml:space="preserve"> </w:t>
      </w:r>
      <w:r w:rsidR="000D2585" w:rsidRPr="00843A16">
        <w:t>Inquiry into online gambling and its impacts on those experiencing gambling harm.</w:t>
      </w:r>
    </w:p>
    <w:p w14:paraId="06BF3773" w14:textId="5A2CC152" w:rsidR="006B57CB" w:rsidRDefault="00075838" w:rsidP="00B1390D">
      <w:pPr>
        <w:pStyle w:val="References"/>
      </w:pPr>
      <w:r>
        <w:t>SA</w:t>
      </w:r>
      <w:r w:rsidR="00B1390D" w:rsidRPr="00843A16">
        <w:t xml:space="preserve"> Attorney-General</w:t>
      </w:r>
      <w:r>
        <w:t>’s</w:t>
      </w:r>
      <w:r w:rsidR="00B1390D" w:rsidRPr="00843A16">
        <w:t xml:space="preserve"> Department. (2021</w:t>
      </w:r>
      <w:r w:rsidR="00B1390D" w:rsidRPr="00843A16">
        <w:rPr>
          <w:i/>
          <w:iCs/>
        </w:rPr>
        <w:t xml:space="preserve">). Gambling </w:t>
      </w:r>
      <w:r w:rsidRPr="00843A16">
        <w:rPr>
          <w:i/>
          <w:iCs/>
        </w:rPr>
        <w:t>administration guidelines</w:t>
      </w:r>
      <w:r w:rsidR="00B1390D" w:rsidRPr="00843A16">
        <w:rPr>
          <w:i/>
          <w:iCs/>
        </w:rPr>
        <w:t xml:space="preserve">: Inducements and complimentary gambling products. </w:t>
      </w:r>
      <w:r w:rsidR="00B1390D" w:rsidRPr="00843A16">
        <w:t xml:space="preserve">South Australian </w:t>
      </w:r>
      <w:r w:rsidR="009A13AF">
        <w:t>Government</w:t>
      </w:r>
      <w:r w:rsidR="00B1390D" w:rsidRPr="00843A16">
        <w:t xml:space="preserve">, SA Attorney-General’s Department. </w:t>
      </w:r>
      <w:hyperlink r:id="rId64" w:history="1">
        <w:r w:rsidR="006B57CB" w:rsidRPr="00FA29A2">
          <w:rPr>
            <w:rStyle w:val="Hyperlink"/>
          </w:rPr>
          <w:t>www.cbs.sa.gov.au/documents/gambling_administration_guidelines.pdf</w:t>
        </w:r>
      </w:hyperlink>
    </w:p>
    <w:p w14:paraId="26F2036A" w14:textId="64050EAB" w:rsidR="0078418F" w:rsidRPr="00843A16" w:rsidRDefault="0078418F" w:rsidP="0078418F">
      <w:pPr>
        <w:pStyle w:val="References"/>
      </w:pPr>
      <w:r w:rsidRPr="00843A16">
        <w:t>Sportsbet. (2023</w:t>
      </w:r>
      <w:r w:rsidRPr="00843A16">
        <w:rPr>
          <w:i/>
          <w:iCs/>
        </w:rPr>
        <w:t>). Sportsbet response to Inquiry into online gambling and its impacts on those experiencing gambling harm.</w:t>
      </w:r>
      <w:r w:rsidRPr="00843A16">
        <w:t xml:space="preserve"> Submission 81</w:t>
      </w:r>
      <w:r w:rsidR="00A431A9">
        <w:t>.</w:t>
      </w:r>
      <w:r w:rsidR="00A24825" w:rsidRPr="00843A16">
        <w:t xml:space="preserve"> </w:t>
      </w:r>
    </w:p>
    <w:p w14:paraId="19EB5D00" w14:textId="55454457" w:rsidR="00416D05" w:rsidRPr="00843A16" w:rsidRDefault="00416D05" w:rsidP="00416D05">
      <w:pPr>
        <w:pStyle w:val="References"/>
      </w:pPr>
      <w:r w:rsidRPr="00843A16">
        <w:t xml:space="preserve">Stevens, M., Flack, M., &amp; Caudwell, K.M. (2024). </w:t>
      </w:r>
      <w:r w:rsidRPr="00843A16">
        <w:rPr>
          <w:i/>
          <w:iCs/>
        </w:rPr>
        <w:t xml:space="preserve">2023 NT Gambling Prevalence and Wellbeing Survey </w:t>
      </w:r>
      <w:r w:rsidR="00736745" w:rsidRPr="00843A16">
        <w:rPr>
          <w:i/>
          <w:iCs/>
        </w:rPr>
        <w:t>r</w:t>
      </w:r>
      <w:r w:rsidRPr="00843A16">
        <w:rPr>
          <w:i/>
          <w:iCs/>
        </w:rPr>
        <w:t xml:space="preserve">eport. </w:t>
      </w:r>
      <w:r w:rsidRPr="00843A16">
        <w:t xml:space="preserve">Charles Darwin University. </w:t>
      </w:r>
      <w:hyperlink r:id="rId65">
        <w:r w:rsidRPr="00843A16">
          <w:rPr>
            <w:rStyle w:val="Hyperlink"/>
          </w:rPr>
          <w:t>dth.nt.gov.au/media/docs/publications/racing-gaming-and-licensing/gambling-research/2023-gambling-prevalance-and-wellbeing-report.pdf</w:t>
        </w:r>
      </w:hyperlink>
    </w:p>
    <w:p w14:paraId="3BCA048E" w14:textId="4E6E714E" w:rsidR="008A50B1" w:rsidRPr="00843A16" w:rsidRDefault="008A50B1" w:rsidP="008A50B1">
      <w:pPr>
        <w:pStyle w:val="References"/>
      </w:pPr>
      <w:r w:rsidRPr="00843A16">
        <w:t xml:space="preserve">Suomi, A., Kim, J., Biddle, N., Dowling, N. A., Hahn, M., Cowlishaw, S., Butterworth, P., Thomas, A., Hodgins, D., Heywood, W., Scott, P., </w:t>
      </w:r>
      <w:r w:rsidR="00736745">
        <w:t xml:space="preserve">&amp; </w:t>
      </w:r>
      <w:r w:rsidRPr="00843A16">
        <w:t xml:space="preserve">Myers, P. (2024). </w:t>
      </w:r>
      <w:r w:rsidRPr="00843A16">
        <w:rPr>
          <w:i/>
          <w:iCs/>
        </w:rPr>
        <w:t>Victorian population gambling and health study 2023</w:t>
      </w:r>
      <w:r w:rsidRPr="00843A16">
        <w:t xml:space="preserve">. Melbourne: State </w:t>
      </w:r>
      <w:r w:rsidR="009A13AF">
        <w:t>Government</w:t>
      </w:r>
      <w:r w:rsidRPr="00843A16">
        <w:t xml:space="preserve"> of Victoria. </w:t>
      </w:r>
    </w:p>
    <w:p w14:paraId="1138EDBC" w14:textId="4FC373A3" w:rsidR="001C6CE2" w:rsidRPr="00843A16" w:rsidRDefault="005A74E9" w:rsidP="008A2791">
      <w:pPr>
        <w:pStyle w:val="References"/>
      </w:pPr>
      <w:r w:rsidRPr="00843A16">
        <w:lastRenderedPageBreak/>
        <w:t xml:space="preserve">Swedish Gambling Authority. (2018). </w:t>
      </w:r>
      <w:r w:rsidR="008E04DC" w:rsidRPr="00843A16">
        <w:rPr>
          <w:i/>
          <w:iCs/>
        </w:rPr>
        <w:t>The Swedish Gambling Authority’s regulations and general advice on responsible gambling</w:t>
      </w:r>
      <w:r w:rsidR="008E04DC" w:rsidRPr="00843A16">
        <w:t>.</w:t>
      </w:r>
      <w:r w:rsidR="003D2818">
        <w:t xml:space="preserve"> </w:t>
      </w:r>
      <w:r w:rsidR="003D2818" w:rsidRPr="00843A16">
        <w:t>Swedish Gambling Authority.</w:t>
      </w:r>
      <w:r w:rsidR="008E04DC" w:rsidRPr="00843A16">
        <w:t xml:space="preserve"> </w:t>
      </w:r>
      <w:hyperlink r:id="rId66">
        <w:r w:rsidR="00ED7916" w:rsidRPr="1C36BC3B">
          <w:rPr>
            <w:rStyle w:val="Hyperlink"/>
          </w:rPr>
          <w:t>Swedish gambling regulations LIFS 2018-2</w:t>
        </w:r>
      </w:hyperlink>
    </w:p>
    <w:p w14:paraId="4B85480C" w14:textId="398D0D47" w:rsidR="007E23E5" w:rsidRPr="006D54FD" w:rsidRDefault="007E23E5" w:rsidP="1C36BC3B">
      <w:pPr>
        <w:pStyle w:val="References"/>
      </w:pPr>
      <w:r>
        <w:t>Tasmanian Liquor and Gaming Commission. (2023)</w:t>
      </w:r>
      <w:r w:rsidR="006D54FD">
        <w:t xml:space="preserve"> </w:t>
      </w:r>
      <w:r w:rsidR="006D54FD">
        <w:rPr>
          <w:i/>
          <w:iCs/>
        </w:rPr>
        <w:t xml:space="preserve">Tasmanian Gaming Licence Rules. </w:t>
      </w:r>
      <w:r w:rsidR="006D54FD">
        <w:t xml:space="preserve">Hobart: Tasmanian Department of Treasury and Finance, Tasmanian Government.  </w:t>
      </w:r>
      <w:r w:rsidR="00503B82" w:rsidRPr="00503B82">
        <w:t>https://www.treasury.tas.gov.au/Documents/Tasmanian%20Liquor%20and%20Gaming%20Commission%20Tasmanian%20Gaming%20Licence%20Rules.pdf</w:t>
      </w:r>
    </w:p>
    <w:p w14:paraId="06E8C0F9" w14:textId="093B85B6" w:rsidR="1C36BC3B" w:rsidRDefault="72C540AF" w:rsidP="1C36BC3B">
      <w:pPr>
        <w:pStyle w:val="References"/>
      </w:pPr>
      <w:r>
        <w:t xml:space="preserve">Tasmanian Liquor and Gaming Commission. (2025). </w:t>
      </w:r>
      <w:r w:rsidRPr="523F28BE">
        <w:rPr>
          <w:i/>
          <w:iCs/>
        </w:rPr>
        <w:t>Tasmanian Liquor and Gaming Commission:</w:t>
      </w:r>
      <w:r w:rsidRPr="523F28BE">
        <w:rPr>
          <w:i/>
        </w:rPr>
        <w:t xml:space="preserve"> </w:t>
      </w:r>
      <w:r w:rsidRPr="6DE63A8E">
        <w:rPr>
          <w:i/>
          <w:iCs/>
        </w:rPr>
        <w:t>Annual Report 2024</w:t>
      </w:r>
      <w:r w:rsidR="003D2818">
        <w:rPr>
          <w:i/>
          <w:iCs/>
        </w:rPr>
        <w:t>–</w:t>
      </w:r>
      <w:r w:rsidRPr="6DE63A8E">
        <w:rPr>
          <w:i/>
          <w:iCs/>
        </w:rPr>
        <w:t xml:space="preserve">2025. </w:t>
      </w:r>
      <w:r w:rsidR="1B7DFC6C" w:rsidRPr="6C4A8E90">
        <w:t xml:space="preserve">Hobart: </w:t>
      </w:r>
      <w:r w:rsidR="1B7DFC6C" w:rsidRPr="5C7CA4CC">
        <w:t>Tasmanian Department of Treasury and Finance</w:t>
      </w:r>
      <w:r w:rsidR="1B7DFC6C" w:rsidRPr="6C4A8E90">
        <w:t xml:space="preserve">, Tasmanian Government. </w:t>
      </w:r>
      <w:r w:rsidR="1B7DFC6C" w:rsidRPr="61651FC1">
        <w:t>www.treasury.tas.gov.au/Documents/TLGC%20Annual%20Report%202024-25.PDF</w:t>
      </w:r>
    </w:p>
    <w:p w14:paraId="6B9D2506" w14:textId="7B48191C" w:rsidR="009E383E" w:rsidRPr="007C28F9" w:rsidRDefault="00C02021" w:rsidP="00476CC9">
      <w:pPr>
        <w:pStyle w:val="References"/>
      </w:pPr>
      <w:r w:rsidRPr="007C28F9">
        <w:t>T</w:t>
      </w:r>
      <w:r w:rsidR="00F24B49" w:rsidRPr="007C28F9">
        <w:t>illman, G., Sakata, K., Greer, N., Budinski</w:t>
      </w:r>
      <w:r w:rsidR="00F76B7E" w:rsidRPr="007C28F9">
        <w:t xml:space="preserve">, M, Wickramasinghe, S., </w:t>
      </w:r>
      <w:r w:rsidR="2B7395CC" w:rsidRPr="007C28F9">
        <w:t xml:space="preserve">&amp; </w:t>
      </w:r>
      <w:r w:rsidR="00F76B7E" w:rsidRPr="007C28F9">
        <w:t>Irvin</w:t>
      </w:r>
      <w:r w:rsidR="009E383E" w:rsidRPr="007C28F9">
        <w:t>g, R.</w:t>
      </w:r>
      <w:r w:rsidRPr="007C28F9">
        <w:t xml:space="preserve"> (2025). </w:t>
      </w:r>
      <w:r w:rsidRPr="000B06E4">
        <w:rPr>
          <w:i/>
          <w:iCs/>
        </w:rPr>
        <w:t>Regular online betters in Australia, 2023</w:t>
      </w:r>
      <w:r w:rsidR="1407B2D3" w:rsidRPr="000B06E4">
        <w:rPr>
          <w:i/>
          <w:iCs/>
        </w:rPr>
        <w:t>.</w:t>
      </w:r>
      <w:r w:rsidR="00417E9C" w:rsidRPr="00476CC9">
        <w:t xml:space="preserve"> </w:t>
      </w:r>
      <w:r w:rsidR="00737908" w:rsidRPr="007C28F9">
        <w:t>Australian Gambling Research Centre, Australian Institute of Family Studies.</w:t>
      </w:r>
      <w:r w:rsidR="004C75CD" w:rsidRPr="007C28F9">
        <w:t xml:space="preserve"> </w:t>
      </w:r>
      <w:r w:rsidR="00032917" w:rsidRPr="00032917">
        <w:t>https://aifs.gov.au/all-research/research-snapshots/regular-online-bettors-australia-2023</w:t>
      </w:r>
    </w:p>
    <w:p w14:paraId="246D3842" w14:textId="337B0B52" w:rsidR="00CD26B2" w:rsidRDefault="00CD26B2" w:rsidP="00CD26B2">
      <w:pPr>
        <w:pStyle w:val="References"/>
      </w:pPr>
      <w:r w:rsidRPr="00843A16">
        <w:t xml:space="preserve">United Kingdom Gambling Commission </w:t>
      </w:r>
      <w:r>
        <w:t>(</w:t>
      </w:r>
      <w:r w:rsidRPr="00843A16">
        <w:t>UKGC</w:t>
      </w:r>
      <w:r>
        <w:t>)</w:t>
      </w:r>
      <w:r w:rsidRPr="00843A16">
        <w:t>. (2025</w:t>
      </w:r>
      <w:r>
        <w:t>a</w:t>
      </w:r>
      <w:r w:rsidRPr="00843A16">
        <w:t xml:space="preserve">). </w:t>
      </w:r>
      <w:r w:rsidRPr="00843A16">
        <w:rPr>
          <w:i/>
          <w:iCs/>
        </w:rPr>
        <w:t xml:space="preserve">Illegal online gambling: Challenges of estimating the size of the illegal gambling market. </w:t>
      </w:r>
      <w:r w:rsidR="00673A53">
        <w:t>UKGC.</w:t>
      </w:r>
      <w:r w:rsidRPr="00843A16">
        <w:t xml:space="preserve"> </w:t>
      </w:r>
      <w:hyperlink r:id="rId67" w:history="1">
        <w:r w:rsidR="00673A53" w:rsidRPr="00673A53">
          <w:rPr>
            <w:rStyle w:val="Hyperlink"/>
          </w:rPr>
          <w:t>www.gamblingcommission.gov.uk/report/illegal-online-gambling-challenges-of-estimating-the-size-of-the-illegal</w:t>
        </w:r>
      </w:hyperlink>
    </w:p>
    <w:p w14:paraId="2E2D282D" w14:textId="3D8D3472" w:rsidR="005659B5" w:rsidRPr="00843A16" w:rsidRDefault="005659B5" w:rsidP="005659B5">
      <w:pPr>
        <w:pStyle w:val="References"/>
        <w:rPr>
          <w:rFonts w:eastAsia="Arial"/>
        </w:rPr>
      </w:pPr>
      <w:r w:rsidRPr="00843A16">
        <w:t>United Kingdom Gambling Commission</w:t>
      </w:r>
      <w:r w:rsidR="00673A53">
        <w:t xml:space="preserve">. </w:t>
      </w:r>
      <w:r w:rsidRPr="00843A16">
        <w:t>(2025</w:t>
      </w:r>
      <w:r w:rsidR="00CD26B2">
        <w:t>b</w:t>
      </w:r>
      <w:r w:rsidRPr="00843A16">
        <w:t xml:space="preserve">). </w:t>
      </w:r>
      <w:r w:rsidRPr="00843A16">
        <w:rPr>
          <w:i/>
          <w:iCs/>
        </w:rPr>
        <w:t xml:space="preserve">Regulatory </w:t>
      </w:r>
      <w:r w:rsidR="00673A53" w:rsidRPr="00843A16">
        <w:rPr>
          <w:i/>
          <w:iCs/>
        </w:rPr>
        <w:t>returns guidance</w:t>
      </w:r>
      <w:r w:rsidRPr="00843A16">
        <w:rPr>
          <w:i/>
          <w:iCs/>
        </w:rPr>
        <w:t xml:space="preserve">. </w:t>
      </w:r>
      <w:r w:rsidR="00673A53">
        <w:t>UKGC.</w:t>
      </w:r>
      <w:r w:rsidRPr="00843A16" w:rsidDel="00C2243C">
        <w:rPr>
          <w:i/>
          <w:iCs/>
        </w:rPr>
        <w:t xml:space="preserve"> </w:t>
      </w:r>
      <w:hyperlink r:id="rId68" w:history="1">
        <w:r w:rsidRPr="00843A16">
          <w:rPr>
            <w:rStyle w:val="Hyperlink"/>
          </w:rPr>
          <w:t>www.gamblingcommission.gov.uk/guidance/regulatory-returns-guidance/rr-guidance-family-entertainment-centre-operational-information</w:t>
        </w:r>
      </w:hyperlink>
    </w:p>
    <w:p w14:paraId="39621775" w14:textId="7C5338C7" w:rsidR="00A57851" w:rsidRPr="00843A16" w:rsidRDefault="00A57851" w:rsidP="00A57851">
      <w:pPr>
        <w:pStyle w:val="References"/>
        <w:rPr>
          <w:rFonts w:eastAsia="Arial"/>
        </w:rPr>
      </w:pPr>
      <w:r w:rsidRPr="00843A16">
        <w:t xml:space="preserve">Victoria </w:t>
      </w:r>
      <w:r w:rsidR="009A13AF">
        <w:t>Government</w:t>
      </w:r>
      <w:r w:rsidRPr="00843A16">
        <w:t xml:space="preserve"> Gazette. (2022)</w:t>
      </w:r>
      <w:r w:rsidRPr="00843A16">
        <w:rPr>
          <w:rFonts w:eastAsia="Arial"/>
        </w:rPr>
        <w:t>.</w:t>
      </w:r>
      <w:r w:rsidRPr="00843A16">
        <w:rPr>
          <w:rFonts w:eastAsiaTheme="minorEastAsia"/>
        </w:rPr>
        <w:t xml:space="preserve"> </w:t>
      </w:r>
      <w:r w:rsidRPr="00843A16">
        <w:rPr>
          <w:rFonts w:eastAsia="Arial"/>
          <w:i/>
          <w:iCs/>
        </w:rPr>
        <w:t xml:space="preserve">Ministerial </w:t>
      </w:r>
      <w:r w:rsidR="00673A53" w:rsidRPr="00843A16">
        <w:rPr>
          <w:rFonts w:eastAsia="Arial"/>
          <w:i/>
          <w:iCs/>
        </w:rPr>
        <w:t xml:space="preserve">direction pursuant to section </w:t>
      </w:r>
      <w:r w:rsidRPr="00843A16">
        <w:rPr>
          <w:rFonts w:eastAsia="Arial"/>
          <w:i/>
          <w:iCs/>
        </w:rPr>
        <w:t>4.8A.2 of the Gambling Regulation Act 2003</w:t>
      </w:r>
      <w:r w:rsidRPr="00843A16">
        <w:rPr>
          <w:rFonts w:eastAsia="Arial"/>
        </w:rPr>
        <w:t xml:space="preserve">. Melbourne: Victoria </w:t>
      </w:r>
      <w:r w:rsidR="009A13AF">
        <w:rPr>
          <w:rFonts w:eastAsia="Arial"/>
        </w:rPr>
        <w:t>Government</w:t>
      </w:r>
      <w:r w:rsidRPr="00843A16">
        <w:rPr>
          <w:rFonts w:eastAsia="Arial"/>
        </w:rPr>
        <w:t xml:space="preserve">, Victorian </w:t>
      </w:r>
      <w:r w:rsidR="009A13AF">
        <w:rPr>
          <w:rFonts w:eastAsia="Arial"/>
        </w:rPr>
        <w:t>Government</w:t>
      </w:r>
      <w:r w:rsidRPr="00843A16">
        <w:rPr>
          <w:rFonts w:eastAsia="Arial"/>
        </w:rPr>
        <w:t xml:space="preserve"> Gazette. </w:t>
      </w:r>
      <w:hyperlink r:id="rId69" w:history="1">
        <w:r w:rsidR="00C2243C" w:rsidRPr="00843A16">
          <w:rPr>
            <w:rStyle w:val="Hyperlink"/>
            <w:rFonts w:eastAsia="Arial"/>
          </w:rPr>
          <w:t>www.gazette.vic.gov.au/gazette/Gazettes2022/GG2022S349.pdf</w:t>
        </w:r>
      </w:hyperlink>
    </w:p>
    <w:p w14:paraId="70521332" w14:textId="72B11BC3" w:rsidR="000F0F20" w:rsidRPr="00843A16" w:rsidRDefault="000F0F20" w:rsidP="000F0F20">
      <w:pPr>
        <w:pStyle w:val="References"/>
      </w:pPr>
      <w:r w:rsidRPr="00843A16">
        <w:t xml:space="preserve">Victorian Gambling and Casino Control Commission </w:t>
      </w:r>
      <w:r w:rsidR="00673A53">
        <w:t>(</w:t>
      </w:r>
      <w:r w:rsidRPr="00843A16">
        <w:t>VGCCC</w:t>
      </w:r>
      <w:r w:rsidR="00673A53">
        <w:t>)</w:t>
      </w:r>
      <w:r w:rsidR="00673A53" w:rsidRPr="00843A16">
        <w:t xml:space="preserve">. </w:t>
      </w:r>
      <w:r w:rsidRPr="00843A16">
        <w:t xml:space="preserve">(2023). </w:t>
      </w:r>
      <w:r w:rsidRPr="00843A16">
        <w:rPr>
          <w:i/>
          <w:iCs/>
        </w:rPr>
        <w:t xml:space="preserve">National Consumer Protection Framework (NCPF) </w:t>
      </w:r>
      <w:r w:rsidR="004E5823" w:rsidRPr="00843A16">
        <w:rPr>
          <w:i/>
          <w:iCs/>
        </w:rPr>
        <w:t>activity statement compliance analysis</w:t>
      </w:r>
      <w:r w:rsidRPr="00843A16">
        <w:rPr>
          <w:i/>
          <w:iCs/>
        </w:rPr>
        <w:t xml:space="preserve">. </w:t>
      </w:r>
      <w:r w:rsidRPr="00843A16">
        <w:t xml:space="preserve">Melbourne: </w:t>
      </w:r>
      <w:r w:rsidR="00BE6BB8">
        <w:t>VGCCC</w:t>
      </w:r>
      <w:r w:rsidRPr="00843A16">
        <w:t xml:space="preserve">, Victoria State </w:t>
      </w:r>
      <w:r w:rsidR="009A13AF">
        <w:t>Government</w:t>
      </w:r>
      <w:r w:rsidRPr="00843A16">
        <w:t xml:space="preserve">. </w:t>
      </w:r>
    </w:p>
    <w:p w14:paraId="17B76691" w14:textId="103F86F6" w:rsidR="000F0F20" w:rsidRPr="00843A16" w:rsidRDefault="000F0F20" w:rsidP="000F0F20">
      <w:pPr>
        <w:pStyle w:val="References"/>
      </w:pPr>
      <w:r w:rsidRPr="00843A16">
        <w:t>Victorian Gambling and Casino Control Commission</w:t>
      </w:r>
      <w:r w:rsidR="00BE6BB8">
        <w:t>.</w:t>
      </w:r>
      <w:r w:rsidRPr="00843A16">
        <w:t xml:space="preserve"> (2024). </w:t>
      </w:r>
      <w:r w:rsidRPr="00843A16">
        <w:rPr>
          <w:i/>
          <w:iCs/>
        </w:rPr>
        <w:t>National Consumer Protection Framework (NCPF)</w:t>
      </w:r>
      <w:r w:rsidR="00BE6BB8">
        <w:rPr>
          <w:i/>
          <w:iCs/>
        </w:rPr>
        <w:t>:</w:t>
      </w:r>
      <w:r w:rsidRPr="00843A16">
        <w:rPr>
          <w:i/>
          <w:iCs/>
        </w:rPr>
        <w:t xml:space="preserve"> VGCCC expectations</w:t>
      </w:r>
      <w:r w:rsidRPr="00843A16">
        <w:t xml:space="preserve">. Melbourne: </w:t>
      </w:r>
      <w:r w:rsidR="00BE6BB8">
        <w:t>VGCCC</w:t>
      </w:r>
      <w:r w:rsidRPr="00843A16">
        <w:t xml:space="preserve">, Victoria State </w:t>
      </w:r>
      <w:r w:rsidR="009A13AF">
        <w:t>Government</w:t>
      </w:r>
      <w:r w:rsidRPr="00843A16">
        <w:t xml:space="preserve">. </w:t>
      </w:r>
      <w:hyperlink r:id="rId70" w:history="1">
        <w:r w:rsidR="00275C65" w:rsidRPr="00843A16">
          <w:rPr>
            <w:rStyle w:val="Hyperlink"/>
          </w:rPr>
          <w:t>www.vgccc.vic.gov.au/sites/default/files/2024-12/NCPF-VGCCC-Expectations.pdf</w:t>
        </w:r>
      </w:hyperlink>
    </w:p>
    <w:p w14:paraId="238EE742" w14:textId="77777777" w:rsidR="00D33358" w:rsidRDefault="00D33358" w:rsidP="00D33358">
      <w:pPr>
        <w:pStyle w:val="References"/>
      </w:pPr>
      <w:r w:rsidRPr="00843A16">
        <w:t xml:space="preserve">Victorian Gambling and Casino Control Commission </w:t>
      </w:r>
      <w:r>
        <w:t>(</w:t>
      </w:r>
      <w:r w:rsidRPr="00843A16">
        <w:t>VGCCC</w:t>
      </w:r>
      <w:r>
        <w:t>)</w:t>
      </w:r>
      <w:r w:rsidRPr="00843A16">
        <w:t>. (</w:t>
      </w:r>
      <w:r>
        <w:t>2026</w:t>
      </w:r>
      <w:r w:rsidRPr="00843A16">
        <w:t>).</w:t>
      </w:r>
      <w:r>
        <w:t xml:space="preserve"> </w:t>
      </w:r>
      <w:r>
        <w:rPr>
          <w:i/>
          <w:iCs/>
        </w:rPr>
        <w:t xml:space="preserve">Enforcement actions. </w:t>
      </w:r>
      <w:r>
        <w:t xml:space="preserve">Melbourne: VGCCC, Victoria State Government. </w:t>
      </w:r>
      <w:r w:rsidRPr="00406B31">
        <w:t>https://www.vgccc.vic.gov.au/for-community/hearings-decisions-and-appeals/decisions/enforcement-actions</w:t>
      </w:r>
    </w:p>
    <w:p w14:paraId="3F09648A" w14:textId="4CDBB20B" w:rsidR="001C2DF2" w:rsidRPr="00843A16" w:rsidRDefault="004E5823" w:rsidP="001C2DF2">
      <w:pPr>
        <w:pStyle w:val="References"/>
      </w:pPr>
      <w:r>
        <w:t>WA</w:t>
      </w:r>
      <w:r w:rsidR="001C2DF2" w:rsidRPr="00843A16">
        <w:t xml:space="preserve"> Department of Local </w:t>
      </w:r>
      <w:r w:rsidR="009A13AF">
        <w:t>Government</w:t>
      </w:r>
      <w:r w:rsidR="001C2DF2" w:rsidRPr="00843A16">
        <w:t xml:space="preserve">, Industry Regulation and Safety. (2025). </w:t>
      </w:r>
      <w:r w:rsidR="001C2DF2" w:rsidRPr="00843A16">
        <w:rPr>
          <w:i/>
          <w:iCs/>
        </w:rPr>
        <w:t xml:space="preserve">Gambling advertisements and inducements. </w:t>
      </w:r>
      <w:r w:rsidR="001C2DF2" w:rsidRPr="00843A16">
        <w:t xml:space="preserve">Western Australian </w:t>
      </w:r>
      <w:r w:rsidR="009A13AF">
        <w:t>Government</w:t>
      </w:r>
      <w:r w:rsidR="001C2DF2" w:rsidRPr="00843A16">
        <w:t xml:space="preserve">, Department of Local </w:t>
      </w:r>
      <w:r w:rsidR="009A13AF">
        <w:t>Government</w:t>
      </w:r>
      <w:r w:rsidR="001C2DF2" w:rsidRPr="00843A16">
        <w:t>, Industry Regulation and Safety.</w:t>
      </w:r>
      <w:r w:rsidR="001C2DF2" w:rsidRPr="00843A16" w:rsidDel="00275C65">
        <w:t xml:space="preserve"> </w:t>
      </w:r>
      <w:hyperlink r:id="rId71" w:history="1">
        <w:r w:rsidR="00275C65" w:rsidRPr="00843A16">
          <w:rPr>
            <w:rStyle w:val="Hyperlink"/>
          </w:rPr>
          <w:t>www.dlgsc.wa.gov.au/department/publications/publication/gambling-advertising-and-inducements</w:t>
        </w:r>
      </w:hyperlink>
    </w:p>
    <w:p w14:paraId="505D0070" w14:textId="77777777" w:rsidR="00777913" w:rsidRPr="00843A16" w:rsidRDefault="00777913" w:rsidP="00F705F1">
      <w:pPr>
        <w:pStyle w:val="References"/>
        <w:ind w:left="0" w:firstLine="0"/>
        <w:rPr>
          <w:rFonts w:eastAsia="Arial"/>
        </w:rPr>
      </w:pPr>
    </w:p>
    <w:p w14:paraId="46F5ADD7" w14:textId="77777777" w:rsidR="00335013" w:rsidRDefault="00335013">
      <w:pPr>
        <w:suppressAutoHyphens w:val="0"/>
        <w:spacing w:before="0" w:line="240" w:lineRule="auto"/>
        <w:jc w:val="left"/>
        <w:rPr>
          <w:rFonts w:cs="Arial"/>
          <w:color w:val="B1004D"/>
          <w:kern w:val="32"/>
          <w:sz w:val="44"/>
        </w:rPr>
        <w:sectPr w:rsidR="00335013" w:rsidSect="00E958BD">
          <w:pgSz w:w="11901" w:h="16840"/>
          <w:pgMar w:top="1418" w:right="1701" w:bottom="1418" w:left="1701" w:header="680" w:footer="680" w:gutter="0"/>
          <w:cols w:space="708"/>
          <w:noEndnote/>
          <w:docGrid w:linePitch="272"/>
        </w:sectPr>
      </w:pPr>
      <w:bookmarkStart w:id="148" w:name="_Toc213763492"/>
      <w:bookmarkStart w:id="149" w:name="_Toc215847426"/>
    </w:p>
    <w:p w14:paraId="7B2367FE" w14:textId="77777777" w:rsidR="002A7C47" w:rsidRPr="008230A3" w:rsidRDefault="00BA3D8C" w:rsidP="002A7C47">
      <w:pPr>
        <w:pStyle w:val="AppendixHeading1"/>
      </w:pPr>
      <w:bookmarkStart w:id="150" w:name="AppendixA"/>
      <w:bookmarkStart w:id="151" w:name="_Toc233643315"/>
      <w:r>
        <w:lastRenderedPageBreak/>
        <w:t>Appendix A</w:t>
      </w:r>
      <w:bookmarkEnd w:id="150"/>
      <w:bookmarkEnd w:id="151"/>
    </w:p>
    <w:p w14:paraId="18596B4B" w14:textId="77777777" w:rsidR="002A7C47" w:rsidRDefault="002A7C47" w:rsidP="002A7C47">
      <w:pPr>
        <w:pStyle w:val="AppendixHeading2"/>
      </w:pPr>
      <w:bookmarkStart w:id="152" w:name="_Toc233643316"/>
      <w:r>
        <w:t>Numbered Principles of the NPS (DSS, 2018)</w:t>
      </w:r>
      <w:bookmarkEnd w:id="152"/>
    </w:p>
    <w:p w14:paraId="3975E501" w14:textId="77777777" w:rsidR="002A7C47" w:rsidRDefault="002A7C47" w:rsidP="00CF6D5E">
      <w:pPr>
        <w:pStyle w:val="AppendixHeading3"/>
      </w:pPr>
      <w:bookmarkStart w:id="153" w:name="_Toc233643317"/>
      <w:r w:rsidRPr="6E9057C3">
        <w:t>Prohibition of lines of credit – 3 principles</w:t>
      </w:r>
      <w:r w:rsidRPr="06868CA6">
        <w:t xml:space="preserve"> </w:t>
      </w:r>
      <w:r w:rsidRPr="2D76CDA1">
        <w:t>(</w:t>
      </w:r>
      <w:r w:rsidRPr="3D811B78">
        <w:t>fully</w:t>
      </w:r>
      <w:r w:rsidRPr="2D76CDA1">
        <w:t xml:space="preserve"> implemented)</w:t>
      </w:r>
      <w:bookmarkEnd w:id="153"/>
    </w:p>
    <w:p w14:paraId="7ADF1926" w14:textId="77777777" w:rsidR="002A7C47" w:rsidRDefault="002A7C47" w:rsidP="002A7C47">
      <w:pPr>
        <w:pStyle w:val="ListNumber"/>
        <w:rPr>
          <w:rFonts w:eastAsia="Arial" w:cs="Arial"/>
          <w:szCs w:val="20"/>
        </w:rPr>
      </w:pPr>
      <w:r w:rsidRPr="008230A3">
        <w:rPr>
          <w:rFonts w:eastAsia="Arial"/>
        </w:rPr>
        <w:t xml:space="preserve">Credit must not be offered or provided by an interactive wagering service provider to their customer. </w:t>
      </w:r>
    </w:p>
    <w:p w14:paraId="5BD4B313" w14:textId="77777777" w:rsidR="002A7C47" w:rsidRDefault="002A7C47" w:rsidP="002A7C47">
      <w:pPr>
        <w:pStyle w:val="ListNumber"/>
        <w:rPr>
          <w:rFonts w:eastAsia="Arial" w:cs="Arial"/>
          <w:szCs w:val="20"/>
        </w:rPr>
      </w:pPr>
      <w:r w:rsidRPr="008230A3">
        <w:rPr>
          <w:rFonts w:eastAsia="Arial"/>
        </w:rPr>
        <w:t xml:space="preserve">An on-course bookmaker, who is an interactive wagering service provider, is exempt from this measure, but only for that bookmaker’s telephone-based betting service. </w:t>
      </w:r>
    </w:p>
    <w:p w14:paraId="09E6CBE1" w14:textId="77777777" w:rsidR="002A7C47" w:rsidRDefault="002A7C47" w:rsidP="002A7C47">
      <w:pPr>
        <w:pStyle w:val="ListNumber"/>
        <w:rPr>
          <w:rFonts w:eastAsia="Arial" w:cs="Arial"/>
          <w:szCs w:val="20"/>
        </w:rPr>
      </w:pPr>
      <w:r w:rsidRPr="008230A3">
        <w:rPr>
          <w:rFonts w:eastAsia="Arial"/>
        </w:rPr>
        <w:t>A review of the operation of the credit betting prohibition (including its exemption) is to be conducted.</w:t>
      </w:r>
    </w:p>
    <w:p w14:paraId="76282065" w14:textId="1113B82F" w:rsidR="002A7C47" w:rsidRDefault="002A7C47" w:rsidP="00CF6D5E">
      <w:pPr>
        <w:pStyle w:val="AppendixHeading3"/>
        <w:rPr>
          <w:rFonts w:eastAsia="Arial"/>
        </w:rPr>
      </w:pPr>
      <w:bookmarkStart w:id="154" w:name="_Toc233643318"/>
      <w:r w:rsidRPr="001F1BC4">
        <w:t xml:space="preserve">Payday </w:t>
      </w:r>
      <w:r w:rsidR="00D01B7C" w:rsidRPr="001F1BC4">
        <w:t>l</w:t>
      </w:r>
      <w:r w:rsidRPr="001F1BC4">
        <w:t>enders – 4 principles</w:t>
      </w:r>
      <w:r>
        <w:t xml:space="preserve"> (fully implemented)</w:t>
      </w:r>
      <w:bookmarkEnd w:id="154"/>
    </w:p>
    <w:p w14:paraId="7C6FC297" w14:textId="77777777" w:rsidR="002A7C47" w:rsidRDefault="002A7C47" w:rsidP="002A7C47">
      <w:pPr>
        <w:pStyle w:val="ListNumber"/>
        <w:rPr>
          <w:rFonts w:eastAsia="Arial" w:cs="Arial"/>
          <w:szCs w:val="20"/>
        </w:rPr>
      </w:pPr>
      <w:r w:rsidRPr="008230A3">
        <w:rPr>
          <w:rFonts w:eastAsia="Arial"/>
        </w:rPr>
        <w:t xml:space="preserve">Small amount credit contracts must not be advertised or marketed on an interactive wagering service provider’s website. </w:t>
      </w:r>
    </w:p>
    <w:p w14:paraId="66891D74" w14:textId="77777777" w:rsidR="002A7C47" w:rsidRDefault="002A7C47" w:rsidP="002A7C47">
      <w:pPr>
        <w:pStyle w:val="ListNumber"/>
        <w:rPr>
          <w:rFonts w:eastAsia="Arial" w:cs="Arial"/>
          <w:szCs w:val="20"/>
        </w:rPr>
      </w:pPr>
      <w:r w:rsidRPr="008230A3">
        <w:rPr>
          <w:rFonts w:eastAsia="Arial"/>
        </w:rPr>
        <w:t xml:space="preserve">An online wagering consumer must not be referred to a credit provider to finance their wagering activity. </w:t>
      </w:r>
    </w:p>
    <w:p w14:paraId="353BDC0F" w14:textId="77777777" w:rsidR="002A7C47" w:rsidRDefault="002A7C47" w:rsidP="002A7C47">
      <w:pPr>
        <w:pStyle w:val="ListNumber"/>
        <w:rPr>
          <w:rFonts w:eastAsia="Arial" w:cs="Arial"/>
          <w:szCs w:val="20"/>
        </w:rPr>
      </w:pPr>
      <w:r w:rsidRPr="008230A3">
        <w:rPr>
          <w:rFonts w:eastAsia="Arial"/>
        </w:rPr>
        <w:t xml:space="preserve">Information related to an online wagering consumer must not be provided to any credit provider. </w:t>
      </w:r>
    </w:p>
    <w:p w14:paraId="5475FB06" w14:textId="77777777" w:rsidR="002A7C47" w:rsidRDefault="002A7C47" w:rsidP="002A7C47">
      <w:pPr>
        <w:pStyle w:val="ListNumber"/>
        <w:rPr>
          <w:rFonts w:eastAsia="Arial" w:cs="Arial"/>
          <w:szCs w:val="20"/>
        </w:rPr>
      </w:pPr>
      <w:r w:rsidRPr="008230A3">
        <w:rPr>
          <w:rFonts w:eastAsia="Arial"/>
        </w:rPr>
        <w:t>The above applies to the affiliated organisations of an interactive wagering service provider, as well as their related body corporate(s).</w:t>
      </w:r>
    </w:p>
    <w:p w14:paraId="4D2BEB46" w14:textId="77777777" w:rsidR="002A7C47" w:rsidRDefault="002A7C47" w:rsidP="00CF6D5E">
      <w:pPr>
        <w:pStyle w:val="AppendixHeading3"/>
      </w:pPr>
      <w:bookmarkStart w:id="155" w:name="_Toc233643319"/>
      <w:r w:rsidRPr="008230A3">
        <w:t>Customer verification – 4 principles</w:t>
      </w:r>
      <w:r>
        <w:t xml:space="preserve"> (fully implemented)</w:t>
      </w:r>
      <w:bookmarkEnd w:id="155"/>
    </w:p>
    <w:p w14:paraId="28EDAAF5" w14:textId="77777777" w:rsidR="002A7C47" w:rsidRDefault="002A7C47" w:rsidP="002A7C47">
      <w:pPr>
        <w:pStyle w:val="ListNumber"/>
        <w:rPr>
          <w:rFonts w:eastAsia="Arial" w:cs="Arial"/>
          <w:szCs w:val="20"/>
        </w:rPr>
      </w:pPr>
      <w:r w:rsidRPr="008230A3">
        <w:rPr>
          <w:rFonts w:eastAsia="Arial"/>
        </w:rPr>
        <w:t>Customers must be verified within a maximum 72</w:t>
      </w:r>
      <w:r>
        <w:rPr>
          <w:rFonts w:eastAsia="Arial"/>
        </w:rPr>
        <w:t>-</w:t>
      </w:r>
      <w:r w:rsidRPr="008230A3">
        <w:rPr>
          <w:rFonts w:eastAsia="Arial"/>
        </w:rPr>
        <w:t xml:space="preserve">hour period prior to continue using an online wagering account. This verification period will change to a customer pre-verification measure after the National Self Exclusion Register (NSER) is operational. </w:t>
      </w:r>
    </w:p>
    <w:p w14:paraId="40C43A44" w14:textId="77777777" w:rsidR="002A7C47" w:rsidRDefault="002A7C47" w:rsidP="002A7C47">
      <w:pPr>
        <w:pStyle w:val="ListNumber"/>
        <w:rPr>
          <w:rFonts w:eastAsia="Arial" w:cs="Arial"/>
          <w:szCs w:val="20"/>
        </w:rPr>
      </w:pPr>
      <w:r w:rsidRPr="008230A3">
        <w:rPr>
          <w:rFonts w:eastAsia="Arial"/>
        </w:rPr>
        <w:t xml:space="preserve">Interactive wagering service providers must return all deposited funds and close an account immediately if a person is verified as a person under 18 years of age. </w:t>
      </w:r>
    </w:p>
    <w:p w14:paraId="42FC248F" w14:textId="77777777" w:rsidR="002A7C47" w:rsidRDefault="002A7C47" w:rsidP="002A7C47">
      <w:pPr>
        <w:pStyle w:val="ListNumber"/>
        <w:rPr>
          <w:rFonts w:eastAsia="Arial" w:cs="Arial"/>
          <w:szCs w:val="20"/>
        </w:rPr>
      </w:pPr>
      <w:r w:rsidRPr="008230A3">
        <w:rPr>
          <w:rFonts w:eastAsia="Arial"/>
        </w:rPr>
        <w:t xml:space="preserve">Customers </w:t>
      </w:r>
      <w:proofErr w:type="gramStart"/>
      <w:r w:rsidRPr="008230A3">
        <w:rPr>
          <w:rFonts w:eastAsia="Arial"/>
        </w:rPr>
        <w:t>are not able to</w:t>
      </w:r>
      <w:proofErr w:type="gramEnd"/>
      <w:r w:rsidRPr="008230A3">
        <w:rPr>
          <w:rFonts w:eastAsia="Arial"/>
        </w:rPr>
        <w:t xml:space="preserve"> withdraw winnings prior to positive verification of their identity. </w:t>
      </w:r>
    </w:p>
    <w:p w14:paraId="5E136454" w14:textId="77777777" w:rsidR="002A7C47" w:rsidRDefault="002A7C47" w:rsidP="002A7C47">
      <w:pPr>
        <w:pStyle w:val="ListNumber"/>
        <w:rPr>
          <w:rFonts w:eastAsia="Arial" w:cs="Arial"/>
          <w:szCs w:val="20"/>
        </w:rPr>
      </w:pPr>
      <w:r w:rsidRPr="008230A3">
        <w:rPr>
          <w:rFonts w:eastAsia="Arial"/>
        </w:rPr>
        <w:t xml:space="preserve">Evidence must be </w:t>
      </w:r>
      <w:proofErr w:type="gramStart"/>
      <w:r w:rsidRPr="008230A3">
        <w:rPr>
          <w:rFonts w:eastAsia="Arial"/>
        </w:rPr>
        <w:t>provided that</w:t>
      </w:r>
      <w:proofErr w:type="gramEnd"/>
      <w:r w:rsidRPr="008230A3">
        <w:rPr>
          <w:rFonts w:eastAsia="Arial"/>
        </w:rPr>
        <w:t xml:space="preserve"> customer verification measures adhere to the ‘know your customer’ requirements.</w:t>
      </w:r>
    </w:p>
    <w:p w14:paraId="28FCD750" w14:textId="77777777" w:rsidR="002A7C47" w:rsidRDefault="002A7C47" w:rsidP="00CF6D5E">
      <w:pPr>
        <w:pStyle w:val="AppendixHeading3"/>
      </w:pPr>
      <w:bookmarkStart w:id="156" w:name="_Toc233643320"/>
      <w:r w:rsidRPr="008230A3">
        <w:t>Restrictions on inducements – 7 principles</w:t>
      </w:r>
      <w:r>
        <w:t xml:space="preserve"> (5/7 fully implemented)</w:t>
      </w:r>
      <w:bookmarkEnd w:id="156"/>
    </w:p>
    <w:p w14:paraId="06DCE804" w14:textId="77777777" w:rsidR="002A7C47" w:rsidRDefault="002A7C47" w:rsidP="002A7C47">
      <w:pPr>
        <w:pStyle w:val="ListNumber"/>
        <w:rPr>
          <w:rFonts w:eastAsia="Arial" w:cs="Arial"/>
          <w:szCs w:val="20"/>
        </w:rPr>
      </w:pPr>
      <w:r w:rsidRPr="008230A3">
        <w:rPr>
          <w:rFonts w:eastAsia="Arial"/>
        </w:rPr>
        <w:t xml:space="preserve">The offer of any credit, voucher, reward, or other benefit as an incentive to open an account or refer another person to open an account is prohibited. </w:t>
      </w:r>
    </w:p>
    <w:p w14:paraId="63BD8DA9" w14:textId="77777777" w:rsidR="002A7C47" w:rsidRDefault="002A7C47" w:rsidP="002A7C47">
      <w:pPr>
        <w:pStyle w:val="ListNumber"/>
        <w:rPr>
          <w:rFonts w:eastAsia="Arial" w:cs="Arial"/>
          <w:szCs w:val="20"/>
        </w:rPr>
      </w:pPr>
      <w:r w:rsidRPr="008230A3">
        <w:rPr>
          <w:rFonts w:eastAsia="Arial"/>
        </w:rPr>
        <w:t xml:space="preserve">Any credit, voucher, reward, or other benefit (that is directed at encouraging customers to gamble) that is not part of an approved loyalty program must not be offered in a jurisdiction that only permits such inducements as part of an approved loyalty program. </w:t>
      </w:r>
    </w:p>
    <w:p w14:paraId="79F06CAD" w14:textId="77777777" w:rsidR="002A7C47" w:rsidRDefault="002A7C47" w:rsidP="002A7C47">
      <w:pPr>
        <w:pStyle w:val="ListNumber"/>
        <w:rPr>
          <w:rFonts w:eastAsia="Arial" w:cs="Arial"/>
          <w:szCs w:val="20"/>
        </w:rPr>
      </w:pPr>
      <w:r w:rsidRPr="008230A3">
        <w:rPr>
          <w:rFonts w:eastAsia="Arial"/>
        </w:rPr>
        <w:t xml:space="preserve">Winnings from a complementary betting credit or token (i.e. bonus bet) must be able to be withdrawn without being subject to any turnover requirements. </w:t>
      </w:r>
    </w:p>
    <w:p w14:paraId="17861259" w14:textId="77777777" w:rsidR="002A7C47" w:rsidRDefault="002A7C47" w:rsidP="002A7C47">
      <w:pPr>
        <w:pStyle w:val="ListNumber"/>
        <w:rPr>
          <w:rFonts w:eastAsia="Arial" w:cs="Arial"/>
          <w:szCs w:val="20"/>
        </w:rPr>
      </w:pPr>
      <w:r w:rsidRPr="008230A3">
        <w:rPr>
          <w:rFonts w:eastAsia="Arial"/>
        </w:rPr>
        <w:lastRenderedPageBreak/>
        <w:t>All direct marketing to customers may only be sent to customers who provide their express consent to receive this material.</w:t>
      </w:r>
    </w:p>
    <w:p w14:paraId="0D7AB095" w14:textId="77777777" w:rsidR="002A7C47" w:rsidRDefault="002A7C47" w:rsidP="002A7C47">
      <w:pPr>
        <w:pStyle w:val="ListNumber"/>
        <w:rPr>
          <w:rFonts w:eastAsia="Arial" w:cs="Arial"/>
          <w:szCs w:val="20"/>
        </w:rPr>
      </w:pPr>
      <w:r w:rsidRPr="008230A3">
        <w:rPr>
          <w:rFonts w:eastAsia="Arial"/>
        </w:rPr>
        <w:t xml:space="preserve">A customer must be able to unsubscribe from receiving direct marketing materials. For direct marketing materials sent electronically, the link to unsubscribe must be functional and easily accessible. </w:t>
      </w:r>
    </w:p>
    <w:p w14:paraId="36D50C36" w14:textId="77777777" w:rsidR="002A7C47" w:rsidRDefault="002A7C47" w:rsidP="002A7C47">
      <w:pPr>
        <w:pStyle w:val="ListNumber"/>
        <w:rPr>
          <w:rFonts w:eastAsia="Arial" w:cs="Arial"/>
          <w:szCs w:val="20"/>
        </w:rPr>
      </w:pPr>
      <w:r w:rsidRPr="008230A3">
        <w:rPr>
          <w:rFonts w:eastAsia="Arial"/>
        </w:rPr>
        <w:t>No further direct marketing materials may be sent to a consumer from the time their unsubscribe request is received.</w:t>
      </w:r>
    </w:p>
    <w:p w14:paraId="2642436B" w14:textId="77777777" w:rsidR="002A7C47" w:rsidRDefault="002A7C47" w:rsidP="002A7C47">
      <w:pPr>
        <w:pStyle w:val="ListNumber"/>
        <w:rPr>
          <w:rFonts w:eastAsia="Arial" w:cs="Arial"/>
          <w:szCs w:val="20"/>
        </w:rPr>
      </w:pPr>
      <w:r w:rsidRPr="008230A3">
        <w:rPr>
          <w:rFonts w:eastAsia="Arial"/>
        </w:rPr>
        <w:t>The above principles for this measure apply as minimum requirements only. Additional restrictions on inducements may continue to apply, or be enacted, including in relation to its advertisement, by individual jurisdictions.</w:t>
      </w:r>
    </w:p>
    <w:p w14:paraId="57212481" w14:textId="77777777" w:rsidR="002A7C47" w:rsidRDefault="002A7C47" w:rsidP="00CF6D5E">
      <w:pPr>
        <w:pStyle w:val="AppendixHeading3"/>
        <w:rPr>
          <w:rFonts w:eastAsia="Arial"/>
        </w:rPr>
      </w:pPr>
      <w:bookmarkStart w:id="157" w:name="_Toc233643321"/>
      <w:r w:rsidRPr="008230A3">
        <w:t>Account closure – 6 principles</w:t>
      </w:r>
      <w:r>
        <w:t xml:space="preserve"> (5/6 fully implemented)</w:t>
      </w:r>
      <w:bookmarkEnd w:id="157"/>
    </w:p>
    <w:p w14:paraId="2D825164" w14:textId="77777777" w:rsidR="002A7C47" w:rsidRDefault="002A7C47" w:rsidP="002A7C47">
      <w:pPr>
        <w:pStyle w:val="ListNumber"/>
        <w:rPr>
          <w:rFonts w:eastAsia="Arial" w:cs="Arial"/>
          <w:szCs w:val="20"/>
        </w:rPr>
      </w:pPr>
      <w:r w:rsidRPr="008230A3">
        <w:rPr>
          <w:rFonts w:eastAsia="Arial"/>
        </w:rPr>
        <w:t xml:space="preserve">The process for account closure must be prominent and clearly articulated on the interactive wagering service provider’s website and within each customer’s ‘My Account’ window. </w:t>
      </w:r>
    </w:p>
    <w:p w14:paraId="7B792BB6" w14:textId="77777777" w:rsidR="002A7C47" w:rsidRDefault="002A7C47" w:rsidP="002A7C47">
      <w:pPr>
        <w:pStyle w:val="ListNumber"/>
        <w:rPr>
          <w:rFonts w:eastAsia="Arial" w:cs="Arial"/>
          <w:szCs w:val="20"/>
        </w:rPr>
      </w:pPr>
      <w:r w:rsidRPr="008230A3">
        <w:rPr>
          <w:rFonts w:eastAsia="Arial"/>
        </w:rPr>
        <w:t xml:space="preserve">The process for account closure must be simple. </w:t>
      </w:r>
    </w:p>
    <w:p w14:paraId="728EE2C5" w14:textId="77777777" w:rsidR="002A7C47" w:rsidRDefault="002A7C47" w:rsidP="002A7C47">
      <w:pPr>
        <w:pStyle w:val="ListNumber"/>
        <w:rPr>
          <w:rFonts w:eastAsia="Arial" w:cs="Arial"/>
          <w:szCs w:val="20"/>
        </w:rPr>
      </w:pPr>
      <w:r w:rsidRPr="008230A3">
        <w:rPr>
          <w:rFonts w:eastAsia="Arial"/>
        </w:rPr>
        <w:t xml:space="preserve">A customer must be able to request the closure of their account via the same channels available to them to place a bet, in addition to via email and telephone. </w:t>
      </w:r>
    </w:p>
    <w:p w14:paraId="6E9E90EE" w14:textId="77777777" w:rsidR="002A7C47" w:rsidRDefault="002A7C47" w:rsidP="002A7C47">
      <w:pPr>
        <w:pStyle w:val="ListNumber"/>
        <w:rPr>
          <w:rFonts w:eastAsia="Arial" w:cs="Arial"/>
          <w:szCs w:val="20"/>
        </w:rPr>
      </w:pPr>
      <w:r w:rsidRPr="008230A3">
        <w:rPr>
          <w:rFonts w:eastAsia="Arial"/>
        </w:rPr>
        <w:t xml:space="preserve">The account closure process must commence immediately upon receipt of the account closure request and result in the account being closed after all bets have been settled. </w:t>
      </w:r>
    </w:p>
    <w:p w14:paraId="542AF3EB" w14:textId="77777777" w:rsidR="002A7C47" w:rsidRDefault="002A7C47" w:rsidP="002A7C47">
      <w:pPr>
        <w:pStyle w:val="ListNumber"/>
        <w:rPr>
          <w:rFonts w:eastAsia="Arial" w:cs="Arial"/>
          <w:szCs w:val="20"/>
        </w:rPr>
      </w:pPr>
      <w:r w:rsidRPr="008230A3">
        <w:rPr>
          <w:rFonts w:eastAsia="Arial"/>
        </w:rPr>
        <w:t xml:space="preserve">A customer must not be encouraged or induced to keep their account open following their request to close their account. However, an interactive wagering service provider may explain the effects of an account closure and ask the customer if the customer wishes to proceed. </w:t>
      </w:r>
    </w:p>
    <w:p w14:paraId="0EDC6926" w14:textId="77777777" w:rsidR="002A7C47" w:rsidRDefault="002A7C47" w:rsidP="002A7C47">
      <w:pPr>
        <w:pStyle w:val="ListNumber"/>
        <w:rPr>
          <w:rFonts w:eastAsia="Arial" w:cs="Arial"/>
          <w:szCs w:val="20"/>
        </w:rPr>
      </w:pPr>
      <w:r w:rsidRPr="008230A3">
        <w:rPr>
          <w:rFonts w:eastAsia="Arial"/>
        </w:rPr>
        <w:t>An interactive wagering service provider must not directly promote or market to a customer following the closure of the customer’s account.</w:t>
      </w:r>
    </w:p>
    <w:p w14:paraId="38BA8410" w14:textId="77777777" w:rsidR="002A7C47" w:rsidRDefault="002A7C47" w:rsidP="00CF6D5E">
      <w:pPr>
        <w:pStyle w:val="AppendixHeading3"/>
        <w:rPr>
          <w:rFonts w:eastAsia="Arial"/>
        </w:rPr>
      </w:pPr>
      <w:bookmarkStart w:id="158" w:name="_Toc233643322"/>
      <w:proofErr w:type="gramStart"/>
      <w:r w:rsidRPr="008230A3">
        <w:t>Voluntary</w:t>
      </w:r>
      <w:proofErr w:type="gramEnd"/>
      <w:r w:rsidRPr="008230A3">
        <w:t xml:space="preserve"> opt-out pre-commitment scheme – 14 principles</w:t>
      </w:r>
      <w:r>
        <w:t xml:space="preserve"> (12/14 fully implemented)</w:t>
      </w:r>
      <w:bookmarkEnd w:id="158"/>
    </w:p>
    <w:p w14:paraId="6669288F" w14:textId="77777777" w:rsidR="002A7C47" w:rsidRDefault="002A7C47" w:rsidP="002A7C47">
      <w:pPr>
        <w:pStyle w:val="ListNumber"/>
        <w:rPr>
          <w:rFonts w:eastAsia="Arial" w:cs="Arial"/>
          <w:szCs w:val="20"/>
        </w:rPr>
      </w:pPr>
      <w:r w:rsidRPr="004A567A">
        <w:rPr>
          <w:rFonts w:eastAsia="Arial"/>
        </w:rPr>
        <w:t xml:space="preserve">A voluntary pre-commitment scheme must be easily accessible and effectively promoted to consumers. </w:t>
      </w:r>
    </w:p>
    <w:p w14:paraId="6B45F27A" w14:textId="77777777" w:rsidR="002A7C47" w:rsidRDefault="002A7C47" w:rsidP="002A7C47">
      <w:pPr>
        <w:pStyle w:val="ListNumber"/>
        <w:rPr>
          <w:rFonts w:eastAsia="Arial" w:cs="Arial"/>
          <w:szCs w:val="20"/>
        </w:rPr>
      </w:pPr>
      <w:r w:rsidRPr="004A567A">
        <w:rPr>
          <w:rFonts w:eastAsia="Arial"/>
        </w:rPr>
        <w:t xml:space="preserve">A customer must be prompted to set a deposit limit during the account sign-up process. </w:t>
      </w:r>
    </w:p>
    <w:p w14:paraId="75742E2D" w14:textId="77777777" w:rsidR="002A7C47" w:rsidRDefault="002A7C47" w:rsidP="002A7C47">
      <w:pPr>
        <w:pStyle w:val="ListNumber"/>
        <w:rPr>
          <w:rFonts w:eastAsia="Arial" w:cs="Arial"/>
          <w:szCs w:val="20"/>
        </w:rPr>
      </w:pPr>
      <w:r w:rsidRPr="004A567A">
        <w:rPr>
          <w:rFonts w:eastAsia="Arial"/>
        </w:rPr>
        <w:t xml:space="preserve">Limits must be binding. </w:t>
      </w:r>
    </w:p>
    <w:p w14:paraId="051C57EE" w14:textId="77777777" w:rsidR="002A7C47" w:rsidRDefault="002A7C47" w:rsidP="002A7C47">
      <w:pPr>
        <w:pStyle w:val="ListNumber"/>
        <w:rPr>
          <w:rFonts w:eastAsia="Arial" w:cs="Arial"/>
          <w:szCs w:val="20"/>
        </w:rPr>
      </w:pPr>
      <w:r w:rsidRPr="004A567A">
        <w:rPr>
          <w:rFonts w:eastAsia="Arial"/>
        </w:rPr>
        <w:t xml:space="preserve">An interactive wagering service provider must at least offer deposit limits, with other types of limits (e.g. spend limit) optional. </w:t>
      </w:r>
    </w:p>
    <w:p w14:paraId="2B660860" w14:textId="77777777" w:rsidR="002A7C47" w:rsidRDefault="002A7C47" w:rsidP="002A7C47">
      <w:pPr>
        <w:pStyle w:val="ListNumber"/>
        <w:rPr>
          <w:rFonts w:eastAsia="Arial" w:cs="Arial"/>
          <w:szCs w:val="20"/>
        </w:rPr>
      </w:pPr>
      <w:r w:rsidRPr="004A567A">
        <w:rPr>
          <w:rFonts w:eastAsia="Arial"/>
        </w:rPr>
        <w:t xml:space="preserve">An interactive wagering service provider must not accept further deposits from a customer above the deposit limit set by the customer. </w:t>
      </w:r>
    </w:p>
    <w:p w14:paraId="045C0639" w14:textId="77777777" w:rsidR="002A7C47" w:rsidRDefault="002A7C47" w:rsidP="002A7C47">
      <w:pPr>
        <w:pStyle w:val="ListNumber"/>
        <w:rPr>
          <w:rFonts w:eastAsia="Arial" w:cs="Arial"/>
          <w:szCs w:val="20"/>
        </w:rPr>
      </w:pPr>
      <w:r w:rsidRPr="004A567A">
        <w:rPr>
          <w:rFonts w:eastAsia="Arial"/>
        </w:rPr>
        <w:t xml:space="preserve">A request by a customer to decrease their deposit limit must be applied immediately. </w:t>
      </w:r>
    </w:p>
    <w:p w14:paraId="596766C9" w14:textId="77777777" w:rsidR="002A7C47" w:rsidRDefault="002A7C47" w:rsidP="002A7C47">
      <w:pPr>
        <w:pStyle w:val="ListNumber"/>
        <w:rPr>
          <w:rFonts w:eastAsia="Arial" w:cs="Arial"/>
          <w:szCs w:val="20"/>
        </w:rPr>
      </w:pPr>
      <w:r w:rsidRPr="004A567A">
        <w:rPr>
          <w:rFonts w:eastAsia="Arial"/>
        </w:rPr>
        <w:t xml:space="preserve">A request by a customer to increase their deposit limit must not be applied until 7 days after the day the request was received. </w:t>
      </w:r>
    </w:p>
    <w:p w14:paraId="6EDF220E" w14:textId="77777777" w:rsidR="002A7C47" w:rsidRDefault="002A7C47" w:rsidP="002A7C47">
      <w:pPr>
        <w:pStyle w:val="ListNumber"/>
        <w:rPr>
          <w:rFonts w:eastAsia="Arial" w:cs="Arial"/>
          <w:szCs w:val="20"/>
        </w:rPr>
      </w:pPr>
      <w:r w:rsidRPr="004A567A">
        <w:rPr>
          <w:rFonts w:eastAsia="Arial"/>
        </w:rPr>
        <w:t xml:space="preserve">All customers must be prompted to set and review their deposit limit yearly at a minimum, including customers who have chosen not to set a limit (with further enhancement considered after trialling and testing). </w:t>
      </w:r>
    </w:p>
    <w:p w14:paraId="012A68A7" w14:textId="77777777" w:rsidR="002A7C47" w:rsidRDefault="002A7C47" w:rsidP="002A7C47">
      <w:pPr>
        <w:pStyle w:val="ListNumber"/>
        <w:rPr>
          <w:rFonts w:eastAsia="Arial" w:cs="Arial"/>
          <w:szCs w:val="20"/>
        </w:rPr>
      </w:pPr>
      <w:r w:rsidRPr="004A567A">
        <w:rPr>
          <w:rFonts w:eastAsia="Arial"/>
        </w:rPr>
        <w:t xml:space="preserve">The prompt must occur at the time of a customer’s next bet following each anniversary of the customer’s first bet, except where the customer does not have an active betting </w:t>
      </w:r>
      <w:r w:rsidRPr="004A567A">
        <w:rPr>
          <w:rFonts w:eastAsia="Arial"/>
        </w:rPr>
        <w:lastRenderedPageBreak/>
        <w:t xml:space="preserve">account on that date. A customer is deemed to have an active betting account if the customer has made a transaction on their betting account within the preceding 12 months. </w:t>
      </w:r>
    </w:p>
    <w:p w14:paraId="52FD81FE" w14:textId="77777777" w:rsidR="002A7C47" w:rsidRDefault="002A7C47" w:rsidP="002A7C47">
      <w:pPr>
        <w:pStyle w:val="ListNumber"/>
        <w:rPr>
          <w:rFonts w:eastAsia="Arial" w:cs="Arial"/>
          <w:szCs w:val="20"/>
        </w:rPr>
      </w:pPr>
      <w:r w:rsidRPr="004A567A">
        <w:rPr>
          <w:rFonts w:eastAsia="Arial"/>
        </w:rPr>
        <w:t>The prompt must be made via the same channel being used by the customer for placing their bet at the time the prompt is due.</w:t>
      </w:r>
    </w:p>
    <w:p w14:paraId="6270D75F" w14:textId="77777777" w:rsidR="002A7C47" w:rsidRDefault="002A7C47" w:rsidP="002A7C47">
      <w:pPr>
        <w:pStyle w:val="ListNumber"/>
        <w:rPr>
          <w:rFonts w:eastAsia="Arial" w:cs="Arial"/>
          <w:szCs w:val="20"/>
        </w:rPr>
      </w:pPr>
      <w:r w:rsidRPr="004A567A">
        <w:rPr>
          <w:rFonts w:eastAsia="Arial"/>
        </w:rPr>
        <w:t xml:space="preserve">Customers must be able to choose the </w:t>
      </w:r>
      <w:proofErr w:type="gramStart"/>
      <w:r w:rsidRPr="004A567A">
        <w:rPr>
          <w:rFonts w:eastAsia="Arial"/>
        </w:rPr>
        <w:t>time period</w:t>
      </w:r>
      <w:proofErr w:type="gramEnd"/>
      <w:r w:rsidRPr="004A567A">
        <w:rPr>
          <w:rFonts w:eastAsia="Arial"/>
        </w:rPr>
        <w:t xml:space="preserve"> for their deposit limit from a range of periods, including daily, weekly, fortnightly and monthly. </w:t>
      </w:r>
    </w:p>
    <w:p w14:paraId="1E03449C" w14:textId="77777777" w:rsidR="002A7C47" w:rsidRDefault="002A7C47" w:rsidP="002A7C47">
      <w:pPr>
        <w:pStyle w:val="ListNumber"/>
        <w:rPr>
          <w:rFonts w:eastAsia="Arial" w:cs="Arial"/>
          <w:szCs w:val="20"/>
        </w:rPr>
      </w:pPr>
      <w:r w:rsidRPr="004A567A">
        <w:rPr>
          <w:rFonts w:eastAsia="Arial"/>
        </w:rPr>
        <w:t xml:space="preserve">A customer must be able to set and change their deposit limit via the same channels available to them to place a bet, in addition to being able to set or change their deposit limit in writing. </w:t>
      </w:r>
    </w:p>
    <w:p w14:paraId="7E6BDA20" w14:textId="77777777" w:rsidR="002A7C47" w:rsidRDefault="002A7C47" w:rsidP="002A7C47">
      <w:pPr>
        <w:pStyle w:val="ListNumber"/>
        <w:rPr>
          <w:rFonts w:eastAsia="Arial" w:cs="Arial"/>
          <w:szCs w:val="20"/>
        </w:rPr>
      </w:pPr>
      <w:r w:rsidRPr="004A567A">
        <w:rPr>
          <w:rFonts w:eastAsia="Arial"/>
        </w:rPr>
        <w:t xml:space="preserve">The availability of the pre-commitment scheme should be promoted beyond initial account sign-up, with education and awareness of the scheme shown on an interactive wagering service provider’s website and its promotional material. </w:t>
      </w:r>
    </w:p>
    <w:p w14:paraId="0A9C0C71" w14:textId="77777777" w:rsidR="002A7C47" w:rsidRDefault="002A7C47" w:rsidP="002A7C47">
      <w:pPr>
        <w:pStyle w:val="ListNumber"/>
        <w:rPr>
          <w:rFonts w:eastAsia="Arial" w:cs="Arial"/>
          <w:szCs w:val="20"/>
        </w:rPr>
      </w:pPr>
      <w:r w:rsidRPr="004A567A">
        <w:rPr>
          <w:rFonts w:eastAsia="Arial"/>
        </w:rPr>
        <w:t xml:space="preserve">Governments will assess the feasibility and costs of a centralised pre-commitment system, </w:t>
      </w:r>
      <w:proofErr w:type="gramStart"/>
      <w:r w:rsidRPr="004A567A">
        <w:rPr>
          <w:rFonts w:eastAsia="Arial"/>
        </w:rPr>
        <w:t>taking into account</w:t>
      </w:r>
      <w:proofErr w:type="gramEnd"/>
      <w:r w:rsidRPr="004A567A">
        <w:rPr>
          <w:rFonts w:eastAsia="Arial"/>
        </w:rPr>
        <w:t xml:space="preserve"> the costs and benefits for consumers (feasibility study). </w:t>
      </w:r>
    </w:p>
    <w:p w14:paraId="1F96069F" w14:textId="6C5CC973" w:rsidR="002A7C47" w:rsidRDefault="002A7C47" w:rsidP="00CF6D5E">
      <w:pPr>
        <w:pStyle w:val="AppendixHeading3"/>
        <w:rPr>
          <w:rFonts w:eastAsia="Arial"/>
        </w:rPr>
      </w:pPr>
      <w:bookmarkStart w:id="159" w:name="_Toc233643323"/>
      <w:r w:rsidRPr="008230A3">
        <w:t xml:space="preserve">Activity </w:t>
      </w:r>
      <w:r w:rsidR="00F11D7F" w:rsidRPr="008230A3">
        <w:t>s</w:t>
      </w:r>
      <w:r w:rsidRPr="008230A3">
        <w:t>tatements – 10 principles</w:t>
      </w:r>
      <w:r>
        <w:t xml:space="preserve"> (</w:t>
      </w:r>
      <w:r w:rsidR="00EF1BA5">
        <w:t>9</w:t>
      </w:r>
      <w:r>
        <w:t>/10 fully implemented)</w:t>
      </w:r>
      <w:bookmarkEnd w:id="159"/>
    </w:p>
    <w:p w14:paraId="5988C4BF" w14:textId="77777777" w:rsidR="002A7C47" w:rsidRDefault="002A7C47" w:rsidP="002A7C47">
      <w:pPr>
        <w:pStyle w:val="ListNumber"/>
        <w:rPr>
          <w:rFonts w:eastAsia="Arial" w:cs="Arial"/>
        </w:rPr>
      </w:pPr>
      <w:r w:rsidRPr="0001473D">
        <w:rPr>
          <w:rFonts w:eastAsia="Arial"/>
        </w:rPr>
        <w:t xml:space="preserve">While a customer has an active betting account, an interactive wagering service provider must provide an activity statement to the customer via email, </w:t>
      </w:r>
      <w:proofErr w:type="gramStart"/>
      <w:r w:rsidRPr="0001473D">
        <w:rPr>
          <w:rFonts w:eastAsia="Arial"/>
        </w:rPr>
        <w:t>on a monthly basis</w:t>
      </w:r>
      <w:proofErr w:type="gramEnd"/>
      <w:r w:rsidRPr="0001473D">
        <w:rPr>
          <w:rFonts w:eastAsia="Arial"/>
        </w:rPr>
        <w:t xml:space="preserve">. </w:t>
      </w:r>
    </w:p>
    <w:p w14:paraId="6EF0BC0F" w14:textId="77777777" w:rsidR="002A7C47" w:rsidRDefault="002A7C47" w:rsidP="002A7C47">
      <w:pPr>
        <w:pStyle w:val="ListBullet2"/>
        <w:rPr>
          <w:rFonts w:eastAsia="Arial" w:cs="Arial"/>
        </w:rPr>
      </w:pPr>
      <w:r>
        <w:rPr>
          <w:rFonts w:eastAsia="Arial"/>
        </w:rPr>
        <w:t xml:space="preserve">A customer is deemed to have an active betting account if the customer has made a transaction on their betting account within the statement period. </w:t>
      </w:r>
    </w:p>
    <w:p w14:paraId="246B8223" w14:textId="77777777" w:rsidR="002A7C47" w:rsidRDefault="002A7C47" w:rsidP="002A7C47">
      <w:pPr>
        <w:pStyle w:val="ListNumber"/>
        <w:rPr>
          <w:rFonts w:eastAsia="Arial" w:cs="Arial"/>
        </w:rPr>
      </w:pPr>
      <w:r w:rsidRPr="0001473D">
        <w:rPr>
          <w:rFonts w:eastAsia="Arial"/>
        </w:rPr>
        <w:t xml:space="preserve">Activity statements must provide information that is clear and easily understood using common terms that customers are familiar with. </w:t>
      </w:r>
    </w:p>
    <w:p w14:paraId="4B6C47C4" w14:textId="77777777" w:rsidR="002A7C47" w:rsidRDefault="002A7C47" w:rsidP="002A7C47">
      <w:pPr>
        <w:pStyle w:val="ListNumber"/>
        <w:rPr>
          <w:rFonts w:eastAsia="Arial" w:cs="Arial"/>
        </w:rPr>
      </w:pPr>
      <w:r w:rsidRPr="0001473D">
        <w:rPr>
          <w:rFonts w:eastAsia="Arial"/>
        </w:rPr>
        <w:t xml:space="preserve">Activity statements must include segmented information clearly showing monthly information on betting activity and account transactions about: </w:t>
      </w:r>
    </w:p>
    <w:p w14:paraId="1409F5E2" w14:textId="77777777" w:rsidR="002A7C47" w:rsidRDefault="002A7C47" w:rsidP="002A7C47">
      <w:pPr>
        <w:pStyle w:val="ListBullet2"/>
        <w:rPr>
          <w:rFonts w:eastAsia="Arial" w:cs="Arial"/>
        </w:rPr>
      </w:pPr>
      <w:r>
        <w:rPr>
          <w:rFonts w:eastAsia="Arial"/>
        </w:rPr>
        <w:t xml:space="preserve">amount spent </w:t>
      </w:r>
    </w:p>
    <w:p w14:paraId="5D2AA41C" w14:textId="77777777" w:rsidR="002A7C47" w:rsidRDefault="002A7C47" w:rsidP="002A7C47">
      <w:pPr>
        <w:pStyle w:val="ListBullet2"/>
        <w:rPr>
          <w:rFonts w:eastAsia="Arial" w:cs="Arial"/>
        </w:rPr>
      </w:pPr>
      <w:r>
        <w:rPr>
          <w:rFonts w:eastAsia="Arial"/>
        </w:rPr>
        <w:t>wins and losses</w:t>
      </w:r>
    </w:p>
    <w:p w14:paraId="47E6AB2D" w14:textId="77777777" w:rsidR="002A7C47" w:rsidRDefault="002A7C47" w:rsidP="002A7C47">
      <w:pPr>
        <w:pStyle w:val="ListBullet2"/>
        <w:rPr>
          <w:rFonts w:eastAsia="Arial" w:cs="Arial"/>
        </w:rPr>
      </w:pPr>
      <w:r>
        <w:rPr>
          <w:rFonts w:eastAsia="Arial"/>
        </w:rPr>
        <w:t xml:space="preserve">number of bets placed </w:t>
      </w:r>
    </w:p>
    <w:p w14:paraId="7741B17D" w14:textId="77777777" w:rsidR="002A7C47" w:rsidRDefault="002A7C47" w:rsidP="002A7C47">
      <w:pPr>
        <w:pStyle w:val="ListBullet2"/>
        <w:rPr>
          <w:rFonts w:eastAsia="Arial" w:cs="Arial"/>
        </w:rPr>
      </w:pPr>
      <w:r>
        <w:rPr>
          <w:rFonts w:eastAsia="Arial"/>
        </w:rPr>
        <w:t xml:space="preserve">overall net win/loss for the specified period of the activity statement </w:t>
      </w:r>
    </w:p>
    <w:p w14:paraId="2E4307F1" w14:textId="77777777" w:rsidR="002A7C47" w:rsidRDefault="002A7C47" w:rsidP="002A7C47">
      <w:pPr>
        <w:pStyle w:val="ListBullet2"/>
        <w:rPr>
          <w:rFonts w:eastAsia="Arial" w:cs="Arial"/>
        </w:rPr>
      </w:pPr>
      <w:r>
        <w:rPr>
          <w:rFonts w:eastAsia="Arial"/>
        </w:rPr>
        <w:t xml:space="preserve">opening and closing balances </w:t>
      </w:r>
    </w:p>
    <w:p w14:paraId="5C946205" w14:textId="77777777" w:rsidR="002A7C47" w:rsidRDefault="002A7C47" w:rsidP="002A7C47">
      <w:pPr>
        <w:pStyle w:val="ListBullet2"/>
        <w:rPr>
          <w:rFonts w:eastAsia="Arial" w:cs="Arial"/>
        </w:rPr>
      </w:pPr>
      <w:r>
        <w:rPr>
          <w:rFonts w:eastAsia="Arial"/>
        </w:rPr>
        <w:t xml:space="preserve">deposits and withdrawals </w:t>
      </w:r>
    </w:p>
    <w:p w14:paraId="43813FDE" w14:textId="77777777" w:rsidR="002A7C47" w:rsidRDefault="002A7C47" w:rsidP="002A7C47">
      <w:pPr>
        <w:pStyle w:val="ListBullet2"/>
        <w:rPr>
          <w:rFonts w:eastAsia="Arial" w:cs="Arial"/>
        </w:rPr>
      </w:pPr>
      <w:r>
        <w:rPr>
          <w:rFonts w:eastAsia="Arial"/>
        </w:rPr>
        <w:t xml:space="preserve">the account balance </w:t>
      </w:r>
    </w:p>
    <w:p w14:paraId="507C109F" w14:textId="77777777" w:rsidR="002A7C47" w:rsidRDefault="002A7C47" w:rsidP="002A7C47">
      <w:pPr>
        <w:pStyle w:val="ListBullet2"/>
        <w:rPr>
          <w:rFonts w:eastAsia="Arial" w:cs="Arial"/>
        </w:rPr>
      </w:pPr>
      <w:r>
        <w:rPr>
          <w:rFonts w:eastAsia="Arial"/>
        </w:rPr>
        <w:t xml:space="preserve">a column graph to illustrate wagering activity comparing amount spent against net result over time for the last 6 months (cumulative), and shows a clear comparison tracking to the same time from the last year </w:t>
      </w:r>
    </w:p>
    <w:p w14:paraId="42968FF5" w14:textId="77777777" w:rsidR="002A7C47" w:rsidRDefault="002A7C47" w:rsidP="002A7C47">
      <w:pPr>
        <w:pStyle w:val="ListBullet2"/>
        <w:rPr>
          <w:rFonts w:eastAsia="Arial" w:cs="Arial"/>
        </w:rPr>
      </w:pPr>
      <w:r>
        <w:rPr>
          <w:rFonts w:eastAsia="Arial"/>
        </w:rPr>
        <w:t>links and information on support services and safe gambling messaging that promotes available consumer protection tools.</w:t>
      </w:r>
    </w:p>
    <w:p w14:paraId="251D8EEF" w14:textId="77777777" w:rsidR="002A7C47" w:rsidRDefault="002A7C47" w:rsidP="002A7C47">
      <w:pPr>
        <w:pStyle w:val="ListNumber"/>
        <w:rPr>
          <w:rFonts w:eastAsia="Arial" w:cs="Arial"/>
        </w:rPr>
      </w:pPr>
      <w:r w:rsidRPr="0001473D">
        <w:rPr>
          <w:rFonts w:eastAsia="Arial"/>
        </w:rPr>
        <w:t xml:space="preserve">Activity statements must be accompanied by a link to a customer’s transaction list. </w:t>
      </w:r>
    </w:p>
    <w:p w14:paraId="7A0133FF" w14:textId="77777777" w:rsidR="002A7C47" w:rsidRDefault="002A7C47" w:rsidP="002A7C47">
      <w:pPr>
        <w:pStyle w:val="ListNumber"/>
        <w:rPr>
          <w:rFonts w:eastAsia="Arial" w:cs="Arial"/>
        </w:rPr>
      </w:pPr>
      <w:r w:rsidRPr="0001473D">
        <w:rPr>
          <w:rFonts w:eastAsia="Arial"/>
        </w:rPr>
        <w:t xml:space="preserve">Activity statements must be accessible by a customer: </w:t>
      </w:r>
    </w:p>
    <w:p w14:paraId="1B34C14A" w14:textId="3D1EB269" w:rsidR="002A7C47" w:rsidRDefault="002A7C47" w:rsidP="002A7C47">
      <w:pPr>
        <w:pStyle w:val="ListBullet2"/>
        <w:rPr>
          <w:rFonts w:eastAsia="Arial" w:cs="Arial"/>
        </w:rPr>
      </w:pPr>
      <w:r w:rsidRPr="008230A3">
        <w:rPr>
          <w:rFonts w:eastAsia="Arial"/>
        </w:rPr>
        <w:t>on request at any time by email or telephone and in a format of the customer’s choosing (i</w:t>
      </w:r>
      <w:r w:rsidR="008C25EE">
        <w:rPr>
          <w:rFonts w:eastAsia="Arial"/>
        </w:rPr>
        <w:t>.</w:t>
      </w:r>
      <w:r w:rsidRPr="008230A3">
        <w:rPr>
          <w:rFonts w:eastAsia="Arial"/>
        </w:rPr>
        <w:t xml:space="preserve">e. e-statement or paper statement) </w:t>
      </w:r>
    </w:p>
    <w:p w14:paraId="51E7ECE7" w14:textId="77777777" w:rsidR="002A7C47" w:rsidRDefault="002A7C47" w:rsidP="002A7C47">
      <w:pPr>
        <w:pStyle w:val="ListBullet2"/>
        <w:rPr>
          <w:rFonts w:eastAsia="Arial" w:cs="Arial"/>
        </w:rPr>
      </w:pPr>
      <w:r w:rsidRPr="008230A3">
        <w:rPr>
          <w:rFonts w:eastAsia="Arial"/>
        </w:rPr>
        <w:t xml:space="preserve">online via their account at any time (only for those customers who </w:t>
      </w:r>
      <w:proofErr w:type="gramStart"/>
      <w:r w:rsidRPr="008230A3">
        <w:rPr>
          <w:rFonts w:eastAsia="Arial"/>
        </w:rPr>
        <w:t>are able to</w:t>
      </w:r>
      <w:proofErr w:type="gramEnd"/>
      <w:r w:rsidRPr="008230A3">
        <w:rPr>
          <w:rFonts w:eastAsia="Arial"/>
        </w:rPr>
        <w:t xml:space="preserve"> place a bet online).</w:t>
      </w:r>
    </w:p>
    <w:p w14:paraId="49783C86" w14:textId="77777777" w:rsidR="002A7C47" w:rsidRDefault="002A7C47" w:rsidP="002A7C47">
      <w:pPr>
        <w:pStyle w:val="ListNumber"/>
        <w:rPr>
          <w:rFonts w:eastAsia="Arial" w:cs="Arial"/>
        </w:rPr>
      </w:pPr>
      <w:r w:rsidRPr="0001473D">
        <w:rPr>
          <w:rFonts w:eastAsia="Arial"/>
        </w:rPr>
        <w:t xml:space="preserve">Activity statements must not be sent to inactive accounts. An inactive account is an account that has not had a betting activity for more than 12 months. </w:t>
      </w:r>
    </w:p>
    <w:p w14:paraId="24B6BC05" w14:textId="77777777" w:rsidR="002A7C47" w:rsidRDefault="002A7C47" w:rsidP="002A7C47">
      <w:pPr>
        <w:pStyle w:val="ListNumber"/>
        <w:rPr>
          <w:rFonts w:eastAsia="Arial" w:cs="Arial"/>
        </w:rPr>
      </w:pPr>
      <w:r w:rsidRPr="0001473D">
        <w:rPr>
          <w:rFonts w:eastAsia="Arial"/>
        </w:rPr>
        <w:lastRenderedPageBreak/>
        <w:t>Activity statements must be provided free of charge, except where a customer elects for delivery by mail, in which case the costs purely associated with this may be recovered from the customer.</w:t>
      </w:r>
    </w:p>
    <w:p w14:paraId="1157CF68" w14:textId="77777777" w:rsidR="002A7C47" w:rsidRDefault="002A7C47" w:rsidP="002A7C47">
      <w:pPr>
        <w:pStyle w:val="ListNumber"/>
        <w:rPr>
          <w:rFonts w:eastAsia="Arial" w:cs="Arial"/>
        </w:rPr>
      </w:pPr>
      <w:r w:rsidRPr="0001473D">
        <w:rPr>
          <w:rFonts w:eastAsia="Arial"/>
        </w:rPr>
        <w:t xml:space="preserve">In addition to activity statements, a record of betting account transactions must also be available: </w:t>
      </w:r>
    </w:p>
    <w:p w14:paraId="70BC761C" w14:textId="77777777" w:rsidR="002A7C47" w:rsidRDefault="002A7C47" w:rsidP="002A7C47">
      <w:pPr>
        <w:pStyle w:val="ListBullet2"/>
        <w:rPr>
          <w:rFonts w:eastAsia="Arial" w:cs="Arial"/>
        </w:rPr>
      </w:pPr>
      <w:r w:rsidRPr="008230A3">
        <w:rPr>
          <w:rFonts w:eastAsia="Arial"/>
        </w:rPr>
        <w:t xml:space="preserve">immediately </w:t>
      </w:r>
      <w:proofErr w:type="gramStart"/>
      <w:r w:rsidRPr="008230A3">
        <w:rPr>
          <w:rFonts w:eastAsia="Arial"/>
        </w:rPr>
        <w:t>at all times</w:t>
      </w:r>
      <w:proofErr w:type="gramEnd"/>
      <w:r w:rsidRPr="008230A3">
        <w:rPr>
          <w:rFonts w:eastAsia="Arial"/>
        </w:rPr>
        <w:t xml:space="preserve"> via a customer’s ‘My Account’ window for customers who bet online </w:t>
      </w:r>
    </w:p>
    <w:p w14:paraId="090C0C42" w14:textId="3AA01FD1" w:rsidR="002A7C47" w:rsidRDefault="002A7C47" w:rsidP="002A7C47">
      <w:pPr>
        <w:pStyle w:val="ListBullet2"/>
        <w:rPr>
          <w:rFonts w:eastAsia="Arial" w:cs="Arial"/>
        </w:rPr>
      </w:pPr>
      <w:r w:rsidRPr="008230A3">
        <w:rPr>
          <w:rFonts w:eastAsia="Arial"/>
        </w:rPr>
        <w:t>by email or post for customers who bet through other means (e</w:t>
      </w:r>
      <w:r w:rsidR="00864FCC">
        <w:rPr>
          <w:rFonts w:eastAsia="Arial"/>
        </w:rPr>
        <w:t>.</w:t>
      </w:r>
      <w:r w:rsidRPr="008230A3">
        <w:rPr>
          <w:rFonts w:eastAsia="Arial"/>
        </w:rPr>
        <w:t xml:space="preserve">g. via telephone) within 14 days of the customer’s request for a copy of their account transactions. </w:t>
      </w:r>
    </w:p>
    <w:p w14:paraId="2E3EEBA9" w14:textId="77777777" w:rsidR="002A7C47" w:rsidRDefault="002A7C47" w:rsidP="002A7C47">
      <w:pPr>
        <w:pStyle w:val="ListNumber"/>
        <w:rPr>
          <w:rFonts w:eastAsia="Arial" w:cs="Arial"/>
        </w:rPr>
      </w:pPr>
      <w:r w:rsidRPr="0001473D">
        <w:rPr>
          <w:rFonts w:eastAsia="Arial"/>
        </w:rPr>
        <w:t xml:space="preserve">Activity must not include any promotional or direct marketing information. They should use red text to show losses and black to show wins (no use of green text). </w:t>
      </w:r>
    </w:p>
    <w:p w14:paraId="3EE38843" w14:textId="77777777" w:rsidR="002A7C47" w:rsidRDefault="002A7C47" w:rsidP="002A7C47">
      <w:pPr>
        <w:pStyle w:val="ListNumber"/>
        <w:rPr>
          <w:rFonts w:eastAsia="Arial" w:cs="Arial"/>
        </w:rPr>
      </w:pPr>
      <w:r w:rsidRPr="0001473D">
        <w:rPr>
          <w:rFonts w:eastAsia="Arial"/>
        </w:rPr>
        <w:t>At a minimum, customers (including a person whose betting account has been closed) should be able to access a record of their account transactions for the preceding 7 years.</w:t>
      </w:r>
    </w:p>
    <w:p w14:paraId="39EF5253" w14:textId="08EC0FDC" w:rsidR="002A7C47" w:rsidRDefault="002A7C47" w:rsidP="00CF6D5E">
      <w:pPr>
        <w:pStyle w:val="AppendixHeading3"/>
      </w:pPr>
      <w:bookmarkStart w:id="160" w:name="_Toc233643324"/>
      <w:r w:rsidRPr="6E9057C3">
        <w:t xml:space="preserve">Consistent </w:t>
      </w:r>
      <w:r w:rsidR="00864FCC" w:rsidRPr="6E9057C3">
        <w:t xml:space="preserve">gambling messaging </w:t>
      </w:r>
      <w:r w:rsidRPr="6E9057C3">
        <w:t>– 4 principles</w:t>
      </w:r>
      <w:r w:rsidRPr="4EB5DD29">
        <w:t xml:space="preserve"> (fully implemented)</w:t>
      </w:r>
      <w:bookmarkEnd w:id="160"/>
    </w:p>
    <w:p w14:paraId="2D3607C8" w14:textId="77777777" w:rsidR="002A7C47" w:rsidRDefault="002A7C47" w:rsidP="002A7C47">
      <w:pPr>
        <w:pStyle w:val="ListNumber"/>
        <w:rPr>
          <w:rFonts w:eastAsia="Arial" w:cs="Arial"/>
          <w:szCs w:val="20"/>
        </w:rPr>
      </w:pPr>
      <w:r w:rsidRPr="6E9057C3">
        <w:rPr>
          <w:rFonts w:eastAsia="Arial" w:cs="Arial"/>
          <w:szCs w:val="20"/>
        </w:rPr>
        <w:t xml:space="preserve">Interactive wagering service providers must provide a set of gambling messages for industry to use in its advertising nation-wide. </w:t>
      </w:r>
    </w:p>
    <w:p w14:paraId="0CD53E07" w14:textId="77777777" w:rsidR="002A7C47" w:rsidRDefault="002A7C47" w:rsidP="002A7C47">
      <w:pPr>
        <w:pStyle w:val="ListNumber"/>
        <w:rPr>
          <w:rFonts w:eastAsia="Arial" w:cs="Arial"/>
          <w:szCs w:val="20"/>
        </w:rPr>
      </w:pPr>
      <w:r w:rsidRPr="6E9057C3">
        <w:rPr>
          <w:rFonts w:eastAsia="Arial" w:cs="Arial"/>
          <w:szCs w:val="20"/>
        </w:rPr>
        <w:t xml:space="preserve">The same approved gambling message(s) must be used in connection with any interactive wagering service, including as it relates to the following: </w:t>
      </w:r>
    </w:p>
    <w:p w14:paraId="6BB95920" w14:textId="77777777" w:rsidR="002A7C47" w:rsidRDefault="002A7C47" w:rsidP="002A7C47">
      <w:pPr>
        <w:pStyle w:val="ListBullet2"/>
        <w:rPr>
          <w:rFonts w:eastAsia="Arial" w:cs="Arial"/>
        </w:rPr>
      </w:pPr>
      <w:r w:rsidRPr="00B63515">
        <w:rPr>
          <w:rFonts w:eastAsia="Arial"/>
        </w:rPr>
        <w:t xml:space="preserve">within their customers’ ‘My Account’ window </w:t>
      </w:r>
    </w:p>
    <w:p w14:paraId="409CFE83" w14:textId="77777777" w:rsidR="002A7C47" w:rsidRDefault="002A7C47" w:rsidP="002A7C47">
      <w:pPr>
        <w:pStyle w:val="ListBullet2"/>
        <w:rPr>
          <w:rFonts w:eastAsia="Arial" w:cs="Arial"/>
        </w:rPr>
      </w:pPr>
      <w:r w:rsidRPr="00B63515">
        <w:rPr>
          <w:rFonts w:eastAsia="Arial"/>
        </w:rPr>
        <w:t xml:space="preserve">on their websites and internet applications </w:t>
      </w:r>
    </w:p>
    <w:p w14:paraId="61DCB1FE" w14:textId="77777777" w:rsidR="002A7C47" w:rsidRDefault="002A7C47" w:rsidP="002A7C47">
      <w:pPr>
        <w:pStyle w:val="ListBullet2"/>
        <w:rPr>
          <w:rFonts w:eastAsia="Arial" w:cs="Arial"/>
        </w:rPr>
      </w:pPr>
      <w:r w:rsidRPr="00B63515">
        <w:rPr>
          <w:rFonts w:eastAsia="Arial"/>
        </w:rPr>
        <w:t xml:space="preserve">on direct marketing materials </w:t>
      </w:r>
    </w:p>
    <w:p w14:paraId="6AA54546" w14:textId="77777777" w:rsidR="002A7C47" w:rsidRDefault="002A7C47" w:rsidP="002A7C47">
      <w:pPr>
        <w:pStyle w:val="ListBullet2"/>
        <w:rPr>
          <w:rFonts w:eastAsia="Arial" w:cs="Arial"/>
        </w:rPr>
      </w:pPr>
      <w:r w:rsidRPr="00B63515">
        <w:rPr>
          <w:rFonts w:eastAsia="Arial"/>
        </w:rPr>
        <w:t>on print and broadcast advertising</w:t>
      </w:r>
    </w:p>
    <w:p w14:paraId="615F6CC3" w14:textId="77777777" w:rsidR="002A7C47" w:rsidRDefault="002A7C47" w:rsidP="002A7C47">
      <w:pPr>
        <w:pStyle w:val="ListBullet2"/>
        <w:rPr>
          <w:rFonts w:eastAsia="Arial" w:cs="Arial"/>
        </w:rPr>
      </w:pPr>
      <w:r w:rsidRPr="00B63515">
        <w:rPr>
          <w:rFonts w:eastAsia="Arial"/>
        </w:rPr>
        <w:t xml:space="preserve">on any sponsorships and promotional activities. </w:t>
      </w:r>
    </w:p>
    <w:p w14:paraId="24DC68FB" w14:textId="77777777" w:rsidR="002A7C47" w:rsidRDefault="002A7C47" w:rsidP="002A7C47">
      <w:pPr>
        <w:pStyle w:val="ListNumber"/>
        <w:rPr>
          <w:rFonts w:eastAsia="Arial" w:cs="Arial"/>
          <w:szCs w:val="20"/>
        </w:rPr>
      </w:pPr>
      <w:r w:rsidRPr="6E9057C3">
        <w:rPr>
          <w:rFonts w:eastAsia="Arial" w:cs="Arial"/>
          <w:szCs w:val="20"/>
        </w:rPr>
        <w:t xml:space="preserve">State and territory governments will be able to tailor the gambling message(s) to their own campaigns. </w:t>
      </w:r>
    </w:p>
    <w:p w14:paraId="36B42D7E" w14:textId="77777777" w:rsidR="002A7C47" w:rsidRDefault="002A7C47" w:rsidP="002A7C47">
      <w:pPr>
        <w:pStyle w:val="ListNumber"/>
        <w:rPr>
          <w:rFonts w:eastAsia="Arial" w:cs="Arial"/>
          <w:szCs w:val="20"/>
        </w:rPr>
      </w:pPr>
      <w:r w:rsidRPr="6E9057C3">
        <w:rPr>
          <w:rFonts w:eastAsia="Arial" w:cs="Arial"/>
          <w:szCs w:val="20"/>
        </w:rPr>
        <w:t>Recognising that terminology of messaging is crucial as a consumer protection measure; the approved gambling message(s) will be designed:</w:t>
      </w:r>
    </w:p>
    <w:p w14:paraId="3941F91D" w14:textId="77777777" w:rsidR="002A7C47" w:rsidRDefault="002A7C47" w:rsidP="002A7C47">
      <w:pPr>
        <w:pStyle w:val="ListBullet2"/>
        <w:rPr>
          <w:rFonts w:eastAsia="Arial" w:cs="Arial"/>
        </w:rPr>
      </w:pPr>
      <w:r w:rsidRPr="008230A3">
        <w:rPr>
          <w:rFonts w:eastAsia="Arial"/>
        </w:rPr>
        <w:t xml:space="preserve">in collaboration with experts (harnessing new and existing research) </w:t>
      </w:r>
    </w:p>
    <w:p w14:paraId="32FEAC2C" w14:textId="77777777" w:rsidR="002A7C47" w:rsidRDefault="002A7C47" w:rsidP="002A7C47">
      <w:pPr>
        <w:pStyle w:val="ListBullet2"/>
        <w:rPr>
          <w:rFonts w:eastAsia="Arial" w:cs="Arial"/>
        </w:rPr>
      </w:pPr>
      <w:r w:rsidRPr="008230A3">
        <w:rPr>
          <w:rFonts w:eastAsia="Arial"/>
        </w:rPr>
        <w:t xml:space="preserve">in consideration of the jurisdictions in which they will be displayed </w:t>
      </w:r>
    </w:p>
    <w:p w14:paraId="6F1FD744" w14:textId="77777777" w:rsidR="002A7C47" w:rsidRDefault="002A7C47" w:rsidP="002A7C47">
      <w:pPr>
        <w:pStyle w:val="ListBullet2"/>
        <w:rPr>
          <w:rFonts w:eastAsia="Arial" w:cs="Arial"/>
        </w:rPr>
      </w:pPr>
      <w:r w:rsidRPr="008230A3">
        <w:rPr>
          <w:rFonts w:eastAsia="Arial"/>
        </w:rPr>
        <w:t>in consideration of the messages being easily understood by the wide range of consumer groups who make up the intended audience.</w:t>
      </w:r>
    </w:p>
    <w:p w14:paraId="33925041" w14:textId="35A9DCA8" w:rsidR="002A7C47" w:rsidRDefault="002A7C47" w:rsidP="00CF6D5E">
      <w:pPr>
        <w:pStyle w:val="AppendixHeading3"/>
      </w:pPr>
      <w:bookmarkStart w:id="161" w:name="_Toc233643325"/>
      <w:r w:rsidRPr="6E9057C3">
        <w:t xml:space="preserve">Staff </w:t>
      </w:r>
      <w:r w:rsidR="007F3074" w:rsidRPr="6E9057C3">
        <w:t>t</w:t>
      </w:r>
      <w:r w:rsidRPr="6E9057C3">
        <w:t>raining – 4 principles</w:t>
      </w:r>
      <w:r w:rsidRPr="3D811B78">
        <w:t xml:space="preserve"> </w:t>
      </w:r>
      <w:r w:rsidRPr="57AC931C">
        <w:t>(fully implemented)</w:t>
      </w:r>
      <w:bookmarkEnd w:id="161"/>
    </w:p>
    <w:p w14:paraId="0F1D8D88" w14:textId="77777777" w:rsidR="002A7C47" w:rsidRDefault="002A7C47" w:rsidP="002A7C47">
      <w:pPr>
        <w:pStyle w:val="ListNumber"/>
        <w:rPr>
          <w:rFonts w:eastAsia="Arial" w:cs="Arial"/>
          <w:szCs w:val="20"/>
        </w:rPr>
      </w:pPr>
      <w:r w:rsidRPr="6E9057C3">
        <w:rPr>
          <w:rFonts w:eastAsia="Arial" w:cs="Arial"/>
          <w:szCs w:val="20"/>
        </w:rPr>
        <w:t xml:space="preserve">All staff involved in the provision of wagering services, or with the capacity to influence the wagering service, must undertake responsible service of gambling training to create a culture of responsible gambling within the organisation. </w:t>
      </w:r>
    </w:p>
    <w:p w14:paraId="7BCB4B8E" w14:textId="77777777" w:rsidR="002A7C47" w:rsidRDefault="002A7C47" w:rsidP="002A7C47">
      <w:pPr>
        <w:pStyle w:val="ListNumber"/>
        <w:rPr>
          <w:rFonts w:eastAsia="Arial" w:cs="Arial"/>
          <w:szCs w:val="20"/>
        </w:rPr>
      </w:pPr>
      <w:r w:rsidRPr="6E9057C3">
        <w:rPr>
          <w:rFonts w:eastAsia="Arial" w:cs="Arial"/>
          <w:szCs w:val="20"/>
        </w:rPr>
        <w:t xml:space="preserve">Of these staff members, online training program must be undertaken by: </w:t>
      </w:r>
    </w:p>
    <w:p w14:paraId="411E8CC8" w14:textId="234A2EA2" w:rsidR="002A7C47" w:rsidRDefault="002A7C47" w:rsidP="002A7C47">
      <w:pPr>
        <w:pStyle w:val="ListBullet2"/>
        <w:rPr>
          <w:rFonts w:eastAsia="Arial" w:cs="Arial"/>
        </w:rPr>
      </w:pPr>
      <w:r w:rsidRPr="008230A3">
        <w:rPr>
          <w:rFonts w:eastAsia="Arial"/>
        </w:rPr>
        <w:t xml:space="preserve">new staff within one month of commencing work with the interactive wagering service provider but before interacting with a customer about, or influencing, the provision of a service </w:t>
      </w:r>
    </w:p>
    <w:p w14:paraId="4C0BBAC8" w14:textId="77777777" w:rsidR="002A7C47" w:rsidRDefault="002A7C47" w:rsidP="002A7C47">
      <w:pPr>
        <w:pStyle w:val="ListBullet2"/>
        <w:rPr>
          <w:rFonts w:eastAsia="Arial" w:cs="Arial"/>
        </w:rPr>
      </w:pPr>
      <w:r w:rsidRPr="008230A3">
        <w:rPr>
          <w:rFonts w:eastAsia="Arial"/>
        </w:rPr>
        <w:t xml:space="preserve">existing staff within 6 months of the online training program coming into effect. </w:t>
      </w:r>
    </w:p>
    <w:p w14:paraId="79097A99" w14:textId="77777777" w:rsidR="002A7C47" w:rsidRDefault="002A7C47" w:rsidP="002A7C47">
      <w:pPr>
        <w:pStyle w:val="ListNumber"/>
        <w:rPr>
          <w:rFonts w:eastAsia="Arial" w:cs="Arial"/>
          <w:szCs w:val="20"/>
        </w:rPr>
      </w:pPr>
      <w:r w:rsidRPr="6E9057C3">
        <w:rPr>
          <w:rFonts w:eastAsia="Arial" w:cs="Arial"/>
          <w:szCs w:val="20"/>
        </w:rPr>
        <w:lastRenderedPageBreak/>
        <w:t xml:space="preserve">All staff who have undertaken the approved online training program must undertake an annual refresher training course to refresh content knowledge and information on any recent changes in consumer protection and/or gambling harm. </w:t>
      </w:r>
    </w:p>
    <w:p w14:paraId="7BB127A7" w14:textId="77777777" w:rsidR="002A7C47" w:rsidRDefault="002A7C47" w:rsidP="002A7C47">
      <w:pPr>
        <w:pStyle w:val="ListNumber"/>
        <w:rPr>
          <w:rFonts w:eastAsia="Arial" w:cs="Arial"/>
          <w:szCs w:val="20"/>
        </w:rPr>
      </w:pPr>
      <w:r w:rsidRPr="6E9057C3">
        <w:rPr>
          <w:rFonts w:eastAsia="Arial" w:cs="Arial"/>
          <w:szCs w:val="20"/>
        </w:rPr>
        <w:t>The approved online training program (including refresher training course) must be industry funded.</w:t>
      </w:r>
    </w:p>
    <w:p w14:paraId="564B3D68" w14:textId="1A7E17EE" w:rsidR="002A7C47" w:rsidRDefault="002A7C47" w:rsidP="00CF6D5E">
      <w:pPr>
        <w:pStyle w:val="AppendixHeading3"/>
      </w:pPr>
      <w:bookmarkStart w:id="162" w:name="_Toc233643326"/>
      <w:r w:rsidRPr="6E9057C3">
        <w:t>NSER</w:t>
      </w:r>
      <w:r w:rsidR="00EC75F2">
        <w:t xml:space="preserve"> –</w:t>
      </w:r>
      <w:r w:rsidR="005A77C0">
        <w:t xml:space="preserve"> </w:t>
      </w:r>
      <w:r w:rsidRPr="6E9057C3">
        <w:t>BetStop – 15 principles</w:t>
      </w:r>
      <w:r w:rsidRPr="57AC931C">
        <w:t xml:space="preserve"> (</w:t>
      </w:r>
      <w:r>
        <w:t>f</w:t>
      </w:r>
      <w:r w:rsidRPr="5FF515C1">
        <w:t>ully</w:t>
      </w:r>
      <w:r w:rsidRPr="4A82888A">
        <w:t xml:space="preserve"> implemented</w:t>
      </w:r>
      <w:r w:rsidRPr="41029517">
        <w:t>)</w:t>
      </w:r>
      <w:bookmarkEnd w:id="162"/>
    </w:p>
    <w:p w14:paraId="1F7FB5D8" w14:textId="77777777" w:rsidR="002A7C47" w:rsidRDefault="002A7C47" w:rsidP="002A7C47">
      <w:pPr>
        <w:pStyle w:val="ListNumber"/>
        <w:rPr>
          <w:rFonts w:eastAsia="Arial" w:cs="Arial"/>
          <w:szCs w:val="20"/>
        </w:rPr>
      </w:pPr>
      <w:r w:rsidRPr="6E9057C3">
        <w:rPr>
          <w:rFonts w:eastAsia="Arial" w:cs="Arial"/>
          <w:szCs w:val="20"/>
        </w:rPr>
        <w:t xml:space="preserve">The NSER must operate to allow a consumer to self-exclude from all interactive wagering services in a single process. </w:t>
      </w:r>
    </w:p>
    <w:p w14:paraId="016FEB00" w14:textId="77777777" w:rsidR="002A7C47" w:rsidRDefault="002A7C47" w:rsidP="002A7C47">
      <w:pPr>
        <w:pStyle w:val="ListNumber"/>
        <w:rPr>
          <w:rFonts w:eastAsia="Arial" w:cs="Arial"/>
          <w:szCs w:val="20"/>
        </w:rPr>
      </w:pPr>
      <w:r w:rsidRPr="6E9057C3">
        <w:rPr>
          <w:rFonts w:eastAsia="Arial" w:cs="Arial"/>
          <w:szCs w:val="20"/>
        </w:rPr>
        <w:t xml:space="preserve">The NSER must be quick and simple for a consumer to apply </w:t>
      </w:r>
      <w:proofErr w:type="gramStart"/>
      <w:r w:rsidRPr="6E9057C3">
        <w:rPr>
          <w:rFonts w:eastAsia="Arial" w:cs="Arial"/>
          <w:szCs w:val="20"/>
        </w:rPr>
        <w:t>to, and</w:t>
      </w:r>
      <w:proofErr w:type="gramEnd"/>
      <w:r w:rsidRPr="6E9057C3">
        <w:rPr>
          <w:rFonts w:eastAsia="Arial" w:cs="Arial"/>
          <w:szCs w:val="20"/>
        </w:rPr>
        <w:t xml:space="preserve"> must take immediate effect upon registration/sign-up. </w:t>
      </w:r>
    </w:p>
    <w:p w14:paraId="3D971613" w14:textId="77777777" w:rsidR="002A7C47" w:rsidRDefault="002A7C47" w:rsidP="002A7C47">
      <w:pPr>
        <w:pStyle w:val="ListNumber"/>
        <w:rPr>
          <w:rFonts w:eastAsia="Arial" w:cs="Arial"/>
          <w:szCs w:val="20"/>
        </w:rPr>
      </w:pPr>
      <w:r w:rsidRPr="6E9057C3">
        <w:rPr>
          <w:rFonts w:eastAsia="Arial" w:cs="Arial"/>
          <w:szCs w:val="20"/>
        </w:rPr>
        <w:t xml:space="preserve">The NSER is to be effectively promoted so consumers are educated about self-exclusion and aware of the scheme. </w:t>
      </w:r>
    </w:p>
    <w:p w14:paraId="68369DC9" w14:textId="77777777" w:rsidR="002A7C47" w:rsidRDefault="002A7C47" w:rsidP="002A7C47">
      <w:pPr>
        <w:pStyle w:val="ListNumber"/>
        <w:rPr>
          <w:rFonts w:eastAsia="Arial" w:cs="Arial"/>
          <w:szCs w:val="20"/>
        </w:rPr>
      </w:pPr>
      <w:r w:rsidRPr="6E9057C3">
        <w:rPr>
          <w:rFonts w:eastAsia="Arial" w:cs="Arial"/>
          <w:szCs w:val="20"/>
        </w:rPr>
        <w:t xml:space="preserve">The NSER must be offered across all phone and web-based digital platforms. </w:t>
      </w:r>
    </w:p>
    <w:p w14:paraId="125006E2" w14:textId="77777777" w:rsidR="002A7C47" w:rsidRDefault="002A7C47" w:rsidP="002A7C47">
      <w:pPr>
        <w:pStyle w:val="ListNumber"/>
        <w:rPr>
          <w:rFonts w:eastAsia="Arial" w:cs="Arial"/>
          <w:szCs w:val="20"/>
        </w:rPr>
      </w:pPr>
      <w:r w:rsidRPr="6E9057C3">
        <w:rPr>
          <w:rFonts w:eastAsia="Arial" w:cs="Arial"/>
          <w:szCs w:val="20"/>
        </w:rPr>
        <w:t>The NSER must allow a consumer to choose their exclusion period, ranging from 3 months to permanent exclusion.</w:t>
      </w:r>
    </w:p>
    <w:p w14:paraId="2324BDEE" w14:textId="77777777" w:rsidR="002A7C47" w:rsidRDefault="002A7C47" w:rsidP="002A7C47">
      <w:pPr>
        <w:pStyle w:val="ListNumber"/>
        <w:rPr>
          <w:rFonts w:eastAsia="Arial" w:cs="Arial"/>
          <w:szCs w:val="20"/>
        </w:rPr>
      </w:pPr>
      <w:r w:rsidRPr="6E9057C3">
        <w:rPr>
          <w:rFonts w:eastAsia="Arial" w:cs="Arial"/>
          <w:szCs w:val="20"/>
        </w:rPr>
        <w:t xml:space="preserve">The NSER must afford a consumer the option to enter a sponsor (e.g. a friend or family member), who will be notified at the end of their exclusion period. </w:t>
      </w:r>
    </w:p>
    <w:p w14:paraId="53972548" w14:textId="77777777" w:rsidR="002A7C47" w:rsidRDefault="002A7C47" w:rsidP="002A7C47">
      <w:pPr>
        <w:pStyle w:val="ListNumber"/>
        <w:rPr>
          <w:rFonts w:eastAsia="Arial" w:cs="Arial"/>
          <w:szCs w:val="20"/>
        </w:rPr>
      </w:pPr>
      <w:r w:rsidRPr="6E9057C3">
        <w:rPr>
          <w:rFonts w:eastAsia="Arial" w:cs="Arial"/>
          <w:szCs w:val="20"/>
        </w:rPr>
        <w:t xml:space="preserve">Information on gambling support, financial and counselling services, and information about land-based self-exclusion tools, must be made available to a consumer at the time a consumer nominates to self-exclude. </w:t>
      </w:r>
    </w:p>
    <w:p w14:paraId="687E227B" w14:textId="77777777" w:rsidR="002A7C47" w:rsidRDefault="002A7C47" w:rsidP="002A7C47">
      <w:pPr>
        <w:pStyle w:val="ListNumber"/>
        <w:rPr>
          <w:rFonts w:eastAsia="Arial" w:cs="Arial"/>
          <w:szCs w:val="20"/>
        </w:rPr>
      </w:pPr>
      <w:r w:rsidRPr="6E9057C3">
        <w:rPr>
          <w:rFonts w:eastAsia="Arial" w:cs="Arial"/>
          <w:szCs w:val="20"/>
        </w:rPr>
        <w:t xml:space="preserve">Information on gambling consumer protections must be made publicly available and accessible. </w:t>
      </w:r>
    </w:p>
    <w:p w14:paraId="49FDB508" w14:textId="77777777" w:rsidR="002A7C47" w:rsidRDefault="002A7C47" w:rsidP="002A7C47">
      <w:pPr>
        <w:pStyle w:val="ListNumber"/>
        <w:rPr>
          <w:rFonts w:eastAsia="Arial" w:cs="Arial"/>
          <w:szCs w:val="20"/>
        </w:rPr>
      </w:pPr>
      <w:r w:rsidRPr="6E9057C3">
        <w:rPr>
          <w:rFonts w:eastAsia="Arial" w:cs="Arial"/>
          <w:szCs w:val="20"/>
        </w:rPr>
        <w:t xml:space="preserve">An interactive wagering service provider is prohibited from providing any marketing and/or promotional material to a consumer who is registered for self-exclusion, during the period of self-exclusion. </w:t>
      </w:r>
    </w:p>
    <w:p w14:paraId="2516C069" w14:textId="77777777" w:rsidR="002A7C47" w:rsidRDefault="002A7C47" w:rsidP="002A7C47">
      <w:pPr>
        <w:pStyle w:val="ListNumber"/>
        <w:rPr>
          <w:rFonts w:eastAsia="Arial" w:cs="Arial"/>
          <w:szCs w:val="20"/>
        </w:rPr>
      </w:pPr>
      <w:r w:rsidRPr="6E9057C3">
        <w:rPr>
          <w:rFonts w:eastAsia="Arial" w:cs="Arial"/>
          <w:szCs w:val="20"/>
        </w:rPr>
        <w:t xml:space="preserve">Upon registration for self-exclusion, all funds held in a consumer’s active accounts must be returned to that consumer once all wagers/bets are settled – the account must then be closed. </w:t>
      </w:r>
    </w:p>
    <w:p w14:paraId="74E04113" w14:textId="77777777" w:rsidR="002A7C47" w:rsidRDefault="002A7C47" w:rsidP="002A7C47">
      <w:pPr>
        <w:pStyle w:val="ListNumber"/>
        <w:rPr>
          <w:rFonts w:eastAsia="Arial" w:cs="Arial"/>
          <w:szCs w:val="20"/>
        </w:rPr>
      </w:pPr>
      <w:r w:rsidRPr="6E9057C3">
        <w:rPr>
          <w:rFonts w:eastAsia="Arial" w:cs="Arial"/>
          <w:szCs w:val="20"/>
        </w:rPr>
        <w:t xml:space="preserve">A process for revoking a consumer’s registration for self-exclusion must be available to consumers. </w:t>
      </w:r>
    </w:p>
    <w:p w14:paraId="5A2D7A4D" w14:textId="6FEBC022" w:rsidR="002A7C47" w:rsidRDefault="002A7C47" w:rsidP="002A7C47">
      <w:pPr>
        <w:pStyle w:val="ListBullet2"/>
        <w:rPr>
          <w:rFonts w:eastAsia="Arial" w:cs="Arial"/>
        </w:rPr>
      </w:pPr>
      <w:r w:rsidRPr="008230A3">
        <w:rPr>
          <w:rFonts w:eastAsia="Arial"/>
        </w:rPr>
        <w:t xml:space="preserve">A consumer must see a counsellor, and provide evidence of this, as a prerequisite for revocation. </w:t>
      </w:r>
    </w:p>
    <w:p w14:paraId="1DB9B451" w14:textId="4236DCE6" w:rsidR="002A7C47" w:rsidRDefault="002A7C47" w:rsidP="002A7C47">
      <w:pPr>
        <w:pStyle w:val="ListBullet2"/>
        <w:rPr>
          <w:rFonts w:eastAsia="Arial" w:cs="Arial"/>
        </w:rPr>
      </w:pPr>
      <w:r w:rsidRPr="008230A3">
        <w:rPr>
          <w:rFonts w:eastAsia="Arial"/>
        </w:rPr>
        <w:t>A 7</w:t>
      </w:r>
      <w:r w:rsidR="00057EE7">
        <w:rPr>
          <w:rFonts w:eastAsia="Arial"/>
        </w:rPr>
        <w:t>-</w:t>
      </w:r>
      <w:r w:rsidRPr="008230A3">
        <w:rPr>
          <w:rFonts w:eastAsia="Arial"/>
        </w:rPr>
        <w:t xml:space="preserve">day cooling off period applies before revocation can take effect. </w:t>
      </w:r>
    </w:p>
    <w:p w14:paraId="784740D1" w14:textId="77777777" w:rsidR="002A7C47" w:rsidRDefault="002A7C47" w:rsidP="002A7C47">
      <w:pPr>
        <w:pStyle w:val="ListNumber"/>
        <w:rPr>
          <w:rFonts w:eastAsia="Arial" w:cs="Arial"/>
          <w:szCs w:val="20"/>
        </w:rPr>
      </w:pPr>
      <w:r w:rsidRPr="6E9057C3">
        <w:rPr>
          <w:rFonts w:eastAsia="Arial" w:cs="Arial"/>
          <w:szCs w:val="20"/>
        </w:rPr>
        <w:t xml:space="preserve">A consumer seeking to wager online must actively approach each interactive wagering service provider to open a new wagering account after the customer’s exclusion period has ended. </w:t>
      </w:r>
    </w:p>
    <w:p w14:paraId="608E975F" w14:textId="77777777" w:rsidR="002A7C47" w:rsidRDefault="002A7C47" w:rsidP="002A7C47">
      <w:pPr>
        <w:pStyle w:val="ListNumber"/>
        <w:rPr>
          <w:rFonts w:eastAsia="Arial" w:cs="Arial"/>
          <w:szCs w:val="20"/>
        </w:rPr>
      </w:pPr>
      <w:r w:rsidRPr="6E9057C3">
        <w:rPr>
          <w:rFonts w:eastAsia="Arial" w:cs="Arial"/>
          <w:szCs w:val="20"/>
        </w:rPr>
        <w:t>The NSER must be industry-funded.</w:t>
      </w:r>
    </w:p>
    <w:p w14:paraId="595204AE" w14:textId="77777777" w:rsidR="002A7C47" w:rsidRDefault="002A7C47" w:rsidP="002A7C47">
      <w:pPr>
        <w:pStyle w:val="ListNumber"/>
        <w:rPr>
          <w:rFonts w:eastAsia="Arial" w:cs="Arial"/>
          <w:szCs w:val="20"/>
        </w:rPr>
      </w:pPr>
      <w:r w:rsidRPr="6E9057C3">
        <w:rPr>
          <w:rFonts w:eastAsia="Arial" w:cs="Arial"/>
          <w:szCs w:val="20"/>
        </w:rPr>
        <w:t xml:space="preserve">The NSER will be built with the capability to also exclude consumers </w:t>
      </w:r>
      <w:proofErr w:type="gramStart"/>
      <w:r w:rsidRPr="6E9057C3">
        <w:rPr>
          <w:rFonts w:eastAsia="Arial" w:cs="Arial"/>
          <w:szCs w:val="20"/>
        </w:rPr>
        <w:t>on the basis of</w:t>
      </w:r>
      <w:proofErr w:type="gramEnd"/>
      <w:r w:rsidRPr="6E9057C3">
        <w:rPr>
          <w:rFonts w:eastAsia="Arial" w:cs="Arial"/>
          <w:szCs w:val="20"/>
        </w:rPr>
        <w:t xml:space="preserve"> an interactive wagering service/product.</w:t>
      </w:r>
    </w:p>
    <w:p w14:paraId="1371D429" w14:textId="24AE47E6" w:rsidR="00967965" w:rsidRDefault="002A7C47" w:rsidP="002A7C47">
      <w:pPr>
        <w:pStyle w:val="ListNumber"/>
        <w:rPr>
          <w:rFonts w:eastAsia="Arial" w:cs="Arial"/>
        </w:rPr>
        <w:sectPr w:rsidR="00967965" w:rsidSect="003E213F">
          <w:pgSz w:w="11901" w:h="16840"/>
          <w:pgMar w:top="1418" w:right="1701" w:bottom="1418" w:left="1701" w:header="680" w:footer="680" w:gutter="0"/>
          <w:cols w:space="708"/>
          <w:noEndnote/>
          <w:docGrid w:linePitch="272"/>
        </w:sectPr>
      </w:pPr>
      <w:r w:rsidRPr="041553B9">
        <w:rPr>
          <w:rFonts w:eastAsia="Arial" w:cs="Arial"/>
        </w:rPr>
        <w:t>A review of the NSER will be conducted at the end of the first 12</w:t>
      </w:r>
      <w:r w:rsidR="00CD361C">
        <w:rPr>
          <w:rFonts w:eastAsia="Arial" w:cs="Arial"/>
        </w:rPr>
        <w:t>-</w:t>
      </w:r>
      <w:r w:rsidRPr="041553B9">
        <w:rPr>
          <w:rFonts w:eastAsia="Arial" w:cs="Arial"/>
        </w:rPr>
        <w:t>month period of operation to ensure the system is meeting its objectives, and to determine whether any additional in</w:t>
      </w:r>
      <w:r w:rsidR="00CD361C">
        <w:rPr>
          <w:rFonts w:eastAsia="Arial" w:cs="Arial"/>
        </w:rPr>
        <w:t>-</w:t>
      </w:r>
      <w:r w:rsidRPr="041553B9">
        <w:rPr>
          <w:rFonts w:eastAsia="Arial" w:cs="Arial"/>
        </w:rPr>
        <w:t>built functionality should be activated.</w:t>
      </w:r>
    </w:p>
    <w:p w14:paraId="2CCC0774" w14:textId="0D145266" w:rsidR="00335013" w:rsidRDefault="00BA3D8C" w:rsidP="00A23CF7">
      <w:pPr>
        <w:pStyle w:val="Heading1"/>
        <w:spacing w:before="0"/>
      </w:pPr>
      <w:bookmarkStart w:id="163" w:name="_Toc233643327"/>
      <w:r>
        <w:lastRenderedPageBreak/>
        <w:t xml:space="preserve">Appendix </w:t>
      </w:r>
      <w:r w:rsidR="00A0097E">
        <w:t>B</w:t>
      </w:r>
      <w:r>
        <w:t xml:space="preserve">: Program logic </w:t>
      </w:r>
      <w:r w:rsidR="00520D39">
        <w:t xml:space="preserve">model </w:t>
      </w:r>
      <w:r w:rsidR="008E1744">
        <w:t>and</w:t>
      </w:r>
      <w:r w:rsidR="001F33DB">
        <w:t xml:space="preserve"> </w:t>
      </w:r>
      <w:r w:rsidR="00335013">
        <w:t>theory of change</w:t>
      </w:r>
      <w:bookmarkEnd w:id="163"/>
    </w:p>
    <w:bookmarkEnd w:id="148"/>
    <w:bookmarkEnd w:id="149"/>
    <w:p w14:paraId="05B265E5" w14:textId="061DDEF4" w:rsidR="005B32E1" w:rsidRPr="00003F52" w:rsidRDefault="005B32E1" w:rsidP="00003F52">
      <w:pPr>
        <w:spacing w:before="0" w:line="240" w:lineRule="auto"/>
        <w:rPr>
          <w:rFonts w:cs="Arial"/>
          <w:color w:val="auto"/>
          <w:kern w:val="32"/>
          <w:sz w:val="16"/>
          <w:szCs w:val="16"/>
        </w:rPr>
      </w:pPr>
      <w:r w:rsidRPr="00003F52">
        <w:rPr>
          <w:rFonts w:cs="Arial"/>
          <w:color w:val="auto"/>
          <w:kern w:val="32"/>
          <w:sz w:val="16"/>
          <w:szCs w:val="16"/>
        </w:rPr>
        <w:t xml:space="preserve">(Source: Communio, 2018, </w:t>
      </w:r>
      <w:r w:rsidR="00771B58" w:rsidRPr="00003F52">
        <w:rPr>
          <w:rFonts w:cs="Arial"/>
          <w:color w:val="auto"/>
          <w:kern w:val="32"/>
          <w:sz w:val="16"/>
          <w:szCs w:val="16"/>
        </w:rPr>
        <w:t xml:space="preserve">Figure 1, </w:t>
      </w:r>
      <w:r w:rsidRPr="00003F52">
        <w:rPr>
          <w:rFonts w:cs="Arial"/>
          <w:color w:val="auto"/>
          <w:kern w:val="32"/>
          <w:sz w:val="16"/>
          <w:szCs w:val="16"/>
        </w:rPr>
        <w:t>page 20)</w:t>
      </w:r>
    </w:p>
    <w:p w14:paraId="4762A0EA" w14:textId="2BF8FA2A" w:rsidR="005B32E1" w:rsidRPr="005B32E1" w:rsidRDefault="00081BBA" w:rsidP="00003F52">
      <w:pPr>
        <w:spacing w:before="0" w:line="240" w:lineRule="auto"/>
        <w:rPr>
          <w:rFonts w:cs="Arial"/>
          <w:color w:val="auto"/>
          <w:kern w:val="32"/>
          <w:szCs w:val="20"/>
        </w:rPr>
      </w:pPr>
      <w:r w:rsidRPr="00081BBA">
        <w:rPr>
          <w:rFonts w:cs="Arial"/>
          <w:noProof/>
          <w:color w:val="auto"/>
          <w:kern w:val="32"/>
          <w:szCs w:val="20"/>
        </w:rPr>
        <w:drawing>
          <wp:inline distT="0" distB="0" distL="0" distR="0" wp14:anchorId="09A1F7ED" wp14:editId="601FBAFC">
            <wp:extent cx="7342496" cy="4874920"/>
            <wp:effectExtent l="0" t="0" r="0" b="1905"/>
            <wp:docPr id="103783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37534" name=""/>
                    <pic:cNvPicPr/>
                  </pic:nvPicPr>
                  <pic:blipFill>
                    <a:blip r:embed="rId72"/>
                    <a:stretch>
                      <a:fillRect/>
                    </a:stretch>
                  </pic:blipFill>
                  <pic:spPr>
                    <a:xfrm>
                      <a:off x="0" y="0"/>
                      <a:ext cx="7342496" cy="4874920"/>
                    </a:xfrm>
                    <a:prstGeom prst="rect">
                      <a:avLst/>
                    </a:prstGeom>
                  </pic:spPr>
                </pic:pic>
              </a:graphicData>
            </a:graphic>
          </wp:inline>
        </w:drawing>
      </w:r>
    </w:p>
    <w:p w14:paraId="7F079005" w14:textId="70244944" w:rsidR="00081BBA" w:rsidRPr="00003F52" w:rsidRDefault="00081BBA" w:rsidP="00003F52">
      <w:pPr>
        <w:spacing w:before="0" w:line="240" w:lineRule="auto"/>
        <w:rPr>
          <w:rFonts w:cs="Arial"/>
          <w:color w:val="auto"/>
          <w:kern w:val="32"/>
          <w:sz w:val="16"/>
          <w:szCs w:val="16"/>
        </w:rPr>
      </w:pPr>
      <w:bookmarkStart w:id="164" w:name="_Toc215847430"/>
      <w:r w:rsidRPr="00003F52">
        <w:rPr>
          <w:rFonts w:cs="Arial"/>
          <w:color w:val="auto"/>
          <w:kern w:val="32"/>
          <w:sz w:val="16"/>
          <w:szCs w:val="16"/>
        </w:rPr>
        <w:lastRenderedPageBreak/>
        <w:t xml:space="preserve">(Source: Communio, 2018, </w:t>
      </w:r>
      <w:r w:rsidR="00771B58" w:rsidRPr="00003F52">
        <w:rPr>
          <w:rFonts w:cs="Arial"/>
          <w:color w:val="auto"/>
          <w:kern w:val="32"/>
          <w:sz w:val="16"/>
          <w:szCs w:val="16"/>
        </w:rPr>
        <w:t xml:space="preserve">Figure 2, </w:t>
      </w:r>
      <w:r w:rsidRPr="00003F52">
        <w:rPr>
          <w:rFonts w:cs="Arial"/>
          <w:color w:val="auto"/>
          <w:kern w:val="32"/>
          <w:sz w:val="16"/>
          <w:szCs w:val="16"/>
        </w:rPr>
        <w:t>page 2</w:t>
      </w:r>
      <w:r w:rsidR="00771B58" w:rsidRPr="00003F52">
        <w:rPr>
          <w:rFonts w:cs="Arial"/>
          <w:color w:val="auto"/>
          <w:kern w:val="32"/>
          <w:sz w:val="16"/>
          <w:szCs w:val="16"/>
        </w:rPr>
        <w:t>8</w:t>
      </w:r>
      <w:r w:rsidRPr="00003F52">
        <w:rPr>
          <w:rFonts w:cs="Arial"/>
          <w:color w:val="auto"/>
          <w:kern w:val="32"/>
          <w:sz w:val="16"/>
          <w:szCs w:val="16"/>
        </w:rPr>
        <w:t>)</w:t>
      </w:r>
    </w:p>
    <w:p w14:paraId="7AAE2A65" w14:textId="0F2BA86E" w:rsidR="00771B58" w:rsidRDefault="00023E60" w:rsidP="00003F52">
      <w:pPr>
        <w:spacing w:line="240" w:lineRule="auto"/>
        <w:rPr>
          <w:rFonts w:cs="Arial"/>
          <w:color w:val="auto"/>
          <w:kern w:val="32"/>
          <w:szCs w:val="20"/>
        </w:rPr>
      </w:pPr>
      <w:r w:rsidRPr="00023E60">
        <w:rPr>
          <w:rFonts w:cs="Arial"/>
          <w:noProof/>
          <w:color w:val="auto"/>
          <w:kern w:val="32"/>
          <w:szCs w:val="20"/>
        </w:rPr>
        <w:drawing>
          <wp:inline distT="0" distB="0" distL="0" distR="0" wp14:anchorId="18E93258" wp14:editId="707B108E">
            <wp:extent cx="7528162" cy="4527433"/>
            <wp:effectExtent l="19050" t="19050" r="15875" b="26035"/>
            <wp:docPr id="10817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7769" name=""/>
                    <pic:cNvPicPr/>
                  </pic:nvPicPr>
                  <pic:blipFill>
                    <a:blip r:embed="rId73"/>
                    <a:stretch>
                      <a:fillRect/>
                    </a:stretch>
                  </pic:blipFill>
                  <pic:spPr>
                    <a:xfrm>
                      <a:off x="0" y="0"/>
                      <a:ext cx="7554234" cy="4543113"/>
                    </a:xfrm>
                    <a:prstGeom prst="rect">
                      <a:avLst/>
                    </a:prstGeom>
                    <a:ln>
                      <a:solidFill>
                        <a:schemeClr val="bg1">
                          <a:lumMod val="85000"/>
                        </a:schemeClr>
                      </a:solidFill>
                    </a:ln>
                  </pic:spPr>
                </pic:pic>
              </a:graphicData>
            </a:graphic>
          </wp:inline>
        </w:drawing>
      </w:r>
    </w:p>
    <w:p w14:paraId="6BC6EA2A" w14:textId="77777777" w:rsidR="00081BBA" w:rsidRPr="005B32E1" w:rsidRDefault="00081BBA" w:rsidP="0054015F">
      <w:pPr>
        <w:keepNext/>
        <w:keepLines/>
        <w:pageBreakBefore/>
        <w:spacing w:before="0" w:after="120" w:line="240" w:lineRule="auto"/>
        <w:jc w:val="left"/>
        <w:outlineLvl w:val="0"/>
        <w:rPr>
          <w:rFonts w:cs="Arial"/>
          <w:color w:val="auto"/>
          <w:kern w:val="32"/>
          <w:sz w:val="44"/>
        </w:rPr>
        <w:sectPr w:rsidR="00081BBA" w:rsidRPr="005B32E1" w:rsidSect="00B05FE3">
          <w:pgSz w:w="16840" w:h="11901" w:orient="landscape"/>
          <w:pgMar w:top="1701" w:right="1418" w:bottom="1701" w:left="1418" w:header="680" w:footer="680" w:gutter="0"/>
          <w:cols w:space="708"/>
          <w:noEndnote/>
          <w:docGrid w:linePitch="272"/>
        </w:sectPr>
      </w:pPr>
    </w:p>
    <w:p w14:paraId="67EBD9D2" w14:textId="6B2F3168" w:rsidR="008713AD" w:rsidRDefault="008713AD" w:rsidP="008713AD">
      <w:pPr>
        <w:keepNext/>
        <w:keepLines/>
        <w:pageBreakBefore/>
        <w:spacing w:before="0" w:after="120" w:line="240" w:lineRule="auto"/>
        <w:jc w:val="left"/>
        <w:outlineLvl w:val="0"/>
        <w:rPr>
          <w:rFonts w:cs="Arial"/>
          <w:color w:val="B1004D"/>
          <w:kern w:val="32"/>
          <w:sz w:val="44"/>
        </w:rPr>
      </w:pPr>
      <w:bookmarkStart w:id="165" w:name="AppendixB"/>
      <w:bookmarkStart w:id="166" w:name="_Toc233643328"/>
      <w:r w:rsidRPr="008713AD">
        <w:rPr>
          <w:rFonts w:cs="Arial"/>
          <w:color w:val="B1004D"/>
          <w:kern w:val="32"/>
          <w:sz w:val="44"/>
        </w:rPr>
        <w:lastRenderedPageBreak/>
        <w:t xml:space="preserve">Appendix </w:t>
      </w:r>
      <w:r w:rsidR="00A0097E">
        <w:rPr>
          <w:rFonts w:cs="Arial"/>
          <w:color w:val="B1004D"/>
          <w:kern w:val="32"/>
          <w:sz w:val="44"/>
        </w:rPr>
        <w:t>C</w:t>
      </w:r>
      <w:bookmarkEnd w:id="165"/>
      <w:r w:rsidRPr="008713AD">
        <w:rPr>
          <w:rFonts w:cs="Arial"/>
          <w:color w:val="B1004D"/>
          <w:kern w:val="32"/>
          <w:sz w:val="44"/>
        </w:rPr>
        <w:t xml:space="preserve">: Phase 1 </w:t>
      </w:r>
      <w:r w:rsidR="00151700" w:rsidRPr="008713AD">
        <w:rPr>
          <w:rFonts w:cs="Arial"/>
          <w:color w:val="B1004D"/>
          <w:kern w:val="32"/>
          <w:sz w:val="44"/>
        </w:rPr>
        <w:t>evaluation matrix</w:t>
      </w:r>
      <w:bookmarkEnd w:id="166"/>
    </w:p>
    <w:p w14:paraId="0001004D" w14:textId="64582302" w:rsidR="00EF0B2A" w:rsidRDefault="00EF0B2A" w:rsidP="007A60DE">
      <w:pPr>
        <w:pStyle w:val="TableCaption"/>
      </w:pPr>
      <w:r>
        <w:t xml:space="preserve">Table </w:t>
      </w:r>
      <w:r w:rsidR="008D2759">
        <w:t>9</w:t>
      </w:r>
      <w:r>
        <w:t xml:space="preserve">: Phase 1 </w:t>
      </w:r>
      <w:r w:rsidR="00151700">
        <w:t>evaluation matrix</w:t>
      </w:r>
    </w:p>
    <w:tbl>
      <w:tblPr>
        <w:tblStyle w:val="TableGrid49"/>
        <w:tblW w:w="14459" w:type="dxa"/>
        <w:tblLook w:val="04A0" w:firstRow="1" w:lastRow="0" w:firstColumn="1" w:lastColumn="0" w:noHBand="0" w:noVBand="1"/>
      </w:tblPr>
      <w:tblGrid>
        <w:gridCol w:w="1985"/>
        <w:gridCol w:w="3118"/>
        <w:gridCol w:w="6521"/>
        <w:gridCol w:w="2835"/>
      </w:tblGrid>
      <w:tr w:rsidR="00182CE3" w:rsidRPr="005174A0" w14:paraId="483E4E5D" w14:textId="77777777" w:rsidTr="00E54461">
        <w:trPr>
          <w:cnfStyle w:val="100000000000" w:firstRow="1" w:lastRow="0" w:firstColumn="0" w:lastColumn="0" w:oddVBand="0" w:evenVBand="0" w:oddHBand="0" w:evenHBand="0" w:firstRowFirstColumn="0" w:firstRowLastColumn="0" w:lastRowFirstColumn="0" w:lastRowLastColumn="0"/>
          <w:tblHeader/>
        </w:trPr>
        <w:tc>
          <w:tcPr>
            <w:tcW w:w="1985" w:type="dxa"/>
          </w:tcPr>
          <w:p w14:paraId="4A8D7653" w14:textId="77777777" w:rsidR="005174A0" w:rsidRPr="005174A0" w:rsidRDefault="005174A0" w:rsidP="00CF6D5E">
            <w:pPr>
              <w:pStyle w:val="TableColHeadLeft"/>
              <w:keepNext w:val="0"/>
            </w:pPr>
            <w:r w:rsidRPr="005174A0">
              <w:t>Evaluation question</w:t>
            </w:r>
          </w:p>
        </w:tc>
        <w:tc>
          <w:tcPr>
            <w:tcW w:w="3118" w:type="dxa"/>
          </w:tcPr>
          <w:p w14:paraId="30013DB9" w14:textId="77777777" w:rsidR="005174A0" w:rsidRPr="005174A0" w:rsidRDefault="005174A0" w:rsidP="00CF6D5E">
            <w:pPr>
              <w:pStyle w:val="TableColHeadLeft"/>
              <w:keepNext w:val="0"/>
            </w:pPr>
            <w:r w:rsidRPr="005174A0">
              <w:t>Indicator/s</w:t>
            </w:r>
          </w:p>
        </w:tc>
        <w:tc>
          <w:tcPr>
            <w:tcW w:w="6521" w:type="dxa"/>
          </w:tcPr>
          <w:p w14:paraId="3AA9A771" w14:textId="77777777" w:rsidR="005174A0" w:rsidRPr="005174A0" w:rsidRDefault="005174A0" w:rsidP="00CF6D5E">
            <w:pPr>
              <w:pStyle w:val="TableColHeadLeft"/>
              <w:keepNext w:val="0"/>
            </w:pPr>
            <w:r w:rsidRPr="005174A0">
              <w:t>Metric/s</w:t>
            </w:r>
          </w:p>
        </w:tc>
        <w:tc>
          <w:tcPr>
            <w:tcW w:w="2835" w:type="dxa"/>
          </w:tcPr>
          <w:p w14:paraId="19896D99" w14:textId="77777777" w:rsidR="005174A0" w:rsidRPr="005174A0" w:rsidRDefault="005174A0" w:rsidP="00CF6D5E">
            <w:pPr>
              <w:pStyle w:val="TableColHeadLeft"/>
              <w:keepNext w:val="0"/>
            </w:pPr>
            <w:r w:rsidRPr="005174A0">
              <w:t>Data source/s</w:t>
            </w:r>
          </w:p>
        </w:tc>
      </w:tr>
      <w:tr w:rsidR="00182CE3" w:rsidRPr="005174A0" w14:paraId="5F0D9FCC" w14:textId="77777777" w:rsidTr="00E54461">
        <w:tc>
          <w:tcPr>
            <w:tcW w:w="1985" w:type="dxa"/>
            <w:vMerge w:val="restart"/>
          </w:tcPr>
          <w:p w14:paraId="19512014" w14:textId="77777777" w:rsidR="005174A0" w:rsidRPr="005174A0" w:rsidRDefault="005174A0" w:rsidP="00CF6D5E">
            <w:pPr>
              <w:pStyle w:val="TableText"/>
              <w:keepNext w:val="0"/>
            </w:pPr>
            <w:r w:rsidRPr="005174A0">
              <w:t>Has the National Framework been implemented as intended?</w:t>
            </w:r>
          </w:p>
        </w:tc>
        <w:tc>
          <w:tcPr>
            <w:tcW w:w="3118" w:type="dxa"/>
          </w:tcPr>
          <w:p w14:paraId="58484E05" w14:textId="77777777" w:rsidR="005174A0" w:rsidRPr="005174A0" w:rsidRDefault="005174A0" w:rsidP="00CF6D5E">
            <w:pPr>
              <w:pStyle w:val="TableText"/>
              <w:keepNext w:val="0"/>
            </w:pPr>
            <w:r w:rsidRPr="005174A0">
              <w:t>Alignment of National Framework implementation with planned implementation in the National Policy Statement (2018)</w:t>
            </w:r>
          </w:p>
        </w:tc>
        <w:tc>
          <w:tcPr>
            <w:tcW w:w="6521" w:type="dxa"/>
          </w:tcPr>
          <w:p w14:paraId="68E5FCD7" w14:textId="77777777" w:rsidR="005174A0" w:rsidRPr="005174A0" w:rsidRDefault="005174A0" w:rsidP="00CF6D5E">
            <w:pPr>
              <w:pStyle w:val="TableBullet1"/>
              <w:keepNext w:val="0"/>
            </w:pPr>
            <w:r w:rsidRPr="005174A0">
              <w:t>Timeliness: Date milestone/s for actual implementation vs planned implementation</w:t>
            </w:r>
          </w:p>
          <w:p w14:paraId="5A21BAF1" w14:textId="77777777" w:rsidR="005174A0" w:rsidRPr="005174A0" w:rsidRDefault="005174A0" w:rsidP="00CF6D5E">
            <w:pPr>
              <w:pStyle w:val="TableBullet1"/>
              <w:keepNext w:val="0"/>
            </w:pPr>
            <w:r w:rsidRPr="005174A0">
              <w:t xml:space="preserve">Efficiency: Actual vs planned processes </w:t>
            </w:r>
            <w:proofErr w:type="spellStart"/>
            <w:r w:rsidRPr="005174A0">
              <w:t>utilised</w:t>
            </w:r>
            <w:proofErr w:type="spellEnd"/>
            <w:r w:rsidRPr="005174A0">
              <w:t xml:space="preserve"> in implementation</w:t>
            </w:r>
          </w:p>
          <w:p w14:paraId="5B0D8C89" w14:textId="77777777" w:rsidR="005174A0" w:rsidRPr="005174A0" w:rsidRDefault="005174A0" w:rsidP="00CF6D5E">
            <w:pPr>
              <w:pStyle w:val="TableBullet1"/>
              <w:keepNext w:val="0"/>
            </w:pPr>
            <w:r w:rsidRPr="005174A0">
              <w:t>Refinement in measures from planned to actual implementation</w:t>
            </w:r>
          </w:p>
        </w:tc>
        <w:tc>
          <w:tcPr>
            <w:tcW w:w="2835" w:type="dxa"/>
          </w:tcPr>
          <w:p w14:paraId="31D54D92" w14:textId="2702F169" w:rsidR="005174A0" w:rsidRPr="005174A0" w:rsidRDefault="005174A0" w:rsidP="00CF6D5E">
            <w:pPr>
              <w:pStyle w:val="TableText"/>
              <w:keepNext w:val="0"/>
            </w:pPr>
            <w:r w:rsidRPr="005174A0">
              <w:t xml:space="preserve">Desk research; Information from key </w:t>
            </w:r>
            <w:r w:rsidR="009A13AF">
              <w:t>government</w:t>
            </w:r>
            <w:r w:rsidRPr="005174A0">
              <w:t xml:space="preserve"> stakeholders; Stakeholder interviews</w:t>
            </w:r>
          </w:p>
        </w:tc>
      </w:tr>
      <w:tr w:rsidR="00182CE3" w:rsidRPr="005174A0" w14:paraId="0604AD62" w14:textId="77777777" w:rsidTr="00E54461">
        <w:tc>
          <w:tcPr>
            <w:tcW w:w="1985" w:type="dxa"/>
            <w:vMerge/>
          </w:tcPr>
          <w:p w14:paraId="28B83312" w14:textId="77777777" w:rsidR="005174A0" w:rsidRPr="005174A0" w:rsidRDefault="005174A0" w:rsidP="00CF6D5E">
            <w:pPr>
              <w:pStyle w:val="TableText"/>
              <w:keepNext w:val="0"/>
            </w:pPr>
          </w:p>
        </w:tc>
        <w:tc>
          <w:tcPr>
            <w:tcW w:w="3118" w:type="dxa"/>
          </w:tcPr>
          <w:p w14:paraId="3D8C0AD6" w14:textId="77777777" w:rsidR="005174A0" w:rsidRPr="005174A0" w:rsidRDefault="005174A0" w:rsidP="00CF6D5E">
            <w:pPr>
              <w:pStyle w:val="TableText"/>
              <w:keepNext w:val="0"/>
            </w:pPr>
            <w:r w:rsidRPr="005174A0">
              <w:t>Stakeholder satisfaction of implementation of measures</w:t>
            </w:r>
          </w:p>
        </w:tc>
        <w:tc>
          <w:tcPr>
            <w:tcW w:w="6521" w:type="dxa"/>
          </w:tcPr>
          <w:p w14:paraId="408890A7" w14:textId="4D08FC06" w:rsidR="005174A0" w:rsidRPr="005174A0" w:rsidRDefault="005174A0" w:rsidP="00CF6D5E">
            <w:pPr>
              <w:pStyle w:val="TableBullet1"/>
              <w:keepNext w:val="0"/>
            </w:pPr>
            <w:r w:rsidRPr="005174A0">
              <w:t>Feedback on implementation of the National Framework from a range of key stakeholders involved in the implementation</w:t>
            </w:r>
          </w:p>
        </w:tc>
        <w:tc>
          <w:tcPr>
            <w:tcW w:w="2835" w:type="dxa"/>
          </w:tcPr>
          <w:p w14:paraId="5222397F" w14:textId="77777777" w:rsidR="005174A0" w:rsidRPr="005174A0" w:rsidRDefault="005174A0" w:rsidP="00CF6D5E">
            <w:pPr>
              <w:pStyle w:val="TableText"/>
              <w:keepNext w:val="0"/>
            </w:pPr>
            <w:r w:rsidRPr="005174A0">
              <w:t>Stakeholder interviews</w:t>
            </w:r>
          </w:p>
        </w:tc>
      </w:tr>
      <w:tr w:rsidR="00182CE3" w:rsidRPr="005174A0" w14:paraId="75D77779" w14:textId="77777777" w:rsidTr="00E54461">
        <w:tc>
          <w:tcPr>
            <w:tcW w:w="1985" w:type="dxa"/>
            <w:vMerge/>
          </w:tcPr>
          <w:p w14:paraId="7C7C3FD2" w14:textId="77777777" w:rsidR="005174A0" w:rsidRPr="005174A0" w:rsidRDefault="005174A0" w:rsidP="00CF6D5E">
            <w:pPr>
              <w:pStyle w:val="TableText"/>
              <w:keepNext w:val="0"/>
            </w:pPr>
          </w:p>
        </w:tc>
        <w:tc>
          <w:tcPr>
            <w:tcW w:w="3118" w:type="dxa"/>
          </w:tcPr>
          <w:p w14:paraId="45A95679" w14:textId="77777777" w:rsidR="005174A0" w:rsidRPr="005174A0" w:rsidRDefault="005174A0" w:rsidP="00CF6D5E">
            <w:pPr>
              <w:pStyle w:val="TableText"/>
              <w:keepNext w:val="0"/>
            </w:pPr>
            <w:r w:rsidRPr="005174A0">
              <w:t>Operator websites and apps comply with CGM requirements.</w:t>
            </w:r>
          </w:p>
        </w:tc>
        <w:tc>
          <w:tcPr>
            <w:tcW w:w="6521" w:type="dxa"/>
          </w:tcPr>
          <w:p w14:paraId="0C672B1D" w14:textId="6CB9583B" w:rsidR="005174A0" w:rsidRPr="005174A0" w:rsidRDefault="005174A0" w:rsidP="00CF6D5E">
            <w:pPr>
              <w:pStyle w:val="TableBullet1"/>
              <w:keepNext w:val="0"/>
            </w:pPr>
            <w:r w:rsidRPr="005174A0">
              <w:t xml:space="preserve">Measure 9. </w:t>
            </w:r>
            <w:r w:rsidRPr="00536DC5">
              <w:t>WSP websites/apps comply with requirements for CGM</w:t>
            </w:r>
          </w:p>
        </w:tc>
        <w:tc>
          <w:tcPr>
            <w:tcW w:w="2835" w:type="dxa"/>
          </w:tcPr>
          <w:p w14:paraId="6CEDB220" w14:textId="77777777" w:rsidR="005174A0" w:rsidRPr="005174A0" w:rsidRDefault="005174A0" w:rsidP="00CF6D5E">
            <w:pPr>
              <w:pStyle w:val="TableText"/>
              <w:keepNext w:val="0"/>
            </w:pPr>
            <w:r w:rsidRPr="005174A0">
              <w:t>Environmental scan</w:t>
            </w:r>
          </w:p>
        </w:tc>
      </w:tr>
      <w:tr w:rsidR="00182CE3" w:rsidRPr="005174A0" w14:paraId="16CD232B" w14:textId="77777777" w:rsidTr="00E54461">
        <w:tc>
          <w:tcPr>
            <w:tcW w:w="1985" w:type="dxa"/>
            <w:vMerge/>
          </w:tcPr>
          <w:p w14:paraId="660F54EA" w14:textId="77777777" w:rsidR="005174A0" w:rsidRPr="005174A0" w:rsidRDefault="005174A0" w:rsidP="00CF6D5E">
            <w:pPr>
              <w:pStyle w:val="TableText"/>
              <w:keepNext w:val="0"/>
            </w:pPr>
          </w:p>
        </w:tc>
        <w:tc>
          <w:tcPr>
            <w:tcW w:w="3118" w:type="dxa"/>
          </w:tcPr>
          <w:p w14:paraId="75398DDD" w14:textId="1D7AB869" w:rsidR="005174A0" w:rsidRPr="005174A0" w:rsidRDefault="005174A0" w:rsidP="00CF6D5E">
            <w:pPr>
              <w:pStyle w:val="TableText"/>
              <w:keepNext w:val="0"/>
            </w:pPr>
            <w:r w:rsidRPr="005174A0">
              <w:t>Suggested improvements to the measures</w:t>
            </w:r>
          </w:p>
        </w:tc>
        <w:tc>
          <w:tcPr>
            <w:tcW w:w="6521" w:type="dxa"/>
          </w:tcPr>
          <w:p w14:paraId="3C0456F7" w14:textId="08015A0E" w:rsidR="005174A0" w:rsidRPr="005174A0" w:rsidRDefault="005174A0" w:rsidP="00CF6D5E">
            <w:pPr>
              <w:pStyle w:val="TableBullet1"/>
              <w:keepNext w:val="0"/>
            </w:pPr>
            <w:r w:rsidRPr="005174A0">
              <w:t xml:space="preserve">Academic literature suggested improvements to measures </w:t>
            </w:r>
          </w:p>
          <w:p w14:paraId="0D8908FE" w14:textId="36E8909F" w:rsidR="005174A0" w:rsidRPr="005174A0" w:rsidRDefault="005174A0" w:rsidP="00CF6D5E">
            <w:pPr>
              <w:pStyle w:val="TableBullet1"/>
              <w:keepNext w:val="0"/>
            </w:pPr>
            <w:r w:rsidRPr="005174A0">
              <w:t xml:space="preserve">Key stakeholder suggestions for improvement to the measures </w:t>
            </w:r>
          </w:p>
          <w:p w14:paraId="5D2AA1C8" w14:textId="1300ECD2" w:rsidR="005174A0" w:rsidRPr="005174A0" w:rsidRDefault="005174A0" w:rsidP="00CF6D5E">
            <w:pPr>
              <w:pStyle w:val="TableBullet1"/>
              <w:keepNext w:val="0"/>
            </w:pPr>
            <w:r w:rsidRPr="005174A0">
              <w:t>Regular online wagerers</w:t>
            </w:r>
            <w:r w:rsidR="00526D0A">
              <w:t>’</w:t>
            </w:r>
            <w:r w:rsidRPr="005174A0">
              <w:t xml:space="preserve"> suggestions for improvement to the measures</w:t>
            </w:r>
          </w:p>
        </w:tc>
        <w:tc>
          <w:tcPr>
            <w:tcW w:w="2835" w:type="dxa"/>
          </w:tcPr>
          <w:p w14:paraId="478D679F" w14:textId="77777777" w:rsidR="005174A0" w:rsidRPr="005174A0" w:rsidRDefault="005174A0" w:rsidP="00CF6D5E">
            <w:pPr>
              <w:pStyle w:val="TableText"/>
              <w:keepNext w:val="0"/>
            </w:pPr>
            <w:r w:rsidRPr="005174A0">
              <w:t>Desk research; Rapid literature review; Stakeholder interviews; Consumer interviews</w:t>
            </w:r>
          </w:p>
        </w:tc>
      </w:tr>
      <w:tr w:rsidR="00182CE3" w:rsidRPr="005174A0" w14:paraId="4A4BAD62" w14:textId="77777777" w:rsidTr="00E54461">
        <w:tc>
          <w:tcPr>
            <w:tcW w:w="1985" w:type="dxa"/>
            <w:vMerge w:val="restart"/>
          </w:tcPr>
          <w:p w14:paraId="56CAEB62" w14:textId="77777777" w:rsidR="005174A0" w:rsidRPr="005174A0" w:rsidRDefault="005174A0" w:rsidP="00CF6D5E">
            <w:pPr>
              <w:pStyle w:val="TableText"/>
              <w:keepNext w:val="0"/>
            </w:pPr>
            <w:r w:rsidRPr="005174A0">
              <w:t>Were the measures implemented consistently across jurisdictions?</w:t>
            </w:r>
          </w:p>
        </w:tc>
        <w:tc>
          <w:tcPr>
            <w:tcW w:w="3118" w:type="dxa"/>
          </w:tcPr>
          <w:p w14:paraId="41B4E25F" w14:textId="2589EB97" w:rsidR="005174A0" w:rsidRPr="005174A0" w:rsidRDefault="005174A0" w:rsidP="00CF6D5E">
            <w:pPr>
              <w:pStyle w:val="TableText"/>
              <w:keepNext w:val="0"/>
            </w:pPr>
            <w:r w:rsidRPr="005174A0">
              <w:t>Consistent regulator guidelines across Australian states/territories for minimal requirements of measures</w:t>
            </w:r>
          </w:p>
        </w:tc>
        <w:tc>
          <w:tcPr>
            <w:tcW w:w="6521" w:type="dxa"/>
          </w:tcPr>
          <w:p w14:paraId="535D3332" w14:textId="371FB548" w:rsidR="005174A0" w:rsidRPr="005174A0" w:rsidRDefault="005174A0" w:rsidP="00CF6D5E">
            <w:pPr>
              <w:pStyle w:val="TableBullet1"/>
              <w:keepNext w:val="0"/>
            </w:pPr>
            <w:r w:rsidRPr="005174A0">
              <w:t>All Australian states and jurisdiction have same guidelines for implementation of the minimal requirements for the National Framework measures</w:t>
            </w:r>
          </w:p>
        </w:tc>
        <w:tc>
          <w:tcPr>
            <w:tcW w:w="2835" w:type="dxa"/>
          </w:tcPr>
          <w:p w14:paraId="3981F974" w14:textId="4BE11265" w:rsidR="005174A0" w:rsidRPr="005174A0" w:rsidRDefault="005174A0" w:rsidP="00CF6D5E">
            <w:pPr>
              <w:pStyle w:val="TableText"/>
              <w:keepNext w:val="0"/>
            </w:pPr>
            <w:r w:rsidRPr="005174A0">
              <w:t xml:space="preserve">Desk research; Information from key </w:t>
            </w:r>
            <w:r w:rsidR="009A13AF">
              <w:t>government</w:t>
            </w:r>
            <w:r w:rsidRPr="005174A0">
              <w:t xml:space="preserve"> stakeholders; Stakeholder interviews </w:t>
            </w:r>
          </w:p>
        </w:tc>
      </w:tr>
      <w:tr w:rsidR="00182CE3" w:rsidRPr="005174A0" w14:paraId="2DD495F1" w14:textId="77777777" w:rsidTr="00E54461">
        <w:tc>
          <w:tcPr>
            <w:tcW w:w="1985" w:type="dxa"/>
            <w:vMerge/>
          </w:tcPr>
          <w:p w14:paraId="54476510" w14:textId="77777777" w:rsidR="005174A0" w:rsidRPr="005174A0" w:rsidRDefault="005174A0" w:rsidP="00CF6D5E">
            <w:pPr>
              <w:pStyle w:val="TableText"/>
              <w:keepNext w:val="0"/>
            </w:pPr>
          </w:p>
        </w:tc>
        <w:tc>
          <w:tcPr>
            <w:tcW w:w="3118" w:type="dxa"/>
          </w:tcPr>
          <w:p w14:paraId="51FCF632" w14:textId="567A5230" w:rsidR="005174A0" w:rsidRPr="005174A0" w:rsidRDefault="005174A0" w:rsidP="00CF6D5E">
            <w:pPr>
              <w:pStyle w:val="TableText"/>
              <w:keepNext w:val="0"/>
            </w:pPr>
            <w:r w:rsidRPr="005174A0">
              <w:t>Consistent operator implementation across Australian state</w:t>
            </w:r>
            <w:r w:rsidR="00526D0A">
              <w:t>s</w:t>
            </w:r>
            <w:r w:rsidRPr="005174A0">
              <w:t>/territories for minimal requirements of measures</w:t>
            </w:r>
          </w:p>
        </w:tc>
        <w:tc>
          <w:tcPr>
            <w:tcW w:w="6521" w:type="dxa"/>
          </w:tcPr>
          <w:p w14:paraId="707DBEC4" w14:textId="2DAFDCC5" w:rsidR="005174A0" w:rsidRPr="005174A0" w:rsidRDefault="005174A0" w:rsidP="00CF6D5E">
            <w:pPr>
              <w:pStyle w:val="TableBullet1"/>
              <w:keepNext w:val="0"/>
            </w:pPr>
            <w:r w:rsidRPr="005174A0">
              <w:t>All operators across Australian state</w:t>
            </w:r>
            <w:r w:rsidR="00526D0A">
              <w:t>s</w:t>
            </w:r>
            <w:r w:rsidRPr="005174A0">
              <w:t>/territories consistently implementing the minimal requirements for the National Framework measures</w:t>
            </w:r>
          </w:p>
        </w:tc>
        <w:tc>
          <w:tcPr>
            <w:tcW w:w="2835" w:type="dxa"/>
          </w:tcPr>
          <w:p w14:paraId="230C66E8" w14:textId="48E5935F" w:rsidR="005174A0" w:rsidRPr="005174A0" w:rsidRDefault="005174A0" w:rsidP="00CF6D5E">
            <w:pPr>
              <w:pStyle w:val="TableText"/>
              <w:keepNext w:val="0"/>
            </w:pPr>
            <w:r w:rsidRPr="005174A0">
              <w:t xml:space="preserve">Desk research; Information from key </w:t>
            </w:r>
            <w:r w:rsidR="009A13AF">
              <w:t>government</w:t>
            </w:r>
            <w:r w:rsidRPr="005174A0">
              <w:t xml:space="preserve"> stakeholders; Stakeholder interviews</w:t>
            </w:r>
          </w:p>
        </w:tc>
      </w:tr>
      <w:tr w:rsidR="00182CE3" w:rsidRPr="005174A0" w14:paraId="1F7AB566" w14:textId="77777777" w:rsidTr="00E54461">
        <w:tc>
          <w:tcPr>
            <w:tcW w:w="1985" w:type="dxa"/>
            <w:vMerge/>
          </w:tcPr>
          <w:p w14:paraId="4F891937" w14:textId="77777777" w:rsidR="005174A0" w:rsidRPr="005174A0" w:rsidRDefault="005174A0" w:rsidP="00CF6D5E">
            <w:pPr>
              <w:pStyle w:val="TableText"/>
              <w:keepNext w:val="0"/>
            </w:pPr>
          </w:p>
        </w:tc>
        <w:tc>
          <w:tcPr>
            <w:tcW w:w="3118" w:type="dxa"/>
          </w:tcPr>
          <w:p w14:paraId="59992493" w14:textId="4EB54988" w:rsidR="005174A0" w:rsidRPr="005174A0" w:rsidRDefault="005174A0" w:rsidP="00CF6D5E">
            <w:pPr>
              <w:pStyle w:val="TableText"/>
              <w:keepNext w:val="0"/>
            </w:pPr>
            <w:r w:rsidRPr="005174A0">
              <w:t>Additional requirements for measures by Australian state</w:t>
            </w:r>
            <w:r w:rsidR="00526D0A">
              <w:t>s</w:t>
            </w:r>
            <w:r w:rsidRPr="005174A0">
              <w:t>/territories</w:t>
            </w:r>
          </w:p>
        </w:tc>
        <w:tc>
          <w:tcPr>
            <w:tcW w:w="6521" w:type="dxa"/>
          </w:tcPr>
          <w:p w14:paraId="631D142F" w14:textId="1BD2C9B0" w:rsidR="005174A0" w:rsidRPr="005174A0" w:rsidRDefault="005174A0" w:rsidP="00CF6D5E">
            <w:pPr>
              <w:pStyle w:val="TableBullet1"/>
              <w:keepNext w:val="0"/>
            </w:pPr>
            <w:r w:rsidRPr="005174A0">
              <w:t>Additional requirements for measures by Australian state</w:t>
            </w:r>
            <w:r w:rsidR="00526D0A">
              <w:t>s</w:t>
            </w:r>
            <w:r w:rsidRPr="005174A0">
              <w:t xml:space="preserve">/territories </w:t>
            </w:r>
          </w:p>
        </w:tc>
        <w:tc>
          <w:tcPr>
            <w:tcW w:w="2835" w:type="dxa"/>
          </w:tcPr>
          <w:p w14:paraId="6D9C47C8" w14:textId="5DB251C0" w:rsidR="005174A0" w:rsidRPr="005174A0" w:rsidRDefault="005174A0" w:rsidP="00CF6D5E">
            <w:pPr>
              <w:pStyle w:val="TableText"/>
              <w:keepNext w:val="0"/>
            </w:pPr>
            <w:r w:rsidRPr="005174A0">
              <w:t xml:space="preserve">Desk research; Information from key </w:t>
            </w:r>
            <w:r w:rsidR="009A13AF">
              <w:t>government</w:t>
            </w:r>
            <w:r w:rsidRPr="005174A0">
              <w:t xml:space="preserve"> stakeholders; Stakeholder interviews</w:t>
            </w:r>
          </w:p>
        </w:tc>
      </w:tr>
      <w:tr w:rsidR="00182CE3" w:rsidRPr="005174A0" w14:paraId="1D7059A6" w14:textId="77777777" w:rsidTr="00E54461">
        <w:tc>
          <w:tcPr>
            <w:tcW w:w="1985" w:type="dxa"/>
            <w:vMerge w:val="restart"/>
          </w:tcPr>
          <w:p w14:paraId="78AA88A0" w14:textId="29A351B2" w:rsidR="006772A0" w:rsidRPr="006772A0" w:rsidRDefault="006772A0" w:rsidP="00CF6D5E">
            <w:pPr>
              <w:pStyle w:val="TableText"/>
              <w:keepNext w:val="0"/>
            </w:pPr>
            <w:r w:rsidRPr="006772A0">
              <w:t>Has the National Framework been consistently promoted, educated and communicated across all jurisdictions?</w:t>
            </w:r>
          </w:p>
        </w:tc>
        <w:tc>
          <w:tcPr>
            <w:tcW w:w="3118" w:type="dxa"/>
          </w:tcPr>
          <w:p w14:paraId="41486579" w14:textId="00903245" w:rsidR="006772A0" w:rsidRPr="005174A0" w:rsidRDefault="006772A0" w:rsidP="00CF6D5E">
            <w:pPr>
              <w:pStyle w:val="TableText"/>
              <w:keepNext w:val="0"/>
            </w:pPr>
            <w:r w:rsidRPr="005174A0">
              <w:t>Consistent promotion, education and communication of the National Framework and measures by regulators across all jurisdictions</w:t>
            </w:r>
          </w:p>
        </w:tc>
        <w:tc>
          <w:tcPr>
            <w:tcW w:w="6521" w:type="dxa"/>
          </w:tcPr>
          <w:p w14:paraId="1169BCD5" w14:textId="3284EDC1" w:rsidR="006772A0" w:rsidRPr="005174A0" w:rsidRDefault="006772A0" w:rsidP="00CF6D5E">
            <w:pPr>
              <w:pStyle w:val="TableBullet1"/>
              <w:keepNext w:val="0"/>
            </w:pPr>
            <w:r w:rsidRPr="005174A0">
              <w:t xml:space="preserve">Regulators across </w:t>
            </w:r>
            <w:proofErr w:type="spellStart"/>
            <w:r w:rsidRPr="005174A0">
              <w:t>C</w:t>
            </w:r>
            <w:r w:rsidR="000263D2">
              <w:t>th</w:t>
            </w:r>
            <w:proofErr w:type="spellEnd"/>
            <w:r w:rsidRPr="005174A0">
              <w:t xml:space="preserve"> and </w:t>
            </w:r>
            <w:r w:rsidR="00526D0A" w:rsidRPr="005174A0">
              <w:t xml:space="preserve">states/territories </w:t>
            </w:r>
            <w:r w:rsidRPr="005174A0">
              <w:t>have all engaged similar promotion, education and communication activities for the National Framework and each measure to operators, public and consumers.</w:t>
            </w:r>
          </w:p>
        </w:tc>
        <w:tc>
          <w:tcPr>
            <w:tcW w:w="2835" w:type="dxa"/>
          </w:tcPr>
          <w:p w14:paraId="207E041C" w14:textId="4C1B14FE" w:rsidR="006772A0" w:rsidRPr="005174A0" w:rsidRDefault="006772A0" w:rsidP="00CF6D5E">
            <w:pPr>
              <w:pStyle w:val="TableText"/>
              <w:keepNext w:val="0"/>
            </w:pPr>
            <w:r w:rsidRPr="005174A0">
              <w:t xml:space="preserve">Desk research; Information from key </w:t>
            </w:r>
            <w:r w:rsidR="009A13AF">
              <w:t>government</w:t>
            </w:r>
            <w:r w:rsidRPr="005174A0">
              <w:t xml:space="preserve"> stakeholders; Stakeholder interviews</w:t>
            </w:r>
          </w:p>
        </w:tc>
      </w:tr>
      <w:tr w:rsidR="00182CE3" w:rsidRPr="005174A0" w14:paraId="28F7AC7D" w14:textId="77777777" w:rsidTr="00E54461">
        <w:tc>
          <w:tcPr>
            <w:tcW w:w="1985" w:type="dxa"/>
            <w:vMerge/>
          </w:tcPr>
          <w:p w14:paraId="0B464FF7" w14:textId="77777777" w:rsidR="006772A0" w:rsidRPr="006772A0" w:rsidRDefault="006772A0" w:rsidP="00CF6D5E">
            <w:pPr>
              <w:pStyle w:val="TableText"/>
              <w:keepNext w:val="0"/>
            </w:pPr>
          </w:p>
        </w:tc>
        <w:tc>
          <w:tcPr>
            <w:tcW w:w="3118" w:type="dxa"/>
          </w:tcPr>
          <w:p w14:paraId="23766381" w14:textId="30A1DB35" w:rsidR="006772A0" w:rsidRPr="005174A0" w:rsidRDefault="006772A0" w:rsidP="00CF6D5E">
            <w:pPr>
              <w:pStyle w:val="TableText"/>
              <w:keepNext w:val="0"/>
            </w:pPr>
            <w:r w:rsidRPr="005174A0">
              <w:t>Consistent promotion, education and communication of the National Framework and measures by operators across all jurisdictions</w:t>
            </w:r>
          </w:p>
        </w:tc>
        <w:tc>
          <w:tcPr>
            <w:tcW w:w="6521" w:type="dxa"/>
          </w:tcPr>
          <w:p w14:paraId="0FD40081" w14:textId="5485A3C1" w:rsidR="006772A0" w:rsidRPr="005174A0" w:rsidRDefault="006772A0" w:rsidP="00CF6D5E">
            <w:pPr>
              <w:pStyle w:val="TableBullet1"/>
              <w:keepNext w:val="0"/>
            </w:pPr>
            <w:r w:rsidRPr="005174A0">
              <w:t xml:space="preserve">Operators across all licensing jurisdictions and the industry peak body, have all </w:t>
            </w:r>
            <w:proofErr w:type="gramStart"/>
            <w:r w:rsidRPr="005174A0">
              <w:t>engaged</w:t>
            </w:r>
            <w:proofErr w:type="gramEnd"/>
            <w:r w:rsidRPr="005174A0">
              <w:t xml:space="preserve"> similar promotion, education and communication activities for the National Framework and each measure </w:t>
            </w:r>
            <w:proofErr w:type="gramStart"/>
            <w:r w:rsidRPr="005174A0">
              <w:t>to:</w:t>
            </w:r>
            <w:proofErr w:type="gramEnd"/>
            <w:r w:rsidRPr="005174A0">
              <w:t xml:space="preserve"> their staff, public and consumers.</w:t>
            </w:r>
          </w:p>
        </w:tc>
        <w:tc>
          <w:tcPr>
            <w:tcW w:w="2835" w:type="dxa"/>
          </w:tcPr>
          <w:p w14:paraId="53240C46" w14:textId="3863C869" w:rsidR="006772A0" w:rsidRPr="005174A0" w:rsidRDefault="006772A0" w:rsidP="00CF6D5E">
            <w:pPr>
              <w:pStyle w:val="TableText"/>
              <w:keepNext w:val="0"/>
            </w:pPr>
            <w:r w:rsidRPr="005174A0">
              <w:t xml:space="preserve">Desk research; Information from key </w:t>
            </w:r>
            <w:r w:rsidR="009A13AF">
              <w:t>government</w:t>
            </w:r>
            <w:r w:rsidRPr="005174A0">
              <w:t xml:space="preserve"> stakeholders; Stakeholder interviews</w:t>
            </w:r>
          </w:p>
        </w:tc>
      </w:tr>
      <w:tr w:rsidR="00182CE3" w:rsidRPr="005174A0" w14:paraId="32BDAA86" w14:textId="77777777" w:rsidTr="00E54461">
        <w:tc>
          <w:tcPr>
            <w:tcW w:w="1985" w:type="dxa"/>
          </w:tcPr>
          <w:p w14:paraId="2BC28EC7" w14:textId="67A1EEC8" w:rsidR="00646005" w:rsidRPr="005174A0" w:rsidRDefault="009B15A4" w:rsidP="00CF6D5E">
            <w:pPr>
              <w:pStyle w:val="TableText"/>
              <w:keepNext w:val="0"/>
            </w:pPr>
            <w:r>
              <w:lastRenderedPageBreak/>
              <w:t>What is the</w:t>
            </w:r>
            <w:r w:rsidRPr="009B15A4">
              <w:t xml:space="preserve"> level of awareness of the NCPF measures by consumers?</w:t>
            </w:r>
          </w:p>
        </w:tc>
        <w:tc>
          <w:tcPr>
            <w:tcW w:w="3118" w:type="dxa"/>
          </w:tcPr>
          <w:p w14:paraId="61EC43B4" w14:textId="4C634EC7" w:rsidR="00646005" w:rsidRPr="005174A0" w:rsidRDefault="00646005" w:rsidP="00CF6D5E">
            <w:pPr>
              <w:pStyle w:val="TableText"/>
              <w:keepNext w:val="0"/>
            </w:pPr>
            <w:r w:rsidRPr="005174A0">
              <w:t>Level of awareness of the National Framework and its measures by online consumers</w:t>
            </w:r>
          </w:p>
        </w:tc>
        <w:tc>
          <w:tcPr>
            <w:tcW w:w="6521" w:type="dxa"/>
          </w:tcPr>
          <w:p w14:paraId="3FEE414F" w14:textId="1B05A731" w:rsidR="00646005" w:rsidRPr="005174A0" w:rsidRDefault="00646005" w:rsidP="00CF6D5E">
            <w:pPr>
              <w:pStyle w:val="TableBullet1"/>
              <w:keepNext w:val="0"/>
            </w:pPr>
            <w:r w:rsidRPr="005174A0">
              <w:t>Online wagerers (last 12 months, at least monthly) awareness of the National Framework measures has increased since their implementation.</w:t>
            </w:r>
          </w:p>
        </w:tc>
        <w:tc>
          <w:tcPr>
            <w:tcW w:w="2835" w:type="dxa"/>
          </w:tcPr>
          <w:p w14:paraId="324C4346" w14:textId="42EBBAEC" w:rsidR="00646005" w:rsidRPr="00585D87" w:rsidRDefault="00646005" w:rsidP="00CF6D5E">
            <w:pPr>
              <w:pStyle w:val="TableText"/>
            </w:pPr>
            <w:r w:rsidRPr="00585D87">
              <w:t>Consumer interviews; Consumer survey; Secondary data</w:t>
            </w:r>
          </w:p>
        </w:tc>
      </w:tr>
      <w:tr w:rsidR="00182CE3" w:rsidRPr="005174A0" w14:paraId="46D45929" w14:textId="77777777" w:rsidTr="00E54461">
        <w:tc>
          <w:tcPr>
            <w:tcW w:w="1985" w:type="dxa"/>
          </w:tcPr>
          <w:p w14:paraId="3C815602" w14:textId="284C1D2C" w:rsidR="00B05FE3" w:rsidRPr="005174A0" w:rsidRDefault="00B05FE3" w:rsidP="00CF6D5E">
            <w:pPr>
              <w:pStyle w:val="TableText"/>
            </w:pPr>
            <w:r>
              <w:t>What is the level of uptake of the NCPF measures?</w:t>
            </w:r>
          </w:p>
        </w:tc>
        <w:tc>
          <w:tcPr>
            <w:tcW w:w="3118" w:type="dxa"/>
          </w:tcPr>
          <w:p w14:paraId="48CD525C" w14:textId="18D20FEC" w:rsidR="00B05FE3" w:rsidRPr="005174A0" w:rsidRDefault="00B05FE3" w:rsidP="00CF6D5E">
            <w:pPr>
              <w:pStyle w:val="TableText"/>
            </w:pPr>
            <w:r w:rsidRPr="005174A0">
              <w:t>Level of uptake of discretionary NCPF measures following their implementation</w:t>
            </w:r>
          </w:p>
        </w:tc>
        <w:tc>
          <w:tcPr>
            <w:tcW w:w="6521" w:type="dxa"/>
          </w:tcPr>
          <w:p w14:paraId="5747351F" w14:textId="4DB98C3A" w:rsidR="00B05FE3" w:rsidRPr="005174A0" w:rsidRDefault="00B05FE3" w:rsidP="00CF6D5E">
            <w:pPr>
              <w:pStyle w:val="TableBullet1"/>
            </w:pPr>
            <w:r w:rsidRPr="005174A0">
              <w:t xml:space="preserve">Measure 4. Regular online wagerers not consenting/opting </w:t>
            </w:r>
            <w:proofErr w:type="gramStart"/>
            <w:r w:rsidRPr="005174A0">
              <w:t>out of</w:t>
            </w:r>
            <w:proofErr w:type="gramEnd"/>
            <w:r w:rsidRPr="005174A0">
              <w:t xml:space="preserve"> direct marketing from operators</w:t>
            </w:r>
          </w:p>
          <w:p w14:paraId="61CDBFA6" w14:textId="62456F73" w:rsidR="00B05FE3" w:rsidRPr="005174A0" w:rsidRDefault="00B05FE3" w:rsidP="00CF6D5E">
            <w:pPr>
              <w:pStyle w:val="TableBullet1"/>
            </w:pPr>
            <w:r w:rsidRPr="005174A0">
              <w:t>Measure 4. Last 12-month online wagerers unsubscribed from direct marketing in the last 12 months, either on account opening or afterward</w:t>
            </w:r>
          </w:p>
          <w:p w14:paraId="2D3E37E5" w14:textId="1CD17B93" w:rsidR="00B05FE3" w:rsidRPr="005174A0" w:rsidRDefault="00B05FE3" w:rsidP="00CF6D5E">
            <w:pPr>
              <w:pStyle w:val="TableBullet1"/>
            </w:pPr>
            <w:r w:rsidRPr="005174A0">
              <w:t xml:space="preserve">Measure 5. Regular online wagerers and last 12-month online wagerers closing online betting </w:t>
            </w:r>
            <w:proofErr w:type="gramStart"/>
            <w:r w:rsidRPr="005174A0">
              <w:t>account/s</w:t>
            </w:r>
            <w:proofErr w:type="gramEnd"/>
            <w:r w:rsidRPr="005174A0">
              <w:t xml:space="preserve"> in the last 12-months</w:t>
            </w:r>
          </w:p>
          <w:p w14:paraId="46F317F2" w14:textId="2B7E865A" w:rsidR="00B05FE3" w:rsidRPr="005174A0" w:rsidRDefault="00B05FE3" w:rsidP="00CF6D5E">
            <w:pPr>
              <w:pStyle w:val="TableBullet1"/>
            </w:pPr>
            <w:r w:rsidRPr="005174A0">
              <w:t xml:space="preserve">Measure 6. Regular online wagerers setting deposit limits, decreasing limits, or increasing limits </w:t>
            </w:r>
          </w:p>
          <w:p w14:paraId="76EA6AE3" w14:textId="2FF4FD45" w:rsidR="00B05FE3" w:rsidRPr="005174A0" w:rsidRDefault="00B05FE3" w:rsidP="00CF6D5E">
            <w:pPr>
              <w:pStyle w:val="TableBullet1"/>
            </w:pPr>
            <w:r w:rsidRPr="005174A0">
              <w:t xml:space="preserve">Measure 6. Last </w:t>
            </w:r>
            <w:proofErr w:type="gramStart"/>
            <w:r w:rsidRPr="005174A0">
              <w:t>12-month</w:t>
            </w:r>
            <w:proofErr w:type="gramEnd"/>
            <w:r w:rsidRPr="005174A0">
              <w:t xml:space="preserve"> online wagerers deposit limit setting last 12-months either upon opening an account or later, time</w:t>
            </w:r>
            <w:r w:rsidR="002C18D0">
              <w:t xml:space="preserve"> </w:t>
            </w:r>
            <w:r w:rsidRPr="005174A0">
              <w:t>frame set, deposit limit set and increasing or decreasing deposit limits</w:t>
            </w:r>
          </w:p>
          <w:p w14:paraId="07DD5FC7" w14:textId="64A4F9FC" w:rsidR="00B05FE3" w:rsidRPr="005174A0" w:rsidRDefault="00B05FE3" w:rsidP="00CF6D5E">
            <w:pPr>
              <w:pStyle w:val="TableBullet1"/>
            </w:pPr>
            <w:r w:rsidRPr="005174A0">
              <w:t xml:space="preserve">Measure 7. Regular online wagerers and last </w:t>
            </w:r>
            <w:proofErr w:type="gramStart"/>
            <w:r w:rsidRPr="005174A0">
              <w:t>12-month</w:t>
            </w:r>
            <w:proofErr w:type="gramEnd"/>
            <w:r w:rsidRPr="005174A0">
              <w:t xml:space="preserve"> online wagerers use of activity statements provided by operators</w:t>
            </w:r>
          </w:p>
        </w:tc>
        <w:tc>
          <w:tcPr>
            <w:tcW w:w="2835" w:type="dxa"/>
          </w:tcPr>
          <w:p w14:paraId="52B00C4A" w14:textId="7B3053B5" w:rsidR="00B05FE3" w:rsidRPr="00CF6D5E" w:rsidRDefault="00B05FE3" w:rsidP="00CF6D5E">
            <w:pPr>
              <w:pStyle w:val="TableText"/>
            </w:pPr>
            <w:r w:rsidRPr="00CF6D5E">
              <w:t>Consumer interviews; Baseline study; Consumer survey; Secondary data</w:t>
            </w:r>
          </w:p>
        </w:tc>
      </w:tr>
      <w:tr w:rsidR="00182CE3" w:rsidRPr="005174A0" w14:paraId="4B087508" w14:textId="77777777" w:rsidTr="00E54461">
        <w:tc>
          <w:tcPr>
            <w:tcW w:w="1985" w:type="dxa"/>
            <w:vMerge w:val="restart"/>
          </w:tcPr>
          <w:p w14:paraId="2843B8AE" w14:textId="77777777" w:rsidR="00B05FE3" w:rsidRPr="005174A0" w:rsidRDefault="00B05FE3" w:rsidP="00CF6D5E">
            <w:pPr>
              <w:pStyle w:val="TableText"/>
            </w:pPr>
            <w:r w:rsidRPr="005174A0">
              <w:t>How effectively have regulators been monitoring and enforcing operator compliance with the National Framework?</w:t>
            </w:r>
          </w:p>
        </w:tc>
        <w:tc>
          <w:tcPr>
            <w:tcW w:w="3118" w:type="dxa"/>
          </w:tcPr>
          <w:p w14:paraId="4910BC0F" w14:textId="2817220C" w:rsidR="00B05FE3" w:rsidRPr="005174A0" w:rsidRDefault="00B05FE3" w:rsidP="00CF6D5E">
            <w:pPr>
              <w:pStyle w:val="TableText"/>
            </w:pPr>
            <w:r w:rsidRPr="005174A0">
              <w:t>Regulator engagement in monitoring operator compliance with the NCPF measures</w:t>
            </w:r>
          </w:p>
        </w:tc>
        <w:tc>
          <w:tcPr>
            <w:tcW w:w="6521" w:type="dxa"/>
          </w:tcPr>
          <w:p w14:paraId="220B64EA" w14:textId="52BFFAA4" w:rsidR="00B05FE3" w:rsidRPr="005174A0" w:rsidRDefault="00B05FE3" w:rsidP="00CF6D5E">
            <w:pPr>
              <w:pStyle w:val="TableBullet1"/>
            </w:pPr>
            <w:proofErr w:type="spellStart"/>
            <w:r w:rsidRPr="005174A0">
              <w:t>C</w:t>
            </w:r>
            <w:r w:rsidR="000A27D6">
              <w:t>th</w:t>
            </w:r>
            <w:proofErr w:type="spellEnd"/>
            <w:r w:rsidRPr="005174A0">
              <w:t xml:space="preserve"> and </w:t>
            </w:r>
            <w:r w:rsidR="00F90B45" w:rsidRPr="005174A0">
              <w:t xml:space="preserve">states/territories </w:t>
            </w:r>
            <w:r w:rsidRPr="00920304">
              <w:t>c</w:t>
            </w:r>
            <w:r w:rsidRPr="005174A0">
              <w:t xml:space="preserve">ompliance monitoring activities by measure and type of activity </w:t>
            </w:r>
          </w:p>
          <w:p w14:paraId="2A2B3A34" w14:textId="6153786E" w:rsidR="00B05FE3" w:rsidRPr="005174A0" w:rsidRDefault="00B05FE3" w:rsidP="00CF6D5E">
            <w:pPr>
              <w:pStyle w:val="TableBullet1"/>
            </w:pPr>
            <w:proofErr w:type="spellStart"/>
            <w:r w:rsidRPr="005174A0">
              <w:t>C</w:t>
            </w:r>
            <w:r w:rsidR="006D1FE9">
              <w:t>th</w:t>
            </w:r>
            <w:proofErr w:type="spellEnd"/>
            <w:r w:rsidRPr="005174A0">
              <w:t xml:space="preserve"> and </w:t>
            </w:r>
            <w:r w:rsidR="00F90B45" w:rsidRPr="005174A0">
              <w:t xml:space="preserve">states/territories </w:t>
            </w:r>
            <w:r w:rsidRPr="005174A0">
              <w:t>frequency of compliance monitoring activities</w:t>
            </w:r>
          </w:p>
        </w:tc>
        <w:tc>
          <w:tcPr>
            <w:tcW w:w="2835" w:type="dxa"/>
          </w:tcPr>
          <w:p w14:paraId="5764A485" w14:textId="5CFA6F79" w:rsidR="00B05FE3" w:rsidRPr="00CF6D5E" w:rsidRDefault="00B05FE3" w:rsidP="00CF6D5E">
            <w:pPr>
              <w:pStyle w:val="TableText"/>
            </w:pPr>
            <w:r w:rsidRPr="00CF6D5E">
              <w:t xml:space="preserve">Desk research; Information from key </w:t>
            </w:r>
            <w:r w:rsidR="009A13AF" w:rsidRPr="00CF6D5E">
              <w:t>government</w:t>
            </w:r>
            <w:r w:rsidRPr="00CF6D5E">
              <w:t xml:space="preserve"> stakeholders: Stakeholder interviews</w:t>
            </w:r>
          </w:p>
        </w:tc>
      </w:tr>
      <w:tr w:rsidR="00182CE3" w:rsidRPr="005174A0" w14:paraId="2A389B4E" w14:textId="77777777" w:rsidTr="00E54461">
        <w:tc>
          <w:tcPr>
            <w:tcW w:w="1985" w:type="dxa"/>
            <w:vMerge/>
          </w:tcPr>
          <w:p w14:paraId="1E7E9145" w14:textId="77777777" w:rsidR="00B05FE3" w:rsidRPr="005174A0" w:rsidRDefault="00B05FE3" w:rsidP="00CF6D5E">
            <w:pPr>
              <w:pStyle w:val="TableText"/>
            </w:pPr>
          </w:p>
        </w:tc>
        <w:tc>
          <w:tcPr>
            <w:tcW w:w="3118" w:type="dxa"/>
          </w:tcPr>
          <w:p w14:paraId="7897C3FA" w14:textId="5A400660" w:rsidR="00B05FE3" w:rsidRPr="005174A0" w:rsidRDefault="00B05FE3" w:rsidP="00CF6D5E">
            <w:pPr>
              <w:pStyle w:val="TableText"/>
            </w:pPr>
            <w:r w:rsidRPr="005174A0">
              <w:t>Regulator enforcement of compliance with the NCPF measures</w:t>
            </w:r>
          </w:p>
        </w:tc>
        <w:tc>
          <w:tcPr>
            <w:tcW w:w="6521" w:type="dxa"/>
          </w:tcPr>
          <w:p w14:paraId="71464BB2" w14:textId="09E5FD56" w:rsidR="00B05FE3" w:rsidRPr="005174A0" w:rsidRDefault="00B05FE3" w:rsidP="00CF6D5E">
            <w:pPr>
              <w:pStyle w:val="TableBullet1"/>
            </w:pPr>
            <w:proofErr w:type="spellStart"/>
            <w:r w:rsidRPr="005174A0">
              <w:t>C</w:t>
            </w:r>
            <w:r w:rsidR="006D1FE9">
              <w:t>th</w:t>
            </w:r>
            <w:proofErr w:type="spellEnd"/>
            <w:r w:rsidRPr="005174A0">
              <w:t xml:space="preserve"> and </w:t>
            </w:r>
            <w:r w:rsidR="00E16092">
              <w:t>s</w:t>
            </w:r>
            <w:r w:rsidRPr="005174A0">
              <w:t>/</w:t>
            </w:r>
            <w:r w:rsidR="00E16092">
              <w:t>t</w:t>
            </w:r>
            <w:r w:rsidRPr="005174A0">
              <w:t xml:space="preserve"> enforcement activities by measure and type of activity</w:t>
            </w:r>
          </w:p>
          <w:p w14:paraId="30D2F1DD" w14:textId="142BF480" w:rsidR="00B05FE3" w:rsidRPr="005174A0" w:rsidRDefault="00B05FE3" w:rsidP="00CF6D5E">
            <w:pPr>
              <w:pStyle w:val="TableBullet1"/>
            </w:pPr>
            <w:proofErr w:type="spellStart"/>
            <w:r w:rsidRPr="005174A0">
              <w:t>C</w:t>
            </w:r>
            <w:r w:rsidR="006D1FE9">
              <w:t>th</w:t>
            </w:r>
            <w:proofErr w:type="spellEnd"/>
            <w:r w:rsidRPr="005174A0">
              <w:t xml:space="preserve"> and </w:t>
            </w:r>
            <w:r w:rsidR="00E16092">
              <w:t>s</w:t>
            </w:r>
            <w:r w:rsidRPr="005174A0">
              <w:t>/</w:t>
            </w:r>
            <w:r w:rsidR="00E16092">
              <w:t>t</w:t>
            </w:r>
            <w:r w:rsidRPr="005174A0">
              <w:t xml:space="preserve"> cost ($AUD) to operators of enforcement activities</w:t>
            </w:r>
          </w:p>
        </w:tc>
        <w:tc>
          <w:tcPr>
            <w:tcW w:w="2835" w:type="dxa"/>
          </w:tcPr>
          <w:p w14:paraId="27956B0D" w14:textId="488708A3" w:rsidR="00B05FE3" w:rsidRPr="00CF6D5E" w:rsidRDefault="00B05FE3" w:rsidP="00CF6D5E">
            <w:pPr>
              <w:pStyle w:val="TableText"/>
            </w:pPr>
            <w:r w:rsidRPr="00CF6D5E">
              <w:t xml:space="preserve">Desk research: Information from key </w:t>
            </w:r>
            <w:r w:rsidR="009A13AF" w:rsidRPr="00CF6D5E">
              <w:t>government</w:t>
            </w:r>
            <w:r w:rsidRPr="00CF6D5E">
              <w:t xml:space="preserve"> stakeholders: Stakeholder interviews</w:t>
            </w:r>
          </w:p>
        </w:tc>
      </w:tr>
      <w:tr w:rsidR="00182CE3" w:rsidRPr="005174A0" w14:paraId="5F01D29E" w14:textId="77777777" w:rsidTr="00E54461">
        <w:tc>
          <w:tcPr>
            <w:tcW w:w="1985" w:type="dxa"/>
            <w:vMerge/>
          </w:tcPr>
          <w:p w14:paraId="58AAC10C" w14:textId="77777777" w:rsidR="00B05FE3" w:rsidRPr="005174A0" w:rsidRDefault="00B05FE3" w:rsidP="00CF6D5E">
            <w:pPr>
              <w:pStyle w:val="TableText"/>
            </w:pPr>
          </w:p>
        </w:tc>
        <w:tc>
          <w:tcPr>
            <w:tcW w:w="3118" w:type="dxa"/>
          </w:tcPr>
          <w:p w14:paraId="29BCCEAA" w14:textId="77777777" w:rsidR="00B05FE3" w:rsidRPr="005174A0" w:rsidRDefault="00B05FE3" w:rsidP="00CF6D5E">
            <w:pPr>
              <w:pStyle w:val="TableText"/>
            </w:pPr>
            <w:r w:rsidRPr="005174A0">
              <w:t>Consumer experiences of implementation of measures</w:t>
            </w:r>
          </w:p>
        </w:tc>
        <w:tc>
          <w:tcPr>
            <w:tcW w:w="6521" w:type="dxa"/>
          </w:tcPr>
          <w:p w14:paraId="4B511969" w14:textId="0E4D435E" w:rsidR="00B05FE3" w:rsidRPr="005174A0" w:rsidRDefault="00B05FE3" w:rsidP="00CF6D5E">
            <w:pPr>
              <w:pStyle w:val="TableBullet1"/>
            </w:pPr>
            <w:r w:rsidRPr="00D5267C">
              <w:t xml:space="preserve">Indicators of non-compliance with measures, last 12-month online wagerers. </w:t>
            </w:r>
          </w:p>
        </w:tc>
        <w:tc>
          <w:tcPr>
            <w:tcW w:w="2835" w:type="dxa"/>
          </w:tcPr>
          <w:p w14:paraId="0148C031" w14:textId="77777777" w:rsidR="00B05FE3" w:rsidRPr="00CF6D5E" w:rsidRDefault="00B05FE3" w:rsidP="00CF6D5E">
            <w:pPr>
              <w:pStyle w:val="TableText"/>
            </w:pPr>
            <w:r w:rsidRPr="00CF6D5E">
              <w:t>Consumer survey</w:t>
            </w:r>
          </w:p>
        </w:tc>
      </w:tr>
      <w:tr w:rsidR="00182CE3" w:rsidRPr="005174A0" w14:paraId="69E0C901" w14:textId="77777777" w:rsidTr="00E54461">
        <w:tc>
          <w:tcPr>
            <w:tcW w:w="1985" w:type="dxa"/>
          </w:tcPr>
          <w:p w14:paraId="595553E5" w14:textId="45360DBF" w:rsidR="00B05FE3" w:rsidRPr="005174A0" w:rsidRDefault="00B05FE3" w:rsidP="00CF6D5E">
            <w:pPr>
              <w:pStyle w:val="TableText"/>
            </w:pPr>
            <w:r w:rsidRPr="005174A0">
              <w:t xml:space="preserve">Are there any unintended consequences </w:t>
            </w:r>
            <w:r>
              <w:t xml:space="preserve">as result of the </w:t>
            </w:r>
            <w:r w:rsidRPr="005174A0">
              <w:t>implementation of the National Framework?</w:t>
            </w:r>
          </w:p>
        </w:tc>
        <w:tc>
          <w:tcPr>
            <w:tcW w:w="3118" w:type="dxa"/>
          </w:tcPr>
          <w:p w14:paraId="39805E2B" w14:textId="654178B9" w:rsidR="00B05FE3" w:rsidRPr="005174A0" w:rsidRDefault="00B05FE3" w:rsidP="00CF6D5E">
            <w:pPr>
              <w:pStyle w:val="TableText"/>
            </w:pPr>
            <w:r w:rsidRPr="005174A0">
              <w:t>Potentially adverse consequences</w:t>
            </w:r>
          </w:p>
        </w:tc>
        <w:tc>
          <w:tcPr>
            <w:tcW w:w="6521" w:type="dxa"/>
          </w:tcPr>
          <w:p w14:paraId="0CA979A1" w14:textId="1BC147F9" w:rsidR="00B05FE3" w:rsidRPr="005174A0" w:rsidRDefault="00B05FE3" w:rsidP="00CF6D5E">
            <w:pPr>
              <w:pStyle w:val="TableBullet1"/>
            </w:pPr>
            <w:r w:rsidRPr="005174A0">
              <w:t>Increase in offshore wagering following the implementation of NCPF measures</w:t>
            </w:r>
          </w:p>
          <w:p w14:paraId="5CABDF71" w14:textId="60F2CB1C" w:rsidR="00B05FE3" w:rsidRPr="005174A0" w:rsidRDefault="00B05FE3" w:rsidP="00CF6D5E">
            <w:pPr>
              <w:pStyle w:val="TableBullet1"/>
            </w:pPr>
            <w:r w:rsidRPr="005174A0">
              <w:t xml:space="preserve">Key stakeholder feedback on the impact on WSPs </w:t>
            </w:r>
          </w:p>
        </w:tc>
        <w:tc>
          <w:tcPr>
            <w:tcW w:w="2835" w:type="dxa"/>
          </w:tcPr>
          <w:p w14:paraId="48A7D69B" w14:textId="77777777" w:rsidR="00B05FE3" w:rsidRPr="00CF6D5E" w:rsidRDefault="00B05FE3" w:rsidP="00CF6D5E">
            <w:pPr>
              <w:pStyle w:val="TableText"/>
            </w:pPr>
            <w:r w:rsidRPr="00CF6D5E">
              <w:t>Stakeholder interviews; Secondary data</w:t>
            </w:r>
          </w:p>
        </w:tc>
      </w:tr>
    </w:tbl>
    <w:p w14:paraId="09C08AFF" w14:textId="77777777" w:rsidR="00231EE9" w:rsidRDefault="00602522" w:rsidP="00231EE9">
      <w:pPr>
        <w:pStyle w:val="AppendixHeading1"/>
      </w:pPr>
      <w:bookmarkStart w:id="167" w:name="AppendixD"/>
      <w:bookmarkStart w:id="168" w:name="_Toc233643329"/>
      <w:bookmarkStart w:id="169" w:name="_Toc218244902"/>
      <w:bookmarkStart w:id="170" w:name="_Toc215847433"/>
      <w:bookmarkEnd w:id="164"/>
      <w:bookmarkEnd w:id="167"/>
      <w:r>
        <w:lastRenderedPageBreak/>
        <w:t xml:space="preserve">Appendix </w:t>
      </w:r>
      <w:r w:rsidR="000D127D">
        <w:t>D</w:t>
      </w:r>
      <w:r>
        <w:t xml:space="preserve">: </w:t>
      </w:r>
      <w:r w:rsidR="00231EE9">
        <w:t>Consumer experiences of NCPF measure non-compliance</w:t>
      </w:r>
      <w:bookmarkEnd w:id="168"/>
    </w:p>
    <w:p w14:paraId="3AA102BF" w14:textId="509909E3" w:rsidR="00231EE9" w:rsidRPr="009E1220" w:rsidRDefault="00231EE9" w:rsidP="007A60DE">
      <w:pPr>
        <w:pStyle w:val="TableCaption"/>
        <w:rPr>
          <w:lang w:bidi="ar-SA"/>
        </w:rPr>
      </w:pPr>
      <w:r>
        <w:t xml:space="preserve">Table </w:t>
      </w:r>
      <w:r w:rsidR="00A91A67">
        <w:t>10</w:t>
      </w:r>
      <w:r>
        <w:t xml:space="preserve">: </w:t>
      </w:r>
      <w:r w:rsidRPr="00A86C3C">
        <w:t>Consumer experiences of non-compliance with NCPF measures, last 12 months to July 2025 (Consumer Survey, % of weighted sample)</w:t>
      </w:r>
    </w:p>
    <w:tbl>
      <w:tblPr>
        <w:tblStyle w:val="TableGrid29"/>
        <w:tblpPr w:leftFromText="180" w:rightFromText="180" w:vertAnchor="text" w:tblpY="1"/>
        <w:tblOverlap w:val="never"/>
        <w:tblW w:w="13753" w:type="dxa"/>
        <w:tblLook w:val="04A0" w:firstRow="1" w:lastRow="0" w:firstColumn="1" w:lastColumn="0" w:noHBand="0" w:noVBand="1"/>
      </w:tblPr>
      <w:tblGrid>
        <w:gridCol w:w="1276"/>
        <w:gridCol w:w="4678"/>
        <w:gridCol w:w="4394"/>
        <w:gridCol w:w="2410"/>
        <w:gridCol w:w="995"/>
      </w:tblGrid>
      <w:tr w:rsidR="00231EE9" w:rsidRPr="003E6BE5" w14:paraId="0D53F3C6" w14:textId="77777777">
        <w:trPr>
          <w:cnfStyle w:val="100000000000" w:firstRow="1" w:lastRow="0" w:firstColumn="0" w:lastColumn="0" w:oddVBand="0" w:evenVBand="0" w:oddHBand="0" w:evenHBand="0" w:firstRowFirstColumn="0" w:firstRowLastColumn="0" w:lastRowFirstColumn="0" w:lastRowLastColumn="0"/>
          <w:cantSplit w:val="0"/>
          <w:tblHeader/>
        </w:trPr>
        <w:tc>
          <w:tcPr>
            <w:tcW w:w="1276" w:type="dxa"/>
          </w:tcPr>
          <w:p w14:paraId="4DF3365F" w14:textId="77777777" w:rsidR="00231EE9" w:rsidRPr="003E6BE5" w:rsidRDefault="00231EE9" w:rsidP="00280FF9">
            <w:pPr>
              <w:keepNext/>
              <w:keepLines/>
              <w:spacing w:before="60" w:after="60" w:line="240" w:lineRule="auto"/>
              <w:jc w:val="left"/>
              <w:rPr>
                <w:rFonts w:eastAsia="Times New Roman"/>
                <w:color w:val="FFFFFF" w:themeColor="background1"/>
                <w:sz w:val="16"/>
                <w:lang w:val="en-US" w:eastAsia="en-AU" w:bidi="en-US"/>
              </w:rPr>
            </w:pPr>
            <w:r w:rsidRPr="003E6BE5">
              <w:rPr>
                <w:rFonts w:eastAsia="Times New Roman"/>
                <w:color w:val="FFFFFF" w:themeColor="background1"/>
                <w:sz w:val="16"/>
                <w:lang w:val="en-US" w:eastAsia="en-AU" w:bidi="en-US"/>
              </w:rPr>
              <w:t>Measure</w:t>
            </w:r>
          </w:p>
        </w:tc>
        <w:tc>
          <w:tcPr>
            <w:tcW w:w="4678" w:type="dxa"/>
          </w:tcPr>
          <w:p w14:paraId="0679C450" w14:textId="77777777" w:rsidR="00231EE9" w:rsidRPr="003E6BE5" w:rsidRDefault="00231EE9" w:rsidP="00280FF9">
            <w:pPr>
              <w:keepNext/>
              <w:keepLines/>
              <w:spacing w:before="60" w:after="60" w:line="240" w:lineRule="auto"/>
              <w:jc w:val="left"/>
              <w:rPr>
                <w:rFonts w:eastAsia="Times New Roman"/>
                <w:color w:val="FFFFFF" w:themeColor="background1"/>
                <w:sz w:val="16"/>
                <w:lang w:val="en-US" w:eastAsia="en-AU" w:bidi="en-US"/>
              </w:rPr>
            </w:pPr>
            <w:r w:rsidRPr="003E6BE5">
              <w:rPr>
                <w:rFonts w:eastAsia="Times New Roman"/>
                <w:color w:val="FFFFFF" w:themeColor="background1"/>
                <w:sz w:val="16"/>
                <w:lang w:val="en-US" w:eastAsia="en-AU" w:bidi="en-US"/>
              </w:rPr>
              <w:t>Measure principle</w:t>
            </w:r>
          </w:p>
        </w:tc>
        <w:tc>
          <w:tcPr>
            <w:tcW w:w="4394" w:type="dxa"/>
          </w:tcPr>
          <w:p w14:paraId="086CF6D3" w14:textId="77777777" w:rsidR="00231EE9" w:rsidRPr="003E6BE5" w:rsidRDefault="00231EE9" w:rsidP="00280FF9">
            <w:pPr>
              <w:keepNext/>
              <w:keepLines/>
              <w:spacing w:before="60" w:after="60" w:line="240" w:lineRule="auto"/>
              <w:jc w:val="left"/>
              <w:rPr>
                <w:rFonts w:eastAsia="Times New Roman"/>
                <w:color w:val="FFFFFF" w:themeColor="background1"/>
                <w:sz w:val="16"/>
                <w:lang w:val="en-US" w:eastAsia="en-AU" w:bidi="en-US"/>
              </w:rPr>
            </w:pPr>
            <w:r>
              <w:rPr>
                <w:rFonts w:eastAsia="Times New Roman"/>
                <w:color w:val="FFFFFF" w:themeColor="background1"/>
                <w:sz w:val="16"/>
                <w:lang w:val="en-US" w:eastAsia="en-AU" w:bidi="en-US"/>
              </w:rPr>
              <w:t>Metric of non-compliance</w:t>
            </w:r>
          </w:p>
        </w:tc>
        <w:tc>
          <w:tcPr>
            <w:tcW w:w="2410" w:type="dxa"/>
          </w:tcPr>
          <w:p w14:paraId="5745B43F" w14:textId="77777777" w:rsidR="00231EE9" w:rsidRDefault="00231EE9" w:rsidP="00280FF9">
            <w:pPr>
              <w:keepNext/>
              <w:keepLines/>
              <w:spacing w:before="60" w:after="60" w:line="240" w:lineRule="auto"/>
              <w:jc w:val="center"/>
              <w:rPr>
                <w:rFonts w:eastAsia="Times New Roman"/>
                <w:color w:val="FFFFFF" w:themeColor="background1"/>
                <w:sz w:val="16"/>
                <w:lang w:val="en-US" w:eastAsia="en-AU" w:bidi="en-US"/>
              </w:rPr>
            </w:pPr>
            <w:r>
              <w:rPr>
                <w:rFonts w:eastAsia="Times New Roman"/>
                <w:color w:val="FFFFFF" w:themeColor="background1"/>
                <w:sz w:val="16"/>
                <w:lang w:val="en-US" w:eastAsia="en-AU" w:bidi="en-US"/>
              </w:rPr>
              <w:t>Sample</w:t>
            </w:r>
          </w:p>
        </w:tc>
        <w:tc>
          <w:tcPr>
            <w:tcW w:w="995" w:type="dxa"/>
          </w:tcPr>
          <w:p w14:paraId="2820CC8D" w14:textId="77777777" w:rsidR="00231EE9" w:rsidRPr="003E6BE5" w:rsidRDefault="00231EE9" w:rsidP="00280FF9">
            <w:pPr>
              <w:keepNext/>
              <w:keepLines/>
              <w:spacing w:before="60" w:after="60" w:line="240" w:lineRule="auto"/>
              <w:jc w:val="center"/>
              <w:rPr>
                <w:rFonts w:eastAsia="Times New Roman"/>
                <w:color w:val="FFFFFF" w:themeColor="background1"/>
                <w:sz w:val="16"/>
                <w:lang w:val="en-US" w:eastAsia="en-AU" w:bidi="en-US"/>
              </w:rPr>
            </w:pPr>
            <w:r>
              <w:rPr>
                <w:rFonts w:eastAsia="Times New Roman"/>
                <w:color w:val="FFFFFF" w:themeColor="background1"/>
                <w:sz w:val="16"/>
                <w:lang w:val="en-US" w:eastAsia="en-AU" w:bidi="en-US"/>
              </w:rPr>
              <w:t>% sample</w:t>
            </w:r>
          </w:p>
        </w:tc>
      </w:tr>
      <w:tr w:rsidR="00231EE9" w:rsidRPr="003E6BE5" w14:paraId="175E183B" w14:textId="77777777">
        <w:tc>
          <w:tcPr>
            <w:tcW w:w="1276" w:type="dxa"/>
          </w:tcPr>
          <w:p w14:paraId="68BBAF65" w14:textId="77777777" w:rsidR="00231EE9" w:rsidRPr="003E6BE5" w:rsidRDefault="00231EE9" w:rsidP="00280FF9">
            <w:pPr>
              <w:keepNext/>
              <w:keepLines/>
              <w:spacing w:before="60" w:after="60" w:line="240" w:lineRule="auto"/>
              <w:jc w:val="left"/>
              <w:rPr>
                <w:rFonts w:eastAsia="Times New Roman"/>
                <w:sz w:val="16"/>
                <w:szCs w:val="20"/>
                <w:lang w:eastAsia="en-AU" w:bidi="en-US"/>
              </w:rPr>
            </w:pPr>
            <w:r w:rsidRPr="003E6BE5">
              <w:rPr>
                <w:rFonts w:eastAsia="Times New Roman"/>
                <w:sz w:val="16"/>
                <w:szCs w:val="20"/>
                <w:lang w:eastAsia="en-AU" w:bidi="en-US"/>
              </w:rPr>
              <w:t>Prohibition of lines of credit</w:t>
            </w:r>
          </w:p>
        </w:tc>
        <w:tc>
          <w:tcPr>
            <w:tcW w:w="4678" w:type="dxa"/>
          </w:tcPr>
          <w:p w14:paraId="0344A5F0" w14:textId="2873FD44" w:rsidR="00231EE9" w:rsidRPr="003E6BE5" w:rsidRDefault="00231EE9" w:rsidP="00280FF9">
            <w:pPr>
              <w:pStyle w:val="TableText"/>
              <w:keepLines/>
            </w:pPr>
            <w:r w:rsidRPr="003E6BE5">
              <w:t>Credit must not be offered or provided by an interactive wagering service provider to their customer</w:t>
            </w:r>
            <w:r w:rsidR="00F90B45">
              <w:t>.</w:t>
            </w:r>
          </w:p>
        </w:tc>
        <w:tc>
          <w:tcPr>
            <w:tcW w:w="4394" w:type="dxa"/>
          </w:tcPr>
          <w:p w14:paraId="7B9E9F68" w14:textId="77777777"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sidRPr="00F93FC6">
              <w:rPr>
                <w:rFonts w:eastAsia="Times New Roman"/>
                <w:color w:val="auto"/>
                <w:sz w:val="16"/>
                <w:szCs w:val="20"/>
                <w:lang w:eastAsia="en-AU" w:bidi="en-US"/>
              </w:rPr>
              <w:t>Offered or used credit from an online betting operator</w:t>
            </w:r>
          </w:p>
        </w:tc>
        <w:tc>
          <w:tcPr>
            <w:tcW w:w="2410" w:type="dxa"/>
          </w:tcPr>
          <w:p w14:paraId="0F5653F8" w14:textId="77777777" w:rsidR="00231EE9" w:rsidRPr="00E4385F" w:rsidRDefault="00231EE9" w:rsidP="00280FF9">
            <w:pPr>
              <w:keepNext/>
              <w:keepLines/>
              <w:spacing w:before="60" w:after="60" w:line="240" w:lineRule="auto"/>
              <w:jc w:val="center"/>
              <w:rPr>
                <w:rFonts w:eastAsia="Times New Roman"/>
                <w:color w:val="auto"/>
                <w:sz w:val="16"/>
                <w:szCs w:val="20"/>
                <w:lang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7DE00CF5" w14:textId="77777777" w:rsidR="00231EE9" w:rsidRPr="00E4385F" w:rsidRDefault="00231EE9" w:rsidP="00280FF9">
            <w:pPr>
              <w:keepNext/>
              <w:keepLines/>
              <w:spacing w:before="60" w:after="60" w:line="240" w:lineRule="auto"/>
              <w:jc w:val="center"/>
              <w:rPr>
                <w:rFonts w:eastAsia="Times New Roman"/>
                <w:color w:val="auto"/>
                <w:sz w:val="16"/>
                <w:szCs w:val="20"/>
                <w:lang w:eastAsia="en-AU" w:bidi="en-US"/>
              </w:rPr>
            </w:pPr>
            <w:r w:rsidRPr="00E4385F">
              <w:rPr>
                <w:rFonts w:eastAsia="Times New Roman"/>
                <w:color w:val="auto"/>
                <w:sz w:val="16"/>
                <w:szCs w:val="20"/>
                <w:lang w:eastAsia="en-AU" w:bidi="en-US"/>
              </w:rPr>
              <w:t>4.4%</w:t>
            </w:r>
          </w:p>
        </w:tc>
      </w:tr>
      <w:tr w:rsidR="00231EE9" w:rsidRPr="003E6BE5" w14:paraId="6161C895" w14:textId="77777777">
        <w:tc>
          <w:tcPr>
            <w:tcW w:w="1276" w:type="dxa"/>
          </w:tcPr>
          <w:p w14:paraId="0FD4416A" w14:textId="77777777" w:rsidR="00231EE9" w:rsidRPr="003E6BE5" w:rsidRDefault="00231EE9" w:rsidP="00280FF9">
            <w:pPr>
              <w:keepNext/>
              <w:keepLines/>
              <w:spacing w:before="60" w:after="60" w:line="240" w:lineRule="auto"/>
              <w:jc w:val="left"/>
              <w:rPr>
                <w:rFonts w:eastAsia="Times New Roman"/>
                <w:sz w:val="16"/>
                <w:szCs w:val="20"/>
                <w:lang w:eastAsia="en-AU" w:bidi="en-US"/>
              </w:rPr>
            </w:pPr>
            <w:r w:rsidRPr="003E6BE5">
              <w:rPr>
                <w:rFonts w:eastAsia="Times New Roman"/>
                <w:sz w:val="16"/>
                <w:szCs w:val="20"/>
                <w:lang w:eastAsia="en-AU" w:bidi="en-US"/>
              </w:rPr>
              <w:t>Payday lenders</w:t>
            </w:r>
          </w:p>
        </w:tc>
        <w:tc>
          <w:tcPr>
            <w:tcW w:w="4678" w:type="dxa"/>
          </w:tcPr>
          <w:p w14:paraId="5CDE38E7" w14:textId="0613E111" w:rsidR="00231EE9" w:rsidRPr="003E6BE5" w:rsidRDefault="00231EE9" w:rsidP="00280FF9">
            <w:pPr>
              <w:pStyle w:val="TableText"/>
              <w:keepLines/>
            </w:pPr>
            <w:r w:rsidRPr="003E6BE5">
              <w:t>An online wagering consumer must not be referred to a credit provider to finance their wagering activity</w:t>
            </w:r>
            <w:r w:rsidR="00F90B45">
              <w:t>.</w:t>
            </w:r>
          </w:p>
        </w:tc>
        <w:tc>
          <w:tcPr>
            <w:tcW w:w="4394" w:type="dxa"/>
          </w:tcPr>
          <w:p w14:paraId="5439D500" w14:textId="3F4EAA30"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sidRPr="00F93FC6">
              <w:rPr>
                <w:rFonts w:eastAsia="Times New Roman"/>
                <w:color w:val="auto"/>
                <w:sz w:val="16"/>
                <w:szCs w:val="20"/>
                <w:lang w:eastAsia="en-AU" w:bidi="en-US"/>
              </w:rPr>
              <w:t>Referred to or used payday or short-term loan provided</w:t>
            </w:r>
            <w:r w:rsidR="002E5A87">
              <w:rPr>
                <w:rFonts w:eastAsia="Times New Roman"/>
                <w:color w:val="auto"/>
                <w:sz w:val="16"/>
                <w:szCs w:val="20"/>
                <w:lang w:eastAsia="en-AU" w:bidi="en-US"/>
              </w:rPr>
              <w:t>,</w:t>
            </w:r>
            <w:r w:rsidRPr="00F93FC6">
              <w:rPr>
                <w:rFonts w:eastAsia="Times New Roman"/>
                <w:color w:val="auto"/>
                <w:sz w:val="16"/>
                <w:szCs w:val="20"/>
                <w:lang w:eastAsia="en-AU" w:bidi="en-US"/>
              </w:rPr>
              <w:t xml:space="preserve"> which was from an online betting operator</w:t>
            </w:r>
          </w:p>
        </w:tc>
        <w:tc>
          <w:tcPr>
            <w:tcW w:w="2410" w:type="dxa"/>
          </w:tcPr>
          <w:p w14:paraId="49AD4E18" w14:textId="77777777" w:rsidR="00231EE9" w:rsidRPr="00E4385F" w:rsidRDefault="00231EE9" w:rsidP="00280FF9">
            <w:pPr>
              <w:keepNext/>
              <w:keepLines/>
              <w:spacing w:before="60" w:after="60" w:line="240" w:lineRule="auto"/>
              <w:jc w:val="center"/>
              <w:rPr>
                <w:rFonts w:eastAsia="Times New Roman"/>
                <w:color w:val="auto"/>
                <w:sz w:val="16"/>
                <w:szCs w:val="20"/>
                <w:lang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1899DA8B" w14:textId="77777777" w:rsidR="00231EE9" w:rsidRPr="00E4385F" w:rsidRDefault="00231EE9" w:rsidP="00280FF9">
            <w:pPr>
              <w:keepNext/>
              <w:keepLines/>
              <w:spacing w:before="60" w:after="60" w:line="240" w:lineRule="auto"/>
              <w:jc w:val="center"/>
              <w:rPr>
                <w:rFonts w:eastAsia="Times New Roman"/>
                <w:color w:val="auto"/>
                <w:sz w:val="16"/>
                <w:szCs w:val="20"/>
                <w:lang w:eastAsia="en-AU" w:bidi="en-US"/>
              </w:rPr>
            </w:pPr>
            <w:r w:rsidRPr="00E4385F">
              <w:rPr>
                <w:rFonts w:eastAsia="Times New Roman"/>
                <w:color w:val="auto"/>
                <w:sz w:val="16"/>
                <w:szCs w:val="20"/>
                <w:lang w:eastAsia="en-AU" w:bidi="en-US"/>
              </w:rPr>
              <w:t>2.2%</w:t>
            </w:r>
          </w:p>
        </w:tc>
      </w:tr>
      <w:tr w:rsidR="00231EE9" w:rsidRPr="003E6BE5" w14:paraId="60A3DFAE" w14:textId="77777777">
        <w:tc>
          <w:tcPr>
            <w:tcW w:w="1276" w:type="dxa"/>
          </w:tcPr>
          <w:p w14:paraId="7F58DDE8" w14:textId="77777777" w:rsidR="00231EE9" w:rsidRPr="003E6BE5" w:rsidRDefault="00231EE9" w:rsidP="00280FF9">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Customer verification</w:t>
            </w:r>
          </w:p>
        </w:tc>
        <w:tc>
          <w:tcPr>
            <w:tcW w:w="4678" w:type="dxa"/>
          </w:tcPr>
          <w:p w14:paraId="0F460F0F" w14:textId="77777777" w:rsidR="00231EE9" w:rsidRPr="003E6BE5" w:rsidRDefault="00231EE9" w:rsidP="00280FF9">
            <w:pPr>
              <w:pStyle w:val="TableText"/>
              <w:keepLines/>
            </w:pPr>
            <w:r w:rsidRPr="00181C46">
              <w:t>The 72-hour verification period will change to a customer pre-verification measure after the</w:t>
            </w:r>
            <w:r>
              <w:t xml:space="preserve"> </w:t>
            </w:r>
            <w:r w:rsidRPr="00181C46">
              <w:t>National Self Exclusion Register (NSER) is operational.</w:t>
            </w:r>
          </w:p>
        </w:tc>
        <w:tc>
          <w:tcPr>
            <w:tcW w:w="4394" w:type="dxa"/>
          </w:tcPr>
          <w:p w14:paraId="0DBC7D02" w14:textId="77777777"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sidRPr="000C3AEC">
              <w:rPr>
                <w:rFonts w:eastAsia="Times New Roman"/>
                <w:color w:val="auto"/>
                <w:sz w:val="16"/>
                <w:szCs w:val="20"/>
                <w:lang w:eastAsia="en-AU" w:bidi="en-US"/>
              </w:rPr>
              <w:t xml:space="preserve">During account sign-up process they were </w:t>
            </w:r>
            <w:r w:rsidRPr="00C41B5B">
              <w:rPr>
                <w:rFonts w:eastAsia="Times New Roman"/>
                <w:color w:val="auto"/>
                <w:sz w:val="16"/>
                <w:szCs w:val="20"/>
                <w:lang w:eastAsia="en-AU" w:bidi="en-US"/>
              </w:rPr>
              <w:t>not</w:t>
            </w:r>
            <w:r>
              <w:rPr>
                <w:rFonts w:eastAsia="Times New Roman"/>
                <w:color w:val="auto"/>
                <w:sz w:val="16"/>
                <w:szCs w:val="20"/>
                <w:lang w:eastAsia="en-AU" w:bidi="en-US"/>
              </w:rPr>
              <w:t xml:space="preserve"> </w:t>
            </w:r>
            <w:r w:rsidRPr="000C3AEC">
              <w:rPr>
                <w:rFonts w:eastAsia="Times New Roman"/>
                <w:color w:val="auto"/>
                <w:sz w:val="16"/>
                <w:szCs w:val="20"/>
                <w:lang w:eastAsia="en-AU" w:bidi="en-US"/>
              </w:rPr>
              <w:t>required to submit proof of identity</w:t>
            </w:r>
            <w:r>
              <w:rPr>
                <w:rFonts w:eastAsia="Times New Roman"/>
                <w:color w:val="auto"/>
                <w:sz w:val="16"/>
                <w:szCs w:val="20"/>
                <w:lang w:eastAsia="en-AU" w:bidi="en-US"/>
              </w:rPr>
              <w:t>.</w:t>
            </w:r>
          </w:p>
        </w:tc>
        <w:tc>
          <w:tcPr>
            <w:tcW w:w="2410" w:type="dxa"/>
          </w:tcPr>
          <w:p w14:paraId="13145EF1" w14:textId="77777777" w:rsidR="00231EE9" w:rsidRPr="00E4385F" w:rsidRDefault="00231EE9" w:rsidP="00280FF9">
            <w:pPr>
              <w:keepNext/>
              <w:keepLines/>
              <w:spacing w:before="60" w:after="60" w:line="240" w:lineRule="auto"/>
              <w:jc w:val="center"/>
              <w:rPr>
                <w:rFonts w:eastAsia="Times New Roman"/>
                <w:color w:val="auto"/>
                <w:sz w:val="16"/>
                <w:szCs w:val="20"/>
                <w:lang w:eastAsia="en-AU" w:bidi="en-US"/>
              </w:rPr>
            </w:pPr>
            <w:r w:rsidRPr="00E4385F">
              <w:rPr>
                <w:rFonts w:eastAsia="Times New Roman"/>
                <w:sz w:val="16"/>
                <w:szCs w:val="20"/>
                <w:lang w:eastAsia="en-AU" w:bidi="en-US"/>
              </w:rPr>
              <w:t>Opened an account last 12 months</w:t>
            </w:r>
          </w:p>
        </w:tc>
        <w:tc>
          <w:tcPr>
            <w:tcW w:w="995" w:type="dxa"/>
          </w:tcPr>
          <w:p w14:paraId="0F8AF349" w14:textId="77777777" w:rsidR="00231EE9" w:rsidRPr="000C3AEC" w:rsidRDefault="00231EE9" w:rsidP="00280FF9">
            <w:pPr>
              <w:keepNext/>
              <w:keepLines/>
              <w:spacing w:before="60" w:after="60" w:line="240" w:lineRule="auto"/>
              <w:jc w:val="center"/>
              <w:rPr>
                <w:rFonts w:eastAsia="Times New Roman"/>
                <w:color w:val="auto"/>
                <w:sz w:val="16"/>
                <w:szCs w:val="20"/>
                <w:lang w:eastAsia="en-AU" w:bidi="en-US"/>
              </w:rPr>
            </w:pPr>
            <w:r w:rsidRPr="00E4385F">
              <w:rPr>
                <w:rFonts w:eastAsia="Times New Roman"/>
                <w:color w:val="auto"/>
                <w:sz w:val="16"/>
                <w:szCs w:val="20"/>
                <w:lang w:eastAsia="en-AU" w:bidi="en-US"/>
              </w:rPr>
              <w:t>16.1%</w:t>
            </w:r>
            <w:r>
              <w:rPr>
                <w:rFonts w:eastAsia="Times New Roman"/>
                <w:color w:val="auto"/>
                <w:sz w:val="16"/>
                <w:szCs w:val="20"/>
                <w:lang w:eastAsia="en-AU" w:bidi="en-US"/>
              </w:rPr>
              <w:t>*</w:t>
            </w:r>
          </w:p>
        </w:tc>
      </w:tr>
      <w:tr w:rsidR="00231EE9" w:rsidRPr="003E6BE5" w14:paraId="6A4B1D95" w14:textId="77777777">
        <w:tc>
          <w:tcPr>
            <w:tcW w:w="1276" w:type="dxa"/>
            <w:vMerge w:val="restart"/>
          </w:tcPr>
          <w:p w14:paraId="09C8FDD7" w14:textId="77777777" w:rsidR="00231EE9" w:rsidRPr="003E6BE5" w:rsidRDefault="00231EE9" w:rsidP="00280FF9">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Restrictions on inducements</w:t>
            </w:r>
          </w:p>
        </w:tc>
        <w:tc>
          <w:tcPr>
            <w:tcW w:w="4678" w:type="dxa"/>
            <w:vMerge w:val="restart"/>
          </w:tcPr>
          <w:p w14:paraId="7EBEDC98" w14:textId="77777777" w:rsidR="00231EE9" w:rsidRPr="003E6BE5" w:rsidRDefault="00231EE9" w:rsidP="00280FF9">
            <w:pPr>
              <w:pStyle w:val="TableText"/>
              <w:keepLines/>
            </w:pPr>
            <w:r w:rsidRPr="006A684D">
              <w:t>The offer of any credit, voucher, reward, or other benefit as an incentive to open an account or refer another person to open an account is prohibited.</w:t>
            </w:r>
          </w:p>
        </w:tc>
        <w:tc>
          <w:tcPr>
            <w:tcW w:w="4394" w:type="dxa"/>
          </w:tcPr>
          <w:p w14:paraId="7B21BBF6" w14:textId="5D66DF17"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Offered an inducement by an online betting operator for opening an online betting account</w:t>
            </w:r>
          </w:p>
        </w:tc>
        <w:tc>
          <w:tcPr>
            <w:tcW w:w="2410" w:type="dxa"/>
          </w:tcPr>
          <w:p w14:paraId="5834B93D" w14:textId="77777777" w:rsidR="00231EE9" w:rsidRPr="00493154" w:rsidRDefault="00231EE9" w:rsidP="00280FF9">
            <w:pPr>
              <w:keepNext/>
              <w:keepLines/>
              <w:spacing w:before="60" w:after="60" w:line="240" w:lineRule="auto"/>
              <w:jc w:val="center"/>
              <w:rPr>
                <w:rFonts w:eastAsia="Times New Roman"/>
                <w:sz w:val="16"/>
                <w:szCs w:val="20"/>
                <w:lang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79B33026" w14:textId="77777777" w:rsidR="00231EE9" w:rsidRPr="00493154" w:rsidRDefault="00231EE9" w:rsidP="00280FF9">
            <w:pPr>
              <w:keepNext/>
              <w:keepLines/>
              <w:spacing w:before="60" w:after="60" w:line="240" w:lineRule="auto"/>
              <w:jc w:val="center"/>
              <w:rPr>
                <w:rFonts w:eastAsia="Times New Roman"/>
                <w:sz w:val="16"/>
                <w:szCs w:val="20"/>
                <w:lang w:eastAsia="en-AU" w:bidi="en-US"/>
              </w:rPr>
            </w:pPr>
            <w:r w:rsidRPr="00493154">
              <w:rPr>
                <w:rFonts w:eastAsia="Times New Roman"/>
                <w:sz w:val="16"/>
                <w:szCs w:val="20"/>
                <w:lang w:eastAsia="en-AU" w:bidi="en-US"/>
              </w:rPr>
              <w:t>15.</w:t>
            </w:r>
            <w:r>
              <w:rPr>
                <w:rFonts w:eastAsia="Times New Roman"/>
                <w:sz w:val="16"/>
                <w:szCs w:val="20"/>
                <w:lang w:eastAsia="en-AU" w:bidi="en-US"/>
              </w:rPr>
              <w:t>4</w:t>
            </w:r>
            <w:r w:rsidRPr="00493154">
              <w:rPr>
                <w:rFonts w:eastAsia="Times New Roman"/>
                <w:sz w:val="16"/>
                <w:szCs w:val="20"/>
                <w:lang w:eastAsia="en-AU" w:bidi="en-US"/>
              </w:rPr>
              <w:t>%</w:t>
            </w:r>
          </w:p>
        </w:tc>
      </w:tr>
      <w:tr w:rsidR="00231EE9" w:rsidRPr="003E6BE5" w14:paraId="7E0CB153" w14:textId="77777777">
        <w:tc>
          <w:tcPr>
            <w:tcW w:w="1276" w:type="dxa"/>
            <w:vMerge/>
          </w:tcPr>
          <w:p w14:paraId="5EBAE007"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vMerge/>
          </w:tcPr>
          <w:p w14:paraId="423152E5" w14:textId="77777777" w:rsidR="00231EE9" w:rsidRPr="006A684D" w:rsidRDefault="00231EE9" w:rsidP="00280FF9">
            <w:pPr>
              <w:pStyle w:val="TableText"/>
              <w:keepLines/>
            </w:pPr>
          </w:p>
        </w:tc>
        <w:tc>
          <w:tcPr>
            <w:tcW w:w="4394" w:type="dxa"/>
          </w:tcPr>
          <w:p w14:paraId="7945F9AC" w14:textId="4E89611A" w:rsidR="00231EE9"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Offered an inducement by an online betting operator for referring another person to open an online betting account</w:t>
            </w:r>
          </w:p>
        </w:tc>
        <w:tc>
          <w:tcPr>
            <w:tcW w:w="2410" w:type="dxa"/>
          </w:tcPr>
          <w:p w14:paraId="0C883D90" w14:textId="77777777" w:rsidR="00231EE9" w:rsidRPr="00493154" w:rsidRDefault="00231EE9" w:rsidP="00280FF9">
            <w:pPr>
              <w:keepNext/>
              <w:keepLines/>
              <w:spacing w:before="60" w:after="60" w:line="240" w:lineRule="auto"/>
              <w:jc w:val="center"/>
              <w:rPr>
                <w:rFonts w:eastAsia="Times New Roman"/>
                <w:sz w:val="16"/>
                <w:szCs w:val="20"/>
                <w:lang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61AE7D60" w14:textId="77777777" w:rsidR="00231EE9" w:rsidRPr="00493154" w:rsidRDefault="00231EE9" w:rsidP="00280FF9">
            <w:pPr>
              <w:keepNext/>
              <w:keepLines/>
              <w:spacing w:before="60" w:after="60" w:line="240" w:lineRule="auto"/>
              <w:jc w:val="center"/>
              <w:rPr>
                <w:rFonts w:eastAsia="Times New Roman"/>
                <w:sz w:val="16"/>
                <w:szCs w:val="20"/>
                <w:lang w:eastAsia="en-AU" w:bidi="en-US"/>
              </w:rPr>
            </w:pPr>
            <w:r>
              <w:rPr>
                <w:rFonts w:eastAsia="Times New Roman"/>
                <w:sz w:val="16"/>
                <w:szCs w:val="20"/>
                <w:lang w:eastAsia="en-AU" w:bidi="en-US"/>
              </w:rPr>
              <w:t>9.9%</w:t>
            </w:r>
          </w:p>
        </w:tc>
      </w:tr>
      <w:tr w:rsidR="00231EE9" w:rsidRPr="003E6BE5" w14:paraId="39F8166D" w14:textId="77777777">
        <w:tc>
          <w:tcPr>
            <w:tcW w:w="1276" w:type="dxa"/>
            <w:vMerge/>
          </w:tcPr>
          <w:p w14:paraId="47FBBB1B"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1F45E1B0" w14:textId="77777777" w:rsidR="00231EE9" w:rsidRPr="006A684D" w:rsidRDefault="00231EE9" w:rsidP="00280FF9">
            <w:pPr>
              <w:pStyle w:val="TableText"/>
              <w:keepLines/>
            </w:pPr>
            <w:r w:rsidRPr="006A684D">
              <w:t>Winnings from a complementary betting credit or token (i.e. bonus bet) must be able to be withdrawn without being subject to any turnover requirements.</w:t>
            </w:r>
          </w:p>
        </w:tc>
        <w:tc>
          <w:tcPr>
            <w:tcW w:w="4394" w:type="dxa"/>
          </w:tcPr>
          <w:p w14:paraId="56EFDF79" w14:textId="075F03EE" w:rsidR="00231EE9" w:rsidRPr="00845A5F" w:rsidRDefault="00231EE9" w:rsidP="00280FF9">
            <w:pPr>
              <w:keepNext/>
              <w:keepLines/>
              <w:spacing w:before="60" w:after="60" w:line="240" w:lineRule="auto"/>
              <w:jc w:val="left"/>
              <w:rPr>
                <w:rFonts w:eastAsia="Times New Roman"/>
                <w:color w:val="auto"/>
                <w:sz w:val="16"/>
                <w:szCs w:val="20"/>
                <w:lang w:eastAsia="en-AU" w:bidi="en-US"/>
              </w:rPr>
            </w:pPr>
            <w:r w:rsidRPr="005F6A4B">
              <w:rPr>
                <w:rFonts w:eastAsia="Times New Roman"/>
                <w:color w:val="auto"/>
                <w:sz w:val="16"/>
                <w:szCs w:val="20"/>
                <w:lang w:eastAsia="en-AU" w:bidi="en-US"/>
              </w:rPr>
              <w:t>Unable to withdraw winnings made from promotional bets without placing more bets</w:t>
            </w:r>
          </w:p>
        </w:tc>
        <w:tc>
          <w:tcPr>
            <w:tcW w:w="2410" w:type="dxa"/>
          </w:tcPr>
          <w:p w14:paraId="4B5D0A2F" w14:textId="77777777" w:rsidR="00231EE9" w:rsidRPr="00E4385F" w:rsidRDefault="00231EE9" w:rsidP="00280FF9">
            <w:pPr>
              <w:keepNext/>
              <w:keepLines/>
              <w:spacing w:before="60" w:after="60" w:line="240" w:lineRule="auto"/>
              <w:jc w:val="center"/>
              <w:rPr>
                <w:rFonts w:eastAsia="Times New Roman"/>
                <w:sz w:val="16"/>
                <w:szCs w:val="20"/>
                <w:lang w:eastAsia="en-AU" w:bidi="en-US"/>
              </w:rPr>
            </w:pPr>
            <w:r>
              <w:rPr>
                <w:rFonts w:eastAsia="Times New Roman"/>
                <w:sz w:val="16"/>
                <w:szCs w:val="20"/>
                <w:lang w:eastAsia="en-AU" w:bidi="en-US"/>
              </w:rPr>
              <w:t xml:space="preserve">Online wagerers who made winnings </w:t>
            </w:r>
          </w:p>
        </w:tc>
        <w:tc>
          <w:tcPr>
            <w:tcW w:w="995" w:type="dxa"/>
          </w:tcPr>
          <w:p w14:paraId="4B5C9620" w14:textId="77777777" w:rsidR="00231EE9" w:rsidRDefault="00231EE9" w:rsidP="00280FF9">
            <w:pPr>
              <w:keepNext/>
              <w:keepLines/>
              <w:spacing w:before="60" w:after="60" w:line="240" w:lineRule="auto"/>
              <w:jc w:val="center"/>
              <w:rPr>
                <w:rFonts w:eastAsia="Times New Roman"/>
                <w:color w:val="auto"/>
                <w:sz w:val="16"/>
                <w:szCs w:val="20"/>
                <w:lang w:eastAsia="en-AU" w:bidi="en-US"/>
              </w:rPr>
            </w:pPr>
            <w:r>
              <w:rPr>
                <w:rFonts w:eastAsia="Times New Roman"/>
                <w:sz w:val="16"/>
                <w:szCs w:val="20"/>
                <w:lang w:eastAsia="en-AU" w:bidi="en-US"/>
              </w:rPr>
              <w:t>25.3%</w:t>
            </w:r>
          </w:p>
        </w:tc>
      </w:tr>
      <w:tr w:rsidR="00231EE9" w:rsidRPr="003E6BE5" w14:paraId="0DE3E433" w14:textId="77777777">
        <w:tc>
          <w:tcPr>
            <w:tcW w:w="1276" w:type="dxa"/>
            <w:vMerge/>
          </w:tcPr>
          <w:p w14:paraId="7D813467"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vMerge w:val="restart"/>
          </w:tcPr>
          <w:p w14:paraId="60C44755" w14:textId="77777777" w:rsidR="00231EE9" w:rsidRPr="003E6BE5" w:rsidRDefault="00231EE9" w:rsidP="00280FF9">
            <w:pPr>
              <w:pStyle w:val="TableText"/>
              <w:keepLines/>
            </w:pPr>
            <w:r w:rsidRPr="006A684D">
              <w:t>All direct marketing to customers may only be sent to customers who provide their express consent to receive this material.</w:t>
            </w:r>
          </w:p>
        </w:tc>
        <w:tc>
          <w:tcPr>
            <w:tcW w:w="4394" w:type="dxa"/>
          </w:tcPr>
          <w:p w14:paraId="64F161B7" w14:textId="63268100"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sidRPr="00845A5F">
              <w:rPr>
                <w:rFonts w:eastAsia="Times New Roman"/>
                <w:color w:val="auto"/>
                <w:sz w:val="16"/>
                <w:szCs w:val="20"/>
                <w:lang w:eastAsia="en-AU" w:bidi="en-US"/>
              </w:rPr>
              <w:t xml:space="preserve">During account sign-up </w:t>
            </w:r>
            <w:r>
              <w:rPr>
                <w:rFonts w:eastAsia="Times New Roman"/>
                <w:color w:val="auto"/>
                <w:sz w:val="16"/>
                <w:szCs w:val="20"/>
                <w:lang w:eastAsia="en-AU" w:bidi="en-US"/>
              </w:rPr>
              <w:t xml:space="preserve">was not </w:t>
            </w:r>
            <w:r w:rsidRPr="00845A5F">
              <w:rPr>
                <w:rFonts w:eastAsia="Times New Roman"/>
                <w:color w:val="auto"/>
                <w:sz w:val="16"/>
                <w:szCs w:val="20"/>
                <w:lang w:eastAsia="en-AU" w:bidi="en-US"/>
              </w:rPr>
              <w:t>asked</w:t>
            </w:r>
            <w:r>
              <w:rPr>
                <w:rFonts w:eastAsia="Times New Roman"/>
                <w:color w:val="auto"/>
                <w:sz w:val="16"/>
                <w:szCs w:val="20"/>
                <w:lang w:eastAsia="en-AU" w:bidi="en-US"/>
              </w:rPr>
              <w:t xml:space="preserve"> for</w:t>
            </w:r>
            <w:r w:rsidRPr="00845A5F">
              <w:rPr>
                <w:rFonts w:eastAsia="Times New Roman"/>
                <w:color w:val="auto"/>
                <w:sz w:val="16"/>
                <w:szCs w:val="20"/>
                <w:lang w:eastAsia="en-AU" w:bidi="en-US"/>
              </w:rPr>
              <w:t xml:space="preserve"> consent to receive direct marketing</w:t>
            </w:r>
          </w:p>
        </w:tc>
        <w:tc>
          <w:tcPr>
            <w:tcW w:w="2410" w:type="dxa"/>
          </w:tcPr>
          <w:p w14:paraId="1B3EA185" w14:textId="77777777" w:rsidR="00231EE9" w:rsidRPr="003E6BE5" w:rsidRDefault="00231EE9" w:rsidP="00280FF9">
            <w:pPr>
              <w:keepNext/>
              <w:keepLines/>
              <w:spacing w:before="60" w:after="60" w:line="240" w:lineRule="auto"/>
              <w:jc w:val="center"/>
              <w:rPr>
                <w:rFonts w:eastAsia="Times New Roman"/>
                <w:color w:val="62136D" w:themeColor="accent2"/>
                <w:sz w:val="16"/>
                <w:szCs w:val="20"/>
                <w:lang w:eastAsia="en-AU" w:bidi="en-US"/>
              </w:rPr>
            </w:pPr>
            <w:r w:rsidRPr="00E4385F">
              <w:rPr>
                <w:rFonts w:eastAsia="Times New Roman"/>
                <w:sz w:val="16"/>
                <w:szCs w:val="20"/>
                <w:lang w:eastAsia="en-AU" w:bidi="en-US"/>
              </w:rPr>
              <w:t>Opened an account last 12 months</w:t>
            </w:r>
          </w:p>
        </w:tc>
        <w:tc>
          <w:tcPr>
            <w:tcW w:w="995" w:type="dxa"/>
          </w:tcPr>
          <w:p w14:paraId="4CC71E58" w14:textId="77777777" w:rsidR="00231EE9" w:rsidRPr="00C14C82" w:rsidRDefault="00231EE9" w:rsidP="00280FF9">
            <w:pPr>
              <w:keepNext/>
              <w:keepLines/>
              <w:spacing w:before="60" w:after="60" w:line="240" w:lineRule="auto"/>
              <w:jc w:val="center"/>
              <w:rPr>
                <w:rFonts w:eastAsia="Times New Roman"/>
                <w:color w:val="auto"/>
                <w:sz w:val="16"/>
                <w:szCs w:val="20"/>
                <w:lang w:eastAsia="en-AU" w:bidi="en-US"/>
              </w:rPr>
            </w:pPr>
            <w:r>
              <w:rPr>
                <w:rFonts w:eastAsia="Times New Roman"/>
                <w:color w:val="auto"/>
                <w:sz w:val="16"/>
                <w:szCs w:val="20"/>
                <w:lang w:eastAsia="en-AU" w:bidi="en-US"/>
              </w:rPr>
              <w:t>17.3%*</w:t>
            </w:r>
          </w:p>
        </w:tc>
      </w:tr>
      <w:tr w:rsidR="00231EE9" w:rsidRPr="003E6BE5" w14:paraId="4580EC00" w14:textId="77777777">
        <w:tc>
          <w:tcPr>
            <w:tcW w:w="1276" w:type="dxa"/>
            <w:vMerge/>
          </w:tcPr>
          <w:p w14:paraId="7AB61DEA"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vMerge/>
          </w:tcPr>
          <w:p w14:paraId="37A68C59" w14:textId="77777777" w:rsidR="00231EE9" w:rsidRPr="006A684D" w:rsidRDefault="00231EE9" w:rsidP="00280FF9">
            <w:pPr>
              <w:pStyle w:val="TableText"/>
              <w:keepLines/>
            </w:pPr>
          </w:p>
        </w:tc>
        <w:tc>
          <w:tcPr>
            <w:tcW w:w="4394" w:type="dxa"/>
          </w:tcPr>
          <w:p w14:paraId="0B63135E" w14:textId="572FB809" w:rsidR="00231EE9" w:rsidRPr="00845A5F" w:rsidRDefault="00231EE9" w:rsidP="00280FF9">
            <w:pPr>
              <w:keepNext/>
              <w:keepLines/>
              <w:spacing w:before="60" w:after="60" w:line="240" w:lineRule="auto"/>
              <w:jc w:val="left"/>
              <w:rPr>
                <w:rFonts w:eastAsia="Times New Roman"/>
                <w:color w:val="auto"/>
                <w:sz w:val="16"/>
                <w:szCs w:val="20"/>
                <w:lang w:eastAsia="en-AU" w:bidi="en-US"/>
              </w:rPr>
            </w:pPr>
            <w:r w:rsidRPr="001A471D">
              <w:rPr>
                <w:rFonts w:eastAsia="Times New Roman"/>
                <w:color w:val="auto"/>
                <w:sz w:val="16"/>
                <w:szCs w:val="20"/>
                <w:lang w:eastAsia="en-AU" w:bidi="en-US"/>
              </w:rPr>
              <w:t>Received direct marketing from operator after opting out at account sign-up</w:t>
            </w:r>
          </w:p>
        </w:tc>
        <w:tc>
          <w:tcPr>
            <w:tcW w:w="2410" w:type="dxa"/>
          </w:tcPr>
          <w:p w14:paraId="72EAB93D" w14:textId="77777777" w:rsidR="00231EE9" w:rsidRPr="00E4385F" w:rsidRDefault="00231EE9" w:rsidP="00280FF9">
            <w:pPr>
              <w:keepNext/>
              <w:keepLines/>
              <w:spacing w:before="60" w:after="60" w:line="240" w:lineRule="auto"/>
              <w:jc w:val="center"/>
              <w:rPr>
                <w:rFonts w:eastAsia="Times New Roman"/>
                <w:sz w:val="16"/>
                <w:szCs w:val="20"/>
                <w:lang w:eastAsia="en-AU" w:bidi="en-US"/>
              </w:rPr>
            </w:pPr>
            <w:r>
              <w:rPr>
                <w:rFonts w:eastAsia="Times New Roman"/>
                <w:sz w:val="16"/>
                <w:szCs w:val="20"/>
                <w:lang w:eastAsia="en-AU" w:bidi="en-US"/>
              </w:rPr>
              <w:t>Opted out of direct marketing on account sign-up</w:t>
            </w:r>
          </w:p>
        </w:tc>
        <w:tc>
          <w:tcPr>
            <w:tcW w:w="995" w:type="dxa"/>
          </w:tcPr>
          <w:p w14:paraId="31D14CED" w14:textId="77777777" w:rsidR="00231EE9" w:rsidRDefault="00231EE9" w:rsidP="00280FF9">
            <w:pPr>
              <w:keepNext/>
              <w:keepLines/>
              <w:spacing w:before="60" w:after="60" w:line="240" w:lineRule="auto"/>
              <w:jc w:val="center"/>
              <w:rPr>
                <w:rFonts w:eastAsia="Times New Roman"/>
                <w:color w:val="auto"/>
                <w:sz w:val="16"/>
                <w:szCs w:val="20"/>
                <w:lang w:eastAsia="en-AU" w:bidi="en-US"/>
              </w:rPr>
            </w:pPr>
            <w:r>
              <w:rPr>
                <w:rFonts w:eastAsia="Times New Roman"/>
                <w:color w:val="auto"/>
                <w:sz w:val="16"/>
                <w:szCs w:val="20"/>
                <w:lang w:eastAsia="en-AU" w:bidi="en-US"/>
              </w:rPr>
              <w:t>16.4%*</w:t>
            </w:r>
          </w:p>
        </w:tc>
      </w:tr>
      <w:tr w:rsidR="00231EE9" w:rsidRPr="003E6BE5" w14:paraId="70672427" w14:textId="77777777">
        <w:tc>
          <w:tcPr>
            <w:tcW w:w="1276" w:type="dxa"/>
            <w:vMerge/>
          </w:tcPr>
          <w:p w14:paraId="7DEA95E9"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2B860AA6" w14:textId="77777777" w:rsidR="00231EE9" w:rsidRPr="003E6BE5" w:rsidRDefault="00231EE9" w:rsidP="00280FF9">
            <w:pPr>
              <w:pStyle w:val="TableText"/>
              <w:keepLines/>
            </w:pPr>
            <w:r w:rsidRPr="006A684D">
              <w:t>A customer must be able to unsubscribe from receiving direct marketing materials.</w:t>
            </w:r>
          </w:p>
        </w:tc>
        <w:tc>
          <w:tcPr>
            <w:tcW w:w="4394" w:type="dxa"/>
          </w:tcPr>
          <w:p w14:paraId="505357A6" w14:textId="5CB425B5" w:rsidR="00231EE9" w:rsidRPr="00EC6D0F" w:rsidRDefault="00231EE9" w:rsidP="00280FF9">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Tried to u</w:t>
            </w:r>
            <w:r w:rsidRPr="00EC6D0F">
              <w:rPr>
                <w:rFonts w:eastAsia="Times New Roman"/>
                <w:sz w:val="16"/>
                <w:szCs w:val="20"/>
                <w:lang w:eastAsia="en-AU" w:bidi="en-US"/>
              </w:rPr>
              <w:t>nsubscrib</w:t>
            </w:r>
            <w:r>
              <w:rPr>
                <w:rFonts w:eastAsia="Times New Roman"/>
                <w:sz w:val="16"/>
                <w:szCs w:val="20"/>
                <w:lang w:eastAsia="en-AU" w:bidi="en-US"/>
              </w:rPr>
              <w:t>e</w:t>
            </w:r>
            <w:r w:rsidRPr="00EC6D0F">
              <w:rPr>
                <w:rFonts w:eastAsia="Times New Roman"/>
                <w:sz w:val="16"/>
                <w:szCs w:val="20"/>
                <w:lang w:eastAsia="en-AU" w:bidi="en-US"/>
              </w:rPr>
              <w:t xml:space="preserve"> from direct marketing in the last 12 months</w:t>
            </w:r>
            <w:r>
              <w:rPr>
                <w:rFonts w:eastAsia="Times New Roman"/>
                <w:sz w:val="16"/>
                <w:szCs w:val="20"/>
                <w:lang w:eastAsia="en-AU" w:bidi="en-US"/>
              </w:rPr>
              <w:t>, unsuccessfully</w:t>
            </w:r>
          </w:p>
        </w:tc>
        <w:tc>
          <w:tcPr>
            <w:tcW w:w="2410" w:type="dxa"/>
          </w:tcPr>
          <w:p w14:paraId="285650E0" w14:textId="77777777" w:rsidR="00231EE9" w:rsidRPr="003E6BE5" w:rsidRDefault="00231EE9" w:rsidP="00280FF9">
            <w:pPr>
              <w:keepNext/>
              <w:keepLines/>
              <w:spacing w:before="60" w:after="60" w:line="240" w:lineRule="auto"/>
              <w:jc w:val="center"/>
              <w:rPr>
                <w:rFonts w:eastAsia="Times New Roman"/>
                <w:color w:val="62136D" w:themeColor="accent2"/>
                <w:sz w:val="16"/>
                <w:szCs w:val="20"/>
                <w:lang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1269657D" w14:textId="77777777" w:rsidR="00231EE9" w:rsidRPr="00C14C82" w:rsidRDefault="00231EE9" w:rsidP="00280FF9">
            <w:pPr>
              <w:keepNext/>
              <w:keepLines/>
              <w:spacing w:before="60" w:after="60" w:line="240" w:lineRule="auto"/>
              <w:jc w:val="center"/>
              <w:rPr>
                <w:rFonts w:eastAsia="Times New Roman"/>
                <w:color w:val="auto"/>
                <w:sz w:val="16"/>
                <w:szCs w:val="20"/>
                <w:lang w:eastAsia="en-AU" w:bidi="en-US"/>
              </w:rPr>
            </w:pPr>
            <w:r w:rsidRPr="00C14C82">
              <w:rPr>
                <w:rFonts w:eastAsia="Times New Roman"/>
                <w:color w:val="auto"/>
                <w:sz w:val="16"/>
                <w:szCs w:val="20"/>
                <w:lang w:eastAsia="en-AU" w:bidi="en-US"/>
              </w:rPr>
              <w:t>4.2%</w:t>
            </w:r>
          </w:p>
        </w:tc>
      </w:tr>
      <w:tr w:rsidR="00231EE9" w:rsidRPr="003E6BE5" w14:paraId="55241CC2" w14:textId="77777777">
        <w:tc>
          <w:tcPr>
            <w:tcW w:w="1276" w:type="dxa"/>
            <w:vMerge w:val="restart"/>
          </w:tcPr>
          <w:p w14:paraId="3FE2F1C4" w14:textId="77777777" w:rsidR="00231EE9" w:rsidRDefault="00231EE9" w:rsidP="00280FF9">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Account closure</w:t>
            </w:r>
          </w:p>
        </w:tc>
        <w:tc>
          <w:tcPr>
            <w:tcW w:w="4678" w:type="dxa"/>
          </w:tcPr>
          <w:p w14:paraId="0061C0F4" w14:textId="77777777" w:rsidR="00231EE9" w:rsidRPr="003E6BE5" w:rsidRDefault="00231EE9" w:rsidP="00280FF9">
            <w:pPr>
              <w:pStyle w:val="TableText"/>
              <w:keepLines/>
            </w:pPr>
            <w:r w:rsidRPr="00434AF7">
              <w:t>The process for account closure must be simple.</w:t>
            </w:r>
          </w:p>
        </w:tc>
        <w:tc>
          <w:tcPr>
            <w:tcW w:w="4394" w:type="dxa"/>
          </w:tcPr>
          <w:p w14:paraId="4133EE76" w14:textId="061774F0"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sidRPr="00D83F85">
              <w:rPr>
                <w:rFonts w:eastAsia="Times New Roman"/>
                <w:color w:val="auto"/>
                <w:sz w:val="16"/>
                <w:szCs w:val="20"/>
                <w:lang w:eastAsia="en-AU" w:bidi="en-US"/>
              </w:rPr>
              <w:t>Tried to close an online betting account</w:t>
            </w:r>
            <w:r>
              <w:rPr>
                <w:rFonts w:eastAsia="Times New Roman"/>
                <w:color w:val="auto"/>
                <w:sz w:val="16"/>
                <w:szCs w:val="20"/>
                <w:lang w:eastAsia="en-AU" w:bidi="en-US"/>
              </w:rPr>
              <w:t>, unsuccessfully</w:t>
            </w:r>
          </w:p>
        </w:tc>
        <w:tc>
          <w:tcPr>
            <w:tcW w:w="2410" w:type="dxa"/>
          </w:tcPr>
          <w:p w14:paraId="005009F3"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199A726A"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1.7%</w:t>
            </w:r>
          </w:p>
        </w:tc>
      </w:tr>
      <w:tr w:rsidR="00231EE9" w:rsidRPr="003E6BE5" w14:paraId="65A0D651" w14:textId="77777777">
        <w:tc>
          <w:tcPr>
            <w:tcW w:w="1276" w:type="dxa"/>
            <w:vMerge/>
          </w:tcPr>
          <w:p w14:paraId="657014EC"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17DF9AF9" w14:textId="77777777" w:rsidR="00231EE9" w:rsidRPr="00434AF7" w:rsidRDefault="00231EE9" w:rsidP="00280FF9">
            <w:pPr>
              <w:pStyle w:val="TableText"/>
              <w:keepLines/>
            </w:pPr>
            <w:r w:rsidRPr="00FE13AA">
              <w:t>The account closure process must commence immediately upon receipt of the account closure request and result in the account being closed after all bets have been settled.</w:t>
            </w:r>
          </w:p>
        </w:tc>
        <w:tc>
          <w:tcPr>
            <w:tcW w:w="4394" w:type="dxa"/>
          </w:tcPr>
          <w:p w14:paraId="7848F1E2" w14:textId="77777777"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The process of closing their account did not begin immediately after their request was received and active bets were settled.</w:t>
            </w:r>
          </w:p>
        </w:tc>
        <w:tc>
          <w:tcPr>
            <w:tcW w:w="2410" w:type="dxa"/>
          </w:tcPr>
          <w:p w14:paraId="21746A7B"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Closed an account last 12 months</w:t>
            </w:r>
          </w:p>
        </w:tc>
        <w:tc>
          <w:tcPr>
            <w:tcW w:w="995" w:type="dxa"/>
          </w:tcPr>
          <w:p w14:paraId="0A25C26F"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10.7%*</w:t>
            </w:r>
          </w:p>
        </w:tc>
      </w:tr>
      <w:tr w:rsidR="00231EE9" w:rsidRPr="003E6BE5" w14:paraId="66F1F071" w14:textId="77777777">
        <w:tc>
          <w:tcPr>
            <w:tcW w:w="1276" w:type="dxa"/>
            <w:vMerge/>
          </w:tcPr>
          <w:p w14:paraId="664AD1E4"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5F630A51" w14:textId="77777777" w:rsidR="00231EE9" w:rsidRPr="00434AF7" w:rsidRDefault="00231EE9" w:rsidP="00280FF9">
            <w:pPr>
              <w:pStyle w:val="TableText"/>
              <w:keepLines/>
            </w:pPr>
            <w:r w:rsidRPr="00FE13AA">
              <w:t>A customer must not be encouraged or induced to keep their account open following their request to close their account.</w:t>
            </w:r>
          </w:p>
        </w:tc>
        <w:tc>
          <w:tcPr>
            <w:tcW w:w="4394" w:type="dxa"/>
          </w:tcPr>
          <w:p w14:paraId="758FB43E" w14:textId="0C9FE2A2"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After requesting their account be closed</w:t>
            </w:r>
            <w:r w:rsidR="002E5A87">
              <w:rPr>
                <w:rFonts w:eastAsia="Times New Roman"/>
                <w:color w:val="auto"/>
                <w:sz w:val="16"/>
                <w:szCs w:val="20"/>
                <w:lang w:eastAsia="en-AU" w:bidi="en-US"/>
              </w:rPr>
              <w:t>,</w:t>
            </w:r>
            <w:r>
              <w:rPr>
                <w:rFonts w:eastAsia="Times New Roman"/>
                <w:color w:val="auto"/>
                <w:sz w:val="16"/>
                <w:szCs w:val="20"/>
                <w:lang w:eastAsia="en-AU" w:bidi="en-US"/>
              </w:rPr>
              <w:t xml:space="preserve"> they were encouraged or induced to not close their account by the betting operator.</w:t>
            </w:r>
          </w:p>
        </w:tc>
        <w:tc>
          <w:tcPr>
            <w:tcW w:w="2410" w:type="dxa"/>
          </w:tcPr>
          <w:p w14:paraId="2502A12A"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sidRPr="00987E8E">
              <w:rPr>
                <w:rFonts w:eastAsia="Times New Roman"/>
                <w:color w:val="auto"/>
                <w:sz w:val="16"/>
                <w:lang w:val="en-US" w:eastAsia="en-AU" w:bidi="en-US"/>
              </w:rPr>
              <w:t>Closed an account last 12 months</w:t>
            </w:r>
          </w:p>
        </w:tc>
        <w:tc>
          <w:tcPr>
            <w:tcW w:w="995" w:type="dxa"/>
          </w:tcPr>
          <w:p w14:paraId="70ED9ECC"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28.6%*</w:t>
            </w:r>
          </w:p>
        </w:tc>
      </w:tr>
      <w:tr w:rsidR="00231EE9" w:rsidRPr="003E6BE5" w14:paraId="2A0EFDA8" w14:textId="77777777">
        <w:tc>
          <w:tcPr>
            <w:tcW w:w="1276" w:type="dxa"/>
            <w:vMerge/>
          </w:tcPr>
          <w:p w14:paraId="6AA21476"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66F7E4E8" w14:textId="77777777" w:rsidR="00231EE9" w:rsidRPr="00434AF7" w:rsidRDefault="00231EE9" w:rsidP="00280FF9">
            <w:pPr>
              <w:pStyle w:val="TableText"/>
              <w:keepLines/>
            </w:pPr>
            <w:r w:rsidRPr="00FE13AA">
              <w:t>An interactive wagering service provider must not directly promote or market to a customer following the closure of the customer’s account.</w:t>
            </w:r>
          </w:p>
        </w:tc>
        <w:tc>
          <w:tcPr>
            <w:tcW w:w="4394" w:type="dxa"/>
          </w:tcPr>
          <w:p w14:paraId="4F1583A7" w14:textId="4CEDC90B"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Received direct marketing from the betting operator after their account had been closed</w:t>
            </w:r>
          </w:p>
        </w:tc>
        <w:tc>
          <w:tcPr>
            <w:tcW w:w="2410" w:type="dxa"/>
          </w:tcPr>
          <w:p w14:paraId="076882AD"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sidRPr="00987E8E">
              <w:rPr>
                <w:rFonts w:eastAsia="Times New Roman"/>
                <w:color w:val="auto"/>
                <w:sz w:val="16"/>
                <w:lang w:val="en-US" w:eastAsia="en-AU" w:bidi="en-US"/>
              </w:rPr>
              <w:t>Closed an account last 12 months</w:t>
            </w:r>
          </w:p>
        </w:tc>
        <w:tc>
          <w:tcPr>
            <w:tcW w:w="995" w:type="dxa"/>
          </w:tcPr>
          <w:p w14:paraId="4F69D4A1"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39.3%*</w:t>
            </w:r>
          </w:p>
        </w:tc>
      </w:tr>
      <w:tr w:rsidR="00231EE9" w:rsidRPr="003E6BE5" w14:paraId="221DC6F4" w14:textId="77777777">
        <w:tc>
          <w:tcPr>
            <w:tcW w:w="1276" w:type="dxa"/>
            <w:vMerge w:val="restart"/>
          </w:tcPr>
          <w:p w14:paraId="1C25CF5B" w14:textId="77777777" w:rsidR="00231EE9" w:rsidRDefault="00231EE9" w:rsidP="00280FF9">
            <w:pPr>
              <w:keepNext/>
              <w:keepLines/>
              <w:spacing w:before="60" w:after="60" w:line="240" w:lineRule="auto"/>
              <w:jc w:val="left"/>
              <w:rPr>
                <w:rFonts w:eastAsia="Times New Roman"/>
                <w:sz w:val="16"/>
                <w:szCs w:val="20"/>
                <w:lang w:eastAsia="en-AU" w:bidi="en-US"/>
              </w:rPr>
            </w:pPr>
            <w:r>
              <w:rPr>
                <w:rFonts w:eastAsia="Times New Roman"/>
                <w:sz w:val="16"/>
                <w:szCs w:val="20"/>
                <w:lang w:eastAsia="en-AU" w:bidi="en-US"/>
              </w:rPr>
              <w:t>Deposit limits</w:t>
            </w:r>
          </w:p>
        </w:tc>
        <w:tc>
          <w:tcPr>
            <w:tcW w:w="4678" w:type="dxa"/>
          </w:tcPr>
          <w:p w14:paraId="719087CF" w14:textId="77777777" w:rsidR="00231EE9" w:rsidRPr="00434AF7" w:rsidRDefault="00231EE9" w:rsidP="00280FF9">
            <w:pPr>
              <w:pStyle w:val="TableText"/>
              <w:keepLines/>
            </w:pPr>
            <w:r w:rsidRPr="00423392">
              <w:t>A customer must be prompted to set a deposit limit during the account sign-up process.</w:t>
            </w:r>
          </w:p>
        </w:tc>
        <w:tc>
          <w:tcPr>
            <w:tcW w:w="4394" w:type="dxa"/>
          </w:tcPr>
          <w:p w14:paraId="50B7016A" w14:textId="59468B21" w:rsidR="00231EE9" w:rsidRPr="00F93FC6" w:rsidRDefault="00231EE9" w:rsidP="00280FF9">
            <w:pPr>
              <w:keepNext/>
              <w:keepLines/>
              <w:spacing w:before="60" w:after="60" w:line="240" w:lineRule="auto"/>
              <w:jc w:val="left"/>
              <w:rPr>
                <w:rFonts w:eastAsia="Times New Roman"/>
                <w:color w:val="auto"/>
                <w:sz w:val="16"/>
                <w:szCs w:val="20"/>
                <w:lang w:eastAsia="en-AU" w:bidi="en-US"/>
              </w:rPr>
            </w:pPr>
            <w:proofErr w:type="spellStart"/>
            <w:r>
              <w:rPr>
                <w:rFonts w:eastAsia="Times New Roman"/>
                <w:color w:val="auto"/>
                <w:sz w:val="16"/>
                <w:szCs w:val="20"/>
                <w:lang w:eastAsia="en-AU" w:bidi="en-US"/>
              </w:rPr>
              <w:t>Were</w:t>
            </w:r>
            <w:proofErr w:type="spellEnd"/>
            <w:r>
              <w:rPr>
                <w:rFonts w:eastAsia="Times New Roman"/>
                <w:color w:val="auto"/>
                <w:sz w:val="16"/>
                <w:szCs w:val="20"/>
                <w:lang w:eastAsia="en-AU" w:bidi="en-US"/>
              </w:rPr>
              <w:t xml:space="preserve"> not prompted during the account sign-up process to set a deposit limit</w:t>
            </w:r>
          </w:p>
        </w:tc>
        <w:tc>
          <w:tcPr>
            <w:tcW w:w="2410" w:type="dxa"/>
          </w:tcPr>
          <w:p w14:paraId="17BE2B08"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sidRPr="00E4385F">
              <w:rPr>
                <w:rFonts w:eastAsia="Times New Roman"/>
                <w:sz w:val="16"/>
                <w:szCs w:val="20"/>
                <w:lang w:eastAsia="en-AU" w:bidi="en-US"/>
              </w:rPr>
              <w:t>Opened an account last 12 months</w:t>
            </w:r>
          </w:p>
        </w:tc>
        <w:tc>
          <w:tcPr>
            <w:tcW w:w="995" w:type="dxa"/>
          </w:tcPr>
          <w:p w14:paraId="75859E7B"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20.5%</w:t>
            </w:r>
          </w:p>
        </w:tc>
      </w:tr>
      <w:tr w:rsidR="00231EE9" w:rsidRPr="003E6BE5" w14:paraId="75D2A143" w14:textId="77777777">
        <w:tc>
          <w:tcPr>
            <w:tcW w:w="1276" w:type="dxa"/>
            <w:vMerge/>
          </w:tcPr>
          <w:p w14:paraId="6B663244"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4AA33A50" w14:textId="77777777" w:rsidR="00231EE9" w:rsidRPr="00423392" w:rsidRDefault="00231EE9" w:rsidP="00280FF9">
            <w:pPr>
              <w:pStyle w:val="TableText"/>
              <w:keepLines/>
              <w:rPr>
                <w:b/>
                <w:bCs/>
              </w:rPr>
            </w:pPr>
            <w:r w:rsidRPr="00423392">
              <w:t>Limits must be binding.</w:t>
            </w:r>
          </w:p>
          <w:p w14:paraId="7300E035" w14:textId="77777777" w:rsidR="00231EE9" w:rsidRPr="003E6BE5" w:rsidRDefault="00231EE9" w:rsidP="00280FF9">
            <w:pPr>
              <w:pStyle w:val="TableText"/>
              <w:keepLines/>
            </w:pPr>
            <w:r w:rsidRPr="00423392">
              <w:t>An interactive wagering service provider must not accept further deposits from a customer above the deposit limit set by the customer.</w:t>
            </w:r>
          </w:p>
        </w:tc>
        <w:tc>
          <w:tcPr>
            <w:tcW w:w="4394" w:type="dxa"/>
          </w:tcPr>
          <w:p w14:paraId="03A64698" w14:textId="02544C8E"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Were a</w:t>
            </w:r>
            <w:r w:rsidRPr="00FD7C14">
              <w:rPr>
                <w:rFonts w:eastAsia="Times New Roman"/>
                <w:color w:val="auto"/>
                <w:sz w:val="16"/>
                <w:szCs w:val="20"/>
                <w:lang w:eastAsia="en-AU" w:bidi="en-US"/>
              </w:rPr>
              <w:t>ble to deposit more than deposit limit set</w:t>
            </w:r>
          </w:p>
        </w:tc>
        <w:tc>
          <w:tcPr>
            <w:tcW w:w="2410" w:type="dxa"/>
          </w:tcPr>
          <w:p w14:paraId="1CEEFA15"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Set a deposit limit (on sign-up for afterward)</w:t>
            </w:r>
          </w:p>
        </w:tc>
        <w:tc>
          <w:tcPr>
            <w:tcW w:w="995" w:type="dxa"/>
          </w:tcPr>
          <w:p w14:paraId="16FCA856"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10.7%</w:t>
            </w:r>
          </w:p>
        </w:tc>
      </w:tr>
      <w:tr w:rsidR="00231EE9" w:rsidRPr="003E6BE5" w14:paraId="3EC5E5A5" w14:textId="77777777">
        <w:tc>
          <w:tcPr>
            <w:tcW w:w="1276" w:type="dxa"/>
            <w:vMerge/>
          </w:tcPr>
          <w:p w14:paraId="2C81861F"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000313A1" w14:textId="77777777" w:rsidR="00231EE9" w:rsidRPr="00423392" w:rsidRDefault="00231EE9" w:rsidP="00280FF9">
            <w:pPr>
              <w:pStyle w:val="TableText"/>
              <w:keepLines/>
            </w:pPr>
            <w:r w:rsidRPr="00423392">
              <w:t>All customers must be prompted to set and review their deposit limit yearly at a minimum, including customers who have chosen not to set a limit.</w:t>
            </w:r>
          </w:p>
        </w:tc>
        <w:tc>
          <w:tcPr>
            <w:tcW w:w="4394" w:type="dxa"/>
          </w:tcPr>
          <w:p w14:paraId="1114BC17" w14:textId="770995B6" w:rsidR="00231EE9" w:rsidRPr="00F93FC6" w:rsidRDefault="00231EE9" w:rsidP="00280FF9">
            <w:pPr>
              <w:keepNext/>
              <w:keepLines/>
              <w:spacing w:before="60" w:after="60" w:line="240" w:lineRule="auto"/>
              <w:jc w:val="left"/>
              <w:rPr>
                <w:rFonts w:eastAsia="Times New Roman"/>
                <w:color w:val="auto"/>
                <w:sz w:val="16"/>
                <w:szCs w:val="20"/>
                <w:lang w:eastAsia="en-AU" w:bidi="en-US"/>
              </w:rPr>
            </w:pPr>
            <w:proofErr w:type="spellStart"/>
            <w:r>
              <w:rPr>
                <w:rFonts w:eastAsia="Times New Roman"/>
                <w:color w:val="auto"/>
                <w:sz w:val="16"/>
                <w:szCs w:val="20"/>
                <w:lang w:eastAsia="en-AU" w:bidi="en-US"/>
              </w:rPr>
              <w:t>Were</w:t>
            </w:r>
            <w:proofErr w:type="spellEnd"/>
            <w:r>
              <w:rPr>
                <w:rFonts w:eastAsia="Times New Roman"/>
                <w:color w:val="auto"/>
                <w:sz w:val="16"/>
                <w:szCs w:val="20"/>
                <w:lang w:eastAsia="en-AU" w:bidi="en-US"/>
              </w:rPr>
              <w:t xml:space="preserve"> not prompted to set or review a set deposit limit in the last 12 months</w:t>
            </w:r>
          </w:p>
        </w:tc>
        <w:tc>
          <w:tcPr>
            <w:tcW w:w="2410" w:type="dxa"/>
          </w:tcPr>
          <w:p w14:paraId="63808576"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Had an account for 12 months or more</w:t>
            </w:r>
          </w:p>
        </w:tc>
        <w:tc>
          <w:tcPr>
            <w:tcW w:w="995" w:type="dxa"/>
          </w:tcPr>
          <w:p w14:paraId="548CF5FE"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59.7%</w:t>
            </w:r>
          </w:p>
        </w:tc>
      </w:tr>
      <w:tr w:rsidR="00231EE9" w:rsidRPr="003E6BE5" w14:paraId="4554C2CD" w14:textId="77777777">
        <w:tc>
          <w:tcPr>
            <w:tcW w:w="1276" w:type="dxa"/>
            <w:vMerge/>
          </w:tcPr>
          <w:p w14:paraId="4907B2A6"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475D5DA0" w14:textId="77777777" w:rsidR="00231EE9" w:rsidRPr="00423392" w:rsidRDefault="00231EE9" w:rsidP="00280FF9">
            <w:pPr>
              <w:pStyle w:val="TableText"/>
              <w:keepLines/>
            </w:pPr>
            <w:r w:rsidRPr="00423392">
              <w:t>A request by a customer to decrease their deposit limit must be applied immediately.</w:t>
            </w:r>
          </w:p>
        </w:tc>
        <w:tc>
          <w:tcPr>
            <w:tcW w:w="4394" w:type="dxa"/>
          </w:tcPr>
          <w:p w14:paraId="63DD9C5D" w14:textId="45C154D1" w:rsidR="00231EE9" w:rsidRPr="00F93FC6"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Request to decrease a set deposit limit was not applied immediately</w:t>
            </w:r>
          </w:p>
        </w:tc>
        <w:tc>
          <w:tcPr>
            <w:tcW w:w="2410" w:type="dxa"/>
          </w:tcPr>
          <w:p w14:paraId="47C48270"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Requested to decrease a set deposit limit</w:t>
            </w:r>
          </w:p>
        </w:tc>
        <w:tc>
          <w:tcPr>
            <w:tcW w:w="995" w:type="dxa"/>
          </w:tcPr>
          <w:p w14:paraId="58CCD6AE" w14:textId="77777777" w:rsidR="00231EE9" w:rsidRPr="00D83F85"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63.6%*</w:t>
            </w:r>
          </w:p>
        </w:tc>
      </w:tr>
      <w:tr w:rsidR="00231EE9" w:rsidRPr="003E6BE5" w14:paraId="5E853D7A" w14:textId="77777777">
        <w:tc>
          <w:tcPr>
            <w:tcW w:w="1276" w:type="dxa"/>
            <w:vMerge/>
          </w:tcPr>
          <w:p w14:paraId="5FC21A66" w14:textId="77777777" w:rsidR="00231EE9" w:rsidRDefault="00231EE9" w:rsidP="00280FF9">
            <w:pPr>
              <w:keepNext/>
              <w:keepLines/>
              <w:spacing w:before="60" w:after="60" w:line="240" w:lineRule="auto"/>
              <w:jc w:val="left"/>
              <w:rPr>
                <w:rFonts w:eastAsia="Times New Roman"/>
                <w:sz w:val="16"/>
                <w:szCs w:val="20"/>
                <w:lang w:eastAsia="en-AU" w:bidi="en-US"/>
              </w:rPr>
            </w:pPr>
          </w:p>
        </w:tc>
        <w:tc>
          <w:tcPr>
            <w:tcW w:w="4678" w:type="dxa"/>
          </w:tcPr>
          <w:p w14:paraId="347B926C" w14:textId="77777777" w:rsidR="00231EE9" w:rsidRPr="00423392" w:rsidRDefault="00231EE9" w:rsidP="00280FF9">
            <w:pPr>
              <w:pStyle w:val="TableText"/>
              <w:keepLines/>
            </w:pPr>
            <w:r w:rsidRPr="002152BC">
              <w:rPr>
                <w:rFonts w:eastAsia="Arial" w:cs="Arial"/>
              </w:rPr>
              <w:t>A request by a customer to increase their deposit limit must not be applied until 7 days after the day the request was received.</w:t>
            </w:r>
          </w:p>
        </w:tc>
        <w:tc>
          <w:tcPr>
            <w:tcW w:w="4394" w:type="dxa"/>
          </w:tcPr>
          <w:p w14:paraId="03AD0B23" w14:textId="24DF9D7C" w:rsidR="00231EE9" w:rsidRDefault="00231EE9" w:rsidP="00280FF9">
            <w:pPr>
              <w:keepNext/>
              <w:keepLines/>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Request to increase a set deposit limit was applied in less than 7 days</w:t>
            </w:r>
          </w:p>
        </w:tc>
        <w:tc>
          <w:tcPr>
            <w:tcW w:w="2410" w:type="dxa"/>
          </w:tcPr>
          <w:p w14:paraId="2090DF49" w14:textId="77777777" w:rsidR="00231EE9"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Requested to increase a set deposit limit</w:t>
            </w:r>
          </w:p>
        </w:tc>
        <w:tc>
          <w:tcPr>
            <w:tcW w:w="995" w:type="dxa"/>
          </w:tcPr>
          <w:p w14:paraId="70D2B561" w14:textId="77777777" w:rsidR="00231EE9" w:rsidRDefault="00231EE9" w:rsidP="00280FF9">
            <w:pPr>
              <w:keepNext/>
              <w:keepLines/>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0.0%*</w:t>
            </w:r>
          </w:p>
        </w:tc>
      </w:tr>
      <w:tr w:rsidR="00231EE9" w:rsidRPr="003E6BE5" w14:paraId="4FCEC85F" w14:textId="77777777">
        <w:tc>
          <w:tcPr>
            <w:tcW w:w="1276" w:type="dxa"/>
            <w:vMerge/>
          </w:tcPr>
          <w:p w14:paraId="3894593F" w14:textId="77777777" w:rsidR="00231EE9" w:rsidRDefault="00231EE9">
            <w:pPr>
              <w:spacing w:before="60" w:after="60" w:line="240" w:lineRule="auto"/>
              <w:jc w:val="left"/>
              <w:rPr>
                <w:rFonts w:eastAsia="Times New Roman"/>
                <w:sz w:val="16"/>
                <w:szCs w:val="20"/>
                <w:lang w:eastAsia="en-AU" w:bidi="en-US"/>
              </w:rPr>
            </w:pPr>
          </w:p>
        </w:tc>
        <w:tc>
          <w:tcPr>
            <w:tcW w:w="4678" w:type="dxa"/>
            <w:vMerge w:val="restart"/>
          </w:tcPr>
          <w:p w14:paraId="2E309D41" w14:textId="77777777" w:rsidR="00231EE9" w:rsidRPr="00423392" w:rsidRDefault="00231EE9">
            <w:pPr>
              <w:pStyle w:val="TableText"/>
              <w:keepNext w:val="0"/>
            </w:pPr>
            <w:r w:rsidRPr="00423392">
              <w:t>A voluntary pre-commitment scheme must be easily accessible and effectively promoted to consumers.</w:t>
            </w:r>
          </w:p>
        </w:tc>
        <w:tc>
          <w:tcPr>
            <w:tcW w:w="4394" w:type="dxa"/>
          </w:tcPr>
          <w:p w14:paraId="1A0D9883" w14:textId="77777777" w:rsidR="00231EE9" w:rsidRDefault="00231EE9">
            <w:pPr>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Tried to set a deposit limit but were unable to</w:t>
            </w:r>
          </w:p>
        </w:tc>
        <w:tc>
          <w:tcPr>
            <w:tcW w:w="2410" w:type="dxa"/>
          </w:tcPr>
          <w:p w14:paraId="16A0A186" w14:textId="77777777" w:rsidR="00231EE9"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2B61538B" w14:textId="77777777" w:rsidR="00231EE9"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0.49%</w:t>
            </w:r>
          </w:p>
        </w:tc>
      </w:tr>
      <w:tr w:rsidR="00231EE9" w:rsidRPr="003E6BE5" w14:paraId="3503E300" w14:textId="77777777">
        <w:tc>
          <w:tcPr>
            <w:tcW w:w="1276" w:type="dxa"/>
            <w:vMerge/>
          </w:tcPr>
          <w:p w14:paraId="4AE9CC49" w14:textId="77777777" w:rsidR="00231EE9" w:rsidRDefault="00231EE9">
            <w:pPr>
              <w:spacing w:before="60" w:after="60" w:line="240" w:lineRule="auto"/>
              <w:jc w:val="left"/>
              <w:rPr>
                <w:rFonts w:eastAsia="Times New Roman"/>
                <w:sz w:val="16"/>
                <w:szCs w:val="20"/>
                <w:lang w:eastAsia="en-AU" w:bidi="en-US"/>
              </w:rPr>
            </w:pPr>
          </w:p>
        </w:tc>
        <w:tc>
          <w:tcPr>
            <w:tcW w:w="4678" w:type="dxa"/>
            <w:vMerge/>
          </w:tcPr>
          <w:p w14:paraId="064EFC51" w14:textId="77777777" w:rsidR="00231EE9" w:rsidRPr="00423392" w:rsidRDefault="00231EE9">
            <w:pPr>
              <w:pStyle w:val="TableText"/>
              <w:keepNext w:val="0"/>
            </w:pPr>
          </w:p>
        </w:tc>
        <w:tc>
          <w:tcPr>
            <w:tcW w:w="4394" w:type="dxa"/>
          </w:tcPr>
          <w:p w14:paraId="1F326334" w14:textId="31A9636F" w:rsidR="00231EE9" w:rsidRDefault="00231EE9">
            <w:pPr>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Disagree</w:t>
            </w:r>
            <w:r w:rsidR="00CF4335">
              <w:rPr>
                <w:rFonts w:eastAsia="Times New Roman"/>
                <w:color w:val="auto"/>
                <w:sz w:val="16"/>
                <w:szCs w:val="20"/>
                <w:lang w:eastAsia="en-AU" w:bidi="en-US"/>
              </w:rPr>
              <w:t>d</w:t>
            </w:r>
            <w:r>
              <w:rPr>
                <w:rFonts w:eastAsia="Times New Roman"/>
                <w:color w:val="auto"/>
                <w:sz w:val="16"/>
                <w:szCs w:val="20"/>
                <w:lang w:eastAsia="en-AU" w:bidi="en-US"/>
              </w:rPr>
              <w:t xml:space="preserve"> or strongly disagreed that online betting operators effectively promote setting deposit limits</w:t>
            </w:r>
          </w:p>
        </w:tc>
        <w:tc>
          <w:tcPr>
            <w:tcW w:w="2410" w:type="dxa"/>
          </w:tcPr>
          <w:p w14:paraId="6B148912" w14:textId="77777777" w:rsidR="00231EE9"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0DDB66D0" w14:textId="77777777" w:rsidR="00231EE9"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13.0%</w:t>
            </w:r>
          </w:p>
        </w:tc>
      </w:tr>
      <w:tr w:rsidR="00231EE9" w:rsidRPr="003E6BE5" w14:paraId="3E6F09BA" w14:textId="77777777">
        <w:tc>
          <w:tcPr>
            <w:tcW w:w="1276" w:type="dxa"/>
            <w:vMerge w:val="restart"/>
          </w:tcPr>
          <w:p w14:paraId="71283BA2" w14:textId="77777777" w:rsidR="00231EE9" w:rsidRDefault="00231EE9">
            <w:pPr>
              <w:spacing w:before="60" w:after="60" w:line="240" w:lineRule="auto"/>
              <w:jc w:val="left"/>
              <w:rPr>
                <w:rFonts w:eastAsia="Times New Roman"/>
                <w:sz w:val="16"/>
                <w:szCs w:val="20"/>
                <w:lang w:eastAsia="en-AU" w:bidi="en-US"/>
              </w:rPr>
            </w:pPr>
            <w:r>
              <w:rPr>
                <w:rFonts w:eastAsia="Times New Roman"/>
                <w:sz w:val="16"/>
                <w:szCs w:val="20"/>
                <w:lang w:eastAsia="en-AU" w:bidi="en-US"/>
              </w:rPr>
              <w:t>Activity statements</w:t>
            </w:r>
          </w:p>
        </w:tc>
        <w:tc>
          <w:tcPr>
            <w:tcW w:w="4678" w:type="dxa"/>
          </w:tcPr>
          <w:p w14:paraId="2F849E61" w14:textId="77777777" w:rsidR="00231EE9" w:rsidRPr="003E6BE5" w:rsidRDefault="00231EE9">
            <w:pPr>
              <w:pStyle w:val="TableText"/>
              <w:keepNext w:val="0"/>
            </w:pPr>
            <w:r w:rsidRPr="00BE45F0">
              <w:t xml:space="preserve">While a customer has an active betting account, an interactive wagering service provider must provide an activity statement to the customer via email, </w:t>
            </w:r>
            <w:proofErr w:type="gramStart"/>
            <w:r w:rsidRPr="00BE45F0">
              <w:t>on a monthly basis</w:t>
            </w:r>
            <w:proofErr w:type="gramEnd"/>
            <w:r w:rsidRPr="00BE45F0">
              <w:t>.</w:t>
            </w:r>
          </w:p>
        </w:tc>
        <w:tc>
          <w:tcPr>
            <w:tcW w:w="4394" w:type="dxa"/>
          </w:tcPr>
          <w:p w14:paraId="0DBCB1B4" w14:textId="4A585471" w:rsidR="00231EE9" w:rsidRPr="00F93FC6" w:rsidRDefault="00231EE9">
            <w:pPr>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Did not receive an activity statement via email from operators for each month they were actively betting online</w:t>
            </w:r>
          </w:p>
        </w:tc>
        <w:tc>
          <w:tcPr>
            <w:tcW w:w="2410" w:type="dxa"/>
          </w:tcPr>
          <w:p w14:paraId="1AF9FE4A"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O</w:t>
            </w:r>
            <w:r w:rsidRPr="002F6B1A">
              <w:rPr>
                <w:rFonts w:eastAsia="Times New Roman"/>
                <w:color w:val="auto"/>
                <w:sz w:val="16"/>
                <w:lang w:val="en-US" w:eastAsia="en-AU" w:bidi="en-US"/>
              </w:rPr>
              <w:t xml:space="preserve">nline </w:t>
            </w:r>
            <w:r>
              <w:rPr>
                <w:rFonts w:eastAsia="Times New Roman"/>
                <w:color w:val="auto"/>
                <w:sz w:val="16"/>
                <w:lang w:val="en-US" w:eastAsia="en-AU" w:bidi="en-US"/>
              </w:rPr>
              <w:t>wagerers</w:t>
            </w:r>
          </w:p>
        </w:tc>
        <w:tc>
          <w:tcPr>
            <w:tcW w:w="995" w:type="dxa"/>
          </w:tcPr>
          <w:p w14:paraId="039D23B2"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36.7%</w:t>
            </w:r>
          </w:p>
        </w:tc>
      </w:tr>
      <w:tr w:rsidR="00231EE9" w:rsidRPr="003E6BE5" w14:paraId="2DAB2F31" w14:textId="77777777">
        <w:tc>
          <w:tcPr>
            <w:tcW w:w="1276" w:type="dxa"/>
            <w:vMerge/>
          </w:tcPr>
          <w:p w14:paraId="44D508E6" w14:textId="77777777" w:rsidR="00231EE9" w:rsidRDefault="00231EE9">
            <w:pPr>
              <w:spacing w:before="60" w:after="60" w:line="240" w:lineRule="auto"/>
              <w:jc w:val="left"/>
              <w:rPr>
                <w:rFonts w:eastAsia="Times New Roman"/>
                <w:sz w:val="16"/>
                <w:szCs w:val="20"/>
                <w:lang w:eastAsia="en-AU" w:bidi="en-US"/>
              </w:rPr>
            </w:pPr>
          </w:p>
        </w:tc>
        <w:tc>
          <w:tcPr>
            <w:tcW w:w="4678" w:type="dxa"/>
          </w:tcPr>
          <w:p w14:paraId="3BC341B6" w14:textId="77777777" w:rsidR="00231EE9" w:rsidRPr="003E6BE5" w:rsidRDefault="00231EE9">
            <w:pPr>
              <w:pStyle w:val="TableText"/>
              <w:keepNext w:val="0"/>
            </w:pPr>
            <w:r w:rsidRPr="00BE45F0">
              <w:t>Activity statements must provide information that is clear and easily understood using common terms that customers are familiar with.</w:t>
            </w:r>
          </w:p>
        </w:tc>
        <w:tc>
          <w:tcPr>
            <w:tcW w:w="4394" w:type="dxa"/>
          </w:tcPr>
          <w:p w14:paraId="4CBCBB02" w14:textId="39AC58F4" w:rsidR="00231EE9" w:rsidRPr="00F93FC6" w:rsidRDefault="00231EE9">
            <w:pPr>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Disagree</w:t>
            </w:r>
            <w:r w:rsidR="00CF4335">
              <w:rPr>
                <w:rFonts w:eastAsia="Times New Roman"/>
                <w:color w:val="auto"/>
                <w:sz w:val="16"/>
                <w:szCs w:val="20"/>
                <w:lang w:eastAsia="en-AU" w:bidi="en-US"/>
              </w:rPr>
              <w:t>d</w:t>
            </w:r>
            <w:r>
              <w:rPr>
                <w:rFonts w:eastAsia="Times New Roman"/>
                <w:color w:val="auto"/>
                <w:sz w:val="16"/>
                <w:szCs w:val="20"/>
                <w:lang w:eastAsia="en-AU" w:bidi="en-US"/>
              </w:rPr>
              <w:t xml:space="preserve"> or strongly disagreed that activity statements provide information that is clear and easy to understand</w:t>
            </w:r>
          </w:p>
        </w:tc>
        <w:tc>
          <w:tcPr>
            <w:tcW w:w="2410" w:type="dxa"/>
          </w:tcPr>
          <w:p w14:paraId="7F5F1809"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Used an activity statement</w:t>
            </w:r>
          </w:p>
        </w:tc>
        <w:tc>
          <w:tcPr>
            <w:tcW w:w="995" w:type="dxa"/>
          </w:tcPr>
          <w:p w14:paraId="7E2A0914"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6.3%*</w:t>
            </w:r>
          </w:p>
        </w:tc>
      </w:tr>
      <w:tr w:rsidR="00231EE9" w:rsidRPr="003E6BE5" w14:paraId="38E74F01" w14:textId="77777777">
        <w:tc>
          <w:tcPr>
            <w:tcW w:w="1276" w:type="dxa"/>
            <w:vMerge/>
          </w:tcPr>
          <w:p w14:paraId="1B3E2612" w14:textId="77777777" w:rsidR="00231EE9" w:rsidRDefault="00231EE9">
            <w:pPr>
              <w:spacing w:before="60" w:after="60" w:line="240" w:lineRule="auto"/>
              <w:jc w:val="left"/>
              <w:rPr>
                <w:rFonts w:eastAsia="Times New Roman"/>
                <w:sz w:val="16"/>
                <w:szCs w:val="20"/>
                <w:lang w:eastAsia="en-AU" w:bidi="en-US"/>
              </w:rPr>
            </w:pPr>
          </w:p>
        </w:tc>
        <w:tc>
          <w:tcPr>
            <w:tcW w:w="4678" w:type="dxa"/>
          </w:tcPr>
          <w:p w14:paraId="3A474E04" w14:textId="77777777" w:rsidR="00231EE9" w:rsidRPr="003E6BE5" w:rsidRDefault="00231EE9">
            <w:pPr>
              <w:pStyle w:val="TableText"/>
              <w:keepNext w:val="0"/>
            </w:pPr>
            <w:r w:rsidRPr="00BE45F0">
              <w:t>Activity statements must be accessible by a customer.</w:t>
            </w:r>
          </w:p>
        </w:tc>
        <w:tc>
          <w:tcPr>
            <w:tcW w:w="4394" w:type="dxa"/>
          </w:tcPr>
          <w:p w14:paraId="5C88C23F" w14:textId="23DD63AE" w:rsidR="00231EE9" w:rsidRPr="00F93FC6" w:rsidRDefault="00231EE9">
            <w:pPr>
              <w:spacing w:before="60" w:after="60" w:line="240" w:lineRule="auto"/>
              <w:jc w:val="left"/>
              <w:rPr>
                <w:rFonts w:eastAsia="Times New Roman"/>
                <w:color w:val="auto"/>
                <w:sz w:val="16"/>
                <w:szCs w:val="20"/>
                <w:lang w:eastAsia="en-AU" w:bidi="en-US"/>
              </w:rPr>
            </w:pPr>
            <w:r>
              <w:rPr>
                <w:rFonts w:eastAsia="Times New Roman"/>
                <w:color w:val="auto"/>
                <w:sz w:val="16"/>
                <w:szCs w:val="20"/>
                <w:lang w:eastAsia="en-AU" w:bidi="en-US"/>
              </w:rPr>
              <w:t>Disagree</w:t>
            </w:r>
            <w:r w:rsidR="00CF4335">
              <w:rPr>
                <w:rFonts w:eastAsia="Times New Roman"/>
                <w:color w:val="auto"/>
                <w:sz w:val="16"/>
                <w:szCs w:val="20"/>
                <w:lang w:eastAsia="en-AU" w:bidi="en-US"/>
              </w:rPr>
              <w:t>d</w:t>
            </w:r>
            <w:r>
              <w:rPr>
                <w:rFonts w:eastAsia="Times New Roman"/>
                <w:color w:val="auto"/>
                <w:sz w:val="16"/>
                <w:szCs w:val="20"/>
                <w:lang w:eastAsia="en-AU" w:bidi="en-US"/>
              </w:rPr>
              <w:t xml:space="preserve"> or strongly disagreed that activity statements are easy to access</w:t>
            </w:r>
          </w:p>
        </w:tc>
        <w:tc>
          <w:tcPr>
            <w:tcW w:w="2410" w:type="dxa"/>
          </w:tcPr>
          <w:p w14:paraId="0590E014"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Used an activity statement</w:t>
            </w:r>
          </w:p>
        </w:tc>
        <w:tc>
          <w:tcPr>
            <w:tcW w:w="995" w:type="dxa"/>
          </w:tcPr>
          <w:p w14:paraId="21F1160A" w14:textId="77777777" w:rsidR="00231EE9" w:rsidRPr="00D83F85" w:rsidRDefault="00231EE9">
            <w:pPr>
              <w:spacing w:before="60" w:after="60" w:line="240" w:lineRule="auto"/>
              <w:jc w:val="center"/>
              <w:rPr>
                <w:rFonts w:eastAsia="Times New Roman"/>
                <w:color w:val="auto"/>
                <w:sz w:val="16"/>
                <w:lang w:val="en-US" w:eastAsia="en-AU" w:bidi="en-US"/>
              </w:rPr>
            </w:pPr>
            <w:r>
              <w:rPr>
                <w:rFonts w:eastAsia="Times New Roman"/>
                <w:color w:val="auto"/>
                <w:sz w:val="16"/>
                <w:lang w:val="en-US" w:eastAsia="en-AU" w:bidi="en-US"/>
              </w:rPr>
              <w:t>2.9%*</w:t>
            </w:r>
          </w:p>
        </w:tc>
      </w:tr>
    </w:tbl>
    <w:p w14:paraId="3FDCED18" w14:textId="22964353" w:rsidR="00CF4335" w:rsidRDefault="00231EE9" w:rsidP="007A60DE">
      <w:pPr>
        <w:pStyle w:val="TableNotes"/>
        <w:rPr>
          <w:lang w:eastAsia="en-AU"/>
        </w:rPr>
      </w:pPr>
      <w:r w:rsidRPr="00B2351F">
        <w:t>Notes: Excludes sample who did not have their own betting account (</w:t>
      </w:r>
      <w:r w:rsidRPr="007A60DE">
        <w:rPr>
          <w:i/>
          <w:iCs/>
        </w:rPr>
        <w:t>n</w:t>
      </w:r>
      <w:r w:rsidR="0012777B" w:rsidRPr="007A60DE">
        <w:rPr>
          <w:i/>
          <w:iCs/>
        </w:rPr>
        <w:t xml:space="preserve"> </w:t>
      </w:r>
      <w:r w:rsidRPr="00B2351F">
        <w:t>=</w:t>
      </w:r>
      <w:r w:rsidR="0012777B">
        <w:t xml:space="preserve"> </w:t>
      </w:r>
      <w:r w:rsidRPr="00B2351F">
        <w:t xml:space="preserve">20) or </w:t>
      </w:r>
      <w:r w:rsidR="00D14351">
        <w:t xml:space="preserve">did not </w:t>
      </w:r>
      <w:r w:rsidRPr="00B2351F">
        <w:t>use a legal online WSP (</w:t>
      </w:r>
      <w:r w:rsidRPr="007A60DE">
        <w:rPr>
          <w:i/>
          <w:iCs/>
        </w:rPr>
        <w:t>n</w:t>
      </w:r>
      <w:r w:rsidR="0012777B">
        <w:t xml:space="preserve"> </w:t>
      </w:r>
      <w:r w:rsidRPr="00B2351F">
        <w:t>=</w:t>
      </w:r>
      <w:r w:rsidR="0012777B">
        <w:t xml:space="preserve"> </w:t>
      </w:r>
      <w:r w:rsidRPr="00B2351F">
        <w:t xml:space="preserve">27). </w:t>
      </w:r>
      <w:r>
        <w:t>O</w:t>
      </w:r>
      <w:r w:rsidRPr="00B2351F">
        <w:t>nline bettors (</w:t>
      </w:r>
      <w:r w:rsidRPr="007A60DE">
        <w:rPr>
          <w:i/>
          <w:iCs/>
        </w:rPr>
        <w:t>n</w:t>
      </w:r>
      <w:r w:rsidRPr="00B2351F">
        <w:t xml:space="preserve"> = </w:t>
      </w:r>
      <w:r>
        <w:t>641</w:t>
      </w:r>
      <w:r w:rsidRPr="00B2351F">
        <w:t>); Opened an account last 12 months (</w:t>
      </w:r>
      <w:r w:rsidRPr="007A60DE">
        <w:rPr>
          <w:i/>
          <w:iCs/>
        </w:rPr>
        <w:t>n</w:t>
      </w:r>
      <w:r w:rsidRPr="00B2351F">
        <w:t xml:space="preserve"> = 80); M</w:t>
      </w:r>
      <w:r w:rsidRPr="00B2351F">
        <w:rPr>
          <w:lang w:eastAsia="en-AU"/>
        </w:rPr>
        <w:t>ade winnings in the last 12 months (</w:t>
      </w:r>
      <w:r w:rsidRPr="007A60DE">
        <w:rPr>
          <w:i/>
          <w:iCs/>
          <w:lang w:eastAsia="en-AU"/>
        </w:rPr>
        <w:t>n</w:t>
      </w:r>
      <w:r w:rsidRPr="00B2351F">
        <w:rPr>
          <w:lang w:eastAsia="en-AU"/>
        </w:rPr>
        <w:t xml:space="preserve"> = </w:t>
      </w:r>
      <w:r>
        <w:rPr>
          <w:lang w:eastAsia="en-AU"/>
        </w:rPr>
        <w:t>226</w:t>
      </w:r>
      <w:r w:rsidRPr="00B2351F">
        <w:rPr>
          <w:lang w:eastAsia="en-AU"/>
        </w:rPr>
        <w:t xml:space="preserve">); </w:t>
      </w:r>
      <w:r w:rsidRPr="00B2351F">
        <w:rPr>
          <w:color w:val="auto"/>
          <w:lang w:eastAsia="en-AU"/>
        </w:rPr>
        <w:t>Closed an account last 12 months (</w:t>
      </w:r>
      <w:r w:rsidRPr="007A60DE">
        <w:rPr>
          <w:i/>
          <w:iCs/>
          <w:color w:val="auto"/>
          <w:lang w:eastAsia="en-AU"/>
        </w:rPr>
        <w:t>n</w:t>
      </w:r>
      <w:r w:rsidRPr="00B2351F">
        <w:rPr>
          <w:color w:val="auto"/>
          <w:lang w:eastAsia="en-AU"/>
        </w:rPr>
        <w:t xml:space="preserve"> = </w:t>
      </w:r>
      <w:r>
        <w:rPr>
          <w:color w:val="auto"/>
          <w:lang w:eastAsia="en-AU"/>
        </w:rPr>
        <w:t>3</w:t>
      </w:r>
      <w:r w:rsidRPr="00B2351F">
        <w:rPr>
          <w:color w:val="auto"/>
          <w:lang w:eastAsia="en-AU"/>
        </w:rPr>
        <w:t xml:space="preserve">7); </w:t>
      </w:r>
      <w:r w:rsidRPr="00B2351F">
        <w:rPr>
          <w:lang w:eastAsia="en-AU"/>
        </w:rPr>
        <w:t xml:space="preserve">Opted out of direct marketing on account sign-up </w:t>
      </w:r>
      <w:r>
        <w:rPr>
          <w:lang w:eastAsia="en-AU"/>
        </w:rPr>
        <w:t xml:space="preserve">last 12 months </w:t>
      </w:r>
      <w:r w:rsidRPr="00B2351F">
        <w:rPr>
          <w:lang w:eastAsia="en-AU"/>
        </w:rPr>
        <w:t>(</w:t>
      </w:r>
      <w:r w:rsidRPr="007A60DE">
        <w:rPr>
          <w:i/>
          <w:iCs/>
          <w:lang w:eastAsia="en-AU"/>
        </w:rPr>
        <w:t>n</w:t>
      </w:r>
      <w:r w:rsidRPr="00B2351F">
        <w:rPr>
          <w:lang w:eastAsia="en-AU"/>
        </w:rPr>
        <w:t xml:space="preserve"> = </w:t>
      </w:r>
      <w:r>
        <w:rPr>
          <w:lang w:eastAsia="en-AU"/>
        </w:rPr>
        <w:t>35</w:t>
      </w:r>
      <w:r w:rsidRPr="00B2351F">
        <w:rPr>
          <w:lang w:eastAsia="en-AU"/>
        </w:rPr>
        <w:t>);</w:t>
      </w:r>
      <w:r w:rsidRPr="00B2351F">
        <w:rPr>
          <w:color w:val="auto"/>
          <w:lang w:eastAsia="en-AU"/>
        </w:rPr>
        <w:t xml:space="preserve"> Set a deposit limit (on sign-up for afterward) </w:t>
      </w:r>
      <w:r>
        <w:rPr>
          <w:color w:val="auto"/>
          <w:lang w:eastAsia="en-AU"/>
        </w:rPr>
        <w:t xml:space="preserve">last 12 months </w:t>
      </w:r>
      <w:r w:rsidRPr="00B2351F">
        <w:rPr>
          <w:lang w:eastAsia="en-AU"/>
        </w:rPr>
        <w:t>(</w:t>
      </w:r>
      <w:r w:rsidRPr="007A60DE">
        <w:rPr>
          <w:i/>
          <w:iCs/>
          <w:lang w:eastAsia="en-AU"/>
        </w:rPr>
        <w:t>n</w:t>
      </w:r>
      <w:r w:rsidRPr="00B2351F">
        <w:rPr>
          <w:lang w:eastAsia="en-AU"/>
        </w:rPr>
        <w:t xml:space="preserve"> = </w:t>
      </w:r>
      <w:r>
        <w:rPr>
          <w:lang w:eastAsia="en-AU"/>
        </w:rPr>
        <w:t>116</w:t>
      </w:r>
      <w:r w:rsidRPr="00B2351F">
        <w:rPr>
          <w:lang w:eastAsia="en-AU"/>
        </w:rPr>
        <w:t xml:space="preserve">); </w:t>
      </w:r>
      <w:r w:rsidRPr="00B2351F">
        <w:rPr>
          <w:color w:val="auto"/>
          <w:lang w:eastAsia="en-AU"/>
        </w:rPr>
        <w:t xml:space="preserve">Had an account for 12 months or more </w:t>
      </w:r>
      <w:r w:rsidRPr="00B2351F">
        <w:rPr>
          <w:lang w:eastAsia="en-AU"/>
        </w:rPr>
        <w:t>(</w:t>
      </w:r>
      <w:r w:rsidRPr="007A60DE">
        <w:rPr>
          <w:i/>
          <w:iCs/>
          <w:lang w:eastAsia="en-AU"/>
        </w:rPr>
        <w:t>n</w:t>
      </w:r>
      <w:r w:rsidRPr="00B2351F">
        <w:rPr>
          <w:lang w:eastAsia="en-AU"/>
        </w:rPr>
        <w:t xml:space="preserve"> = </w:t>
      </w:r>
      <w:r>
        <w:rPr>
          <w:lang w:eastAsia="en-AU"/>
        </w:rPr>
        <w:t>607</w:t>
      </w:r>
      <w:r w:rsidRPr="00B2351F">
        <w:rPr>
          <w:lang w:eastAsia="en-AU"/>
        </w:rPr>
        <w:t xml:space="preserve">); </w:t>
      </w:r>
      <w:r w:rsidRPr="00B2351F">
        <w:rPr>
          <w:color w:val="auto"/>
          <w:lang w:eastAsia="en-AU"/>
        </w:rPr>
        <w:t>Requested to decrease a set deposit limit in the last 12 months</w:t>
      </w:r>
      <w:r w:rsidRPr="00B2351F">
        <w:rPr>
          <w:lang w:eastAsia="en-AU"/>
        </w:rPr>
        <w:t xml:space="preserve"> (</w:t>
      </w:r>
      <w:r w:rsidRPr="007A60DE">
        <w:rPr>
          <w:i/>
          <w:iCs/>
          <w:lang w:eastAsia="en-AU"/>
        </w:rPr>
        <w:t>n</w:t>
      </w:r>
      <w:r w:rsidRPr="00B2351F">
        <w:rPr>
          <w:lang w:eastAsia="en-AU"/>
        </w:rPr>
        <w:t xml:space="preserve"> = </w:t>
      </w:r>
      <w:r>
        <w:rPr>
          <w:lang w:eastAsia="en-AU"/>
        </w:rPr>
        <w:t>5</w:t>
      </w:r>
      <w:r w:rsidRPr="00B2351F">
        <w:rPr>
          <w:lang w:eastAsia="en-AU"/>
        </w:rPr>
        <w:t xml:space="preserve">); </w:t>
      </w:r>
      <w:r>
        <w:rPr>
          <w:lang w:eastAsia="en-AU"/>
        </w:rPr>
        <w:t>Requested to increase a set deposit limit in the last 12 months (</w:t>
      </w:r>
      <w:r w:rsidRPr="007A60DE">
        <w:rPr>
          <w:i/>
          <w:iCs/>
          <w:lang w:eastAsia="en-AU"/>
        </w:rPr>
        <w:t>n</w:t>
      </w:r>
      <w:r>
        <w:rPr>
          <w:lang w:eastAsia="en-AU"/>
        </w:rPr>
        <w:t xml:space="preserve"> = 10); </w:t>
      </w:r>
      <w:r w:rsidRPr="00B2351F">
        <w:rPr>
          <w:lang w:eastAsia="en-AU"/>
        </w:rPr>
        <w:t>Used an activity statement in the last 12 months (</w:t>
      </w:r>
      <w:r w:rsidRPr="007A60DE">
        <w:rPr>
          <w:i/>
          <w:iCs/>
          <w:lang w:eastAsia="en-AU"/>
        </w:rPr>
        <w:t>n</w:t>
      </w:r>
      <w:r w:rsidRPr="00B2351F">
        <w:rPr>
          <w:lang w:eastAsia="en-AU"/>
        </w:rPr>
        <w:t xml:space="preserve"> = </w:t>
      </w:r>
      <w:r>
        <w:rPr>
          <w:lang w:eastAsia="en-AU"/>
        </w:rPr>
        <w:t>162</w:t>
      </w:r>
      <w:r w:rsidRPr="00B2351F">
        <w:rPr>
          <w:lang w:eastAsia="en-AU"/>
        </w:rPr>
        <w:t>)</w:t>
      </w:r>
      <w:r>
        <w:rPr>
          <w:lang w:eastAsia="en-AU"/>
        </w:rPr>
        <w:t xml:space="preserve">. *Failed reliability test using Korn-Graubard 95% Confidence Intervals (modified for complex surveys from Clopper-Pearson method), as used with National Center for Health Statistics' </w:t>
      </w:r>
      <w:r w:rsidRPr="00204BC3">
        <w:rPr>
          <w:i/>
          <w:iCs/>
          <w:lang w:eastAsia="en-AU"/>
        </w:rPr>
        <w:t>Data Presentation Standards for Proportions</w:t>
      </w:r>
      <w:r>
        <w:rPr>
          <w:lang w:eastAsia="en-AU"/>
        </w:rPr>
        <w:t>.</w:t>
      </w:r>
    </w:p>
    <w:p w14:paraId="3EC8DF88" w14:textId="099FBE77" w:rsidR="009A3CC4" w:rsidRPr="007A60DE" w:rsidRDefault="0012777B" w:rsidP="007A60DE">
      <w:pPr>
        <w:pStyle w:val="TableNotes"/>
        <w:rPr>
          <w:rStyle w:val="BodyTextChar"/>
        </w:rPr>
      </w:pPr>
      <w:r w:rsidRPr="00B2351F">
        <w:t>Source</w:t>
      </w:r>
      <w:r>
        <w:t>:</w:t>
      </w:r>
      <w:r w:rsidRPr="00B2351F">
        <w:t xml:space="preserve"> NCPF Online Consumer Survey</w:t>
      </w:r>
      <w:r>
        <w:t xml:space="preserve"> (</w:t>
      </w:r>
      <w:r w:rsidRPr="007A60DE">
        <w:rPr>
          <w:i/>
          <w:iCs/>
        </w:rPr>
        <w:t>N</w:t>
      </w:r>
      <w:r>
        <w:t xml:space="preserve"> = 698)</w:t>
      </w:r>
      <w:r w:rsidRPr="00B2351F">
        <w:t xml:space="preserve">. </w:t>
      </w:r>
      <w:r w:rsidR="00231EE9">
        <w:rPr>
          <w:lang w:eastAsia="en-AU"/>
        </w:rPr>
        <w:t xml:space="preserve"> </w:t>
      </w:r>
    </w:p>
    <w:p w14:paraId="475A8FE0" w14:textId="684A4514" w:rsidR="00602522" w:rsidRPr="0054015F" w:rsidRDefault="00602522" w:rsidP="00074143">
      <w:pPr>
        <w:pStyle w:val="BodyText"/>
        <w:rPr>
          <w:rFonts w:cs="Arial"/>
          <w:color w:val="B1004D"/>
          <w:kern w:val="32"/>
          <w:sz w:val="44"/>
        </w:rPr>
      </w:pPr>
      <w:r w:rsidRPr="0054015F">
        <w:rPr>
          <w:rFonts w:cs="Arial"/>
          <w:color w:val="B1004D"/>
          <w:kern w:val="32"/>
          <w:sz w:val="44"/>
        </w:rPr>
        <w:lastRenderedPageBreak/>
        <w:t xml:space="preserve">Appendix </w:t>
      </w:r>
      <w:r w:rsidR="00A0097E">
        <w:rPr>
          <w:rFonts w:cs="Arial"/>
          <w:color w:val="B1004D"/>
          <w:kern w:val="32"/>
          <w:sz w:val="44"/>
        </w:rPr>
        <w:t>E</w:t>
      </w:r>
      <w:r w:rsidRPr="0054015F">
        <w:rPr>
          <w:rFonts w:cs="Arial"/>
          <w:color w:val="B1004D"/>
          <w:kern w:val="32"/>
          <w:sz w:val="44"/>
        </w:rPr>
        <w:t>: Jurisdictional legislation inconsistencies for NCPF measures</w:t>
      </w:r>
      <w:bookmarkEnd w:id="169"/>
    </w:p>
    <w:p w14:paraId="13BA003B" w14:textId="2DC6D02B" w:rsidR="00496ACF" w:rsidRPr="0054015F" w:rsidRDefault="00496ACF" w:rsidP="00496ACF">
      <w:pPr>
        <w:keepNext/>
        <w:keepLines/>
        <w:spacing w:before="240" w:after="120" w:line="240" w:lineRule="auto"/>
        <w:jc w:val="left"/>
        <w:outlineLvl w:val="1"/>
        <w:rPr>
          <w:rFonts w:cs="Arial"/>
          <w:color w:val="671565"/>
          <w:kern w:val="32"/>
          <w:sz w:val="38"/>
          <w:szCs w:val="38"/>
        </w:rPr>
      </w:pPr>
      <w:bookmarkStart w:id="171" w:name="_Toc215847431"/>
      <w:bookmarkStart w:id="172" w:name="_Toc218244903"/>
      <w:bookmarkStart w:id="173" w:name="_Toc233643330"/>
      <w:r w:rsidRPr="0054015F">
        <w:rPr>
          <w:rFonts w:cs="Arial"/>
          <w:color w:val="671565"/>
          <w:kern w:val="32"/>
          <w:sz w:val="38"/>
          <w:szCs w:val="38"/>
        </w:rPr>
        <w:t>Measure 4. Restrictions on inducements</w:t>
      </w:r>
      <w:bookmarkEnd w:id="171"/>
      <w:bookmarkEnd w:id="172"/>
      <w:r w:rsidR="00DA19D3">
        <w:rPr>
          <w:rFonts w:cs="Arial"/>
          <w:color w:val="671565"/>
          <w:kern w:val="32"/>
          <w:sz w:val="38"/>
          <w:szCs w:val="38"/>
        </w:rPr>
        <w:t xml:space="preserve"> and Measure 5. Account closure</w:t>
      </w:r>
      <w:bookmarkEnd w:id="173"/>
    </w:p>
    <w:p w14:paraId="7659AFA0" w14:textId="6D96A538" w:rsidR="00496ACF" w:rsidRDefault="00496ACF" w:rsidP="007A60DE">
      <w:pPr>
        <w:pStyle w:val="TableCaption"/>
        <w:rPr>
          <w:color w:val="671565"/>
          <w:kern w:val="32"/>
          <w:sz w:val="38"/>
          <w:szCs w:val="38"/>
        </w:rPr>
      </w:pPr>
      <w:bookmarkStart w:id="174" w:name="AppendixDTable9"/>
      <w:bookmarkStart w:id="175" w:name="AppendixETable11"/>
      <w:r>
        <w:rPr>
          <w:lang w:val="en-US" w:eastAsia="ja-JP"/>
        </w:rPr>
        <w:t xml:space="preserve">Table </w:t>
      </w:r>
      <w:bookmarkEnd w:id="174"/>
      <w:r w:rsidR="27941C5E" w:rsidRPr="6FB10087">
        <w:rPr>
          <w:bCs/>
          <w:lang w:val="en-US" w:eastAsia="ja-JP"/>
        </w:rPr>
        <w:t>1</w:t>
      </w:r>
      <w:r w:rsidR="008D2759">
        <w:rPr>
          <w:bCs/>
          <w:lang w:val="en-US" w:eastAsia="ja-JP"/>
        </w:rPr>
        <w:t>1</w:t>
      </w:r>
      <w:bookmarkEnd w:id="175"/>
      <w:r>
        <w:rPr>
          <w:lang w:val="en-US" w:eastAsia="ja-JP"/>
        </w:rPr>
        <w:t xml:space="preserve">: </w:t>
      </w:r>
      <w:r w:rsidRPr="0054015F">
        <w:rPr>
          <w:lang w:val="en-US" w:eastAsia="ja-JP"/>
        </w:rPr>
        <w:t xml:space="preserve">Summary of </w:t>
      </w:r>
      <w:r w:rsidR="00E55384" w:rsidRPr="0054015F">
        <w:rPr>
          <w:lang w:val="en-US" w:eastAsia="ja-JP"/>
        </w:rPr>
        <w:t xml:space="preserve">state/territory </w:t>
      </w:r>
      <w:r w:rsidRPr="0054015F">
        <w:rPr>
          <w:lang w:val="en-US" w:eastAsia="ja-JP"/>
        </w:rPr>
        <w:t xml:space="preserve">legislation for the </w:t>
      </w:r>
      <w:r w:rsidR="00B66997">
        <w:rPr>
          <w:lang w:val="en-US" w:eastAsia="ja-JP"/>
        </w:rPr>
        <w:t>d</w:t>
      </w:r>
      <w:r w:rsidRPr="0054015F">
        <w:rPr>
          <w:lang w:val="en-US" w:eastAsia="ja-JP"/>
        </w:rPr>
        <w:t xml:space="preserve">irect </w:t>
      </w:r>
      <w:r w:rsidR="00B66997">
        <w:rPr>
          <w:lang w:val="en-US" w:eastAsia="ja-JP"/>
        </w:rPr>
        <w:t>m</w:t>
      </w:r>
      <w:r w:rsidRPr="0054015F">
        <w:rPr>
          <w:lang w:val="en-US" w:eastAsia="ja-JP"/>
        </w:rPr>
        <w:t>arketing principle of NCPF Measure 4</w:t>
      </w:r>
      <w:r w:rsidR="004966B4">
        <w:rPr>
          <w:lang w:val="en-US" w:eastAsia="ja-JP"/>
        </w:rPr>
        <w:t xml:space="preserve"> and </w:t>
      </w:r>
      <w:r w:rsidR="00A668AB">
        <w:rPr>
          <w:lang w:val="en-US" w:eastAsia="ja-JP"/>
        </w:rPr>
        <w:t>NCPF Measure 5 post-account closure</w:t>
      </w:r>
    </w:p>
    <w:tbl>
      <w:tblPr>
        <w:tblStyle w:val="DPSTableGrid1"/>
        <w:tblpPr w:leftFromText="180" w:rightFromText="180" w:vertAnchor="text" w:tblpY="1"/>
        <w:tblW w:w="13892" w:type="dxa"/>
        <w:tblLayout w:type="fixed"/>
        <w:tblLook w:val="04A0" w:firstRow="1" w:lastRow="0" w:firstColumn="1" w:lastColumn="0" w:noHBand="0" w:noVBand="1"/>
      </w:tblPr>
      <w:tblGrid>
        <w:gridCol w:w="1134"/>
        <w:gridCol w:w="2552"/>
        <w:gridCol w:w="6520"/>
        <w:gridCol w:w="3686"/>
      </w:tblGrid>
      <w:tr w:rsidR="00496ACF" w:rsidRPr="00843A16" w14:paraId="12B976CF" w14:textId="77777777" w:rsidTr="00CF6D5E">
        <w:trPr>
          <w:cnfStyle w:val="100000000000" w:firstRow="1" w:lastRow="0" w:firstColumn="0" w:lastColumn="0" w:oddVBand="0" w:evenVBand="0" w:oddHBand="0" w:evenHBand="0" w:firstRowFirstColumn="0" w:firstRowLastColumn="0" w:lastRowFirstColumn="0" w:lastRowLastColumn="0"/>
        </w:trPr>
        <w:tc>
          <w:tcPr>
            <w:tcW w:w="1134" w:type="dxa"/>
          </w:tcPr>
          <w:p w14:paraId="69B3726D" w14:textId="77777777" w:rsidR="00496ACF" w:rsidRPr="00FF7BBF" w:rsidRDefault="00496ACF" w:rsidP="00074143">
            <w:pPr>
              <w:pStyle w:val="TableColHeadLeft"/>
            </w:pPr>
            <w:bookmarkStart w:id="176" w:name="_Hlk211528723"/>
            <w:r w:rsidRPr="00FF7BBF">
              <w:t>Jurisdiction</w:t>
            </w:r>
          </w:p>
        </w:tc>
        <w:tc>
          <w:tcPr>
            <w:tcW w:w="2552" w:type="dxa"/>
          </w:tcPr>
          <w:p w14:paraId="2439AF9E" w14:textId="77777777" w:rsidR="00496ACF" w:rsidRPr="00FF7BBF" w:rsidRDefault="00496ACF" w:rsidP="00074143">
            <w:pPr>
              <w:pStyle w:val="TableColHeadLeft"/>
            </w:pPr>
            <w:r w:rsidRPr="00FF7BBF">
              <w:t>Legislation</w:t>
            </w:r>
          </w:p>
        </w:tc>
        <w:tc>
          <w:tcPr>
            <w:tcW w:w="6520" w:type="dxa"/>
          </w:tcPr>
          <w:p w14:paraId="54130914" w14:textId="77777777" w:rsidR="00496ACF" w:rsidRPr="00FF7BBF" w:rsidRDefault="00496ACF" w:rsidP="00074143">
            <w:pPr>
              <w:pStyle w:val="TableColHeadLeft"/>
            </w:pPr>
            <w:r w:rsidRPr="00FF7BBF">
              <w:t>Detail</w:t>
            </w:r>
          </w:p>
        </w:tc>
        <w:tc>
          <w:tcPr>
            <w:tcW w:w="3686" w:type="dxa"/>
          </w:tcPr>
          <w:p w14:paraId="79502572" w14:textId="77777777" w:rsidR="00496ACF" w:rsidRPr="00FF7BBF" w:rsidRDefault="00496ACF" w:rsidP="00074143">
            <w:pPr>
              <w:pStyle w:val="TableColHeadLeft"/>
            </w:pPr>
            <w:r w:rsidRPr="00FF7BBF">
              <w:t>Comment</w:t>
            </w:r>
          </w:p>
        </w:tc>
      </w:tr>
      <w:tr w:rsidR="00496ACF" w:rsidRPr="00843A16" w14:paraId="3FA14BCD" w14:textId="77777777" w:rsidTr="00CF6D5E">
        <w:tc>
          <w:tcPr>
            <w:tcW w:w="1134" w:type="dxa"/>
          </w:tcPr>
          <w:p w14:paraId="700FA85B"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National</w:t>
            </w:r>
          </w:p>
        </w:tc>
        <w:tc>
          <w:tcPr>
            <w:tcW w:w="2552" w:type="dxa"/>
          </w:tcPr>
          <w:p w14:paraId="23BA9E00"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National Policy Statement (2018)</w:t>
            </w:r>
          </w:p>
        </w:tc>
        <w:tc>
          <w:tcPr>
            <w:tcW w:w="6520" w:type="dxa"/>
          </w:tcPr>
          <w:p w14:paraId="494C320D"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No further direct marketing materials may be sent to a consumer </w:t>
            </w:r>
            <w:r w:rsidRPr="00843A16">
              <w:rPr>
                <w:rFonts w:eastAsia="Times New Roman"/>
                <w:i/>
                <w:iCs/>
                <w:sz w:val="16"/>
                <w:szCs w:val="20"/>
                <w:lang w:eastAsia="en-AU" w:bidi="en-US"/>
              </w:rPr>
              <w:t>from the time their unsubscribe request is received</w:t>
            </w:r>
            <w:r w:rsidRPr="00843A16">
              <w:rPr>
                <w:rFonts w:eastAsia="Times New Roman"/>
                <w:sz w:val="16"/>
                <w:szCs w:val="20"/>
                <w:lang w:eastAsia="en-AU" w:bidi="en-US"/>
              </w:rPr>
              <w:t xml:space="preserve"> (2018).</w:t>
            </w:r>
          </w:p>
        </w:tc>
        <w:tc>
          <w:tcPr>
            <w:tcW w:w="3686" w:type="dxa"/>
          </w:tcPr>
          <w:p w14:paraId="0B290494" w14:textId="64531E6F"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should be immediate.</w:t>
            </w:r>
            <w:r w:rsidR="00A668AB">
              <w:rPr>
                <w:rFonts w:eastAsia="Times New Roman"/>
                <w:sz w:val="16"/>
                <w:szCs w:val="20"/>
                <w:lang w:eastAsia="en-AU" w:bidi="en-US"/>
              </w:rPr>
              <w:t xml:space="preserve"> </w:t>
            </w:r>
          </w:p>
        </w:tc>
      </w:tr>
      <w:tr w:rsidR="00496ACF" w:rsidRPr="00843A16" w14:paraId="4C2638EF" w14:textId="77777777" w:rsidTr="00CF6D5E">
        <w:tc>
          <w:tcPr>
            <w:tcW w:w="1134" w:type="dxa"/>
          </w:tcPr>
          <w:p w14:paraId="29E5CD7E" w14:textId="1F48749A"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V</w:t>
            </w:r>
            <w:r w:rsidR="00742885" w:rsidRPr="00843A16">
              <w:rPr>
                <w:rFonts w:eastAsia="Times New Roman"/>
                <w:sz w:val="16"/>
                <w:szCs w:val="20"/>
                <w:lang w:eastAsia="en-AU" w:bidi="en-US"/>
              </w:rPr>
              <w:t>ic</w:t>
            </w:r>
          </w:p>
        </w:tc>
        <w:tc>
          <w:tcPr>
            <w:tcW w:w="2552" w:type="dxa"/>
          </w:tcPr>
          <w:p w14:paraId="70092254" w14:textId="52FEA953" w:rsidR="00496ACF" w:rsidRPr="008373C3" w:rsidRDefault="00496ACF" w:rsidP="00301D47">
            <w:pPr>
              <w:keepNext/>
              <w:spacing w:before="0" w:line="240" w:lineRule="auto"/>
              <w:jc w:val="left"/>
              <w:rPr>
                <w:rFonts w:eastAsia="Times New Roman"/>
                <w:sz w:val="16"/>
                <w:szCs w:val="16"/>
                <w:lang w:eastAsia="en-AU" w:bidi="en-US"/>
              </w:rPr>
            </w:pPr>
            <w:r w:rsidRPr="008373C3">
              <w:rPr>
                <w:rFonts w:eastAsia="Times New Roman"/>
                <w:sz w:val="16"/>
                <w:szCs w:val="16"/>
                <w:lang w:eastAsia="en-AU" w:bidi="en-US"/>
              </w:rPr>
              <w:t>Gambling Regulation Act 2003</w:t>
            </w:r>
            <w:r w:rsidR="00722B52" w:rsidRPr="008373C3">
              <w:rPr>
                <w:rFonts w:eastAsia="Times New Roman"/>
                <w:sz w:val="16"/>
                <w:szCs w:val="16"/>
                <w:lang w:eastAsia="en-AU" w:bidi="en-US"/>
              </w:rPr>
              <w:t xml:space="preserve"> and ministerial directions</w:t>
            </w:r>
            <w:r w:rsidR="00D54D77" w:rsidRPr="00741FEB">
              <w:rPr>
                <w:sz w:val="16"/>
                <w:szCs w:val="16"/>
              </w:rPr>
              <w:t xml:space="preserve"> </w:t>
            </w:r>
            <w:hyperlink r:id="rId74" w:history="1">
              <w:r w:rsidR="00DE3A61" w:rsidRPr="00741FEB">
                <w:rPr>
                  <w:rStyle w:val="Hyperlink"/>
                  <w:sz w:val="16"/>
                  <w:szCs w:val="16"/>
                </w:rPr>
                <w:t>GG2022S349.pdf</w:t>
              </w:r>
            </w:hyperlink>
            <w:r w:rsidR="00DE3A61" w:rsidRPr="00741FEB">
              <w:rPr>
                <w:sz w:val="16"/>
                <w:szCs w:val="16"/>
              </w:rPr>
              <w:t xml:space="preserve"> </w:t>
            </w:r>
            <w:r w:rsidR="008373C3" w:rsidRPr="00741FEB">
              <w:rPr>
                <w:sz w:val="16"/>
                <w:szCs w:val="16"/>
              </w:rPr>
              <w:t xml:space="preserve">and </w:t>
            </w:r>
            <w:hyperlink r:id="rId75" w:history="1">
              <w:r w:rsidR="008373C3" w:rsidRPr="00741FEB">
                <w:rPr>
                  <w:rStyle w:val="Hyperlink"/>
                  <w:sz w:val="16"/>
                  <w:szCs w:val="16"/>
                </w:rPr>
                <w:t>GG2023S137.pdf</w:t>
              </w:r>
            </w:hyperlink>
            <w:r w:rsidR="008373C3" w:rsidRPr="00741FEB">
              <w:rPr>
                <w:sz w:val="16"/>
                <w:szCs w:val="16"/>
              </w:rPr>
              <w:t xml:space="preserve"> </w:t>
            </w:r>
          </w:p>
        </w:tc>
        <w:tc>
          <w:tcPr>
            <w:tcW w:w="6520" w:type="dxa"/>
          </w:tcPr>
          <w:p w14:paraId="2976DC44"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 WSP or a person acting on behalf of the WSP must not send direct marketing to a person at any time after </w:t>
            </w:r>
            <w:r w:rsidRPr="00843A16">
              <w:rPr>
                <w:rFonts w:eastAsia="Times New Roman"/>
                <w:b/>
                <w:bCs/>
                <w:sz w:val="16"/>
                <w:szCs w:val="20"/>
                <w:lang w:eastAsia="en-AU" w:bidi="en-US"/>
              </w:rPr>
              <w:t>5 business days</w:t>
            </w:r>
            <w:r w:rsidRPr="00843A16">
              <w:rPr>
                <w:rFonts w:eastAsia="Times New Roman"/>
                <w:sz w:val="16"/>
                <w:szCs w:val="20"/>
                <w:lang w:eastAsia="en-AU" w:bidi="en-US"/>
              </w:rPr>
              <w:t xml:space="preserve"> from the day it has received notification from that person that they have unsubscribed.</w:t>
            </w:r>
          </w:p>
        </w:tc>
        <w:tc>
          <w:tcPr>
            <w:tcW w:w="3686" w:type="dxa"/>
          </w:tcPr>
          <w:p w14:paraId="4FECD7F9" w14:textId="349140F0"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5 business days</w:t>
            </w:r>
            <w:r w:rsidR="00A668AB">
              <w:rPr>
                <w:rFonts w:eastAsia="Times New Roman"/>
                <w:sz w:val="16"/>
                <w:szCs w:val="20"/>
                <w:lang w:eastAsia="en-AU" w:bidi="en-US"/>
              </w:rPr>
              <w:t>.</w:t>
            </w:r>
            <w:r w:rsidR="006D6D66">
              <w:rPr>
                <w:rFonts w:eastAsia="Times New Roman"/>
                <w:sz w:val="16"/>
                <w:szCs w:val="20"/>
                <w:lang w:eastAsia="en-AU" w:bidi="en-US"/>
              </w:rPr>
              <w:t xml:space="preserve"> </w:t>
            </w:r>
            <w:r w:rsidR="00A668AB">
              <w:rPr>
                <w:rFonts w:eastAsia="Times New Roman"/>
                <w:sz w:val="16"/>
                <w:szCs w:val="20"/>
                <w:lang w:eastAsia="en-AU" w:bidi="en-US"/>
              </w:rPr>
              <w:t xml:space="preserve">This includes </w:t>
            </w:r>
            <w:r w:rsidR="00A95A3A">
              <w:rPr>
                <w:rFonts w:eastAsia="Times New Roman"/>
                <w:sz w:val="16"/>
                <w:szCs w:val="20"/>
                <w:lang w:eastAsia="en-AU" w:bidi="en-US"/>
              </w:rPr>
              <w:t xml:space="preserve">when an individual </w:t>
            </w:r>
            <w:r w:rsidR="00432D4C">
              <w:rPr>
                <w:rFonts w:eastAsia="Times New Roman"/>
                <w:sz w:val="16"/>
                <w:szCs w:val="20"/>
                <w:lang w:eastAsia="en-AU" w:bidi="en-US"/>
              </w:rPr>
              <w:t>unsubscr</w:t>
            </w:r>
            <w:r w:rsidR="0079456F">
              <w:rPr>
                <w:rFonts w:eastAsia="Times New Roman"/>
                <w:sz w:val="16"/>
                <w:szCs w:val="20"/>
                <w:lang w:eastAsia="en-AU" w:bidi="en-US"/>
              </w:rPr>
              <w:t>ibes by closing their account.</w:t>
            </w:r>
          </w:p>
        </w:tc>
      </w:tr>
      <w:tr w:rsidR="00496ACF" w:rsidRPr="00843A16" w14:paraId="5CA82C88" w14:textId="77777777" w:rsidTr="00CF6D5E">
        <w:tc>
          <w:tcPr>
            <w:tcW w:w="1134" w:type="dxa"/>
          </w:tcPr>
          <w:p w14:paraId="7162FB9E"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ACT</w:t>
            </w:r>
          </w:p>
        </w:tc>
        <w:tc>
          <w:tcPr>
            <w:tcW w:w="2552" w:type="dxa"/>
          </w:tcPr>
          <w:p w14:paraId="7D5BD195"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Gambling and Racing Control (Code of Practice) Regulation 2002</w:t>
            </w:r>
          </w:p>
        </w:tc>
        <w:tc>
          <w:tcPr>
            <w:tcW w:w="6520" w:type="dxa"/>
          </w:tcPr>
          <w:p w14:paraId="468444A1"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The licensee must ensure that the licensee’s direct marketing is not sent to a person after</w:t>
            </w:r>
            <w:r w:rsidRPr="00843A16">
              <w:rPr>
                <w:rFonts w:eastAsia="Times New Roman"/>
                <w:b/>
                <w:bCs/>
                <w:sz w:val="16"/>
                <w:szCs w:val="20"/>
                <w:lang w:eastAsia="en-AU" w:bidi="en-US"/>
              </w:rPr>
              <w:t xml:space="preserve"> 5 business days</w:t>
            </w:r>
            <w:r w:rsidRPr="00843A16">
              <w:rPr>
                <w:rFonts w:eastAsia="Times New Roman"/>
                <w:sz w:val="16"/>
                <w:szCs w:val="20"/>
                <w:lang w:eastAsia="en-AU" w:bidi="en-US"/>
              </w:rPr>
              <w:t xml:space="preserve"> from the date a request is received from the person to – </w:t>
            </w:r>
          </w:p>
          <w:p w14:paraId="5B49A5EF" w14:textId="77777777" w:rsidR="00496ACF" w:rsidRPr="00843A16" w:rsidRDefault="00496ACF" w:rsidP="00301D47">
            <w:pPr>
              <w:keepNext/>
              <w:numPr>
                <w:ilvl w:val="0"/>
                <w:numId w:val="18"/>
              </w:numPr>
              <w:spacing w:before="0" w:line="240" w:lineRule="auto"/>
              <w:jc w:val="left"/>
              <w:rPr>
                <w:rFonts w:eastAsia="Times New Roman"/>
                <w:sz w:val="16"/>
                <w:szCs w:val="20"/>
                <w:lang w:eastAsia="en-AU" w:bidi="en-US"/>
              </w:rPr>
            </w:pPr>
            <w:r w:rsidRPr="00843A16">
              <w:rPr>
                <w:rFonts w:eastAsia="Times New Roman"/>
                <w:sz w:val="16"/>
                <w:szCs w:val="20"/>
                <w:lang w:eastAsia="en-AU" w:bidi="en-US"/>
              </w:rPr>
              <w:t>Stop getting the direct marketing; or</w:t>
            </w:r>
          </w:p>
          <w:p w14:paraId="336FACAC" w14:textId="77777777" w:rsidR="00496ACF" w:rsidRPr="00843A16" w:rsidRDefault="00496ACF" w:rsidP="00301D47">
            <w:pPr>
              <w:keepNext/>
              <w:numPr>
                <w:ilvl w:val="0"/>
                <w:numId w:val="18"/>
              </w:numPr>
              <w:spacing w:before="0" w:line="240" w:lineRule="auto"/>
              <w:jc w:val="left"/>
              <w:rPr>
                <w:rFonts w:eastAsia="Times New Roman"/>
                <w:sz w:val="16"/>
                <w:szCs w:val="20"/>
                <w:lang w:eastAsia="en-AU" w:bidi="en-US"/>
              </w:rPr>
            </w:pPr>
            <w:r w:rsidRPr="00843A16">
              <w:rPr>
                <w:rFonts w:eastAsia="Times New Roman"/>
                <w:sz w:val="16"/>
                <w:szCs w:val="20"/>
                <w:lang w:eastAsia="en-AU" w:bidi="en-US"/>
              </w:rPr>
              <w:t>Close their betting account.</w:t>
            </w:r>
          </w:p>
        </w:tc>
        <w:tc>
          <w:tcPr>
            <w:tcW w:w="3686" w:type="dxa"/>
          </w:tcPr>
          <w:p w14:paraId="5E401D12" w14:textId="6883BFCC"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5 business days</w:t>
            </w:r>
            <w:r w:rsidR="0079456F">
              <w:rPr>
                <w:rFonts w:eastAsia="Times New Roman"/>
                <w:sz w:val="16"/>
                <w:szCs w:val="20"/>
                <w:lang w:eastAsia="en-AU" w:bidi="en-US"/>
              </w:rPr>
              <w:t>. This includes when an individual unsubscribes by closing their account.</w:t>
            </w:r>
          </w:p>
        </w:tc>
      </w:tr>
      <w:tr w:rsidR="00496ACF" w:rsidRPr="00843A16" w14:paraId="2107BDE6" w14:textId="77777777" w:rsidTr="00CF6D5E">
        <w:tc>
          <w:tcPr>
            <w:tcW w:w="1134" w:type="dxa"/>
          </w:tcPr>
          <w:p w14:paraId="3AC133F3"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NSW</w:t>
            </w:r>
          </w:p>
        </w:tc>
        <w:tc>
          <w:tcPr>
            <w:tcW w:w="2552" w:type="dxa"/>
          </w:tcPr>
          <w:p w14:paraId="20F2C340"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Betting and Racing Act 1998 NSW</w:t>
            </w:r>
          </w:p>
        </w:tc>
        <w:tc>
          <w:tcPr>
            <w:tcW w:w="6520" w:type="dxa"/>
          </w:tcPr>
          <w:p w14:paraId="1C393D27"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withdrawal of consent to receive gambling advertisements takes effect </w:t>
            </w:r>
            <w:r w:rsidRPr="00843A16">
              <w:rPr>
                <w:rFonts w:eastAsia="Times New Roman"/>
                <w:b/>
                <w:bCs/>
                <w:sz w:val="16"/>
                <w:szCs w:val="20"/>
                <w:lang w:eastAsia="en-AU" w:bidi="en-US"/>
              </w:rPr>
              <w:t>24 hours</w:t>
            </w:r>
            <w:r w:rsidRPr="00843A16">
              <w:rPr>
                <w:rFonts w:eastAsia="Times New Roman"/>
                <w:sz w:val="16"/>
                <w:szCs w:val="20"/>
                <w:lang w:eastAsia="en-AU" w:bidi="en-US"/>
              </w:rPr>
              <w:t xml:space="preserve"> after a betting account holder notifies the licensed betting service provider that proves the account of the withdrawal consent.</w:t>
            </w:r>
          </w:p>
        </w:tc>
        <w:tc>
          <w:tcPr>
            <w:tcW w:w="3686" w:type="dxa"/>
          </w:tcPr>
          <w:p w14:paraId="5AEBBEE8" w14:textId="5CF8D1D2"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24 hours.</w:t>
            </w:r>
            <w:r w:rsidR="0079456F">
              <w:rPr>
                <w:rFonts w:eastAsia="Times New Roman"/>
                <w:sz w:val="16"/>
                <w:szCs w:val="20"/>
                <w:lang w:eastAsia="en-AU" w:bidi="en-US"/>
              </w:rPr>
              <w:t xml:space="preserve"> This includes when an individual unsubscribes by closing their account.</w:t>
            </w:r>
          </w:p>
        </w:tc>
      </w:tr>
      <w:tr w:rsidR="00496ACF" w:rsidRPr="00843A16" w14:paraId="43719185" w14:textId="77777777" w:rsidTr="00CF6D5E">
        <w:tc>
          <w:tcPr>
            <w:tcW w:w="1134" w:type="dxa"/>
          </w:tcPr>
          <w:p w14:paraId="410CDE72"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NT</w:t>
            </w:r>
          </w:p>
        </w:tc>
        <w:tc>
          <w:tcPr>
            <w:tcW w:w="2552" w:type="dxa"/>
          </w:tcPr>
          <w:p w14:paraId="25BE969B"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NT Code of Practice for Responsible Service of Online Gambling 2019</w:t>
            </w:r>
          </w:p>
        </w:tc>
        <w:tc>
          <w:tcPr>
            <w:tcW w:w="6520" w:type="dxa"/>
          </w:tcPr>
          <w:p w14:paraId="1BA46DF6"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Where a person either unsubscribes from receiving direct marketing material, self-excludes or closes their account, the online gambling provider must not send marketing material to that person at any time after </w:t>
            </w:r>
            <w:r w:rsidRPr="00843A16">
              <w:rPr>
                <w:rFonts w:eastAsia="Times New Roman"/>
                <w:b/>
                <w:bCs/>
                <w:sz w:val="16"/>
                <w:szCs w:val="20"/>
                <w:lang w:eastAsia="en-AU" w:bidi="en-US"/>
              </w:rPr>
              <w:t>24 hours</w:t>
            </w:r>
            <w:r w:rsidRPr="00843A16">
              <w:rPr>
                <w:rFonts w:eastAsia="Times New Roman"/>
                <w:sz w:val="16"/>
                <w:szCs w:val="20"/>
                <w:lang w:eastAsia="en-AU" w:bidi="en-US"/>
              </w:rPr>
              <w:t xml:space="preserve"> from the receipt of that request. </w:t>
            </w:r>
          </w:p>
        </w:tc>
        <w:tc>
          <w:tcPr>
            <w:tcW w:w="3686" w:type="dxa"/>
          </w:tcPr>
          <w:p w14:paraId="0E1B2BF2" w14:textId="0D41C885"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24 hours.</w:t>
            </w:r>
            <w:r w:rsidR="0079456F">
              <w:rPr>
                <w:rFonts w:eastAsia="Times New Roman"/>
                <w:sz w:val="16"/>
                <w:szCs w:val="20"/>
                <w:lang w:eastAsia="en-AU" w:bidi="en-US"/>
              </w:rPr>
              <w:t xml:space="preserve"> This includes when an individual unsubscribes by closing their account.</w:t>
            </w:r>
          </w:p>
        </w:tc>
      </w:tr>
      <w:tr w:rsidR="00496ACF" w:rsidRPr="00843A16" w14:paraId="71F6A2A9" w14:textId="77777777" w:rsidTr="00CF6D5E">
        <w:tc>
          <w:tcPr>
            <w:tcW w:w="1134" w:type="dxa"/>
          </w:tcPr>
          <w:p w14:paraId="76E87467" w14:textId="117239F3"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Q</w:t>
            </w:r>
            <w:r w:rsidR="00742885" w:rsidRPr="00843A16">
              <w:rPr>
                <w:rFonts w:eastAsia="Times New Roman"/>
                <w:sz w:val="16"/>
                <w:szCs w:val="20"/>
                <w:lang w:eastAsia="en-AU" w:bidi="en-US"/>
              </w:rPr>
              <w:t>ld</w:t>
            </w:r>
          </w:p>
        </w:tc>
        <w:tc>
          <w:tcPr>
            <w:tcW w:w="2552" w:type="dxa"/>
          </w:tcPr>
          <w:p w14:paraId="4EC6927F" w14:textId="72355E18"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Wagering Act 1998 Q</w:t>
            </w:r>
            <w:r w:rsidR="00742885" w:rsidRPr="00843A16">
              <w:rPr>
                <w:rFonts w:eastAsia="Times New Roman"/>
                <w:sz w:val="16"/>
                <w:szCs w:val="20"/>
                <w:lang w:eastAsia="en-AU" w:bidi="en-US"/>
              </w:rPr>
              <w:t>ld</w:t>
            </w:r>
          </w:p>
        </w:tc>
        <w:tc>
          <w:tcPr>
            <w:tcW w:w="6520" w:type="dxa"/>
          </w:tcPr>
          <w:p w14:paraId="32EEEE60"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If the relevant person withdraws consent from receiving promotional or advertising material, the withdrawal takes effect </w:t>
            </w:r>
            <w:r w:rsidRPr="00843A16">
              <w:rPr>
                <w:rFonts w:eastAsia="Times New Roman"/>
                <w:b/>
                <w:bCs/>
                <w:sz w:val="16"/>
                <w:szCs w:val="20"/>
                <w:lang w:eastAsia="en-AU" w:bidi="en-US"/>
              </w:rPr>
              <w:t>5 business days</w:t>
            </w:r>
            <w:r w:rsidRPr="00843A16">
              <w:rPr>
                <w:rFonts w:eastAsia="Times New Roman"/>
                <w:sz w:val="16"/>
                <w:szCs w:val="20"/>
                <w:lang w:eastAsia="en-AU" w:bidi="en-US"/>
              </w:rPr>
              <w:t xml:space="preserve">, or a shorter period prescribed by regulation, after the relevant person withdraws consent. </w:t>
            </w:r>
          </w:p>
        </w:tc>
        <w:tc>
          <w:tcPr>
            <w:tcW w:w="3686" w:type="dxa"/>
          </w:tcPr>
          <w:p w14:paraId="133BA35B" w14:textId="72CFED7A"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5 business days</w:t>
            </w:r>
            <w:r w:rsidR="00D009E5">
              <w:rPr>
                <w:rFonts w:eastAsia="Times New Roman"/>
                <w:sz w:val="16"/>
                <w:szCs w:val="20"/>
                <w:lang w:eastAsia="en-AU" w:bidi="en-US"/>
              </w:rPr>
              <w:t>. This includes when an individual unsubscribes by closing their account.</w:t>
            </w:r>
          </w:p>
        </w:tc>
      </w:tr>
      <w:tr w:rsidR="00496ACF" w:rsidRPr="00843A16" w14:paraId="2B514C74" w14:textId="77777777" w:rsidTr="00CF6D5E">
        <w:tc>
          <w:tcPr>
            <w:tcW w:w="1134" w:type="dxa"/>
          </w:tcPr>
          <w:p w14:paraId="1DCB2DF9"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SA</w:t>
            </w:r>
          </w:p>
        </w:tc>
        <w:tc>
          <w:tcPr>
            <w:tcW w:w="2552" w:type="dxa"/>
          </w:tcPr>
          <w:p w14:paraId="16AF779C"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Authorised Betting Operations Gambling Code of Practice (SA)</w:t>
            </w:r>
          </w:p>
        </w:tc>
        <w:tc>
          <w:tcPr>
            <w:tcW w:w="6520" w:type="dxa"/>
          </w:tcPr>
          <w:p w14:paraId="648C6074"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An interactive WSP, or a person acting on behalf of an interactive WSP, must not send direct marketing to a person at any time after </w:t>
            </w:r>
            <w:r w:rsidRPr="00843A16">
              <w:rPr>
                <w:rFonts w:eastAsia="Times New Roman"/>
                <w:b/>
                <w:bCs/>
                <w:sz w:val="16"/>
                <w:szCs w:val="20"/>
                <w:lang w:eastAsia="en-AU" w:bidi="en-US"/>
              </w:rPr>
              <w:t>5 business days</w:t>
            </w:r>
            <w:r w:rsidRPr="00843A16">
              <w:rPr>
                <w:rFonts w:eastAsia="Times New Roman"/>
                <w:sz w:val="16"/>
                <w:szCs w:val="20"/>
                <w:lang w:eastAsia="en-AU" w:bidi="en-US"/>
              </w:rPr>
              <w:t xml:space="preserve"> from the day it has received notification from the person that they have unsubscribed.</w:t>
            </w:r>
          </w:p>
        </w:tc>
        <w:tc>
          <w:tcPr>
            <w:tcW w:w="3686" w:type="dxa"/>
          </w:tcPr>
          <w:p w14:paraId="785D3899" w14:textId="5A01A3A5"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5 business days</w:t>
            </w:r>
            <w:r w:rsidR="00D009E5">
              <w:rPr>
                <w:rFonts w:eastAsia="Times New Roman"/>
                <w:sz w:val="16"/>
                <w:szCs w:val="20"/>
                <w:lang w:eastAsia="en-AU" w:bidi="en-US"/>
              </w:rPr>
              <w:t>. This includes when an individual unsubscribes by closing their account.</w:t>
            </w:r>
          </w:p>
        </w:tc>
      </w:tr>
      <w:tr w:rsidR="00496ACF" w:rsidRPr="00843A16" w14:paraId="4A046EC2" w14:textId="77777777" w:rsidTr="00CF6D5E">
        <w:tc>
          <w:tcPr>
            <w:tcW w:w="1134" w:type="dxa"/>
          </w:tcPr>
          <w:p w14:paraId="68EED62E"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Tas</w:t>
            </w:r>
          </w:p>
        </w:tc>
        <w:tc>
          <w:tcPr>
            <w:tcW w:w="2552" w:type="dxa"/>
          </w:tcPr>
          <w:p w14:paraId="2D9B8CF6"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Tasmanian Gaming Licence Standards</w:t>
            </w:r>
          </w:p>
        </w:tc>
        <w:tc>
          <w:tcPr>
            <w:tcW w:w="6520" w:type="dxa"/>
          </w:tcPr>
          <w:p w14:paraId="437B8292"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Any loyalty program, incentive, promotion or inducement offered by a licensed provider must ensure that no further direct marketing </w:t>
            </w:r>
            <w:proofErr w:type="gramStart"/>
            <w:r w:rsidRPr="00843A16">
              <w:rPr>
                <w:rFonts w:eastAsia="Times New Roman"/>
                <w:sz w:val="16"/>
                <w:szCs w:val="20"/>
                <w:lang w:eastAsia="en-AU" w:bidi="en-US"/>
              </w:rPr>
              <w:t>are</w:t>
            </w:r>
            <w:proofErr w:type="gramEnd"/>
            <w:r w:rsidRPr="00843A16">
              <w:rPr>
                <w:rFonts w:eastAsia="Times New Roman"/>
                <w:sz w:val="16"/>
                <w:szCs w:val="20"/>
                <w:lang w:eastAsia="en-AU" w:bidi="en-US"/>
              </w:rPr>
              <w:t xml:space="preserve"> sent to an account holder at any time after </w:t>
            </w:r>
            <w:r w:rsidRPr="00843A16">
              <w:rPr>
                <w:rFonts w:eastAsia="Times New Roman"/>
                <w:b/>
                <w:bCs/>
                <w:sz w:val="16"/>
                <w:szCs w:val="20"/>
                <w:lang w:eastAsia="en-AU" w:bidi="en-US"/>
              </w:rPr>
              <w:t>5 business days</w:t>
            </w:r>
            <w:r w:rsidRPr="00843A16">
              <w:rPr>
                <w:rFonts w:eastAsia="Times New Roman"/>
                <w:sz w:val="16"/>
                <w:szCs w:val="20"/>
                <w:lang w:eastAsia="en-AU" w:bidi="en-US"/>
              </w:rPr>
              <w:t xml:space="preserve"> from the time their unsubscribe request is received.</w:t>
            </w:r>
          </w:p>
        </w:tc>
        <w:tc>
          <w:tcPr>
            <w:tcW w:w="3686" w:type="dxa"/>
          </w:tcPr>
          <w:p w14:paraId="744D06A2" w14:textId="207C5055"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5 business days</w:t>
            </w:r>
            <w:r w:rsidR="00D009E5">
              <w:rPr>
                <w:rFonts w:eastAsia="Times New Roman"/>
                <w:sz w:val="16"/>
                <w:szCs w:val="20"/>
                <w:lang w:eastAsia="en-AU" w:bidi="en-US"/>
              </w:rPr>
              <w:t>. This includes when an individual unsubscribes by closing their account.</w:t>
            </w:r>
          </w:p>
        </w:tc>
      </w:tr>
      <w:tr w:rsidR="00496ACF" w:rsidRPr="00843A16" w14:paraId="633B0C8B" w14:textId="77777777" w:rsidTr="00CF6D5E">
        <w:tc>
          <w:tcPr>
            <w:tcW w:w="1134" w:type="dxa"/>
          </w:tcPr>
          <w:p w14:paraId="2719F6B3"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WA</w:t>
            </w:r>
          </w:p>
        </w:tc>
        <w:tc>
          <w:tcPr>
            <w:tcW w:w="2552" w:type="dxa"/>
          </w:tcPr>
          <w:p w14:paraId="2A19EBEC"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Gaming and Wagering Commission Regulations 1988</w:t>
            </w:r>
          </w:p>
        </w:tc>
        <w:tc>
          <w:tcPr>
            <w:tcW w:w="6520" w:type="dxa"/>
          </w:tcPr>
          <w:p w14:paraId="3F7C8DBB" w14:textId="77777777"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An account holder is taken to have withdrawn their consent – </w:t>
            </w:r>
          </w:p>
          <w:p w14:paraId="28562656" w14:textId="665C5FE5" w:rsidR="00496ACF" w:rsidRPr="00843A16" w:rsidRDefault="00496ACF" w:rsidP="00301D47">
            <w:pPr>
              <w:keepNext/>
              <w:numPr>
                <w:ilvl w:val="0"/>
                <w:numId w:val="19"/>
              </w:num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If the holder requests Racing and Wagering Western Australia (RWWA) to close their account – </w:t>
            </w:r>
            <w:r w:rsidRPr="00843A16">
              <w:rPr>
                <w:rFonts w:eastAsia="Times New Roman"/>
                <w:b/>
                <w:bCs/>
                <w:sz w:val="16"/>
                <w:szCs w:val="20"/>
                <w:lang w:eastAsia="en-AU" w:bidi="en-US"/>
              </w:rPr>
              <w:t>24 hours</w:t>
            </w:r>
            <w:r w:rsidRPr="00843A16">
              <w:rPr>
                <w:rFonts w:eastAsia="Times New Roman"/>
                <w:sz w:val="16"/>
                <w:szCs w:val="20"/>
                <w:lang w:eastAsia="en-AU" w:bidi="en-US"/>
              </w:rPr>
              <w:t xml:space="preserve"> after the request was made</w:t>
            </w:r>
            <w:r w:rsidR="00F17034">
              <w:rPr>
                <w:rFonts w:eastAsia="Times New Roman"/>
                <w:sz w:val="16"/>
                <w:szCs w:val="20"/>
                <w:lang w:eastAsia="en-AU" w:bidi="en-US"/>
              </w:rPr>
              <w:t>.</w:t>
            </w:r>
          </w:p>
        </w:tc>
        <w:tc>
          <w:tcPr>
            <w:tcW w:w="3686" w:type="dxa"/>
          </w:tcPr>
          <w:p w14:paraId="0C097E32" w14:textId="4E84218D" w:rsidR="00496ACF" w:rsidRPr="00843A16" w:rsidRDefault="00496ACF" w:rsidP="00301D47">
            <w:pPr>
              <w:keepNext/>
              <w:spacing w:before="0" w:line="240" w:lineRule="auto"/>
              <w:jc w:val="left"/>
              <w:rPr>
                <w:rFonts w:eastAsia="Times New Roman"/>
                <w:sz w:val="16"/>
                <w:szCs w:val="20"/>
                <w:lang w:eastAsia="en-AU" w:bidi="en-US"/>
              </w:rPr>
            </w:pPr>
            <w:r w:rsidRPr="00843A16">
              <w:rPr>
                <w:rFonts w:eastAsia="Times New Roman"/>
                <w:sz w:val="16"/>
                <w:szCs w:val="20"/>
                <w:lang w:eastAsia="en-AU" w:bidi="en-US"/>
              </w:rPr>
              <w:t>Opting out of direct marketing must be actioned within 24 hours.</w:t>
            </w:r>
            <w:r w:rsidR="00D009E5">
              <w:rPr>
                <w:rFonts w:eastAsia="Times New Roman"/>
                <w:sz w:val="16"/>
                <w:szCs w:val="20"/>
                <w:lang w:eastAsia="en-AU" w:bidi="en-US"/>
              </w:rPr>
              <w:t xml:space="preserve"> This includes when an individual unsubscribes by closing their account.</w:t>
            </w:r>
          </w:p>
        </w:tc>
      </w:tr>
    </w:tbl>
    <w:bookmarkEnd w:id="176"/>
    <w:p w14:paraId="6E0E7822" w14:textId="36501DBD" w:rsidR="00496ACF" w:rsidRPr="0038182C" w:rsidRDefault="00496ACF" w:rsidP="00E820CF">
      <w:pPr>
        <w:pStyle w:val="TableNotes"/>
      </w:pPr>
      <w:r w:rsidRPr="00FF7BBF">
        <w:t xml:space="preserve">Note: While the definition of inducements appears to be consistent across jurisdictions, the interpretation of these definitions varies as noted by regulators and WSPs in stakeholder interviews. </w:t>
      </w:r>
    </w:p>
    <w:p w14:paraId="12D22D73" w14:textId="078D21FB" w:rsidR="0054015F" w:rsidRPr="00843A16" w:rsidRDefault="0054015F" w:rsidP="0054015F">
      <w:pPr>
        <w:keepNext/>
        <w:spacing w:before="240" w:after="120" w:line="240" w:lineRule="auto"/>
        <w:jc w:val="left"/>
        <w:outlineLvl w:val="1"/>
        <w:rPr>
          <w:rFonts w:cs="Arial"/>
          <w:color w:val="671565"/>
          <w:kern w:val="32"/>
          <w:sz w:val="38"/>
          <w:szCs w:val="38"/>
        </w:rPr>
      </w:pPr>
      <w:bookmarkStart w:id="177" w:name="_Toc233643331"/>
      <w:r w:rsidRPr="00843A16">
        <w:rPr>
          <w:rFonts w:cs="Arial"/>
          <w:color w:val="671565"/>
          <w:kern w:val="32"/>
          <w:sz w:val="38"/>
          <w:szCs w:val="38"/>
        </w:rPr>
        <w:lastRenderedPageBreak/>
        <w:t xml:space="preserve">Measure 6. </w:t>
      </w:r>
      <w:proofErr w:type="gramStart"/>
      <w:r w:rsidRPr="00843A16">
        <w:rPr>
          <w:rFonts w:cs="Arial"/>
          <w:color w:val="671565"/>
          <w:kern w:val="32"/>
          <w:sz w:val="38"/>
          <w:szCs w:val="38"/>
        </w:rPr>
        <w:t>Voluntary</w:t>
      </w:r>
      <w:proofErr w:type="gramEnd"/>
      <w:r w:rsidRPr="00843A16">
        <w:rPr>
          <w:rFonts w:cs="Arial"/>
          <w:color w:val="671565"/>
          <w:kern w:val="32"/>
          <w:sz w:val="38"/>
          <w:szCs w:val="38"/>
        </w:rPr>
        <w:t xml:space="preserve"> opt-out pre-commitment scheme (deposit limits)</w:t>
      </w:r>
      <w:bookmarkEnd w:id="170"/>
      <w:bookmarkEnd w:id="177"/>
    </w:p>
    <w:p w14:paraId="24264ABA" w14:textId="66FEB00E" w:rsidR="0054015F" w:rsidRPr="00126F11" w:rsidRDefault="00286AE3" w:rsidP="007A60DE">
      <w:pPr>
        <w:pStyle w:val="TableCaption"/>
        <w:spacing w:after="0"/>
        <w:rPr>
          <w:lang w:eastAsia="ja-JP"/>
        </w:rPr>
      </w:pPr>
      <w:bookmarkStart w:id="178" w:name="AppendixETable12"/>
      <w:r w:rsidRPr="00126F11">
        <w:rPr>
          <w:lang w:eastAsia="ja-JP"/>
        </w:rPr>
        <w:t xml:space="preserve">Table </w:t>
      </w:r>
      <w:r w:rsidR="009E1220">
        <w:rPr>
          <w:lang w:eastAsia="ja-JP"/>
        </w:rPr>
        <w:t>1</w:t>
      </w:r>
      <w:r w:rsidR="008D2759">
        <w:rPr>
          <w:bCs/>
          <w:lang w:eastAsia="ja-JP"/>
        </w:rPr>
        <w:t>2</w:t>
      </w:r>
      <w:bookmarkEnd w:id="178"/>
      <w:r w:rsidRPr="00126F11">
        <w:rPr>
          <w:lang w:eastAsia="ja-JP"/>
        </w:rPr>
        <w:t xml:space="preserve">: </w:t>
      </w:r>
      <w:r w:rsidR="0054015F" w:rsidRPr="00126F11">
        <w:rPr>
          <w:lang w:eastAsia="ja-JP"/>
        </w:rPr>
        <w:t xml:space="preserve">Summary of </w:t>
      </w:r>
      <w:r w:rsidR="009813A8" w:rsidRPr="00126F11">
        <w:rPr>
          <w:lang w:eastAsia="ja-JP"/>
        </w:rPr>
        <w:t xml:space="preserve">state/territory </w:t>
      </w:r>
      <w:r w:rsidR="0054015F" w:rsidRPr="00126F11">
        <w:rPr>
          <w:lang w:eastAsia="ja-JP"/>
        </w:rPr>
        <w:t xml:space="preserve">legislation for the </w:t>
      </w:r>
      <w:proofErr w:type="gramStart"/>
      <w:r w:rsidR="0054015F" w:rsidRPr="00126F11">
        <w:rPr>
          <w:lang w:eastAsia="ja-JP"/>
        </w:rPr>
        <w:t>time period</w:t>
      </w:r>
      <w:proofErr w:type="gramEnd"/>
      <w:r w:rsidR="0054015F" w:rsidRPr="00126F11">
        <w:rPr>
          <w:lang w:eastAsia="ja-JP"/>
        </w:rPr>
        <w:t xml:space="preserve"> for deposit limit selection of NCPF Measure 6</w:t>
      </w:r>
    </w:p>
    <w:tbl>
      <w:tblPr>
        <w:tblStyle w:val="DPSTableGrid1"/>
        <w:tblpPr w:leftFromText="180" w:rightFromText="180" w:vertAnchor="text" w:tblpY="1"/>
        <w:tblOverlap w:val="never"/>
        <w:tblW w:w="13892" w:type="dxa"/>
        <w:tblLook w:val="04A0" w:firstRow="1" w:lastRow="0" w:firstColumn="1" w:lastColumn="0" w:noHBand="0" w:noVBand="1"/>
      </w:tblPr>
      <w:tblGrid>
        <w:gridCol w:w="1134"/>
        <w:gridCol w:w="2127"/>
        <w:gridCol w:w="8079"/>
        <w:gridCol w:w="2552"/>
      </w:tblGrid>
      <w:tr w:rsidR="00182CE3" w:rsidRPr="00843A16" w14:paraId="40C60906" w14:textId="77777777" w:rsidTr="007A60DE">
        <w:trPr>
          <w:cnfStyle w:val="100000000000" w:firstRow="1" w:lastRow="0" w:firstColumn="0" w:lastColumn="0" w:oddVBand="0" w:evenVBand="0" w:oddHBand="0" w:evenHBand="0" w:firstRowFirstColumn="0" w:firstRowLastColumn="0" w:lastRowFirstColumn="0" w:lastRowLastColumn="0"/>
          <w:tblHeader/>
        </w:trPr>
        <w:tc>
          <w:tcPr>
            <w:tcW w:w="1134" w:type="dxa"/>
          </w:tcPr>
          <w:p w14:paraId="6C0D9304" w14:textId="77777777" w:rsidR="0054015F" w:rsidRPr="00126F11" w:rsidRDefault="0054015F" w:rsidP="000543D2">
            <w:pPr>
              <w:spacing w:before="60" w:after="60" w:line="240" w:lineRule="auto"/>
              <w:jc w:val="left"/>
              <w:rPr>
                <w:rFonts w:eastAsia="Times New Roman"/>
                <w:color w:val="FFFFFF" w:themeColor="background1"/>
                <w:sz w:val="16"/>
                <w:lang w:eastAsia="en-AU" w:bidi="en-US"/>
              </w:rPr>
            </w:pPr>
            <w:r w:rsidRPr="00126F11">
              <w:rPr>
                <w:rFonts w:eastAsia="Times New Roman"/>
                <w:color w:val="FFFFFF" w:themeColor="background1"/>
                <w:sz w:val="16"/>
                <w:lang w:eastAsia="en-AU" w:bidi="en-US"/>
              </w:rPr>
              <w:t>Jurisdiction</w:t>
            </w:r>
          </w:p>
        </w:tc>
        <w:tc>
          <w:tcPr>
            <w:tcW w:w="2127" w:type="dxa"/>
          </w:tcPr>
          <w:p w14:paraId="5FCDEB4D" w14:textId="77777777" w:rsidR="0054015F" w:rsidRPr="00126F11" w:rsidRDefault="0054015F" w:rsidP="000543D2">
            <w:pPr>
              <w:spacing w:before="60" w:after="60" w:line="240" w:lineRule="auto"/>
              <w:jc w:val="left"/>
              <w:rPr>
                <w:rFonts w:eastAsia="Times New Roman"/>
                <w:color w:val="FFFFFF" w:themeColor="background1"/>
                <w:sz w:val="16"/>
                <w:lang w:eastAsia="en-AU" w:bidi="en-US"/>
              </w:rPr>
            </w:pPr>
            <w:r w:rsidRPr="00126F11">
              <w:rPr>
                <w:rFonts w:eastAsia="Times New Roman"/>
                <w:color w:val="FFFFFF" w:themeColor="background1"/>
                <w:sz w:val="16"/>
                <w:lang w:eastAsia="en-AU" w:bidi="en-US"/>
              </w:rPr>
              <w:t>Legislation</w:t>
            </w:r>
          </w:p>
        </w:tc>
        <w:tc>
          <w:tcPr>
            <w:tcW w:w="8079" w:type="dxa"/>
          </w:tcPr>
          <w:p w14:paraId="79C8C3B5" w14:textId="77777777" w:rsidR="0054015F" w:rsidRPr="00126F11" w:rsidRDefault="0054015F" w:rsidP="000543D2">
            <w:pPr>
              <w:spacing w:before="60" w:after="60" w:line="240" w:lineRule="auto"/>
              <w:jc w:val="left"/>
              <w:rPr>
                <w:rFonts w:eastAsia="Times New Roman"/>
                <w:color w:val="FFFFFF" w:themeColor="background1"/>
                <w:sz w:val="16"/>
                <w:lang w:eastAsia="en-AU" w:bidi="en-US"/>
              </w:rPr>
            </w:pPr>
            <w:r w:rsidRPr="00126F11">
              <w:rPr>
                <w:rFonts w:eastAsia="Times New Roman"/>
                <w:color w:val="FFFFFF" w:themeColor="background1"/>
                <w:sz w:val="16"/>
                <w:lang w:eastAsia="en-AU" w:bidi="en-US"/>
              </w:rPr>
              <w:t>Detail</w:t>
            </w:r>
          </w:p>
        </w:tc>
        <w:tc>
          <w:tcPr>
            <w:tcW w:w="2552" w:type="dxa"/>
          </w:tcPr>
          <w:p w14:paraId="2608F5AF" w14:textId="77777777" w:rsidR="0054015F" w:rsidRPr="00126F11" w:rsidRDefault="0054015F" w:rsidP="000543D2">
            <w:pPr>
              <w:spacing w:before="60" w:after="60" w:line="240" w:lineRule="auto"/>
              <w:jc w:val="left"/>
              <w:rPr>
                <w:rFonts w:eastAsia="Times New Roman"/>
                <w:color w:val="FFFFFF" w:themeColor="background1"/>
                <w:sz w:val="16"/>
                <w:lang w:eastAsia="en-AU" w:bidi="en-US"/>
              </w:rPr>
            </w:pPr>
            <w:r w:rsidRPr="00126F11">
              <w:rPr>
                <w:rFonts w:eastAsia="Times New Roman"/>
                <w:color w:val="FFFFFF" w:themeColor="background1"/>
                <w:sz w:val="16"/>
                <w:lang w:eastAsia="en-AU" w:bidi="en-US"/>
              </w:rPr>
              <w:t xml:space="preserve">Comment </w:t>
            </w:r>
          </w:p>
        </w:tc>
      </w:tr>
      <w:tr w:rsidR="00182CE3" w:rsidRPr="00843A16" w14:paraId="190EF95C" w14:textId="77777777" w:rsidTr="007A60DE">
        <w:tc>
          <w:tcPr>
            <w:tcW w:w="1134" w:type="dxa"/>
          </w:tcPr>
          <w:p w14:paraId="08550BD7"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National</w:t>
            </w:r>
          </w:p>
        </w:tc>
        <w:tc>
          <w:tcPr>
            <w:tcW w:w="2127" w:type="dxa"/>
          </w:tcPr>
          <w:p w14:paraId="41B3F6B8" w14:textId="5CC47A5D"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National Policy Statement (2018)</w:t>
            </w:r>
          </w:p>
        </w:tc>
        <w:tc>
          <w:tcPr>
            <w:tcW w:w="8079" w:type="dxa"/>
          </w:tcPr>
          <w:p w14:paraId="300CD2DA" w14:textId="1BCCB595"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Customers must be able to choose the </w:t>
            </w:r>
            <w:proofErr w:type="gramStart"/>
            <w:r w:rsidRPr="00843A16">
              <w:rPr>
                <w:rFonts w:eastAsia="Times New Roman"/>
                <w:sz w:val="16"/>
                <w:szCs w:val="20"/>
                <w:lang w:eastAsia="en-AU" w:bidi="en-US"/>
              </w:rPr>
              <w:t>time period</w:t>
            </w:r>
            <w:proofErr w:type="gramEnd"/>
            <w:r w:rsidRPr="00843A16">
              <w:rPr>
                <w:rFonts w:eastAsia="Times New Roman"/>
                <w:sz w:val="16"/>
                <w:szCs w:val="20"/>
                <w:lang w:eastAsia="en-AU" w:bidi="en-US"/>
              </w:rPr>
              <w:t xml:space="preserve"> for their deposit limit from a range of periods, including daily, weekly, fortnightly and monthly (2018).</w:t>
            </w:r>
          </w:p>
        </w:tc>
        <w:tc>
          <w:tcPr>
            <w:tcW w:w="2552" w:type="dxa"/>
          </w:tcPr>
          <w:p w14:paraId="7701BF26" w14:textId="563D146C"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7B83F1E5" w14:textId="77777777" w:rsidTr="007A60DE">
        <w:tc>
          <w:tcPr>
            <w:tcW w:w="1134" w:type="dxa"/>
          </w:tcPr>
          <w:p w14:paraId="6E810F44" w14:textId="5FB4453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V</w:t>
            </w:r>
            <w:r w:rsidR="009813A8" w:rsidRPr="00843A16">
              <w:rPr>
                <w:rFonts w:eastAsia="Times New Roman"/>
                <w:sz w:val="16"/>
                <w:szCs w:val="20"/>
                <w:lang w:eastAsia="en-AU" w:bidi="en-US"/>
              </w:rPr>
              <w:t>ic</w:t>
            </w:r>
          </w:p>
        </w:tc>
        <w:tc>
          <w:tcPr>
            <w:tcW w:w="2127" w:type="dxa"/>
          </w:tcPr>
          <w:p w14:paraId="6833A387" w14:textId="4EA09284"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Gambling Regulation Act 2003</w:t>
            </w:r>
            <w:r w:rsidR="005C007C">
              <w:rPr>
                <w:rFonts w:eastAsia="Times New Roman"/>
                <w:sz w:val="16"/>
                <w:szCs w:val="20"/>
                <w:lang w:eastAsia="en-AU" w:bidi="en-US"/>
              </w:rPr>
              <w:t xml:space="preserve"> </w:t>
            </w:r>
            <w:r w:rsidR="005C007C" w:rsidRPr="008373C3">
              <w:rPr>
                <w:rFonts w:eastAsia="Times New Roman"/>
                <w:sz w:val="16"/>
                <w:szCs w:val="16"/>
                <w:lang w:eastAsia="en-AU" w:bidi="en-US"/>
              </w:rPr>
              <w:t>and ministerial directions</w:t>
            </w:r>
            <w:r w:rsidR="005C007C" w:rsidRPr="00EF2D32">
              <w:rPr>
                <w:sz w:val="16"/>
                <w:szCs w:val="16"/>
              </w:rPr>
              <w:t xml:space="preserve"> </w:t>
            </w:r>
            <w:hyperlink r:id="rId76" w:history="1">
              <w:r w:rsidR="005C007C" w:rsidRPr="00EF2D32">
                <w:rPr>
                  <w:rStyle w:val="Hyperlink"/>
                  <w:sz w:val="16"/>
                  <w:szCs w:val="16"/>
                </w:rPr>
                <w:t>GG2022S349.pdf</w:t>
              </w:r>
            </w:hyperlink>
            <w:r w:rsidR="005C007C" w:rsidRPr="00EF2D32">
              <w:rPr>
                <w:sz w:val="16"/>
                <w:szCs w:val="16"/>
              </w:rPr>
              <w:t xml:space="preserve"> and </w:t>
            </w:r>
            <w:hyperlink r:id="rId77" w:history="1">
              <w:r w:rsidR="005C007C" w:rsidRPr="00EF2D32">
                <w:rPr>
                  <w:rStyle w:val="Hyperlink"/>
                  <w:sz w:val="16"/>
                  <w:szCs w:val="16"/>
                </w:rPr>
                <w:t>GG2023S137.pdf</w:t>
              </w:r>
            </w:hyperlink>
          </w:p>
        </w:tc>
        <w:tc>
          <w:tcPr>
            <w:tcW w:w="8079" w:type="dxa"/>
          </w:tcPr>
          <w:p w14:paraId="20156DC0" w14:textId="79A187E3"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Allow</w:t>
            </w:r>
            <w:r w:rsidR="001A277F">
              <w:rPr>
                <w:rFonts w:eastAsia="Times New Roman"/>
                <w:sz w:val="16"/>
                <w:szCs w:val="20"/>
                <w:lang w:eastAsia="en-AU" w:bidi="en-US"/>
              </w:rPr>
              <w:t>s</w:t>
            </w:r>
            <w:r w:rsidRPr="00843A16">
              <w:rPr>
                <w:rFonts w:eastAsia="Times New Roman"/>
                <w:sz w:val="16"/>
                <w:szCs w:val="20"/>
                <w:lang w:eastAsia="en-AU" w:bidi="en-US"/>
              </w:rPr>
              <w:t xml:space="preserve"> the account holder to choose the period during which the deposit limit applies (</w:t>
            </w:r>
            <w:r w:rsidR="001A277F">
              <w:rPr>
                <w:rFonts w:eastAsia="Times New Roman"/>
                <w:sz w:val="16"/>
                <w:szCs w:val="20"/>
                <w:lang w:eastAsia="en-AU" w:bidi="en-US"/>
              </w:rPr>
              <w:t>e.g.</w:t>
            </w:r>
            <w:r w:rsidRPr="00843A16">
              <w:rPr>
                <w:rFonts w:eastAsia="Times New Roman"/>
                <w:sz w:val="16"/>
                <w:szCs w:val="20"/>
                <w:lang w:eastAsia="en-AU" w:bidi="en-US"/>
              </w:rPr>
              <w:t xml:space="preserve"> a week, fortnight, calendar month or calendar year or a combination of these)</w:t>
            </w:r>
          </w:p>
        </w:tc>
        <w:tc>
          <w:tcPr>
            <w:tcW w:w="2552" w:type="dxa"/>
          </w:tcPr>
          <w:p w14:paraId="71203451" w14:textId="3F6B0F09"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voluntary</w:t>
            </w:r>
            <w:r w:rsidRPr="00843A16">
              <w:rPr>
                <w:rFonts w:eastAsia="Times New Roman"/>
                <w:sz w:val="16"/>
                <w:szCs w:val="20"/>
                <w:lang w:eastAsia="en-AU" w:bidi="en-US"/>
              </w:rPr>
              <w:t xml:space="preserve"> 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42B49DD6" w14:textId="77777777" w:rsidTr="007A60DE">
        <w:tc>
          <w:tcPr>
            <w:tcW w:w="1134" w:type="dxa"/>
          </w:tcPr>
          <w:p w14:paraId="0FE3E2BE"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ACT</w:t>
            </w:r>
          </w:p>
        </w:tc>
        <w:tc>
          <w:tcPr>
            <w:tcW w:w="2127" w:type="dxa"/>
          </w:tcPr>
          <w:p w14:paraId="347E52F0"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Gambling and Racing Control (Code of Practice) Regulation 2002</w:t>
            </w:r>
          </w:p>
        </w:tc>
        <w:tc>
          <w:tcPr>
            <w:tcW w:w="8079" w:type="dxa"/>
          </w:tcPr>
          <w:p w14:paraId="6D4098B4" w14:textId="44E70D45"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Allows the person to choose the period or periods to which the limit applies, including a period or periods of 1, 7, 14 or 28 days</w:t>
            </w:r>
          </w:p>
        </w:tc>
        <w:tc>
          <w:tcPr>
            <w:tcW w:w="2552" w:type="dxa"/>
          </w:tcPr>
          <w:p w14:paraId="622F1139" w14:textId="0F97284A"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14146046" w14:textId="77777777" w:rsidTr="007A60DE">
        <w:tc>
          <w:tcPr>
            <w:tcW w:w="1134" w:type="dxa"/>
          </w:tcPr>
          <w:p w14:paraId="2617E453"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NSW</w:t>
            </w:r>
          </w:p>
        </w:tc>
        <w:tc>
          <w:tcPr>
            <w:tcW w:w="2127" w:type="dxa"/>
          </w:tcPr>
          <w:p w14:paraId="7D9F05DC"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Betting and Racing Act 1998 NSW</w:t>
            </w:r>
          </w:p>
        </w:tc>
        <w:tc>
          <w:tcPr>
            <w:tcW w:w="8079" w:type="dxa"/>
          </w:tcPr>
          <w:p w14:paraId="58B0D496"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Before the account is opened, the provider must require the potential betting account holder to indicate the limit on the amount of money that the holder may deposit into the betting account in a specified period and the </w:t>
            </w:r>
            <w:r w:rsidRPr="00843A16">
              <w:rPr>
                <w:rFonts w:eastAsia="Times New Roman"/>
                <w:b/>
                <w:bCs/>
                <w:sz w:val="16"/>
                <w:szCs w:val="20"/>
                <w:lang w:eastAsia="en-AU" w:bidi="en-US"/>
              </w:rPr>
              <w:t>period</w:t>
            </w:r>
            <w:r w:rsidRPr="00843A16">
              <w:rPr>
                <w:rFonts w:eastAsia="Times New Roman"/>
                <w:sz w:val="16"/>
                <w:szCs w:val="20"/>
                <w:lang w:eastAsia="en-AU" w:bidi="en-US"/>
              </w:rPr>
              <w:t xml:space="preserve"> for which the particular limit is to apply (a deposit limit) or, if the potential holder does not wish to apply a limit, to expressly refuse to apply a deposit limit.</w:t>
            </w:r>
          </w:p>
        </w:tc>
        <w:tc>
          <w:tcPr>
            <w:tcW w:w="2552" w:type="dxa"/>
          </w:tcPr>
          <w:p w14:paraId="12D86E83" w14:textId="74D18A83"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Does</w:t>
            </w:r>
            <w:r w:rsidR="00D954A1" w:rsidRPr="00843A16">
              <w:rPr>
                <w:rFonts w:eastAsia="Times New Roman"/>
                <w:sz w:val="16"/>
                <w:szCs w:val="20"/>
                <w:lang w:eastAsia="en-AU" w:bidi="en-US"/>
              </w:rPr>
              <w:t xml:space="preserve"> not</w:t>
            </w:r>
            <w:r w:rsidRPr="00843A16">
              <w:rPr>
                <w:rFonts w:eastAsia="Times New Roman"/>
                <w:sz w:val="16"/>
                <w:szCs w:val="20"/>
                <w:lang w:eastAsia="en-AU" w:bidi="en-US"/>
              </w:rPr>
              <w:t xml:space="preserve"> appear to state the time periods</w:t>
            </w:r>
          </w:p>
        </w:tc>
      </w:tr>
      <w:tr w:rsidR="00182CE3" w:rsidRPr="00843A16" w14:paraId="3ADFE644" w14:textId="77777777" w:rsidTr="007A60DE">
        <w:tc>
          <w:tcPr>
            <w:tcW w:w="1134" w:type="dxa"/>
          </w:tcPr>
          <w:p w14:paraId="6CBE183F"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NT</w:t>
            </w:r>
          </w:p>
        </w:tc>
        <w:tc>
          <w:tcPr>
            <w:tcW w:w="2127" w:type="dxa"/>
          </w:tcPr>
          <w:p w14:paraId="53B51947"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NT Code of Practice for Responsible Service of Online Gambling 2019</w:t>
            </w:r>
          </w:p>
        </w:tc>
        <w:tc>
          <w:tcPr>
            <w:tcW w:w="8079" w:type="dxa"/>
          </w:tcPr>
          <w:p w14:paraId="6597A450" w14:textId="6EF4E901"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Online gambling providers must ensure they offer </w:t>
            </w:r>
            <w:proofErr w:type="gramStart"/>
            <w:r w:rsidRPr="00843A16">
              <w:rPr>
                <w:rFonts w:eastAsia="Times New Roman"/>
                <w:sz w:val="16"/>
                <w:szCs w:val="20"/>
                <w:lang w:eastAsia="en-AU" w:bidi="en-US"/>
              </w:rPr>
              <w:t>a number of</w:t>
            </w:r>
            <w:proofErr w:type="gramEnd"/>
            <w:r w:rsidRPr="00843A16">
              <w:rPr>
                <w:rFonts w:eastAsia="Times New Roman"/>
                <w:sz w:val="16"/>
                <w:szCs w:val="20"/>
                <w:lang w:eastAsia="en-AU" w:bidi="en-US"/>
              </w:rPr>
              <w:t xml:space="preserve"> different time periods for which a deposit limit is to apply</w:t>
            </w:r>
            <w:r w:rsidR="00C534E9">
              <w:rPr>
                <w:rFonts w:eastAsia="Times New Roman"/>
                <w:sz w:val="16"/>
                <w:szCs w:val="20"/>
                <w:lang w:eastAsia="en-AU" w:bidi="en-US"/>
              </w:rPr>
              <w:t>;</w:t>
            </w:r>
            <w:r w:rsidR="00C534E9" w:rsidRPr="00843A16">
              <w:rPr>
                <w:rFonts w:eastAsia="Times New Roman"/>
                <w:sz w:val="16"/>
                <w:szCs w:val="20"/>
                <w:lang w:eastAsia="en-AU" w:bidi="en-US"/>
              </w:rPr>
              <w:t xml:space="preserve"> </w:t>
            </w:r>
            <w:r w:rsidRPr="00843A16">
              <w:rPr>
                <w:rFonts w:eastAsia="Times New Roman"/>
                <w:sz w:val="16"/>
                <w:szCs w:val="20"/>
                <w:lang w:eastAsia="en-AU" w:bidi="en-US"/>
              </w:rPr>
              <w:t>for example, a day, week, fortnight, month or year, or a combination of these.</w:t>
            </w:r>
          </w:p>
        </w:tc>
        <w:tc>
          <w:tcPr>
            <w:tcW w:w="2552" w:type="dxa"/>
          </w:tcPr>
          <w:p w14:paraId="05878402" w14:textId="1006AA4E"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voluntary</w:t>
            </w:r>
            <w:r w:rsidRPr="00843A16">
              <w:rPr>
                <w:rFonts w:eastAsia="Times New Roman"/>
                <w:sz w:val="16"/>
                <w:szCs w:val="20"/>
                <w:lang w:eastAsia="en-AU" w:bidi="en-US"/>
              </w:rPr>
              <w:t xml:space="preserve"> 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6B185C49" w14:textId="77777777" w:rsidTr="007A60DE">
        <w:tc>
          <w:tcPr>
            <w:tcW w:w="1134" w:type="dxa"/>
          </w:tcPr>
          <w:p w14:paraId="3A91989E" w14:textId="4591BA3F"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Q</w:t>
            </w:r>
            <w:r w:rsidR="009813A8" w:rsidRPr="00843A16">
              <w:rPr>
                <w:rFonts w:eastAsia="Times New Roman"/>
                <w:sz w:val="16"/>
                <w:szCs w:val="20"/>
                <w:lang w:eastAsia="en-AU" w:bidi="en-US"/>
              </w:rPr>
              <w:t>ld</w:t>
            </w:r>
          </w:p>
        </w:tc>
        <w:tc>
          <w:tcPr>
            <w:tcW w:w="2127" w:type="dxa"/>
          </w:tcPr>
          <w:p w14:paraId="7E98BE09" w14:textId="331FAF02"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Wagering </w:t>
            </w:r>
            <w:r w:rsidR="005B1DDD">
              <w:rPr>
                <w:rFonts w:eastAsia="Times New Roman"/>
                <w:sz w:val="16"/>
                <w:szCs w:val="20"/>
                <w:lang w:eastAsia="en-AU" w:bidi="en-US"/>
              </w:rPr>
              <w:t>Act 1998</w:t>
            </w:r>
          </w:p>
        </w:tc>
        <w:tc>
          <w:tcPr>
            <w:tcW w:w="8079" w:type="dxa"/>
          </w:tcPr>
          <w:p w14:paraId="44BF5AE7" w14:textId="2D56EBD0" w:rsidR="0054015F" w:rsidRPr="00843A16" w:rsidRDefault="00FF0E20" w:rsidP="000543D2">
            <w:pPr>
              <w:spacing w:before="60" w:after="60" w:line="240" w:lineRule="auto"/>
              <w:jc w:val="left"/>
              <w:rPr>
                <w:rFonts w:eastAsia="Times New Roman"/>
                <w:sz w:val="16"/>
                <w:szCs w:val="20"/>
                <w:lang w:eastAsia="en-AU" w:bidi="en-US"/>
              </w:rPr>
            </w:pPr>
            <w:r>
              <w:rPr>
                <w:rFonts w:eastAsia="Times New Roman"/>
                <w:sz w:val="16"/>
                <w:szCs w:val="20"/>
                <w:lang w:eastAsia="en-AU" w:bidi="en-US"/>
              </w:rPr>
              <w:t>Licence conditions contain information about deposit limits. The betting account must not be opened unless the person or account holder has set a deposit limit. Further supported in the Wagering Control Manual that the deposit limit is 1, 7, 14 or 28 days.</w:t>
            </w:r>
          </w:p>
        </w:tc>
        <w:tc>
          <w:tcPr>
            <w:tcW w:w="2552" w:type="dxa"/>
          </w:tcPr>
          <w:p w14:paraId="7C0F1EAA" w14:textId="220FDC77" w:rsidR="0054015F" w:rsidRPr="00843A16" w:rsidRDefault="00926192"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to include all 4 time periods</w:t>
            </w:r>
            <w:r w:rsidRPr="00843A16" w:rsidDel="00E17CB8">
              <w:rPr>
                <w:rFonts w:eastAsia="Times New Roman"/>
                <w:sz w:val="16"/>
                <w:szCs w:val="20"/>
                <w:lang w:eastAsia="en-AU" w:bidi="en-US"/>
              </w:rPr>
              <w:t xml:space="preserve"> </w:t>
            </w:r>
          </w:p>
        </w:tc>
      </w:tr>
      <w:tr w:rsidR="00182CE3" w:rsidRPr="00843A16" w14:paraId="4D94A445" w14:textId="77777777" w:rsidTr="007A60DE">
        <w:tc>
          <w:tcPr>
            <w:tcW w:w="1134" w:type="dxa"/>
          </w:tcPr>
          <w:p w14:paraId="20995887"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SA</w:t>
            </w:r>
          </w:p>
        </w:tc>
        <w:tc>
          <w:tcPr>
            <w:tcW w:w="2127" w:type="dxa"/>
          </w:tcPr>
          <w:p w14:paraId="35E5FE32"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Authorised Betting Operators Gambling Code of Practice</w:t>
            </w:r>
          </w:p>
        </w:tc>
        <w:tc>
          <w:tcPr>
            <w:tcW w:w="8079" w:type="dxa"/>
          </w:tcPr>
          <w:p w14:paraId="5355A51F" w14:textId="449BBC81"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Allow</w:t>
            </w:r>
            <w:r w:rsidR="000543D2">
              <w:rPr>
                <w:rFonts w:eastAsia="Times New Roman"/>
                <w:sz w:val="16"/>
                <w:szCs w:val="20"/>
                <w:lang w:eastAsia="en-AU" w:bidi="en-US"/>
              </w:rPr>
              <w:t>s</w:t>
            </w:r>
            <w:r w:rsidRPr="00843A16">
              <w:rPr>
                <w:rFonts w:eastAsia="Times New Roman"/>
                <w:sz w:val="16"/>
                <w:szCs w:val="20"/>
                <w:lang w:eastAsia="en-AU" w:bidi="en-US"/>
              </w:rPr>
              <w:t xml:space="preserve"> the account holder to choose the period during which the relevant limit applies (</w:t>
            </w:r>
            <w:r w:rsidR="000543D2">
              <w:rPr>
                <w:rFonts w:eastAsia="Times New Roman"/>
                <w:sz w:val="16"/>
                <w:szCs w:val="20"/>
                <w:lang w:eastAsia="en-AU" w:bidi="en-US"/>
              </w:rPr>
              <w:t>e.g.</w:t>
            </w:r>
            <w:r w:rsidRPr="00843A16">
              <w:rPr>
                <w:rFonts w:eastAsia="Times New Roman"/>
                <w:sz w:val="16"/>
                <w:szCs w:val="20"/>
                <w:lang w:eastAsia="en-AU" w:bidi="en-US"/>
              </w:rPr>
              <w:t xml:space="preserve"> a week, fortnight, calendar month or calendar year or a combination of these)</w:t>
            </w:r>
          </w:p>
        </w:tc>
        <w:tc>
          <w:tcPr>
            <w:tcW w:w="2552" w:type="dxa"/>
          </w:tcPr>
          <w:p w14:paraId="17AC71C0" w14:textId="2DB2C06F"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 xml:space="preserve">voluntary </w:t>
            </w:r>
            <w:r w:rsidRPr="00843A16">
              <w:rPr>
                <w:rFonts w:eastAsia="Times New Roman"/>
                <w:sz w:val="16"/>
                <w:szCs w:val="20"/>
                <w:lang w:eastAsia="en-AU" w:bidi="en-US"/>
              </w:rPr>
              <w:t xml:space="preserve">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20099E2F" w14:textId="77777777" w:rsidTr="007A60DE">
        <w:tc>
          <w:tcPr>
            <w:tcW w:w="1134" w:type="dxa"/>
          </w:tcPr>
          <w:p w14:paraId="5A6EDCE2"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Tas</w:t>
            </w:r>
          </w:p>
        </w:tc>
        <w:tc>
          <w:tcPr>
            <w:tcW w:w="2127" w:type="dxa"/>
          </w:tcPr>
          <w:p w14:paraId="6A1CA091"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Tasmanian Gaming Licence Standards</w:t>
            </w:r>
          </w:p>
        </w:tc>
        <w:tc>
          <w:tcPr>
            <w:tcW w:w="8079" w:type="dxa"/>
          </w:tcPr>
          <w:p w14:paraId="6748CC0A"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Account holders must be able to nominate the applicable </w:t>
            </w:r>
            <w:proofErr w:type="gramStart"/>
            <w:r w:rsidRPr="00843A16">
              <w:rPr>
                <w:rFonts w:eastAsia="Times New Roman"/>
                <w:sz w:val="16"/>
                <w:szCs w:val="20"/>
                <w:lang w:eastAsia="en-AU" w:bidi="en-US"/>
              </w:rPr>
              <w:t>time period</w:t>
            </w:r>
            <w:proofErr w:type="gramEnd"/>
            <w:r w:rsidRPr="00843A16">
              <w:rPr>
                <w:rFonts w:eastAsia="Times New Roman"/>
                <w:sz w:val="16"/>
                <w:szCs w:val="20"/>
                <w:lang w:eastAsia="en-AU" w:bidi="en-US"/>
              </w:rPr>
              <w:t xml:space="preserve"> for their deposit limit from a range of periods, including daily, weekly, fortnightly and monthly limit options.</w:t>
            </w:r>
          </w:p>
        </w:tc>
        <w:tc>
          <w:tcPr>
            <w:tcW w:w="2552" w:type="dxa"/>
          </w:tcPr>
          <w:p w14:paraId="6EC89504" w14:textId="259B857E"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Appears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to include all </w:t>
            </w:r>
            <w:r w:rsidR="00324E86" w:rsidRPr="00843A16">
              <w:rPr>
                <w:rFonts w:eastAsia="Times New Roman"/>
                <w:sz w:val="16"/>
                <w:szCs w:val="20"/>
                <w:lang w:eastAsia="en-AU" w:bidi="en-US"/>
              </w:rPr>
              <w:t>4</w:t>
            </w:r>
            <w:r w:rsidRPr="00843A16">
              <w:rPr>
                <w:rFonts w:eastAsia="Times New Roman"/>
                <w:sz w:val="16"/>
                <w:szCs w:val="20"/>
                <w:lang w:eastAsia="en-AU" w:bidi="en-US"/>
              </w:rPr>
              <w:t xml:space="preserve"> time periods</w:t>
            </w:r>
          </w:p>
        </w:tc>
      </w:tr>
      <w:tr w:rsidR="00182CE3" w:rsidRPr="00843A16" w14:paraId="630399D9" w14:textId="77777777" w:rsidTr="007A60DE">
        <w:tc>
          <w:tcPr>
            <w:tcW w:w="1134" w:type="dxa"/>
          </w:tcPr>
          <w:p w14:paraId="2C0641EC"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WA</w:t>
            </w:r>
          </w:p>
        </w:tc>
        <w:tc>
          <w:tcPr>
            <w:tcW w:w="2127" w:type="dxa"/>
          </w:tcPr>
          <w:p w14:paraId="071BD434"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Gaming and Wagering Commission Regulations 1988</w:t>
            </w:r>
          </w:p>
        </w:tc>
        <w:tc>
          <w:tcPr>
            <w:tcW w:w="8079" w:type="dxa"/>
          </w:tcPr>
          <w:p w14:paraId="51A87DB8"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Allow the holder to choose the duration for which the deposit limit applies from </w:t>
            </w:r>
            <w:r w:rsidRPr="00843A16">
              <w:rPr>
                <w:rFonts w:eastAsia="Times New Roman"/>
                <w:b/>
                <w:bCs/>
                <w:sz w:val="16"/>
                <w:szCs w:val="20"/>
                <w:lang w:eastAsia="en-AU" w:bidi="en-US"/>
              </w:rPr>
              <w:t>at least 2 options</w:t>
            </w:r>
            <w:r w:rsidRPr="00843A16">
              <w:rPr>
                <w:rFonts w:eastAsia="Times New Roman"/>
                <w:sz w:val="16"/>
                <w:szCs w:val="20"/>
                <w:lang w:eastAsia="en-AU" w:bidi="en-US"/>
              </w:rPr>
              <w:t xml:space="preserve"> offered by Racing and Wagering WA, including, for example, the following – </w:t>
            </w:r>
          </w:p>
          <w:p w14:paraId="47EBE9D7" w14:textId="77777777" w:rsidR="0054015F" w:rsidRPr="00843A16" w:rsidRDefault="0054015F" w:rsidP="000543D2">
            <w:pPr>
              <w:numPr>
                <w:ilvl w:val="0"/>
                <w:numId w:val="20"/>
              </w:num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1 day;</w:t>
            </w:r>
          </w:p>
          <w:p w14:paraId="4076A975" w14:textId="77777777" w:rsidR="0054015F" w:rsidRPr="00843A16" w:rsidRDefault="0054015F" w:rsidP="000543D2">
            <w:pPr>
              <w:numPr>
                <w:ilvl w:val="0"/>
                <w:numId w:val="20"/>
              </w:num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1 week;</w:t>
            </w:r>
          </w:p>
          <w:p w14:paraId="234FCADE" w14:textId="77777777" w:rsidR="0054015F" w:rsidRPr="00843A16" w:rsidRDefault="0054015F" w:rsidP="000543D2">
            <w:pPr>
              <w:numPr>
                <w:ilvl w:val="0"/>
                <w:numId w:val="20"/>
              </w:num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1 fortnight;</w:t>
            </w:r>
          </w:p>
          <w:p w14:paraId="47266690" w14:textId="77777777" w:rsidR="0054015F" w:rsidRPr="00843A16" w:rsidRDefault="0054015F" w:rsidP="000543D2">
            <w:pPr>
              <w:numPr>
                <w:ilvl w:val="0"/>
                <w:numId w:val="20"/>
              </w:num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1 month </w:t>
            </w:r>
          </w:p>
        </w:tc>
        <w:tc>
          <w:tcPr>
            <w:tcW w:w="2552" w:type="dxa"/>
          </w:tcPr>
          <w:p w14:paraId="273979D5" w14:textId="77777777" w:rsidR="0054015F" w:rsidRPr="00843A16" w:rsidRDefault="0054015F" w:rsidP="000543D2">
            <w:pPr>
              <w:spacing w:before="60" w:after="60" w:line="240" w:lineRule="auto"/>
              <w:jc w:val="left"/>
              <w:rPr>
                <w:rFonts w:eastAsia="Times New Roman"/>
                <w:sz w:val="16"/>
                <w:szCs w:val="20"/>
                <w:lang w:eastAsia="en-AU" w:bidi="en-US"/>
              </w:rPr>
            </w:pPr>
            <w:r w:rsidRPr="00843A16">
              <w:rPr>
                <w:rFonts w:eastAsia="Times New Roman"/>
                <w:sz w:val="16"/>
                <w:szCs w:val="20"/>
                <w:lang w:eastAsia="en-AU" w:bidi="en-US"/>
              </w:rPr>
              <w:t xml:space="preserve">Different to other states/ territories </w:t>
            </w:r>
          </w:p>
        </w:tc>
      </w:tr>
    </w:tbl>
    <w:p w14:paraId="1C31FFE3" w14:textId="77777777" w:rsidR="0054015F" w:rsidRPr="00843A16" w:rsidRDefault="0054015F" w:rsidP="00CF6D5E">
      <w:pPr>
        <w:pStyle w:val="AppendixHeading2"/>
      </w:pPr>
      <w:bookmarkStart w:id="179" w:name="_Toc215847434"/>
      <w:bookmarkStart w:id="180" w:name="_Toc233643332"/>
      <w:r w:rsidRPr="00843A16">
        <w:lastRenderedPageBreak/>
        <w:t>Measure 7. Activity statements</w:t>
      </w:r>
      <w:bookmarkEnd w:id="179"/>
      <w:bookmarkEnd w:id="180"/>
    </w:p>
    <w:p w14:paraId="45326A13" w14:textId="610E6295" w:rsidR="0054015F" w:rsidRPr="00FF7BBF" w:rsidRDefault="00286AE3" w:rsidP="000543D2">
      <w:pPr>
        <w:pStyle w:val="TableCaption"/>
        <w:rPr>
          <w:lang w:val="en-US" w:eastAsia="ja-JP"/>
        </w:rPr>
      </w:pPr>
      <w:bookmarkStart w:id="181" w:name="AppendixETable13"/>
      <w:r w:rsidRPr="00FF7BBF">
        <w:rPr>
          <w:lang w:val="en-US" w:eastAsia="ja-JP"/>
        </w:rPr>
        <w:t xml:space="preserve">Table </w:t>
      </w:r>
      <w:r w:rsidR="009E1220" w:rsidRPr="00E150FD">
        <w:rPr>
          <w:lang w:val="en-US" w:eastAsia="ja-JP"/>
        </w:rPr>
        <w:t>1</w:t>
      </w:r>
      <w:r w:rsidR="008D2759" w:rsidRPr="00E150FD">
        <w:rPr>
          <w:lang w:val="en-US" w:eastAsia="ja-JP"/>
        </w:rPr>
        <w:t>3</w:t>
      </w:r>
      <w:bookmarkEnd w:id="181"/>
      <w:r w:rsidRPr="00FF7BBF">
        <w:rPr>
          <w:lang w:val="en-US" w:eastAsia="ja-JP"/>
        </w:rPr>
        <w:t xml:space="preserve">: </w:t>
      </w:r>
      <w:r w:rsidR="0054015F" w:rsidRPr="00FF7BBF">
        <w:rPr>
          <w:lang w:val="en-US" w:eastAsia="ja-JP"/>
        </w:rPr>
        <w:t xml:space="preserve">Summary of </w:t>
      </w:r>
      <w:r w:rsidR="00987452" w:rsidRPr="00FF7BBF">
        <w:rPr>
          <w:lang w:val="en-US" w:eastAsia="ja-JP"/>
        </w:rPr>
        <w:t xml:space="preserve">state/territory </w:t>
      </w:r>
      <w:r w:rsidR="0054015F" w:rsidRPr="00FF7BBF">
        <w:rPr>
          <w:lang w:val="en-US" w:eastAsia="ja-JP"/>
        </w:rPr>
        <w:t xml:space="preserve">legislation for the format (text </w:t>
      </w:r>
      <w:proofErr w:type="spellStart"/>
      <w:r w:rsidR="0054015F" w:rsidRPr="00FF7BBF">
        <w:rPr>
          <w:lang w:val="en-US" w:eastAsia="ja-JP"/>
        </w:rPr>
        <w:t>colour</w:t>
      </w:r>
      <w:proofErr w:type="spellEnd"/>
      <w:r w:rsidR="0054015F" w:rsidRPr="00FF7BBF">
        <w:rPr>
          <w:lang w:val="en-US" w:eastAsia="ja-JP"/>
        </w:rPr>
        <w:t>) of activity statements of NCPF Measure 7</w:t>
      </w:r>
    </w:p>
    <w:tbl>
      <w:tblPr>
        <w:tblStyle w:val="DPSTableGrid1"/>
        <w:tblW w:w="13892" w:type="dxa"/>
        <w:tblLook w:val="04A0" w:firstRow="1" w:lastRow="0" w:firstColumn="1" w:lastColumn="0" w:noHBand="0" w:noVBand="1"/>
      </w:tblPr>
      <w:tblGrid>
        <w:gridCol w:w="1231"/>
        <w:gridCol w:w="2030"/>
        <w:gridCol w:w="5670"/>
        <w:gridCol w:w="4961"/>
      </w:tblGrid>
      <w:tr w:rsidR="00182CE3" w:rsidRPr="00843A16" w14:paraId="0941ED39" w14:textId="77777777">
        <w:trPr>
          <w:cnfStyle w:val="100000000000" w:firstRow="1" w:lastRow="0" w:firstColumn="0" w:lastColumn="0" w:oddVBand="0" w:evenVBand="0" w:oddHBand="0" w:evenHBand="0" w:firstRowFirstColumn="0" w:firstRowLastColumn="0" w:lastRowFirstColumn="0" w:lastRowLastColumn="0"/>
          <w:tblHeader/>
        </w:trPr>
        <w:tc>
          <w:tcPr>
            <w:tcW w:w="1231" w:type="dxa"/>
          </w:tcPr>
          <w:p w14:paraId="3A1C4719" w14:textId="77777777" w:rsidR="0054015F" w:rsidRPr="00FF7BBF" w:rsidRDefault="0054015F" w:rsidP="005441F7">
            <w:pPr>
              <w:spacing w:before="0" w:line="240" w:lineRule="auto"/>
              <w:jc w:val="left"/>
              <w:rPr>
                <w:rFonts w:eastAsia="Times New Roman"/>
                <w:color w:val="FFFFFF" w:themeColor="background1"/>
                <w:sz w:val="16"/>
                <w:lang w:val="en-US" w:eastAsia="en-AU" w:bidi="en-US"/>
              </w:rPr>
            </w:pPr>
            <w:r w:rsidRPr="00FF7BBF">
              <w:rPr>
                <w:rFonts w:eastAsia="Times New Roman"/>
                <w:color w:val="FFFFFF" w:themeColor="background1"/>
                <w:sz w:val="16"/>
                <w:lang w:val="en-US" w:eastAsia="en-AU" w:bidi="en-US"/>
              </w:rPr>
              <w:t>Jurisdiction</w:t>
            </w:r>
          </w:p>
        </w:tc>
        <w:tc>
          <w:tcPr>
            <w:tcW w:w="2030" w:type="dxa"/>
          </w:tcPr>
          <w:p w14:paraId="69E06F02" w14:textId="77777777" w:rsidR="0054015F" w:rsidRPr="00FF7BBF" w:rsidRDefault="0054015F" w:rsidP="005441F7">
            <w:pPr>
              <w:spacing w:before="0" w:line="240" w:lineRule="auto"/>
              <w:jc w:val="left"/>
              <w:rPr>
                <w:rFonts w:eastAsia="Times New Roman"/>
                <w:color w:val="FFFFFF" w:themeColor="background1"/>
                <w:sz w:val="16"/>
                <w:lang w:val="en-US" w:eastAsia="en-AU" w:bidi="en-US"/>
              </w:rPr>
            </w:pPr>
            <w:r w:rsidRPr="00FF7BBF">
              <w:rPr>
                <w:rFonts w:eastAsia="Times New Roman"/>
                <w:color w:val="FFFFFF" w:themeColor="background1"/>
                <w:sz w:val="16"/>
                <w:lang w:val="en-US" w:eastAsia="en-AU" w:bidi="en-US"/>
              </w:rPr>
              <w:t>Legislation</w:t>
            </w:r>
          </w:p>
        </w:tc>
        <w:tc>
          <w:tcPr>
            <w:tcW w:w="5670" w:type="dxa"/>
          </w:tcPr>
          <w:p w14:paraId="620F9344" w14:textId="77777777" w:rsidR="0054015F" w:rsidRPr="00FF7BBF" w:rsidRDefault="0054015F" w:rsidP="005441F7">
            <w:pPr>
              <w:spacing w:before="0" w:line="240" w:lineRule="auto"/>
              <w:jc w:val="left"/>
              <w:rPr>
                <w:rFonts w:eastAsia="Times New Roman"/>
                <w:color w:val="FFFFFF" w:themeColor="background1"/>
                <w:sz w:val="16"/>
                <w:lang w:val="en-US" w:eastAsia="en-AU" w:bidi="en-US"/>
              </w:rPr>
            </w:pPr>
            <w:r w:rsidRPr="00FF7BBF">
              <w:rPr>
                <w:rFonts w:eastAsia="Times New Roman"/>
                <w:color w:val="FFFFFF" w:themeColor="background1"/>
                <w:sz w:val="16"/>
                <w:lang w:val="en-US" w:eastAsia="en-AU" w:bidi="en-US"/>
              </w:rPr>
              <w:t>Detail</w:t>
            </w:r>
          </w:p>
        </w:tc>
        <w:tc>
          <w:tcPr>
            <w:tcW w:w="4961" w:type="dxa"/>
          </w:tcPr>
          <w:p w14:paraId="0A9174FE" w14:textId="77777777" w:rsidR="0054015F" w:rsidRPr="00FF7BBF" w:rsidRDefault="0054015F" w:rsidP="005441F7">
            <w:pPr>
              <w:spacing w:before="0" w:line="240" w:lineRule="auto"/>
              <w:jc w:val="left"/>
              <w:rPr>
                <w:rFonts w:eastAsia="Times New Roman"/>
                <w:color w:val="FFFFFF" w:themeColor="background1"/>
                <w:sz w:val="16"/>
                <w:lang w:val="en-US" w:eastAsia="en-AU" w:bidi="en-US"/>
              </w:rPr>
            </w:pPr>
            <w:r w:rsidRPr="00FF7BBF">
              <w:rPr>
                <w:rFonts w:eastAsia="Times New Roman"/>
                <w:color w:val="FFFFFF" w:themeColor="background1"/>
                <w:sz w:val="16"/>
                <w:lang w:val="en-US" w:eastAsia="en-AU" w:bidi="en-US"/>
              </w:rPr>
              <w:t xml:space="preserve">Comment </w:t>
            </w:r>
          </w:p>
        </w:tc>
      </w:tr>
      <w:tr w:rsidR="00182CE3" w:rsidRPr="00843A16" w14:paraId="3F3995ED" w14:textId="77777777">
        <w:tc>
          <w:tcPr>
            <w:tcW w:w="1231" w:type="dxa"/>
          </w:tcPr>
          <w:p w14:paraId="413658FB"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National</w:t>
            </w:r>
          </w:p>
        </w:tc>
        <w:tc>
          <w:tcPr>
            <w:tcW w:w="2030" w:type="dxa"/>
          </w:tcPr>
          <w:p w14:paraId="5D0074A4" w14:textId="3A71480D"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National Policy Statement (2018)</w:t>
            </w:r>
          </w:p>
        </w:tc>
        <w:tc>
          <w:tcPr>
            <w:tcW w:w="5670" w:type="dxa"/>
          </w:tcPr>
          <w:p w14:paraId="7587A126" w14:textId="4B1EB0B4"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They </w:t>
            </w:r>
            <w:r w:rsidRPr="00843A16">
              <w:rPr>
                <w:rFonts w:eastAsia="Times New Roman"/>
                <w:b/>
                <w:bCs/>
                <w:sz w:val="16"/>
                <w:szCs w:val="20"/>
                <w:lang w:eastAsia="en-AU" w:bidi="en-US"/>
              </w:rPr>
              <w:t>should</w:t>
            </w:r>
            <w:r w:rsidRPr="00843A16">
              <w:rPr>
                <w:rFonts w:eastAsia="Times New Roman"/>
                <w:sz w:val="16"/>
                <w:szCs w:val="20"/>
                <w:lang w:eastAsia="en-AU" w:bidi="en-US"/>
              </w:rPr>
              <w:t xml:space="preserve"> use red text to show losses and black to show wins (no use of green text) (2018).</w:t>
            </w:r>
          </w:p>
        </w:tc>
        <w:tc>
          <w:tcPr>
            <w:tcW w:w="4961" w:type="dxa"/>
          </w:tcPr>
          <w:p w14:paraId="6F3E2C62"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‘should’</w:t>
            </w:r>
            <w:r w:rsidRPr="00843A16">
              <w:rPr>
                <w:rFonts w:eastAsia="Times New Roman"/>
                <w:sz w:val="16"/>
                <w:szCs w:val="20"/>
                <w:lang w:eastAsia="en-AU" w:bidi="en-US"/>
              </w:rPr>
              <w:t xml:space="preserve"> indicates that these principles are </w:t>
            </w:r>
            <w:r w:rsidRPr="00843A16">
              <w:rPr>
                <w:rFonts w:eastAsia="Times New Roman"/>
                <w:b/>
                <w:bCs/>
                <w:sz w:val="16"/>
                <w:szCs w:val="20"/>
                <w:lang w:eastAsia="en-AU" w:bidi="en-US"/>
              </w:rPr>
              <w:t>recommended.</w:t>
            </w:r>
            <w:r w:rsidRPr="00843A16">
              <w:rPr>
                <w:rFonts w:eastAsia="Times New Roman"/>
                <w:sz w:val="16"/>
                <w:szCs w:val="20"/>
                <w:lang w:eastAsia="en-AU" w:bidi="en-US"/>
              </w:rPr>
              <w:t xml:space="preserve"> </w:t>
            </w:r>
          </w:p>
        </w:tc>
      </w:tr>
      <w:tr w:rsidR="00182CE3" w:rsidRPr="00843A16" w14:paraId="45EEB146" w14:textId="77777777">
        <w:tc>
          <w:tcPr>
            <w:tcW w:w="1231" w:type="dxa"/>
          </w:tcPr>
          <w:p w14:paraId="1F397559" w14:textId="68BFB7A8"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V</w:t>
            </w:r>
            <w:r w:rsidR="00987452" w:rsidRPr="00843A16">
              <w:rPr>
                <w:rFonts w:eastAsia="Times New Roman"/>
                <w:sz w:val="16"/>
                <w:szCs w:val="20"/>
                <w:lang w:eastAsia="en-AU" w:bidi="en-US"/>
              </w:rPr>
              <w:t>ic</w:t>
            </w:r>
          </w:p>
        </w:tc>
        <w:tc>
          <w:tcPr>
            <w:tcW w:w="2030" w:type="dxa"/>
          </w:tcPr>
          <w:p w14:paraId="7A579F69" w14:textId="42BBEA4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Gambling Regulation Act 2003</w:t>
            </w:r>
            <w:r w:rsidR="005C007C">
              <w:rPr>
                <w:rFonts w:eastAsia="Times New Roman"/>
                <w:sz w:val="16"/>
                <w:szCs w:val="20"/>
                <w:lang w:eastAsia="en-AU" w:bidi="en-US"/>
              </w:rPr>
              <w:t xml:space="preserve"> </w:t>
            </w:r>
            <w:r w:rsidR="005C007C" w:rsidRPr="008373C3">
              <w:rPr>
                <w:rFonts w:eastAsia="Times New Roman"/>
                <w:sz w:val="16"/>
                <w:szCs w:val="16"/>
                <w:lang w:eastAsia="en-AU" w:bidi="en-US"/>
              </w:rPr>
              <w:t>and ministerial directions</w:t>
            </w:r>
            <w:r w:rsidR="005C007C" w:rsidRPr="00EF2D32">
              <w:rPr>
                <w:sz w:val="16"/>
                <w:szCs w:val="16"/>
              </w:rPr>
              <w:t xml:space="preserve"> </w:t>
            </w:r>
            <w:hyperlink r:id="rId78" w:history="1">
              <w:r w:rsidR="005C007C" w:rsidRPr="00EF2D32">
                <w:rPr>
                  <w:rStyle w:val="Hyperlink"/>
                  <w:sz w:val="16"/>
                  <w:szCs w:val="16"/>
                </w:rPr>
                <w:t>GG2022S349.pdf</w:t>
              </w:r>
            </w:hyperlink>
            <w:r w:rsidR="005C007C" w:rsidRPr="00EF2D32">
              <w:rPr>
                <w:sz w:val="16"/>
                <w:szCs w:val="16"/>
              </w:rPr>
              <w:t xml:space="preserve"> and </w:t>
            </w:r>
            <w:hyperlink r:id="rId79" w:history="1">
              <w:r w:rsidR="005C007C" w:rsidRPr="00EF2D32">
                <w:rPr>
                  <w:rStyle w:val="Hyperlink"/>
                  <w:sz w:val="16"/>
                  <w:szCs w:val="16"/>
                </w:rPr>
                <w:t>GG2023S137.pdf</w:t>
              </w:r>
            </w:hyperlink>
          </w:p>
        </w:tc>
        <w:tc>
          <w:tcPr>
            <w:tcW w:w="5670" w:type="dxa"/>
          </w:tcPr>
          <w:p w14:paraId="0E8B754F"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Activity statements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use red text to show losses and black to show wins and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not use green text.</w:t>
            </w:r>
          </w:p>
        </w:tc>
        <w:tc>
          <w:tcPr>
            <w:tcW w:w="4961" w:type="dxa"/>
          </w:tcPr>
          <w:p w14:paraId="17201C69"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indicates that these principles are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w:t>
            </w:r>
          </w:p>
        </w:tc>
      </w:tr>
      <w:tr w:rsidR="00182CE3" w:rsidRPr="00843A16" w14:paraId="0D27B3CE" w14:textId="77777777">
        <w:tc>
          <w:tcPr>
            <w:tcW w:w="1231" w:type="dxa"/>
          </w:tcPr>
          <w:p w14:paraId="7113AF0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ACT</w:t>
            </w:r>
          </w:p>
        </w:tc>
        <w:tc>
          <w:tcPr>
            <w:tcW w:w="2030" w:type="dxa"/>
          </w:tcPr>
          <w:p w14:paraId="1B2FAA1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Gambling and Racing Control (Code of Practice) Regulation 2002</w:t>
            </w:r>
          </w:p>
        </w:tc>
        <w:tc>
          <w:tcPr>
            <w:tcW w:w="5670" w:type="dxa"/>
          </w:tcPr>
          <w:p w14:paraId="0E9E0875"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(2) An activity statement for a betting account – </w:t>
            </w:r>
          </w:p>
          <w:p w14:paraId="5FB735E3" w14:textId="77777777" w:rsidR="0054015F" w:rsidRPr="00843A16" w:rsidRDefault="0054015F" w:rsidP="005441F7">
            <w:pPr>
              <w:spacing w:before="0" w:line="240" w:lineRule="auto"/>
              <w:ind w:left="293"/>
              <w:jc w:val="left"/>
              <w:rPr>
                <w:rFonts w:eastAsia="Times New Roman"/>
                <w:sz w:val="16"/>
                <w:szCs w:val="20"/>
                <w:lang w:eastAsia="en-AU" w:bidi="en-US"/>
              </w:rPr>
            </w:pPr>
            <w:r w:rsidRPr="00843A16">
              <w:rPr>
                <w:rFonts w:eastAsia="Times New Roman"/>
                <w:sz w:val="16"/>
                <w:szCs w:val="20"/>
                <w:lang w:eastAsia="en-AU" w:bidi="en-US"/>
              </w:rPr>
              <w:t xml:space="preserve">(a) </w:t>
            </w:r>
            <w:r w:rsidRPr="00843A16">
              <w:rPr>
                <w:rFonts w:eastAsia="Times New Roman"/>
                <w:b/>
                <w:bCs/>
                <w:sz w:val="16"/>
                <w:szCs w:val="20"/>
                <w:lang w:eastAsia="en-AU" w:bidi="en-US"/>
              </w:rPr>
              <w:t xml:space="preserve">must </w:t>
            </w:r>
            <w:r w:rsidRPr="00843A16">
              <w:rPr>
                <w:rFonts w:eastAsia="Times New Roman"/>
                <w:sz w:val="16"/>
                <w:szCs w:val="20"/>
                <w:lang w:eastAsia="en-AU" w:bidi="en-US"/>
              </w:rPr>
              <w:t>set out the following information in legible black text on a white background:</w:t>
            </w:r>
          </w:p>
          <w:p w14:paraId="129B26F3" w14:textId="77777777" w:rsidR="0054015F" w:rsidRPr="00843A16" w:rsidRDefault="0054015F" w:rsidP="005441F7">
            <w:pPr>
              <w:spacing w:before="0" w:line="240" w:lineRule="auto"/>
              <w:ind w:left="576"/>
              <w:jc w:val="left"/>
              <w:rPr>
                <w:rFonts w:eastAsia="Times New Roman"/>
                <w:sz w:val="16"/>
                <w:szCs w:val="20"/>
                <w:lang w:eastAsia="en-AU" w:bidi="en-US"/>
              </w:rPr>
            </w:pPr>
            <w:r w:rsidRPr="00843A16">
              <w:rPr>
                <w:rFonts w:eastAsia="Times New Roman"/>
                <w:sz w:val="16"/>
                <w:szCs w:val="20"/>
                <w:lang w:eastAsia="en-AU" w:bidi="en-US"/>
              </w:rPr>
              <w:t>(</w:t>
            </w:r>
            <w:proofErr w:type="spellStart"/>
            <w:r w:rsidRPr="00843A16">
              <w:rPr>
                <w:rFonts w:eastAsia="Times New Roman"/>
                <w:sz w:val="16"/>
                <w:szCs w:val="20"/>
                <w:lang w:eastAsia="en-AU" w:bidi="en-US"/>
              </w:rPr>
              <w:t>i</w:t>
            </w:r>
            <w:proofErr w:type="spellEnd"/>
            <w:r w:rsidRPr="00843A16">
              <w:rPr>
                <w:rFonts w:eastAsia="Times New Roman"/>
                <w:sz w:val="16"/>
                <w:szCs w:val="20"/>
                <w:lang w:eastAsia="en-AU" w:bidi="en-US"/>
              </w:rPr>
              <w:t>) the number of winning bets;</w:t>
            </w:r>
          </w:p>
          <w:p w14:paraId="6531F7D1" w14:textId="77777777" w:rsidR="0054015F" w:rsidRPr="00843A16" w:rsidRDefault="0054015F" w:rsidP="005441F7">
            <w:pPr>
              <w:spacing w:before="0" w:line="240" w:lineRule="auto"/>
              <w:ind w:left="576"/>
              <w:jc w:val="left"/>
              <w:rPr>
                <w:rFonts w:eastAsia="Times New Roman"/>
                <w:sz w:val="16"/>
                <w:szCs w:val="20"/>
                <w:lang w:eastAsia="en-AU" w:bidi="en-US"/>
              </w:rPr>
            </w:pPr>
            <w:r w:rsidRPr="00843A16">
              <w:rPr>
                <w:rFonts w:eastAsia="Times New Roman"/>
                <w:sz w:val="16"/>
                <w:szCs w:val="20"/>
                <w:lang w:eastAsia="en-AU" w:bidi="en-US"/>
              </w:rPr>
              <w:t xml:space="preserve">(ii) the net amount gained from betting; and </w:t>
            </w:r>
          </w:p>
          <w:p w14:paraId="48FCE7F7" w14:textId="77777777" w:rsidR="0054015F" w:rsidRPr="00843A16" w:rsidRDefault="0054015F" w:rsidP="005441F7">
            <w:pPr>
              <w:spacing w:before="0" w:line="240" w:lineRule="auto"/>
              <w:ind w:left="293"/>
              <w:jc w:val="left"/>
              <w:rPr>
                <w:rFonts w:eastAsia="Times New Roman"/>
                <w:sz w:val="16"/>
                <w:szCs w:val="20"/>
                <w:lang w:eastAsia="en-AU" w:bidi="en-US"/>
              </w:rPr>
            </w:pPr>
            <w:r w:rsidRPr="00843A16">
              <w:rPr>
                <w:rFonts w:eastAsia="Times New Roman"/>
                <w:sz w:val="16"/>
                <w:szCs w:val="20"/>
                <w:lang w:eastAsia="en-AU" w:bidi="en-US"/>
              </w:rPr>
              <w:t xml:space="preserve">(b) </w:t>
            </w:r>
            <w:r w:rsidRPr="00843A16">
              <w:rPr>
                <w:rFonts w:eastAsia="Times New Roman"/>
                <w:b/>
                <w:bCs/>
                <w:sz w:val="16"/>
                <w:szCs w:val="20"/>
                <w:lang w:eastAsia="en-AU" w:bidi="en-US"/>
              </w:rPr>
              <w:t xml:space="preserve">must </w:t>
            </w:r>
            <w:r w:rsidRPr="00843A16">
              <w:rPr>
                <w:rFonts w:eastAsia="Times New Roman"/>
                <w:sz w:val="16"/>
                <w:szCs w:val="20"/>
                <w:lang w:eastAsia="en-AU" w:bidi="en-US"/>
              </w:rPr>
              <w:t>set out the following information in legible red text on a white background:</w:t>
            </w:r>
          </w:p>
          <w:p w14:paraId="295BBCCF" w14:textId="77777777" w:rsidR="0054015F" w:rsidRPr="00843A16" w:rsidRDefault="0054015F" w:rsidP="005441F7">
            <w:pPr>
              <w:spacing w:before="0" w:line="240" w:lineRule="auto"/>
              <w:ind w:left="576"/>
              <w:jc w:val="left"/>
              <w:rPr>
                <w:rFonts w:eastAsia="Times New Roman"/>
                <w:sz w:val="16"/>
                <w:szCs w:val="20"/>
                <w:lang w:eastAsia="en-AU" w:bidi="en-US"/>
              </w:rPr>
            </w:pPr>
            <w:r w:rsidRPr="00843A16">
              <w:rPr>
                <w:rFonts w:eastAsia="Times New Roman"/>
                <w:sz w:val="16"/>
                <w:szCs w:val="20"/>
                <w:lang w:eastAsia="en-AU" w:bidi="en-US"/>
              </w:rPr>
              <w:t>(</w:t>
            </w:r>
            <w:proofErr w:type="spellStart"/>
            <w:r w:rsidRPr="00843A16">
              <w:rPr>
                <w:rFonts w:eastAsia="Times New Roman"/>
                <w:sz w:val="16"/>
                <w:szCs w:val="20"/>
                <w:lang w:eastAsia="en-AU" w:bidi="en-US"/>
              </w:rPr>
              <w:t>i</w:t>
            </w:r>
            <w:proofErr w:type="spellEnd"/>
            <w:r w:rsidRPr="00843A16">
              <w:rPr>
                <w:rFonts w:eastAsia="Times New Roman"/>
                <w:sz w:val="16"/>
                <w:szCs w:val="20"/>
                <w:lang w:eastAsia="en-AU" w:bidi="en-US"/>
              </w:rPr>
              <w:t>) the number of losing bets;</w:t>
            </w:r>
          </w:p>
          <w:p w14:paraId="3F670F04" w14:textId="77777777" w:rsidR="0054015F" w:rsidRPr="00843A16" w:rsidRDefault="0054015F" w:rsidP="005441F7">
            <w:pPr>
              <w:spacing w:before="0" w:line="240" w:lineRule="auto"/>
              <w:ind w:left="576"/>
              <w:jc w:val="left"/>
              <w:rPr>
                <w:rFonts w:eastAsia="Times New Roman"/>
                <w:sz w:val="16"/>
                <w:szCs w:val="20"/>
                <w:lang w:eastAsia="en-AU" w:bidi="en-US"/>
              </w:rPr>
            </w:pPr>
            <w:r w:rsidRPr="00843A16">
              <w:rPr>
                <w:rFonts w:eastAsia="Times New Roman"/>
                <w:sz w:val="16"/>
                <w:szCs w:val="20"/>
                <w:lang w:eastAsia="en-AU" w:bidi="en-US"/>
              </w:rPr>
              <w:t>(ii) the net amount spent on betting;</w:t>
            </w:r>
          </w:p>
          <w:p w14:paraId="6FB7E0AC" w14:textId="77777777" w:rsidR="0054015F" w:rsidRPr="00843A16" w:rsidRDefault="0054015F" w:rsidP="005441F7">
            <w:pPr>
              <w:spacing w:before="0" w:line="240" w:lineRule="auto"/>
              <w:ind w:left="576"/>
              <w:jc w:val="left"/>
              <w:rPr>
                <w:rFonts w:eastAsia="Times New Roman"/>
                <w:sz w:val="16"/>
                <w:szCs w:val="20"/>
                <w:lang w:eastAsia="en-AU" w:bidi="en-US"/>
              </w:rPr>
            </w:pPr>
            <w:r w:rsidRPr="00843A16">
              <w:rPr>
                <w:rFonts w:eastAsia="Times New Roman"/>
                <w:sz w:val="16"/>
                <w:szCs w:val="20"/>
                <w:lang w:eastAsia="en-AU" w:bidi="en-US"/>
              </w:rPr>
              <w:t>(iii) the total amount spent on betting; and</w:t>
            </w:r>
          </w:p>
          <w:p w14:paraId="7C33069D" w14:textId="77777777" w:rsidR="0054015F" w:rsidRPr="00843A16" w:rsidRDefault="0054015F" w:rsidP="005441F7">
            <w:pPr>
              <w:spacing w:before="0" w:line="240" w:lineRule="auto"/>
              <w:ind w:left="293"/>
              <w:jc w:val="left"/>
              <w:rPr>
                <w:rFonts w:eastAsia="Times New Roman"/>
                <w:sz w:val="16"/>
                <w:szCs w:val="20"/>
                <w:lang w:eastAsia="en-AU" w:bidi="en-US"/>
              </w:rPr>
            </w:pPr>
            <w:r w:rsidRPr="00843A16">
              <w:rPr>
                <w:rFonts w:eastAsia="Times New Roman"/>
                <w:sz w:val="16"/>
                <w:szCs w:val="20"/>
                <w:lang w:eastAsia="en-AU" w:bidi="en-US"/>
              </w:rPr>
              <w:t xml:space="preserve">(c) </w:t>
            </w:r>
            <w:r w:rsidRPr="00843A16">
              <w:rPr>
                <w:rFonts w:eastAsia="Times New Roman"/>
                <w:b/>
                <w:bCs/>
                <w:sz w:val="16"/>
                <w:szCs w:val="20"/>
                <w:lang w:eastAsia="en-AU" w:bidi="en-US"/>
              </w:rPr>
              <w:t xml:space="preserve">must </w:t>
            </w:r>
            <w:r w:rsidRPr="00843A16">
              <w:rPr>
                <w:rFonts w:eastAsia="Times New Roman"/>
                <w:sz w:val="16"/>
                <w:szCs w:val="20"/>
                <w:lang w:eastAsia="en-AU" w:bidi="en-US"/>
              </w:rPr>
              <w:t>not set out any information in green text.</w:t>
            </w:r>
          </w:p>
        </w:tc>
        <w:tc>
          <w:tcPr>
            <w:tcW w:w="4961" w:type="dxa"/>
          </w:tcPr>
          <w:p w14:paraId="4C91B709"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indicates that these principles are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w:t>
            </w:r>
          </w:p>
        </w:tc>
      </w:tr>
      <w:tr w:rsidR="00182CE3" w:rsidRPr="00843A16" w14:paraId="00DED4B9" w14:textId="77777777">
        <w:tc>
          <w:tcPr>
            <w:tcW w:w="1231" w:type="dxa"/>
          </w:tcPr>
          <w:p w14:paraId="4729B004"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NSW</w:t>
            </w:r>
          </w:p>
        </w:tc>
        <w:tc>
          <w:tcPr>
            <w:tcW w:w="2030" w:type="dxa"/>
          </w:tcPr>
          <w:p w14:paraId="25525C8D"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Betting and Racing Act 1998 NSW</w:t>
            </w:r>
          </w:p>
        </w:tc>
        <w:tc>
          <w:tcPr>
            <w:tcW w:w="5670" w:type="dxa"/>
          </w:tcPr>
          <w:p w14:paraId="63B5518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Activity statements </w:t>
            </w:r>
            <w:r w:rsidRPr="00843A16">
              <w:rPr>
                <w:rFonts w:eastAsia="Times New Roman"/>
                <w:b/>
                <w:bCs/>
                <w:sz w:val="16"/>
                <w:szCs w:val="20"/>
                <w:lang w:eastAsia="en-AU" w:bidi="en-US"/>
              </w:rPr>
              <w:t xml:space="preserve">should </w:t>
            </w:r>
            <w:r w:rsidRPr="00843A16">
              <w:rPr>
                <w:rFonts w:eastAsia="Times New Roman"/>
                <w:sz w:val="16"/>
                <w:szCs w:val="20"/>
                <w:lang w:eastAsia="en-AU" w:bidi="en-US"/>
              </w:rPr>
              <w:t xml:space="preserve">use red text to show losses and black to show wins. Green text </w:t>
            </w:r>
            <w:r w:rsidRPr="00843A16">
              <w:rPr>
                <w:rFonts w:eastAsia="Times New Roman"/>
                <w:b/>
                <w:bCs/>
                <w:sz w:val="16"/>
                <w:szCs w:val="20"/>
                <w:lang w:eastAsia="en-AU" w:bidi="en-US"/>
              </w:rPr>
              <w:t xml:space="preserve">must </w:t>
            </w:r>
            <w:r w:rsidRPr="00843A16">
              <w:rPr>
                <w:rFonts w:eastAsia="Times New Roman"/>
                <w:sz w:val="16"/>
                <w:szCs w:val="20"/>
                <w:lang w:eastAsia="en-AU" w:bidi="en-US"/>
              </w:rPr>
              <w:t>not be used.</w:t>
            </w:r>
          </w:p>
        </w:tc>
        <w:tc>
          <w:tcPr>
            <w:tcW w:w="4961" w:type="dxa"/>
          </w:tcPr>
          <w:p w14:paraId="3E06A79A"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‘should’</w:t>
            </w:r>
            <w:r w:rsidRPr="00843A16">
              <w:rPr>
                <w:rFonts w:eastAsia="Times New Roman"/>
                <w:sz w:val="16"/>
                <w:szCs w:val="20"/>
                <w:lang w:eastAsia="en-AU" w:bidi="en-US"/>
              </w:rPr>
              <w:t xml:space="preserve"> indicates using red text to show losses and black text to show wins in activity statements is </w:t>
            </w:r>
            <w:r w:rsidRPr="00843A16">
              <w:rPr>
                <w:rFonts w:eastAsia="Times New Roman"/>
                <w:b/>
                <w:bCs/>
                <w:sz w:val="16"/>
                <w:szCs w:val="20"/>
                <w:lang w:eastAsia="en-AU" w:bidi="en-US"/>
              </w:rPr>
              <w:t>recommended.</w:t>
            </w:r>
            <w:r w:rsidRPr="00843A16">
              <w:rPr>
                <w:rFonts w:eastAsia="Times New Roman"/>
                <w:sz w:val="16"/>
                <w:szCs w:val="20"/>
                <w:lang w:eastAsia="en-AU" w:bidi="en-US"/>
              </w:rPr>
              <w:t xml:space="preserve"> </w:t>
            </w:r>
          </w:p>
          <w:p w14:paraId="205891D1"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indicates that it is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to not use green text.</w:t>
            </w:r>
          </w:p>
        </w:tc>
      </w:tr>
      <w:tr w:rsidR="00182CE3" w:rsidRPr="00843A16" w14:paraId="6B22928F" w14:textId="77777777">
        <w:tc>
          <w:tcPr>
            <w:tcW w:w="1231" w:type="dxa"/>
          </w:tcPr>
          <w:p w14:paraId="7F936FDB"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NT</w:t>
            </w:r>
          </w:p>
        </w:tc>
        <w:tc>
          <w:tcPr>
            <w:tcW w:w="2030" w:type="dxa"/>
          </w:tcPr>
          <w:p w14:paraId="56371CAB"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Code of Practice for Responsible Service of Online Gambling 2019</w:t>
            </w:r>
          </w:p>
        </w:tc>
        <w:tc>
          <w:tcPr>
            <w:tcW w:w="5670" w:type="dxa"/>
          </w:tcPr>
          <w:p w14:paraId="1B53B818"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Does not specifically mention the colour of text to be used in the activity statements </w:t>
            </w:r>
          </w:p>
        </w:tc>
        <w:tc>
          <w:tcPr>
            <w:tcW w:w="4961" w:type="dxa"/>
          </w:tcPr>
          <w:p w14:paraId="75CA40BD" w14:textId="77777777" w:rsidR="0054015F" w:rsidRPr="00843A16" w:rsidRDefault="0054015F" w:rsidP="005441F7">
            <w:pPr>
              <w:spacing w:before="0" w:line="240" w:lineRule="auto"/>
              <w:jc w:val="left"/>
              <w:rPr>
                <w:rFonts w:eastAsia="Times New Roman"/>
                <w:b/>
                <w:bCs/>
                <w:sz w:val="16"/>
                <w:szCs w:val="20"/>
                <w:lang w:eastAsia="en-AU" w:bidi="en-US"/>
              </w:rPr>
            </w:pPr>
            <w:r w:rsidRPr="00843A16">
              <w:rPr>
                <w:rFonts w:eastAsia="Times New Roman"/>
                <w:sz w:val="16"/>
                <w:szCs w:val="20"/>
                <w:lang w:eastAsia="en-AU" w:bidi="en-US"/>
              </w:rPr>
              <w:t xml:space="preserve">The absence of this principle may lead to operators </w:t>
            </w:r>
            <w:r w:rsidRPr="00843A16">
              <w:rPr>
                <w:rFonts w:eastAsia="Times New Roman"/>
                <w:b/>
                <w:bCs/>
                <w:sz w:val="16"/>
                <w:szCs w:val="20"/>
                <w:lang w:eastAsia="en-AU" w:bidi="en-US"/>
              </w:rPr>
              <w:t xml:space="preserve">ignoring the principle. </w:t>
            </w:r>
          </w:p>
        </w:tc>
      </w:tr>
      <w:tr w:rsidR="00182CE3" w:rsidRPr="00843A16" w14:paraId="47C2538C" w14:textId="77777777">
        <w:tc>
          <w:tcPr>
            <w:tcW w:w="1231" w:type="dxa"/>
          </w:tcPr>
          <w:p w14:paraId="285D7A8D" w14:textId="440B0804"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Q</w:t>
            </w:r>
            <w:r w:rsidR="00987452" w:rsidRPr="00843A16">
              <w:rPr>
                <w:rFonts w:eastAsia="Times New Roman"/>
                <w:sz w:val="16"/>
                <w:szCs w:val="20"/>
                <w:lang w:eastAsia="en-AU" w:bidi="en-US"/>
              </w:rPr>
              <w:t>ld</w:t>
            </w:r>
          </w:p>
        </w:tc>
        <w:tc>
          <w:tcPr>
            <w:tcW w:w="2030" w:type="dxa"/>
          </w:tcPr>
          <w:p w14:paraId="25333DC7"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Confidential</w:t>
            </w:r>
          </w:p>
        </w:tc>
        <w:tc>
          <w:tcPr>
            <w:tcW w:w="5670" w:type="dxa"/>
          </w:tcPr>
          <w:p w14:paraId="39D5CAD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Not provided</w:t>
            </w:r>
          </w:p>
        </w:tc>
        <w:tc>
          <w:tcPr>
            <w:tcW w:w="4961" w:type="dxa"/>
          </w:tcPr>
          <w:p w14:paraId="59D47CBD"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Not applicable</w:t>
            </w:r>
          </w:p>
        </w:tc>
      </w:tr>
      <w:tr w:rsidR="00182CE3" w:rsidRPr="00843A16" w14:paraId="6CDC9CBA" w14:textId="77777777">
        <w:tc>
          <w:tcPr>
            <w:tcW w:w="1231" w:type="dxa"/>
          </w:tcPr>
          <w:p w14:paraId="050C097D"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SA</w:t>
            </w:r>
          </w:p>
        </w:tc>
        <w:tc>
          <w:tcPr>
            <w:tcW w:w="2030" w:type="dxa"/>
          </w:tcPr>
          <w:p w14:paraId="39D4BBE7"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Authorised Betting Operators Gambling Code of Practice</w:t>
            </w:r>
          </w:p>
        </w:tc>
        <w:tc>
          <w:tcPr>
            <w:tcW w:w="5670" w:type="dxa"/>
          </w:tcPr>
          <w:p w14:paraId="31396F4D"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Red text or shading must be used to show losses on an activity statement and detailed transaction history and black text to show wins. No use of green text or shading to depict wins is permitted on an activity statement or detailed transaction history.  </w:t>
            </w:r>
          </w:p>
        </w:tc>
        <w:tc>
          <w:tcPr>
            <w:tcW w:w="4961" w:type="dxa"/>
          </w:tcPr>
          <w:p w14:paraId="036FA369"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use of the word </w:t>
            </w:r>
            <w:r w:rsidRPr="00843A16">
              <w:rPr>
                <w:rFonts w:eastAsia="Times New Roman"/>
                <w:b/>
                <w:bCs/>
                <w:sz w:val="16"/>
                <w:szCs w:val="20"/>
                <w:lang w:eastAsia="en-AU" w:bidi="en-US"/>
              </w:rPr>
              <w:t>‘must’</w:t>
            </w:r>
            <w:r w:rsidRPr="00843A16">
              <w:rPr>
                <w:rFonts w:eastAsia="Times New Roman"/>
                <w:sz w:val="16"/>
                <w:szCs w:val="20"/>
                <w:lang w:eastAsia="en-AU" w:bidi="en-US"/>
              </w:rPr>
              <w:t xml:space="preserve"> and phrasing </w:t>
            </w:r>
            <w:r w:rsidRPr="00843A16">
              <w:rPr>
                <w:rFonts w:eastAsia="Times New Roman"/>
                <w:b/>
                <w:bCs/>
                <w:sz w:val="16"/>
                <w:szCs w:val="20"/>
                <w:lang w:eastAsia="en-AU" w:bidi="en-US"/>
              </w:rPr>
              <w:t xml:space="preserve">‘no use’ </w:t>
            </w:r>
            <w:r w:rsidRPr="00843A16">
              <w:rPr>
                <w:rFonts w:eastAsia="Times New Roman"/>
                <w:sz w:val="16"/>
                <w:szCs w:val="20"/>
                <w:lang w:eastAsia="en-AU" w:bidi="en-US"/>
              </w:rPr>
              <w:t xml:space="preserve">indicates that these principles are </w:t>
            </w:r>
            <w:r w:rsidRPr="00843A16">
              <w:rPr>
                <w:rFonts w:eastAsia="Times New Roman"/>
                <w:b/>
                <w:bCs/>
                <w:sz w:val="16"/>
                <w:szCs w:val="20"/>
                <w:lang w:eastAsia="en-AU" w:bidi="en-US"/>
              </w:rPr>
              <w:t>mandatory</w:t>
            </w:r>
            <w:r w:rsidRPr="00843A16">
              <w:rPr>
                <w:rFonts w:eastAsia="Times New Roman"/>
                <w:sz w:val="16"/>
                <w:szCs w:val="20"/>
                <w:lang w:eastAsia="en-AU" w:bidi="en-US"/>
              </w:rPr>
              <w:t>.</w:t>
            </w:r>
          </w:p>
        </w:tc>
      </w:tr>
      <w:tr w:rsidR="00182CE3" w:rsidRPr="00843A16" w14:paraId="00EF1B0A" w14:textId="77777777">
        <w:tc>
          <w:tcPr>
            <w:tcW w:w="1231" w:type="dxa"/>
          </w:tcPr>
          <w:p w14:paraId="66758481"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Tas</w:t>
            </w:r>
          </w:p>
        </w:tc>
        <w:tc>
          <w:tcPr>
            <w:tcW w:w="2030" w:type="dxa"/>
          </w:tcPr>
          <w:p w14:paraId="4569294C"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Responsible Gambling Code of Practice </w:t>
            </w:r>
          </w:p>
        </w:tc>
        <w:tc>
          <w:tcPr>
            <w:tcW w:w="5670" w:type="dxa"/>
          </w:tcPr>
          <w:p w14:paraId="6E6219A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Does not specifically mention the colour of text to be used in the activity statements </w:t>
            </w:r>
          </w:p>
        </w:tc>
        <w:tc>
          <w:tcPr>
            <w:tcW w:w="4961" w:type="dxa"/>
          </w:tcPr>
          <w:p w14:paraId="44801695"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absence of this principle may lead to operators </w:t>
            </w:r>
            <w:r w:rsidRPr="00843A16">
              <w:rPr>
                <w:rFonts w:eastAsia="Times New Roman"/>
                <w:b/>
                <w:bCs/>
                <w:sz w:val="16"/>
                <w:szCs w:val="20"/>
                <w:lang w:eastAsia="en-AU" w:bidi="en-US"/>
              </w:rPr>
              <w:t xml:space="preserve">ignoring the principle. </w:t>
            </w:r>
          </w:p>
        </w:tc>
      </w:tr>
      <w:tr w:rsidR="00182CE3" w:rsidRPr="00843A16" w14:paraId="32F86A07" w14:textId="77777777">
        <w:tc>
          <w:tcPr>
            <w:tcW w:w="1231" w:type="dxa"/>
          </w:tcPr>
          <w:p w14:paraId="6FECF7FE"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WA</w:t>
            </w:r>
          </w:p>
        </w:tc>
        <w:tc>
          <w:tcPr>
            <w:tcW w:w="2030" w:type="dxa"/>
          </w:tcPr>
          <w:p w14:paraId="70F2AF4D"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Gaming and Wagering Commission Regulations 1988</w:t>
            </w:r>
          </w:p>
        </w:tc>
        <w:tc>
          <w:tcPr>
            <w:tcW w:w="5670" w:type="dxa"/>
          </w:tcPr>
          <w:p w14:paraId="293C153C"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(d) only uses red text or red shading to show losses; and </w:t>
            </w:r>
          </w:p>
          <w:p w14:paraId="010766CF"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(e) only uses black text to show wins; and</w:t>
            </w:r>
          </w:p>
          <w:p w14:paraId="13FFB5AB"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(f) does not use any shading to show wins</w:t>
            </w:r>
          </w:p>
        </w:tc>
        <w:tc>
          <w:tcPr>
            <w:tcW w:w="4961" w:type="dxa"/>
          </w:tcPr>
          <w:p w14:paraId="53E929E0" w14:textId="77777777" w:rsidR="0054015F" w:rsidRPr="00843A16" w:rsidRDefault="0054015F" w:rsidP="005441F7">
            <w:pPr>
              <w:spacing w:before="0" w:line="240" w:lineRule="auto"/>
              <w:jc w:val="left"/>
              <w:rPr>
                <w:rFonts w:eastAsia="Times New Roman"/>
                <w:sz w:val="16"/>
                <w:szCs w:val="20"/>
                <w:lang w:eastAsia="en-AU" w:bidi="en-US"/>
              </w:rPr>
            </w:pPr>
            <w:r w:rsidRPr="00843A16">
              <w:rPr>
                <w:rFonts w:eastAsia="Times New Roman"/>
                <w:sz w:val="16"/>
                <w:szCs w:val="20"/>
                <w:lang w:eastAsia="en-AU" w:bidi="en-US"/>
              </w:rPr>
              <w:t xml:space="preserve">The phrasing </w:t>
            </w:r>
            <w:r w:rsidRPr="00843A16">
              <w:rPr>
                <w:rFonts w:eastAsia="Times New Roman"/>
                <w:b/>
                <w:bCs/>
                <w:sz w:val="16"/>
                <w:szCs w:val="20"/>
                <w:lang w:eastAsia="en-AU" w:bidi="en-US"/>
              </w:rPr>
              <w:t xml:space="preserve">‘only uses’ </w:t>
            </w:r>
            <w:r w:rsidRPr="00843A16">
              <w:rPr>
                <w:rFonts w:eastAsia="Times New Roman"/>
                <w:sz w:val="16"/>
                <w:szCs w:val="20"/>
                <w:lang w:eastAsia="en-AU" w:bidi="en-US"/>
              </w:rPr>
              <w:t xml:space="preserve">indicates that these principles are </w:t>
            </w:r>
            <w:r w:rsidRPr="00843A16">
              <w:rPr>
                <w:rFonts w:eastAsia="Times New Roman"/>
                <w:b/>
                <w:bCs/>
                <w:sz w:val="16"/>
                <w:szCs w:val="20"/>
                <w:lang w:eastAsia="en-AU" w:bidi="en-US"/>
              </w:rPr>
              <w:t>mandatory.</w:t>
            </w:r>
            <w:r w:rsidRPr="00843A16">
              <w:rPr>
                <w:rFonts w:eastAsia="Times New Roman"/>
                <w:sz w:val="16"/>
                <w:szCs w:val="20"/>
                <w:lang w:eastAsia="en-AU" w:bidi="en-US"/>
              </w:rPr>
              <w:t xml:space="preserve"> However, the legislation does not mention provisions around the use of green text.</w:t>
            </w:r>
          </w:p>
        </w:tc>
      </w:tr>
    </w:tbl>
    <w:p w14:paraId="42E36DBA" w14:textId="77777777" w:rsidR="005441F7" w:rsidRDefault="005441F7" w:rsidP="005441F7">
      <w:pPr>
        <w:rPr>
          <w:rFonts w:eastAsia="Arial"/>
        </w:rPr>
      </w:pPr>
    </w:p>
    <w:p w14:paraId="78F9D196" w14:textId="1EE2A574" w:rsidR="007953CC" w:rsidRPr="007953CC" w:rsidRDefault="007953CC" w:rsidP="007953CC">
      <w:pPr>
        <w:pStyle w:val="TableCaption"/>
      </w:pPr>
      <w:bookmarkStart w:id="182" w:name="AppendixETable14"/>
      <w:r w:rsidRPr="007953CC">
        <w:lastRenderedPageBreak/>
        <w:t>Table 1</w:t>
      </w:r>
      <w:r w:rsidR="008D2759">
        <w:t>4</w:t>
      </w:r>
      <w:bookmarkEnd w:id="182"/>
      <w:r w:rsidRPr="007953CC">
        <w:t xml:space="preserve">: Summary of </w:t>
      </w:r>
      <w:r w:rsidR="00987452" w:rsidRPr="007953CC">
        <w:t xml:space="preserve">state/territory </w:t>
      </w:r>
      <w:r w:rsidRPr="007953CC">
        <w:t>legislation for the use of a password or security measure to access activity statements of NCPF Measure 7</w:t>
      </w:r>
    </w:p>
    <w:p w14:paraId="3FCF4864" w14:textId="77777777" w:rsidR="00C845DF" w:rsidRDefault="00C845DF" w:rsidP="005441F7">
      <w:pPr>
        <w:rPr>
          <w:rFonts w:eastAsia="Arial"/>
        </w:rPr>
      </w:pPr>
    </w:p>
    <w:tbl>
      <w:tblPr>
        <w:tblStyle w:val="TableGrid54"/>
        <w:tblpPr w:leftFromText="180" w:rightFromText="180" w:vertAnchor="page" w:horzAnchor="margin" w:tblpY="2146"/>
        <w:tblW w:w="13892" w:type="dxa"/>
        <w:tblLook w:val="04A0" w:firstRow="1" w:lastRow="0" w:firstColumn="1" w:lastColumn="0" w:noHBand="0" w:noVBand="1"/>
      </w:tblPr>
      <w:tblGrid>
        <w:gridCol w:w="1231"/>
        <w:gridCol w:w="2030"/>
        <w:gridCol w:w="5670"/>
        <w:gridCol w:w="4961"/>
      </w:tblGrid>
      <w:tr w:rsidR="00C845DF" w:rsidRPr="003828E1" w14:paraId="7EA440F6" w14:textId="77777777" w:rsidTr="00F43F32">
        <w:trPr>
          <w:cnfStyle w:val="100000000000" w:firstRow="1" w:lastRow="0" w:firstColumn="0" w:lastColumn="0" w:oddVBand="0" w:evenVBand="0" w:oddHBand="0" w:evenHBand="0" w:firstRowFirstColumn="0" w:firstRowLastColumn="0" w:lastRowFirstColumn="0" w:lastRowLastColumn="0"/>
          <w:tblHeader/>
        </w:trPr>
        <w:tc>
          <w:tcPr>
            <w:tcW w:w="1231" w:type="dxa"/>
          </w:tcPr>
          <w:p w14:paraId="273D992B" w14:textId="77777777" w:rsidR="00C845DF" w:rsidRPr="003828E1" w:rsidRDefault="00C845DF" w:rsidP="00C845DF">
            <w:pPr>
              <w:spacing w:before="60" w:line="240" w:lineRule="auto"/>
              <w:jc w:val="left"/>
              <w:rPr>
                <w:rFonts w:eastAsia="Times New Roman"/>
                <w:color w:val="FFFFFF" w:themeColor="background1"/>
                <w:sz w:val="16"/>
                <w:lang w:val="en-US" w:eastAsia="en-AU" w:bidi="en-US"/>
              </w:rPr>
            </w:pPr>
            <w:r w:rsidRPr="003828E1">
              <w:rPr>
                <w:rFonts w:eastAsia="Times New Roman"/>
                <w:color w:val="FFFFFF" w:themeColor="background1"/>
                <w:sz w:val="16"/>
                <w:lang w:val="en-US" w:eastAsia="en-AU" w:bidi="en-US"/>
              </w:rPr>
              <w:t>Jurisdiction</w:t>
            </w:r>
          </w:p>
        </w:tc>
        <w:tc>
          <w:tcPr>
            <w:tcW w:w="2030" w:type="dxa"/>
          </w:tcPr>
          <w:p w14:paraId="0129BFCC" w14:textId="77777777" w:rsidR="00C845DF" w:rsidRPr="003828E1" w:rsidRDefault="00C845DF" w:rsidP="00C845DF">
            <w:pPr>
              <w:spacing w:before="60" w:line="240" w:lineRule="auto"/>
              <w:jc w:val="left"/>
              <w:rPr>
                <w:rFonts w:eastAsia="Times New Roman"/>
                <w:color w:val="FFFFFF" w:themeColor="background1"/>
                <w:sz w:val="16"/>
                <w:lang w:val="en-US" w:eastAsia="en-AU" w:bidi="en-US"/>
              </w:rPr>
            </w:pPr>
            <w:r w:rsidRPr="003828E1">
              <w:rPr>
                <w:rFonts w:eastAsia="Times New Roman"/>
                <w:color w:val="FFFFFF" w:themeColor="background1"/>
                <w:sz w:val="16"/>
                <w:lang w:val="en-US" w:eastAsia="en-AU" w:bidi="en-US"/>
              </w:rPr>
              <w:t>Legislation</w:t>
            </w:r>
          </w:p>
        </w:tc>
        <w:tc>
          <w:tcPr>
            <w:tcW w:w="5670" w:type="dxa"/>
          </w:tcPr>
          <w:p w14:paraId="39AF98ED" w14:textId="77777777" w:rsidR="00C845DF" w:rsidRPr="003828E1" w:rsidRDefault="00C845DF" w:rsidP="00C845DF">
            <w:pPr>
              <w:spacing w:before="60" w:line="240" w:lineRule="auto"/>
              <w:jc w:val="left"/>
              <w:rPr>
                <w:rFonts w:eastAsia="Times New Roman"/>
                <w:color w:val="FFFFFF" w:themeColor="background1"/>
                <w:sz w:val="16"/>
                <w:lang w:val="en-US" w:eastAsia="en-AU" w:bidi="en-US"/>
              </w:rPr>
            </w:pPr>
            <w:r w:rsidRPr="003828E1">
              <w:rPr>
                <w:rFonts w:eastAsia="Times New Roman"/>
                <w:color w:val="FFFFFF" w:themeColor="background1"/>
                <w:sz w:val="16"/>
                <w:lang w:val="en-US" w:eastAsia="en-AU" w:bidi="en-US"/>
              </w:rPr>
              <w:t>Detail</w:t>
            </w:r>
          </w:p>
        </w:tc>
        <w:tc>
          <w:tcPr>
            <w:tcW w:w="4961" w:type="dxa"/>
          </w:tcPr>
          <w:p w14:paraId="208A8F32" w14:textId="77777777" w:rsidR="00C845DF" w:rsidRPr="003828E1" w:rsidRDefault="00C845DF" w:rsidP="00C845DF">
            <w:pPr>
              <w:spacing w:before="60" w:line="240" w:lineRule="auto"/>
              <w:jc w:val="left"/>
              <w:rPr>
                <w:rFonts w:eastAsia="Times New Roman"/>
                <w:color w:val="FFFFFF" w:themeColor="background1"/>
                <w:sz w:val="16"/>
                <w:lang w:val="en-US" w:eastAsia="en-AU" w:bidi="en-US"/>
              </w:rPr>
            </w:pPr>
            <w:r w:rsidRPr="003828E1">
              <w:rPr>
                <w:rFonts w:eastAsia="Times New Roman"/>
                <w:color w:val="FFFFFF" w:themeColor="background1"/>
                <w:sz w:val="16"/>
                <w:lang w:val="en-US" w:eastAsia="en-AU" w:bidi="en-US"/>
              </w:rPr>
              <w:t xml:space="preserve">Comment </w:t>
            </w:r>
          </w:p>
        </w:tc>
      </w:tr>
      <w:tr w:rsidR="00C845DF" w:rsidRPr="003828E1" w14:paraId="567BF729" w14:textId="77777777" w:rsidTr="00F43F32">
        <w:tc>
          <w:tcPr>
            <w:tcW w:w="1231" w:type="dxa"/>
          </w:tcPr>
          <w:p w14:paraId="7E5D085C"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National</w:t>
            </w:r>
          </w:p>
        </w:tc>
        <w:tc>
          <w:tcPr>
            <w:tcW w:w="2030" w:type="dxa"/>
          </w:tcPr>
          <w:p w14:paraId="5216C04F" w14:textId="5A5D0A70"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National Policy Statement (2018)</w:t>
            </w:r>
          </w:p>
        </w:tc>
        <w:tc>
          <w:tcPr>
            <w:tcW w:w="5670" w:type="dxa"/>
          </w:tcPr>
          <w:p w14:paraId="4DDC7F86"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Activity statements must be accessible by a customer:</w:t>
            </w:r>
          </w:p>
          <w:p w14:paraId="1F1515F1" w14:textId="77777777" w:rsidR="00C845DF" w:rsidRPr="003828E1" w:rsidRDefault="00C845DF" w:rsidP="00C845DF">
            <w:pPr>
              <w:numPr>
                <w:ilvl w:val="0"/>
                <w:numId w:val="49"/>
              </w:numPr>
              <w:spacing w:before="60" w:line="240" w:lineRule="auto"/>
              <w:jc w:val="left"/>
              <w:rPr>
                <w:rFonts w:eastAsia="Times New Roman"/>
                <w:sz w:val="16"/>
                <w:szCs w:val="20"/>
                <w:lang w:eastAsia="en-AU" w:bidi="en-US"/>
              </w:rPr>
            </w:pPr>
            <w:r w:rsidRPr="003828E1">
              <w:rPr>
                <w:rFonts w:eastAsia="Times New Roman"/>
                <w:sz w:val="16"/>
                <w:szCs w:val="20"/>
                <w:lang w:eastAsia="en-AU" w:bidi="en-US"/>
              </w:rPr>
              <w:t>on request at any time by email or telephone and in a format of the customer’s choosing (i.e. e-statement or paper statement)</w:t>
            </w:r>
          </w:p>
          <w:p w14:paraId="06F7855D" w14:textId="3E665875" w:rsidR="00C845DF" w:rsidRPr="003828E1" w:rsidRDefault="00C845DF" w:rsidP="00C845DF">
            <w:pPr>
              <w:numPr>
                <w:ilvl w:val="0"/>
                <w:numId w:val="49"/>
              </w:num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online via their account at any time (only for those customers who </w:t>
            </w:r>
            <w:proofErr w:type="gramStart"/>
            <w:r w:rsidRPr="003828E1">
              <w:rPr>
                <w:rFonts w:eastAsia="Times New Roman"/>
                <w:sz w:val="16"/>
                <w:szCs w:val="20"/>
                <w:lang w:eastAsia="en-AU" w:bidi="en-US"/>
              </w:rPr>
              <w:t>are able to</w:t>
            </w:r>
            <w:proofErr w:type="gramEnd"/>
            <w:r w:rsidRPr="003828E1">
              <w:rPr>
                <w:rFonts w:eastAsia="Times New Roman"/>
                <w:sz w:val="16"/>
                <w:szCs w:val="20"/>
                <w:lang w:eastAsia="en-AU" w:bidi="en-US"/>
              </w:rPr>
              <w:t xml:space="preserve"> place a bet online) (DSS, 2018).</w:t>
            </w:r>
          </w:p>
        </w:tc>
        <w:tc>
          <w:tcPr>
            <w:tcW w:w="4961" w:type="dxa"/>
          </w:tcPr>
          <w:p w14:paraId="60C3E6D9"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The statement ‘accessible at any time’ is unclear and open to interpretation. It is also unclear whether the statement accessible through email can also require consumers to open their wagering account.</w:t>
            </w:r>
          </w:p>
        </w:tc>
      </w:tr>
      <w:tr w:rsidR="00C845DF" w:rsidRPr="003828E1" w14:paraId="7F0240E6" w14:textId="77777777" w:rsidTr="00F43F32">
        <w:tc>
          <w:tcPr>
            <w:tcW w:w="1231" w:type="dxa"/>
          </w:tcPr>
          <w:p w14:paraId="6CC5C20C" w14:textId="49EFD906"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V</w:t>
            </w:r>
            <w:r w:rsidR="00583EDF" w:rsidRPr="003828E1">
              <w:rPr>
                <w:rFonts w:eastAsia="Times New Roman"/>
                <w:sz w:val="16"/>
                <w:szCs w:val="20"/>
                <w:lang w:eastAsia="en-AU" w:bidi="en-US"/>
              </w:rPr>
              <w:t>ic</w:t>
            </w:r>
          </w:p>
        </w:tc>
        <w:tc>
          <w:tcPr>
            <w:tcW w:w="2030" w:type="dxa"/>
          </w:tcPr>
          <w:p w14:paraId="79B2449C" w14:textId="18682AEA"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Gambling Regulation Act 2003</w:t>
            </w:r>
            <w:r w:rsidR="005C007C">
              <w:rPr>
                <w:rFonts w:eastAsia="Times New Roman"/>
                <w:sz w:val="16"/>
                <w:szCs w:val="20"/>
                <w:lang w:eastAsia="en-AU" w:bidi="en-US"/>
              </w:rPr>
              <w:t xml:space="preserve"> </w:t>
            </w:r>
            <w:r w:rsidR="005C007C" w:rsidRPr="008373C3">
              <w:rPr>
                <w:rFonts w:eastAsia="Times New Roman"/>
                <w:sz w:val="16"/>
                <w:szCs w:val="16"/>
                <w:lang w:eastAsia="en-AU" w:bidi="en-US"/>
              </w:rPr>
              <w:t>and ministerial directions</w:t>
            </w:r>
            <w:r w:rsidR="005C007C" w:rsidRPr="00EF2D32">
              <w:rPr>
                <w:sz w:val="16"/>
                <w:szCs w:val="16"/>
              </w:rPr>
              <w:t xml:space="preserve"> </w:t>
            </w:r>
            <w:hyperlink r:id="rId80" w:history="1">
              <w:r w:rsidR="005C007C" w:rsidRPr="00EF2D32">
                <w:rPr>
                  <w:rStyle w:val="Hyperlink"/>
                  <w:sz w:val="16"/>
                  <w:szCs w:val="16"/>
                </w:rPr>
                <w:t>GG2022S349.pdf</w:t>
              </w:r>
            </w:hyperlink>
            <w:r w:rsidR="005C007C" w:rsidRPr="00EF2D32">
              <w:rPr>
                <w:sz w:val="16"/>
                <w:szCs w:val="16"/>
              </w:rPr>
              <w:t xml:space="preserve"> and </w:t>
            </w:r>
            <w:hyperlink r:id="rId81" w:history="1">
              <w:r w:rsidR="005C007C" w:rsidRPr="00EF2D32">
                <w:rPr>
                  <w:rStyle w:val="Hyperlink"/>
                  <w:sz w:val="16"/>
                  <w:szCs w:val="16"/>
                </w:rPr>
                <w:t>GG2023S137.pdf</w:t>
              </w:r>
            </w:hyperlink>
          </w:p>
        </w:tc>
        <w:tc>
          <w:tcPr>
            <w:tcW w:w="5670" w:type="dxa"/>
          </w:tcPr>
          <w:p w14:paraId="46FF176C" w14:textId="3DF51835"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If the activity statement is sent by email, a wagering service provider must ensure that</w:t>
            </w:r>
            <w:r w:rsidR="00AA3A32">
              <w:rPr>
                <w:rFonts w:eastAsia="Times New Roman"/>
                <w:sz w:val="16"/>
                <w:szCs w:val="20"/>
                <w:lang w:eastAsia="en-AU" w:bidi="en-US"/>
              </w:rPr>
              <w:t xml:space="preserve"> </w:t>
            </w:r>
            <w:r w:rsidRPr="003828E1">
              <w:rPr>
                <w:rFonts w:eastAsia="Times New Roman"/>
                <w:sz w:val="16"/>
                <w:szCs w:val="20"/>
                <w:lang w:eastAsia="en-AU" w:bidi="en-US"/>
              </w:rPr>
              <w:t>…</w:t>
            </w:r>
            <w:r w:rsidR="00AA3A32">
              <w:rPr>
                <w:rFonts w:eastAsia="Times New Roman"/>
                <w:sz w:val="16"/>
                <w:szCs w:val="20"/>
                <w:lang w:eastAsia="en-AU" w:bidi="en-US"/>
              </w:rPr>
              <w:t xml:space="preserve"> </w:t>
            </w:r>
            <w:r w:rsidRPr="003828E1">
              <w:rPr>
                <w:rFonts w:eastAsia="Times New Roman"/>
                <w:sz w:val="16"/>
                <w:szCs w:val="20"/>
                <w:lang w:eastAsia="en-AU" w:bidi="en-US"/>
              </w:rPr>
              <w:t xml:space="preserve">the account holder is </w:t>
            </w:r>
            <w:r w:rsidRPr="003828E1">
              <w:rPr>
                <w:rFonts w:eastAsia="Times New Roman"/>
                <w:b/>
                <w:bCs/>
                <w:sz w:val="16"/>
                <w:szCs w:val="20"/>
                <w:lang w:eastAsia="en-AU" w:bidi="en-US"/>
              </w:rPr>
              <w:t>not required to complete additional security checks</w:t>
            </w:r>
            <w:r w:rsidRPr="003828E1">
              <w:rPr>
                <w:rFonts w:eastAsia="Times New Roman"/>
                <w:sz w:val="16"/>
                <w:szCs w:val="20"/>
                <w:lang w:eastAsia="en-AU" w:bidi="en-US"/>
              </w:rPr>
              <w:t xml:space="preserve"> to open the activity statement, such as a password (Victoria Government Gazette, 2022).</w:t>
            </w:r>
          </w:p>
        </w:tc>
        <w:tc>
          <w:tcPr>
            <w:tcW w:w="4961" w:type="dxa"/>
          </w:tcPr>
          <w:p w14:paraId="433262BA"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Statements must be accessible </w:t>
            </w:r>
            <w:r w:rsidRPr="003828E1">
              <w:rPr>
                <w:rFonts w:eastAsia="Times New Roman"/>
                <w:b/>
                <w:bCs/>
                <w:sz w:val="16"/>
                <w:szCs w:val="20"/>
                <w:lang w:eastAsia="en-AU" w:bidi="en-US"/>
              </w:rPr>
              <w:t>without requiring passwords</w:t>
            </w:r>
            <w:r w:rsidRPr="003828E1">
              <w:rPr>
                <w:rFonts w:eastAsia="Times New Roman"/>
                <w:sz w:val="16"/>
                <w:szCs w:val="20"/>
                <w:lang w:eastAsia="en-AU" w:bidi="en-US"/>
              </w:rPr>
              <w:t>.</w:t>
            </w:r>
          </w:p>
        </w:tc>
      </w:tr>
      <w:tr w:rsidR="00C845DF" w:rsidRPr="003828E1" w14:paraId="2AC40B86" w14:textId="77777777" w:rsidTr="00F43F32">
        <w:tc>
          <w:tcPr>
            <w:tcW w:w="1231" w:type="dxa"/>
          </w:tcPr>
          <w:p w14:paraId="1480B4C3"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ACT</w:t>
            </w:r>
          </w:p>
        </w:tc>
        <w:tc>
          <w:tcPr>
            <w:tcW w:w="2030" w:type="dxa"/>
          </w:tcPr>
          <w:p w14:paraId="28A36466"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Gambling and Racing Control (Code of Practice) Regulation 2002</w:t>
            </w:r>
          </w:p>
        </w:tc>
        <w:tc>
          <w:tcPr>
            <w:tcW w:w="5670" w:type="dxa"/>
          </w:tcPr>
          <w:p w14:paraId="1F4F6271"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16"/>
                <w:lang w:eastAsia="en-AU" w:bidi="en-US"/>
              </w:rPr>
              <w:t xml:space="preserve">The licensee must ensure the account holder can access the activity statement without needing to use any kind of security measure, </w:t>
            </w:r>
            <w:r w:rsidRPr="003828E1">
              <w:rPr>
                <w:rFonts w:eastAsia="Times New Roman"/>
                <w:b/>
                <w:bCs/>
                <w:sz w:val="16"/>
                <w:szCs w:val="16"/>
                <w:lang w:eastAsia="en-AU" w:bidi="en-US"/>
              </w:rPr>
              <w:t>other than a security measure used to access the account holder’s email account or online betting account</w:t>
            </w:r>
            <w:r w:rsidRPr="003828E1">
              <w:rPr>
                <w:rFonts w:eastAsia="Times New Roman"/>
                <w:sz w:val="16"/>
                <w:szCs w:val="16"/>
                <w:lang w:eastAsia="en-AU" w:bidi="en-US"/>
              </w:rPr>
              <w:t>. (</w:t>
            </w:r>
            <w:r w:rsidRPr="003828E1">
              <w:rPr>
                <w:rFonts w:eastAsia="Times New Roman"/>
                <w:i/>
                <w:iCs/>
                <w:sz w:val="16"/>
                <w:szCs w:val="16"/>
                <w:lang w:eastAsia="en-AU" w:bidi="en-US"/>
              </w:rPr>
              <w:t xml:space="preserve">Gambling and Racing Control (Code of Practice) Regulation 2002 </w:t>
            </w:r>
            <w:r w:rsidRPr="003828E1">
              <w:rPr>
                <w:rFonts w:eastAsia="Times New Roman"/>
                <w:sz w:val="16"/>
                <w:szCs w:val="16"/>
                <w:lang w:eastAsia="en-AU" w:bidi="en-US"/>
              </w:rPr>
              <w:t>(ACT), s 1.20Q).</w:t>
            </w:r>
          </w:p>
        </w:tc>
        <w:tc>
          <w:tcPr>
            <w:tcW w:w="4961" w:type="dxa"/>
          </w:tcPr>
          <w:p w14:paraId="4380442B"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Operators </w:t>
            </w:r>
            <w:r w:rsidRPr="003828E1">
              <w:rPr>
                <w:rFonts w:eastAsia="Times New Roman"/>
                <w:b/>
                <w:bCs/>
                <w:sz w:val="16"/>
                <w:szCs w:val="20"/>
                <w:lang w:eastAsia="en-AU" w:bidi="en-US"/>
              </w:rPr>
              <w:t>can require certain passwords</w:t>
            </w:r>
            <w:r w:rsidRPr="003828E1">
              <w:rPr>
                <w:rFonts w:eastAsia="Times New Roman"/>
                <w:sz w:val="16"/>
                <w:szCs w:val="20"/>
                <w:lang w:eastAsia="en-AU" w:bidi="en-US"/>
              </w:rPr>
              <w:t xml:space="preserve"> or security measures to access statements.</w:t>
            </w:r>
          </w:p>
        </w:tc>
      </w:tr>
      <w:tr w:rsidR="00C845DF" w:rsidRPr="003828E1" w14:paraId="04EE3130" w14:textId="77777777" w:rsidTr="00F43F32">
        <w:tc>
          <w:tcPr>
            <w:tcW w:w="1231" w:type="dxa"/>
          </w:tcPr>
          <w:p w14:paraId="3DFAEEB8"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NSW</w:t>
            </w:r>
          </w:p>
        </w:tc>
        <w:tc>
          <w:tcPr>
            <w:tcW w:w="2030" w:type="dxa"/>
          </w:tcPr>
          <w:p w14:paraId="5EA4D6EB"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Betting and Racing Act 1998 NSW</w:t>
            </w:r>
          </w:p>
        </w:tc>
        <w:tc>
          <w:tcPr>
            <w:tcW w:w="5670" w:type="dxa"/>
          </w:tcPr>
          <w:p w14:paraId="74D5D98C" w14:textId="28E24B9E"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If the activity statement is sent by email, the licensed betting service provider must ensure that</w:t>
            </w:r>
            <w:r w:rsidR="00AA3A32">
              <w:rPr>
                <w:rFonts w:eastAsia="Times New Roman"/>
                <w:sz w:val="16"/>
                <w:szCs w:val="20"/>
                <w:lang w:eastAsia="en-AU" w:bidi="en-US"/>
              </w:rPr>
              <w:t xml:space="preserve"> </w:t>
            </w:r>
            <w:r w:rsidRPr="003828E1">
              <w:rPr>
                <w:rFonts w:eastAsia="Times New Roman"/>
                <w:sz w:val="16"/>
                <w:szCs w:val="20"/>
                <w:lang w:eastAsia="en-AU" w:bidi="en-US"/>
              </w:rPr>
              <w:t>…</w:t>
            </w:r>
            <w:r w:rsidR="00AA3A32">
              <w:rPr>
                <w:rFonts w:eastAsia="Times New Roman"/>
                <w:sz w:val="16"/>
                <w:szCs w:val="20"/>
                <w:lang w:eastAsia="en-AU" w:bidi="en-US"/>
              </w:rPr>
              <w:t xml:space="preserve"> </w:t>
            </w:r>
            <w:r w:rsidRPr="003828E1">
              <w:rPr>
                <w:rFonts w:eastAsia="Times New Roman"/>
                <w:sz w:val="16"/>
                <w:szCs w:val="20"/>
                <w:lang w:eastAsia="en-AU" w:bidi="en-US"/>
              </w:rPr>
              <w:t xml:space="preserve">there </w:t>
            </w:r>
            <w:r w:rsidRPr="003828E1">
              <w:rPr>
                <w:rFonts w:eastAsia="Times New Roman"/>
                <w:b/>
                <w:bCs/>
                <w:sz w:val="16"/>
                <w:szCs w:val="20"/>
                <w:lang w:eastAsia="en-AU" w:bidi="en-US"/>
              </w:rPr>
              <w:t xml:space="preserve">are no additional security checks needed </w:t>
            </w:r>
            <w:r w:rsidRPr="003828E1">
              <w:rPr>
                <w:rFonts w:eastAsia="Times New Roman"/>
                <w:sz w:val="16"/>
                <w:szCs w:val="20"/>
                <w:lang w:eastAsia="en-AU" w:bidi="en-US"/>
              </w:rPr>
              <w:t>to open the activity statement, such as password protection (NSW Government Gazette, 2022).</w:t>
            </w:r>
          </w:p>
        </w:tc>
        <w:tc>
          <w:tcPr>
            <w:tcW w:w="4961" w:type="dxa"/>
          </w:tcPr>
          <w:p w14:paraId="4B07CA71"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Statements must be accessible </w:t>
            </w:r>
            <w:r w:rsidRPr="003828E1">
              <w:rPr>
                <w:rFonts w:eastAsia="Times New Roman"/>
                <w:b/>
                <w:bCs/>
                <w:sz w:val="16"/>
                <w:szCs w:val="20"/>
                <w:lang w:eastAsia="en-AU" w:bidi="en-US"/>
              </w:rPr>
              <w:t>without requiring passwords</w:t>
            </w:r>
            <w:r w:rsidRPr="003828E1">
              <w:rPr>
                <w:rFonts w:eastAsia="Times New Roman"/>
                <w:sz w:val="16"/>
                <w:szCs w:val="20"/>
                <w:lang w:eastAsia="en-AU" w:bidi="en-US"/>
              </w:rPr>
              <w:t>.</w:t>
            </w:r>
          </w:p>
        </w:tc>
      </w:tr>
      <w:tr w:rsidR="00C845DF" w:rsidRPr="003828E1" w14:paraId="21DF0E3A" w14:textId="77777777" w:rsidTr="00F43F32">
        <w:tc>
          <w:tcPr>
            <w:tcW w:w="1231" w:type="dxa"/>
          </w:tcPr>
          <w:p w14:paraId="40E1B3A3"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NT</w:t>
            </w:r>
          </w:p>
        </w:tc>
        <w:tc>
          <w:tcPr>
            <w:tcW w:w="2030" w:type="dxa"/>
          </w:tcPr>
          <w:p w14:paraId="2DB54CB5"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Code of Practice for Responsible Service of Online Gambling 2019</w:t>
            </w:r>
          </w:p>
        </w:tc>
        <w:tc>
          <w:tcPr>
            <w:tcW w:w="5670" w:type="dxa"/>
          </w:tcPr>
          <w:p w14:paraId="1F4C8317"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16"/>
                <w:lang w:eastAsia="en-AU" w:bidi="en-US"/>
              </w:rPr>
              <w:t xml:space="preserve">Does not specifically mention the use of passwords to access activity statements. </w:t>
            </w:r>
          </w:p>
        </w:tc>
        <w:tc>
          <w:tcPr>
            <w:tcW w:w="4961" w:type="dxa"/>
          </w:tcPr>
          <w:p w14:paraId="554DB9D5"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The absence of any restrictions indicates that operators </w:t>
            </w:r>
            <w:r w:rsidRPr="003828E1">
              <w:rPr>
                <w:rFonts w:eastAsia="Times New Roman"/>
                <w:b/>
                <w:bCs/>
                <w:sz w:val="16"/>
                <w:szCs w:val="20"/>
                <w:lang w:eastAsia="en-AU" w:bidi="en-US"/>
              </w:rPr>
              <w:t>can require certain passwords</w:t>
            </w:r>
            <w:r w:rsidRPr="003828E1">
              <w:rPr>
                <w:rFonts w:eastAsia="Times New Roman"/>
                <w:sz w:val="16"/>
                <w:szCs w:val="20"/>
                <w:lang w:eastAsia="en-AU" w:bidi="en-US"/>
              </w:rPr>
              <w:t xml:space="preserve"> or security measures to access statements.</w:t>
            </w:r>
          </w:p>
        </w:tc>
      </w:tr>
      <w:tr w:rsidR="00C845DF" w:rsidRPr="003828E1" w14:paraId="45428305" w14:textId="77777777" w:rsidTr="00F43F32">
        <w:tc>
          <w:tcPr>
            <w:tcW w:w="1231" w:type="dxa"/>
          </w:tcPr>
          <w:p w14:paraId="0531857D" w14:textId="000EADFF"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Q</w:t>
            </w:r>
            <w:r w:rsidR="00583EDF" w:rsidRPr="003828E1">
              <w:rPr>
                <w:rFonts w:eastAsia="Times New Roman"/>
                <w:sz w:val="16"/>
                <w:szCs w:val="20"/>
                <w:lang w:eastAsia="en-AU" w:bidi="en-US"/>
              </w:rPr>
              <w:t>ld</w:t>
            </w:r>
          </w:p>
        </w:tc>
        <w:tc>
          <w:tcPr>
            <w:tcW w:w="2030" w:type="dxa"/>
          </w:tcPr>
          <w:p w14:paraId="57DACBA6"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Confidential</w:t>
            </w:r>
          </w:p>
        </w:tc>
        <w:tc>
          <w:tcPr>
            <w:tcW w:w="5670" w:type="dxa"/>
          </w:tcPr>
          <w:p w14:paraId="7FC384D4" w14:textId="6A481192" w:rsidR="00C845DF" w:rsidRPr="003828E1" w:rsidRDefault="00FC280E" w:rsidP="00C845DF">
            <w:pPr>
              <w:spacing w:before="60" w:line="240" w:lineRule="auto"/>
              <w:jc w:val="left"/>
              <w:rPr>
                <w:rFonts w:eastAsia="Times New Roman"/>
                <w:sz w:val="16"/>
                <w:szCs w:val="20"/>
                <w:lang w:eastAsia="en-AU" w:bidi="en-US"/>
              </w:rPr>
            </w:pPr>
            <w:r w:rsidRPr="00EF2D32">
              <w:rPr>
                <w:rFonts w:eastAsia="Times New Roman"/>
                <w:sz w:val="16"/>
                <w:szCs w:val="20"/>
                <w:lang w:eastAsia="en-AU" w:bidi="en-US"/>
              </w:rPr>
              <w:t>Statements are accessible via an email with a link to access and download a copy of their activity statement, or via regular post to the postal address recorded on a player's account for customers without an email address</w:t>
            </w:r>
            <w:r w:rsidR="005F4FA9">
              <w:rPr>
                <w:rFonts w:eastAsia="Times New Roman"/>
                <w:sz w:val="16"/>
                <w:szCs w:val="20"/>
                <w:lang w:eastAsia="en-AU" w:bidi="en-US"/>
              </w:rPr>
              <w:t xml:space="preserve">. </w:t>
            </w:r>
          </w:p>
        </w:tc>
        <w:tc>
          <w:tcPr>
            <w:tcW w:w="4961" w:type="dxa"/>
          </w:tcPr>
          <w:p w14:paraId="0ACBBDF1" w14:textId="45528467" w:rsidR="00C845DF" w:rsidRPr="003828E1" w:rsidRDefault="005F4FA9"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Statements </w:t>
            </w:r>
            <w:r w:rsidR="00743A66">
              <w:rPr>
                <w:rFonts w:eastAsia="Times New Roman"/>
                <w:sz w:val="16"/>
                <w:szCs w:val="20"/>
                <w:lang w:eastAsia="en-AU" w:bidi="en-US"/>
              </w:rPr>
              <w:t xml:space="preserve">are </w:t>
            </w:r>
            <w:r w:rsidRPr="003828E1">
              <w:rPr>
                <w:rFonts w:eastAsia="Times New Roman"/>
                <w:sz w:val="16"/>
                <w:szCs w:val="20"/>
                <w:lang w:eastAsia="en-AU" w:bidi="en-US"/>
              </w:rPr>
              <w:t xml:space="preserve">accessible </w:t>
            </w:r>
            <w:r w:rsidRPr="003828E1">
              <w:rPr>
                <w:rFonts w:eastAsia="Times New Roman"/>
                <w:b/>
                <w:bCs/>
                <w:sz w:val="16"/>
                <w:szCs w:val="20"/>
                <w:lang w:eastAsia="en-AU" w:bidi="en-US"/>
              </w:rPr>
              <w:t>without requiring passwords</w:t>
            </w:r>
            <w:r w:rsidRPr="003828E1">
              <w:rPr>
                <w:rFonts w:eastAsia="Times New Roman"/>
                <w:sz w:val="16"/>
                <w:szCs w:val="20"/>
                <w:lang w:eastAsia="en-AU" w:bidi="en-US"/>
              </w:rPr>
              <w:t>.</w:t>
            </w:r>
          </w:p>
        </w:tc>
      </w:tr>
      <w:tr w:rsidR="00C845DF" w:rsidRPr="003828E1" w14:paraId="75356E41" w14:textId="77777777" w:rsidTr="00F43F32">
        <w:tc>
          <w:tcPr>
            <w:tcW w:w="1231" w:type="dxa"/>
          </w:tcPr>
          <w:p w14:paraId="23A920B3"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SA</w:t>
            </w:r>
          </w:p>
        </w:tc>
        <w:tc>
          <w:tcPr>
            <w:tcW w:w="2030" w:type="dxa"/>
          </w:tcPr>
          <w:p w14:paraId="2A582A40"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Authorised Betting Operators Gambling Code of Practice</w:t>
            </w:r>
          </w:p>
        </w:tc>
        <w:tc>
          <w:tcPr>
            <w:tcW w:w="5670" w:type="dxa"/>
          </w:tcPr>
          <w:p w14:paraId="1359AE12"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The gambling provider must not implement layers of security, including a requirement for the use of a password, for an active account holder to access an activity statement (Consumer and Business Services, 2025).</w:t>
            </w:r>
          </w:p>
        </w:tc>
        <w:tc>
          <w:tcPr>
            <w:tcW w:w="4961" w:type="dxa"/>
          </w:tcPr>
          <w:p w14:paraId="7277B3B0"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Statements must be accessible </w:t>
            </w:r>
            <w:r w:rsidRPr="003828E1">
              <w:rPr>
                <w:rFonts w:eastAsia="Times New Roman"/>
                <w:b/>
                <w:bCs/>
                <w:sz w:val="16"/>
                <w:szCs w:val="20"/>
                <w:lang w:eastAsia="en-AU" w:bidi="en-US"/>
              </w:rPr>
              <w:t>without requiring passwords</w:t>
            </w:r>
            <w:r w:rsidRPr="003828E1">
              <w:rPr>
                <w:rFonts w:eastAsia="Times New Roman"/>
                <w:sz w:val="16"/>
                <w:szCs w:val="20"/>
                <w:lang w:eastAsia="en-AU" w:bidi="en-US"/>
              </w:rPr>
              <w:t>.</w:t>
            </w:r>
          </w:p>
        </w:tc>
      </w:tr>
      <w:tr w:rsidR="00C845DF" w:rsidRPr="003828E1" w14:paraId="4483B463" w14:textId="77777777" w:rsidTr="00F43F32">
        <w:tc>
          <w:tcPr>
            <w:tcW w:w="1231" w:type="dxa"/>
          </w:tcPr>
          <w:p w14:paraId="1DD3B59E"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Tas</w:t>
            </w:r>
          </w:p>
        </w:tc>
        <w:tc>
          <w:tcPr>
            <w:tcW w:w="2030" w:type="dxa"/>
          </w:tcPr>
          <w:p w14:paraId="5DEB2791"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Responsible Gambling Code of Practice </w:t>
            </w:r>
          </w:p>
        </w:tc>
        <w:tc>
          <w:tcPr>
            <w:tcW w:w="5670" w:type="dxa"/>
          </w:tcPr>
          <w:p w14:paraId="2159D638" w14:textId="17F84A39"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If the activity statement is sent by email, a TGL holder must ensure that:</w:t>
            </w:r>
            <w:r w:rsidR="00AA3A32">
              <w:rPr>
                <w:rFonts w:eastAsia="Times New Roman"/>
                <w:sz w:val="16"/>
                <w:szCs w:val="20"/>
                <w:lang w:eastAsia="en-AU" w:bidi="en-US"/>
              </w:rPr>
              <w:t xml:space="preserve"> </w:t>
            </w:r>
            <w:r w:rsidRPr="003828E1">
              <w:rPr>
                <w:rFonts w:eastAsia="Times New Roman"/>
                <w:sz w:val="16"/>
                <w:szCs w:val="20"/>
                <w:lang w:eastAsia="en-AU" w:bidi="en-US"/>
              </w:rPr>
              <w:t>…</w:t>
            </w:r>
            <w:r w:rsidR="00AA3A32">
              <w:rPr>
                <w:rFonts w:eastAsia="Times New Roman"/>
                <w:sz w:val="16"/>
                <w:szCs w:val="20"/>
                <w:lang w:eastAsia="en-AU" w:bidi="en-US"/>
              </w:rPr>
              <w:t xml:space="preserve"> </w:t>
            </w:r>
            <w:r w:rsidRPr="003828E1">
              <w:rPr>
                <w:rFonts w:eastAsia="Times New Roman"/>
                <w:sz w:val="16"/>
                <w:szCs w:val="20"/>
                <w:lang w:eastAsia="en-AU" w:bidi="en-US"/>
              </w:rPr>
              <w:t>the account holder is not required to complete additional security checks to open the activity statement, such as a password. (TLGC, 202</w:t>
            </w:r>
            <w:r w:rsidR="00503B82">
              <w:rPr>
                <w:rFonts w:eastAsia="Times New Roman"/>
                <w:sz w:val="16"/>
                <w:szCs w:val="20"/>
                <w:lang w:eastAsia="en-AU" w:bidi="en-US"/>
              </w:rPr>
              <w:t>3</w:t>
            </w:r>
            <w:r w:rsidRPr="003828E1">
              <w:rPr>
                <w:rFonts w:eastAsia="Times New Roman"/>
                <w:sz w:val="16"/>
                <w:szCs w:val="20"/>
                <w:lang w:eastAsia="en-AU" w:bidi="en-US"/>
              </w:rPr>
              <w:t>, s 5.17).</w:t>
            </w:r>
          </w:p>
        </w:tc>
        <w:tc>
          <w:tcPr>
            <w:tcW w:w="4961" w:type="dxa"/>
          </w:tcPr>
          <w:p w14:paraId="0E7BF571"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 xml:space="preserve">Statements must be accessible </w:t>
            </w:r>
            <w:r w:rsidRPr="003828E1">
              <w:rPr>
                <w:rFonts w:eastAsia="Times New Roman"/>
                <w:b/>
                <w:bCs/>
                <w:sz w:val="16"/>
                <w:szCs w:val="20"/>
                <w:lang w:eastAsia="en-AU" w:bidi="en-US"/>
              </w:rPr>
              <w:t>without requiring passwords</w:t>
            </w:r>
            <w:r w:rsidRPr="003828E1">
              <w:rPr>
                <w:rFonts w:eastAsia="Times New Roman"/>
                <w:sz w:val="16"/>
                <w:szCs w:val="20"/>
                <w:lang w:eastAsia="en-AU" w:bidi="en-US"/>
              </w:rPr>
              <w:t>.</w:t>
            </w:r>
          </w:p>
        </w:tc>
      </w:tr>
      <w:tr w:rsidR="00C845DF" w:rsidRPr="003828E1" w14:paraId="05F44AF0" w14:textId="77777777" w:rsidTr="00F43F32">
        <w:tc>
          <w:tcPr>
            <w:tcW w:w="1231" w:type="dxa"/>
          </w:tcPr>
          <w:p w14:paraId="0BAC069F"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WA</w:t>
            </w:r>
          </w:p>
        </w:tc>
        <w:tc>
          <w:tcPr>
            <w:tcW w:w="2030" w:type="dxa"/>
          </w:tcPr>
          <w:p w14:paraId="6186AE44"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20"/>
                <w:lang w:eastAsia="en-AU" w:bidi="en-US"/>
              </w:rPr>
              <w:t>Gaming and Wagering Commission Regulations 1988</w:t>
            </w:r>
          </w:p>
        </w:tc>
        <w:tc>
          <w:tcPr>
            <w:tcW w:w="5670" w:type="dxa"/>
          </w:tcPr>
          <w:p w14:paraId="06D862DD"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sz w:val="16"/>
                <w:szCs w:val="16"/>
                <w:lang w:eastAsia="en-AU" w:bidi="en-US"/>
              </w:rPr>
              <w:t xml:space="preserve">For the purposes of </w:t>
            </w:r>
            <w:proofErr w:type="spellStart"/>
            <w:r w:rsidRPr="003828E1">
              <w:rPr>
                <w:rFonts w:eastAsia="Times New Roman"/>
                <w:sz w:val="16"/>
                <w:szCs w:val="16"/>
                <w:lang w:eastAsia="en-AU" w:bidi="en-US"/>
              </w:rPr>
              <w:t>subregulation</w:t>
            </w:r>
            <w:proofErr w:type="spellEnd"/>
            <w:r w:rsidRPr="003828E1">
              <w:rPr>
                <w:rFonts w:eastAsia="Times New Roman"/>
                <w:sz w:val="16"/>
                <w:szCs w:val="16"/>
                <w:lang w:eastAsia="en-AU" w:bidi="en-US"/>
              </w:rPr>
              <w:t xml:space="preserve"> (1), an activity statement is not easily available to be viewed if the account holder must enter a password to view the statement once the holder has accessed the account</w:t>
            </w:r>
            <w:r w:rsidRPr="003828E1">
              <w:rPr>
                <w:rFonts w:ascii="Times New Roman" w:eastAsia="Times New Roman" w:hAnsi="Times New Roman"/>
                <w:i/>
                <w:iCs/>
                <w:sz w:val="16"/>
                <w:szCs w:val="16"/>
                <w:lang w:eastAsia="en-AU" w:bidi="en-US"/>
              </w:rPr>
              <w:t xml:space="preserve"> </w:t>
            </w:r>
            <w:r w:rsidRPr="007A60DE">
              <w:rPr>
                <w:rFonts w:eastAsia="Times New Roman" w:cs="Arial"/>
                <w:i/>
                <w:iCs/>
                <w:sz w:val="16"/>
                <w:szCs w:val="16"/>
                <w:lang w:eastAsia="en-AU" w:bidi="en-US"/>
              </w:rPr>
              <w:t>(Gaming and Wagering Commission Regulations 1988, S. 40S)</w:t>
            </w:r>
            <w:r w:rsidRPr="001B528E">
              <w:rPr>
                <w:rFonts w:eastAsia="Times New Roman" w:cs="Arial"/>
                <w:sz w:val="16"/>
                <w:szCs w:val="16"/>
                <w:lang w:eastAsia="en-AU" w:bidi="en-US"/>
              </w:rPr>
              <w:t>.</w:t>
            </w:r>
          </w:p>
        </w:tc>
        <w:tc>
          <w:tcPr>
            <w:tcW w:w="4961" w:type="dxa"/>
          </w:tcPr>
          <w:p w14:paraId="36556AF0" w14:textId="77777777" w:rsidR="00C845DF" w:rsidRPr="003828E1" w:rsidRDefault="00C845DF" w:rsidP="00C845DF">
            <w:pPr>
              <w:spacing w:before="60" w:line="240" w:lineRule="auto"/>
              <w:jc w:val="left"/>
              <w:rPr>
                <w:rFonts w:eastAsia="Times New Roman"/>
                <w:sz w:val="16"/>
                <w:szCs w:val="20"/>
                <w:lang w:eastAsia="en-AU" w:bidi="en-US"/>
              </w:rPr>
            </w:pPr>
            <w:r w:rsidRPr="003828E1">
              <w:rPr>
                <w:rFonts w:eastAsia="Times New Roman"/>
                <w:b/>
                <w:bCs/>
                <w:sz w:val="16"/>
                <w:szCs w:val="20"/>
                <w:lang w:eastAsia="en-AU" w:bidi="en-US"/>
              </w:rPr>
              <w:t>No mention</w:t>
            </w:r>
            <w:r w:rsidRPr="003828E1">
              <w:rPr>
                <w:rFonts w:eastAsia="Times New Roman"/>
                <w:sz w:val="16"/>
                <w:szCs w:val="20"/>
                <w:lang w:eastAsia="en-AU" w:bidi="en-US"/>
              </w:rPr>
              <w:t xml:space="preserve"> of whether a password can be required if an </w:t>
            </w:r>
            <w:r w:rsidRPr="003828E1">
              <w:rPr>
                <w:rFonts w:eastAsia="Times New Roman"/>
                <w:b/>
                <w:bCs/>
                <w:sz w:val="16"/>
                <w:szCs w:val="20"/>
                <w:lang w:eastAsia="en-AU" w:bidi="en-US"/>
              </w:rPr>
              <w:t>activity statement is accessed through email</w:t>
            </w:r>
            <w:r w:rsidRPr="003828E1">
              <w:rPr>
                <w:rFonts w:eastAsia="Times New Roman"/>
                <w:sz w:val="16"/>
                <w:szCs w:val="20"/>
                <w:lang w:eastAsia="en-AU" w:bidi="en-US"/>
              </w:rPr>
              <w:t xml:space="preserve">. Statements on websites must be accessible </w:t>
            </w:r>
            <w:r w:rsidRPr="003828E1">
              <w:rPr>
                <w:rFonts w:eastAsia="Times New Roman"/>
                <w:b/>
                <w:bCs/>
                <w:sz w:val="16"/>
                <w:szCs w:val="20"/>
                <w:lang w:eastAsia="en-AU" w:bidi="en-US"/>
              </w:rPr>
              <w:t>without requiring passwords other than account passwords</w:t>
            </w:r>
            <w:r w:rsidRPr="003828E1">
              <w:rPr>
                <w:rFonts w:eastAsia="Times New Roman"/>
                <w:sz w:val="16"/>
                <w:szCs w:val="20"/>
                <w:lang w:eastAsia="en-AU" w:bidi="en-US"/>
              </w:rPr>
              <w:t>.</w:t>
            </w:r>
          </w:p>
        </w:tc>
      </w:tr>
    </w:tbl>
    <w:p w14:paraId="20CFB5FE" w14:textId="77777777" w:rsidR="005441F7" w:rsidRPr="005441F7" w:rsidRDefault="005441F7" w:rsidP="005441F7">
      <w:pPr>
        <w:rPr>
          <w:rFonts w:eastAsia="Arial"/>
        </w:rPr>
        <w:sectPr w:rsidR="005441F7" w:rsidRPr="005441F7" w:rsidSect="00B05FE3">
          <w:pgSz w:w="16840" w:h="11901" w:orient="landscape"/>
          <w:pgMar w:top="1701" w:right="1418" w:bottom="1701" w:left="1418" w:header="680" w:footer="680" w:gutter="0"/>
          <w:cols w:space="708"/>
          <w:noEndnote/>
          <w:docGrid w:linePitch="272"/>
        </w:sectPr>
      </w:pPr>
    </w:p>
    <w:p w14:paraId="13A884C9" w14:textId="178181F5" w:rsidR="00D47E5E" w:rsidRDefault="00D47E5E" w:rsidP="00D47E5E">
      <w:pPr>
        <w:pStyle w:val="AppendixHeading1"/>
      </w:pPr>
      <w:bookmarkStart w:id="183" w:name="AppendixF"/>
      <w:bookmarkStart w:id="184" w:name="_Toc233643333"/>
      <w:r>
        <w:lastRenderedPageBreak/>
        <w:t xml:space="preserve">Appendix </w:t>
      </w:r>
      <w:r w:rsidR="00181EA4">
        <w:t>F</w:t>
      </w:r>
      <w:bookmarkEnd w:id="183"/>
      <w:r>
        <w:t xml:space="preserve">: </w:t>
      </w:r>
      <w:r w:rsidR="00761A16">
        <w:t>Legislation and guidance for each NCPF measure</w:t>
      </w:r>
      <w:bookmarkEnd w:id="184"/>
      <w:r w:rsidR="00761A16">
        <w:t xml:space="preserve"> </w:t>
      </w:r>
    </w:p>
    <w:p w14:paraId="42FAD016" w14:textId="0A5162EB" w:rsidR="00D47E5E" w:rsidRPr="009E1220" w:rsidRDefault="00D47E5E" w:rsidP="001319E4">
      <w:pPr>
        <w:pStyle w:val="TableCaption"/>
        <w:rPr>
          <w:lang w:bidi="ar-SA"/>
        </w:rPr>
      </w:pPr>
      <w:r>
        <w:t>Table 1</w:t>
      </w:r>
      <w:r w:rsidR="00390D50">
        <w:t>5</w:t>
      </w:r>
      <w:r>
        <w:t xml:space="preserve">: </w:t>
      </w:r>
      <w:r w:rsidR="00785DDD">
        <w:t>Legislation and guidance for each NCPF measure</w:t>
      </w:r>
    </w:p>
    <w:tbl>
      <w:tblPr>
        <w:tblStyle w:val="TableGrid53"/>
        <w:tblpPr w:leftFromText="180" w:rightFromText="180" w:vertAnchor="text" w:tblpY="1"/>
        <w:tblOverlap w:val="never"/>
        <w:tblW w:w="8505" w:type="dxa"/>
        <w:tblLayout w:type="fixed"/>
        <w:tblLook w:val="04A0" w:firstRow="1" w:lastRow="0" w:firstColumn="1" w:lastColumn="0" w:noHBand="0" w:noVBand="1"/>
      </w:tblPr>
      <w:tblGrid>
        <w:gridCol w:w="3119"/>
        <w:gridCol w:w="5386"/>
      </w:tblGrid>
      <w:tr w:rsidR="00FE5A36" w:rsidRPr="007275C6" w14:paraId="784D2058" w14:textId="77777777" w:rsidTr="00CB7B11">
        <w:trPr>
          <w:cnfStyle w:val="100000000000" w:firstRow="1" w:lastRow="0" w:firstColumn="0" w:lastColumn="0" w:oddVBand="0" w:evenVBand="0" w:oddHBand="0" w:evenHBand="0" w:firstRowFirstColumn="0" w:firstRowLastColumn="0" w:lastRowFirstColumn="0" w:lastRowLastColumn="0"/>
        </w:trPr>
        <w:tc>
          <w:tcPr>
            <w:tcW w:w="3119" w:type="dxa"/>
          </w:tcPr>
          <w:p w14:paraId="6386BCE8" w14:textId="4C02DB5A" w:rsidR="00FE5A36" w:rsidRPr="007275C6" w:rsidRDefault="00FE5A36" w:rsidP="007A60DE">
            <w:pPr>
              <w:pStyle w:val="TableColHeadLeft"/>
            </w:pPr>
            <w:r w:rsidRPr="007275C6">
              <w:t>Measure</w:t>
            </w:r>
          </w:p>
        </w:tc>
        <w:tc>
          <w:tcPr>
            <w:tcW w:w="5386" w:type="dxa"/>
          </w:tcPr>
          <w:p w14:paraId="6FE007FD" w14:textId="4770A1C1" w:rsidR="00FE5A36" w:rsidRPr="007275C6" w:rsidRDefault="4FE3E3EC" w:rsidP="007A60DE">
            <w:pPr>
              <w:pStyle w:val="TableColHeadLeft"/>
            </w:pPr>
            <w:r w:rsidRPr="70A11A43">
              <w:t xml:space="preserve">Principal policy </w:t>
            </w:r>
            <w:r w:rsidRPr="1613A64A">
              <w:t>document</w:t>
            </w:r>
          </w:p>
        </w:tc>
      </w:tr>
      <w:tr w:rsidR="00E972F9" w:rsidRPr="007275C6" w14:paraId="34148F1F" w14:textId="77777777" w:rsidTr="00CB7B11">
        <w:tc>
          <w:tcPr>
            <w:tcW w:w="3119" w:type="dxa"/>
          </w:tcPr>
          <w:p w14:paraId="197815AB" w14:textId="2610F862" w:rsidR="00E972F9" w:rsidRPr="007275C6" w:rsidRDefault="5278F580" w:rsidP="00E972F9">
            <w:pPr>
              <w:pStyle w:val="TableText"/>
            </w:pPr>
            <w:r>
              <w:t>Prohibition of</w:t>
            </w:r>
            <w:r w:rsidR="6C6C825A">
              <w:t xml:space="preserve"> </w:t>
            </w:r>
            <w:r w:rsidR="6652888C">
              <w:t>l</w:t>
            </w:r>
            <w:r w:rsidR="4393B2CA">
              <w:t>ines</w:t>
            </w:r>
            <w:r w:rsidR="00E972F9">
              <w:t xml:space="preserve"> of credit and payday lenders (Measures 1 and 2)</w:t>
            </w:r>
          </w:p>
        </w:tc>
        <w:tc>
          <w:tcPr>
            <w:tcW w:w="5386" w:type="dxa"/>
          </w:tcPr>
          <w:p w14:paraId="2EE402E9" w14:textId="7A8C387D" w:rsidR="00E972F9" w:rsidRPr="007275C6" w:rsidRDefault="00E972F9" w:rsidP="004B6D69">
            <w:pPr>
              <w:pStyle w:val="TableText"/>
            </w:pPr>
            <w:proofErr w:type="spellStart"/>
            <w:r>
              <w:t>Cth</w:t>
            </w:r>
            <w:proofErr w:type="spellEnd"/>
            <w:r>
              <w:t xml:space="preserve">: </w:t>
            </w:r>
            <w:r>
              <w:rPr>
                <w:i/>
                <w:iCs/>
              </w:rPr>
              <w:t>Interactive Gambling Act 2001</w:t>
            </w:r>
          </w:p>
        </w:tc>
      </w:tr>
      <w:tr w:rsidR="00E972F9" w:rsidRPr="007275C6" w14:paraId="428FDD06" w14:textId="77777777" w:rsidTr="00CB7B11">
        <w:tc>
          <w:tcPr>
            <w:tcW w:w="3119" w:type="dxa"/>
          </w:tcPr>
          <w:p w14:paraId="2C9585D6" w14:textId="2ACCB768" w:rsidR="00E972F9" w:rsidRPr="007275C6" w:rsidRDefault="00E972F9" w:rsidP="00E972F9">
            <w:pPr>
              <w:pStyle w:val="TableText"/>
            </w:pPr>
            <w:r w:rsidRPr="007275C6">
              <w:t>Customer verification (Measure 3)</w:t>
            </w:r>
          </w:p>
        </w:tc>
        <w:tc>
          <w:tcPr>
            <w:tcW w:w="5386" w:type="dxa"/>
          </w:tcPr>
          <w:p w14:paraId="7F3C2CCE" w14:textId="6BFB5576" w:rsidR="00E972F9" w:rsidRPr="007275C6" w:rsidRDefault="00E972F9" w:rsidP="00E972F9">
            <w:pPr>
              <w:pStyle w:val="TableText"/>
            </w:pPr>
            <w:proofErr w:type="spellStart"/>
            <w:r w:rsidRPr="007275C6">
              <w:t>Cth</w:t>
            </w:r>
            <w:proofErr w:type="spellEnd"/>
            <w:r w:rsidRPr="007275C6">
              <w:t xml:space="preserve">: </w:t>
            </w:r>
            <w:r w:rsidRPr="007A60DE">
              <w:t>Anti-Money Laundering and Counter-Terrorism Financing Rules Instrument 2007 (AML/CTF Rules)</w:t>
            </w:r>
          </w:p>
        </w:tc>
      </w:tr>
      <w:tr w:rsidR="00E972F9" w:rsidRPr="007275C6" w14:paraId="33F82A30" w14:textId="77777777" w:rsidTr="00CB7B11">
        <w:tc>
          <w:tcPr>
            <w:tcW w:w="3119" w:type="dxa"/>
          </w:tcPr>
          <w:p w14:paraId="49793E16" w14:textId="0AA4E6F4" w:rsidR="00E972F9" w:rsidRPr="007275C6" w:rsidRDefault="39F665D9" w:rsidP="00E972F9">
            <w:pPr>
              <w:pStyle w:val="TableText"/>
            </w:pPr>
            <w:r>
              <w:t>Restrictions on inducements</w:t>
            </w:r>
            <w:r w:rsidR="4AF01921">
              <w:t xml:space="preserve"> – </w:t>
            </w:r>
            <w:r>
              <w:t>provision</w:t>
            </w:r>
            <w:r w:rsidR="4393B2CA">
              <w:t xml:space="preserve"> </w:t>
            </w:r>
            <w:r w:rsidR="4AF01921">
              <w:t>of inducements</w:t>
            </w:r>
            <w:r w:rsidR="00E972F9" w:rsidRPr="007275C6">
              <w:t xml:space="preserve"> (Measure 4)</w:t>
            </w:r>
          </w:p>
        </w:tc>
        <w:tc>
          <w:tcPr>
            <w:tcW w:w="5386" w:type="dxa"/>
          </w:tcPr>
          <w:p w14:paraId="4B4FADC7" w14:textId="46104DF7" w:rsidR="00E972F9" w:rsidRPr="007275C6" w:rsidRDefault="00E972F9" w:rsidP="00E972F9">
            <w:pPr>
              <w:pStyle w:val="TableText"/>
            </w:pPr>
            <w:r w:rsidRPr="007275C6">
              <w:t>Code of Practice: NT, SA, T</w:t>
            </w:r>
            <w:r w:rsidR="00AA3A32" w:rsidRPr="007275C6">
              <w:t>as</w:t>
            </w:r>
            <w:r w:rsidR="6AED3DA7">
              <w:t>, ACT</w:t>
            </w:r>
          </w:p>
          <w:p w14:paraId="4ACA98B0" w14:textId="46D38949" w:rsidR="00E972F9" w:rsidRPr="007275C6" w:rsidRDefault="00E972F9" w:rsidP="00E972F9">
            <w:pPr>
              <w:pStyle w:val="TableText"/>
            </w:pPr>
            <w:r w:rsidRPr="007275C6">
              <w:t>Legislation: NSW, Q</w:t>
            </w:r>
            <w:r w:rsidR="00AA3A32" w:rsidRPr="007275C6">
              <w:t>ld</w:t>
            </w:r>
          </w:p>
          <w:p w14:paraId="60055795" w14:textId="467DEF04" w:rsidR="67B8B0EF" w:rsidRDefault="67B8B0EF" w:rsidP="677BA492">
            <w:pPr>
              <w:pStyle w:val="TableText"/>
            </w:pPr>
            <w:r>
              <w:t>Regulations: WA</w:t>
            </w:r>
          </w:p>
          <w:p w14:paraId="59507945" w14:textId="121566A1" w:rsidR="00E972F9" w:rsidRPr="007275C6" w:rsidRDefault="00E972F9" w:rsidP="00E972F9">
            <w:pPr>
              <w:pStyle w:val="TableText"/>
            </w:pPr>
            <w:r w:rsidRPr="007275C6">
              <w:t>Ministerial direction/guideline: V</w:t>
            </w:r>
            <w:r w:rsidR="00AA3A32" w:rsidRPr="007275C6">
              <w:t>ic</w:t>
            </w:r>
          </w:p>
        </w:tc>
      </w:tr>
      <w:tr w:rsidR="00E972F9" w:rsidRPr="007275C6" w14:paraId="12B1AA8B" w14:textId="77777777" w:rsidTr="00CB7B11">
        <w:tc>
          <w:tcPr>
            <w:tcW w:w="3119" w:type="dxa"/>
          </w:tcPr>
          <w:p w14:paraId="43FF43EF" w14:textId="1623AEC6" w:rsidR="00E972F9" w:rsidRPr="007275C6" w:rsidRDefault="7737C480" w:rsidP="00E972F9">
            <w:pPr>
              <w:pStyle w:val="TableText"/>
            </w:pPr>
            <w:r>
              <w:t>Restrictions on inducements – opt-in direct marketing</w:t>
            </w:r>
            <w:r w:rsidR="00E972F9" w:rsidRPr="007275C6">
              <w:t xml:space="preserve"> (Measure 4)</w:t>
            </w:r>
          </w:p>
        </w:tc>
        <w:tc>
          <w:tcPr>
            <w:tcW w:w="5386" w:type="dxa"/>
          </w:tcPr>
          <w:p w14:paraId="32DDFAC5" w14:textId="4DA0A36D" w:rsidR="00E972F9" w:rsidRPr="007275C6" w:rsidRDefault="00E972F9" w:rsidP="00E972F9">
            <w:pPr>
              <w:pStyle w:val="TableText"/>
            </w:pPr>
            <w:r w:rsidRPr="007275C6">
              <w:t>Code of Practice: NT, SA, T</w:t>
            </w:r>
            <w:r w:rsidR="00AA3A32" w:rsidRPr="007275C6">
              <w:t>as</w:t>
            </w:r>
            <w:r w:rsidR="59147F63">
              <w:t>, ACT</w:t>
            </w:r>
          </w:p>
          <w:p w14:paraId="08EA3455" w14:textId="7D5BFCAB" w:rsidR="00E972F9" w:rsidRPr="007275C6" w:rsidRDefault="00E972F9" w:rsidP="00E972F9">
            <w:pPr>
              <w:pStyle w:val="TableText"/>
            </w:pPr>
            <w:r w:rsidRPr="007275C6">
              <w:t>Legislation: NSW, Q</w:t>
            </w:r>
            <w:r w:rsidR="00AA3A32" w:rsidRPr="007275C6">
              <w:t>ld</w:t>
            </w:r>
          </w:p>
          <w:p w14:paraId="5BD04EC1" w14:textId="7064524D" w:rsidR="713609CF" w:rsidRDefault="713609CF" w:rsidP="553772F0">
            <w:pPr>
              <w:pStyle w:val="TableText"/>
            </w:pPr>
            <w:r>
              <w:t>Regulations: WA</w:t>
            </w:r>
          </w:p>
          <w:p w14:paraId="1BE64F69" w14:textId="2FB9D927" w:rsidR="00E972F9" w:rsidRPr="007275C6" w:rsidRDefault="713609CF" w:rsidP="00E972F9">
            <w:pPr>
              <w:pStyle w:val="TableText"/>
            </w:pPr>
            <w:r>
              <w:t xml:space="preserve">Ministerial </w:t>
            </w:r>
            <w:r w:rsidR="71F08D98">
              <w:t>direction</w:t>
            </w:r>
            <w:r>
              <w:t>/guideline: V</w:t>
            </w:r>
            <w:r w:rsidR="00AA3A32">
              <w:t>ic</w:t>
            </w:r>
          </w:p>
        </w:tc>
      </w:tr>
      <w:tr w:rsidR="00E972F9" w:rsidRPr="007275C6" w14:paraId="4308FFAE" w14:textId="77777777" w:rsidTr="00CB7B11">
        <w:tc>
          <w:tcPr>
            <w:tcW w:w="3119" w:type="dxa"/>
          </w:tcPr>
          <w:p w14:paraId="1EBB2383" w14:textId="4FD7FFA9" w:rsidR="00E972F9" w:rsidRPr="007275C6" w:rsidRDefault="00E972F9" w:rsidP="00E972F9">
            <w:pPr>
              <w:pStyle w:val="TableText"/>
            </w:pPr>
            <w:r w:rsidRPr="007275C6">
              <w:t>Account closure (Measure 5)</w:t>
            </w:r>
          </w:p>
        </w:tc>
        <w:tc>
          <w:tcPr>
            <w:tcW w:w="5386" w:type="dxa"/>
          </w:tcPr>
          <w:p w14:paraId="0C4E0B52" w14:textId="0044052B" w:rsidR="00E972F9" w:rsidRPr="007275C6" w:rsidRDefault="00E972F9" w:rsidP="00E972F9">
            <w:pPr>
              <w:pStyle w:val="TableText"/>
            </w:pPr>
            <w:r w:rsidRPr="007275C6">
              <w:t>Code of Practice: NT, SA, T</w:t>
            </w:r>
            <w:r w:rsidR="00675DD0" w:rsidRPr="007275C6">
              <w:t>as</w:t>
            </w:r>
            <w:r w:rsidR="6068537C">
              <w:t>, ACT</w:t>
            </w:r>
          </w:p>
          <w:p w14:paraId="2914FB25" w14:textId="2C77C43F" w:rsidR="00E972F9" w:rsidRPr="007275C6" w:rsidRDefault="00E972F9" w:rsidP="00E972F9">
            <w:pPr>
              <w:pStyle w:val="TableText"/>
            </w:pPr>
            <w:r w:rsidRPr="007275C6">
              <w:t xml:space="preserve">Legislation: </w:t>
            </w:r>
            <w:r w:rsidR="08A2505B">
              <w:t>NSW</w:t>
            </w:r>
          </w:p>
          <w:p w14:paraId="3ED99F62" w14:textId="74AADA6B" w:rsidR="5E8D76A0" w:rsidRDefault="5E8D76A0" w:rsidP="03F0B8AD">
            <w:pPr>
              <w:pStyle w:val="TableText"/>
            </w:pPr>
            <w:r>
              <w:t>Regulations: WA</w:t>
            </w:r>
          </w:p>
          <w:p w14:paraId="24F37051" w14:textId="66E8C7FB" w:rsidR="00E972F9" w:rsidRPr="007275C6" w:rsidRDefault="00E972F9" w:rsidP="00E972F9">
            <w:pPr>
              <w:pStyle w:val="TableText"/>
            </w:pPr>
            <w:r w:rsidRPr="007275C6">
              <w:t>Ministerial direction/guideline: V</w:t>
            </w:r>
            <w:r w:rsidR="00675DD0" w:rsidRPr="007275C6">
              <w:t>ic</w:t>
            </w:r>
          </w:p>
          <w:p w14:paraId="2A289DE8" w14:textId="001AB57D" w:rsidR="00E972F9" w:rsidRPr="007275C6" w:rsidRDefault="00E972F9" w:rsidP="00E972F9">
            <w:pPr>
              <w:pStyle w:val="TableText"/>
            </w:pPr>
            <w:r w:rsidRPr="007275C6">
              <w:t>Licen</w:t>
            </w:r>
            <w:r w:rsidR="00EA18C4">
              <w:t>ce</w:t>
            </w:r>
            <w:r w:rsidR="007F7BF9">
              <w:t xml:space="preserve"> Condition</w:t>
            </w:r>
            <w:r w:rsidRPr="007275C6">
              <w:t>: Q</w:t>
            </w:r>
            <w:r w:rsidR="00675DD0" w:rsidRPr="007275C6">
              <w:t>ld</w:t>
            </w:r>
          </w:p>
        </w:tc>
      </w:tr>
      <w:tr w:rsidR="00E972F9" w:rsidRPr="007275C6" w14:paraId="4A520B5C" w14:textId="77777777" w:rsidTr="00CB7B11">
        <w:tc>
          <w:tcPr>
            <w:tcW w:w="3119" w:type="dxa"/>
          </w:tcPr>
          <w:p w14:paraId="44F3A892" w14:textId="30F50C55" w:rsidR="00E972F9" w:rsidRPr="007275C6" w:rsidRDefault="64505E0E" w:rsidP="00E972F9">
            <w:pPr>
              <w:pStyle w:val="TableText"/>
            </w:pPr>
            <w:proofErr w:type="gramStart"/>
            <w:r>
              <w:t>Voluntary</w:t>
            </w:r>
            <w:proofErr w:type="gramEnd"/>
            <w:r>
              <w:t xml:space="preserve"> opt-out pre-commitment scheme</w:t>
            </w:r>
            <w:r w:rsidR="00E972F9" w:rsidRPr="007275C6">
              <w:t xml:space="preserve"> (Measure 6)</w:t>
            </w:r>
          </w:p>
        </w:tc>
        <w:tc>
          <w:tcPr>
            <w:tcW w:w="5386" w:type="dxa"/>
          </w:tcPr>
          <w:p w14:paraId="5296B923" w14:textId="32061E69" w:rsidR="00E972F9" w:rsidRPr="007275C6" w:rsidRDefault="00E972F9" w:rsidP="00E972F9">
            <w:pPr>
              <w:pStyle w:val="TableText"/>
            </w:pPr>
            <w:r w:rsidRPr="007275C6">
              <w:t>Code of Practice: NT, SA</w:t>
            </w:r>
            <w:r w:rsidR="37D95E6B">
              <w:t>, T</w:t>
            </w:r>
            <w:r w:rsidR="00675DD0">
              <w:t>as</w:t>
            </w:r>
            <w:r w:rsidR="37D95E6B">
              <w:t>, ACT</w:t>
            </w:r>
          </w:p>
          <w:p w14:paraId="7B495438" w14:textId="43E6D8A5" w:rsidR="00E972F9" w:rsidRPr="007275C6" w:rsidRDefault="00E972F9" w:rsidP="00E972F9">
            <w:pPr>
              <w:pStyle w:val="TableText"/>
            </w:pPr>
            <w:r w:rsidRPr="007275C6">
              <w:t xml:space="preserve">Legislation: </w:t>
            </w:r>
            <w:r w:rsidR="0661884B">
              <w:t>NSW</w:t>
            </w:r>
          </w:p>
          <w:p w14:paraId="40F35977" w14:textId="6FBFD763" w:rsidR="294FEDAE" w:rsidRDefault="294FEDAE" w:rsidP="3680626D">
            <w:pPr>
              <w:pStyle w:val="TableText"/>
            </w:pPr>
            <w:r>
              <w:t>Regulations: WA</w:t>
            </w:r>
          </w:p>
          <w:p w14:paraId="4730E6BF" w14:textId="37166AD3" w:rsidR="00E972F9" w:rsidRPr="007275C6" w:rsidRDefault="00E972F9" w:rsidP="00E972F9">
            <w:pPr>
              <w:pStyle w:val="TableText"/>
            </w:pPr>
            <w:r w:rsidRPr="007275C6">
              <w:t>Ministerial direction/guideline: V</w:t>
            </w:r>
            <w:r w:rsidR="00675DD0" w:rsidRPr="007275C6">
              <w:t>ic</w:t>
            </w:r>
          </w:p>
          <w:p w14:paraId="3A1117B6" w14:textId="1DBC6CBF" w:rsidR="00E972F9" w:rsidRPr="007275C6" w:rsidRDefault="00E972F9" w:rsidP="00E972F9">
            <w:pPr>
              <w:pStyle w:val="TableText"/>
            </w:pPr>
            <w:r w:rsidRPr="007275C6">
              <w:t>Licen</w:t>
            </w:r>
            <w:r w:rsidR="00EA18C4">
              <w:t>ce Condition</w:t>
            </w:r>
            <w:r w:rsidRPr="007275C6">
              <w:t>: Q</w:t>
            </w:r>
            <w:r w:rsidR="00242079" w:rsidRPr="007275C6">
              <w:t>ld</w:t>
            </w:r>
          </w:p>
        </w:tc>
      </w:tr>
      <w:tr w:rsidR="00E972F9" w:rsidRPr="007275C6" w14:paraId="399E8712" w14:textId="77777777" w:rsidTr="00CB7B11">
        <w:tc>
          <w:tcPr>
            <w:tcW w:w="3119" w:type="dxa"/>
          </w:tcPr>
          <w:p w14:paraId="089CA03B" w14:textId="775C5E50" w:rsidR="00E972F9" w:rsidRPr="007275C6" w:rsidRDefault="00E972F9" w:rsidP="00E972F9">
            <w:pPr>
              <w:pStyle w:val="TableText"/>
            </w:pPr>
            <w:r w:rsidRPr="007275C6">
              <w:t xml:space="preserve">Activity statements </w:t>
            </w:r>
            <w:r w:rsidR="00242079">
              <w:t xml:space="preserve">– </w:t>
            </w:r>
            <w:r w:rsidR="1E9400C0">
              <w:t>contents</w:t>
            </w:r>
            <w:r w:rsidRPr="007275C6">
              <w:t xml:space="preserve"> (Measure 7)</w:t>
            </w:r>
          </w:p>
        </w:tc>
        <w:tc>
          <w:tcPr>
            <w:tcW w:w="5386" w:type="dxa"/>
          </w:tcPr>
          <w:p w14:paraId="7BBBBD1D" w14:textId="03ABAAA7" w:rsidR="00E972F9" w:rsidRPr="007275C6" w:rsidRDefault="00E972F9" w:rsidP="00E972F9">
            <w:pPr>
              <w:pStyle w:val="TableText"/>
            </w:pPr>
            <w:r w:rsidRPr="007275C6">
              <w:t>Code of Practice: NT, SA, T</w:t>
            </w:r>
            <w:r w:rsidR="00242079" w:rsidRPr="007275C6">
              <w:t>as</w:t>
            </w:r>
            <w:r w:rsidR="2E250B04">
              <w:t>, ACT</w:t>
            </w:r>
          </w:p>
          <w:p w14:paraId="45EBF530" w14:textId="3FAF1C73" w:rsidR="462FB688" w:rsidRDefault="462FB688" w:rsidP="33659462">
            <w:pPr>
              <w:pStyle w:val="TableText"/>
            </w:pPr>
            <w:r>
              <w:t>Regulations: WA</w:t>
            </w:r>
          </w:p>
          <w:p w14:paraId="47094652" w14:textId="28C4B787" w:rsidR="00E972F9" w:rsidRPr="007275C6" w:rsidRDefault="00E972F9" w:rsidP="00E972F9">
            <w:pPr>
              <w:pStyle w:val="TableText"/>
            </w:pPr>
            <w:r w:rsidRPr="007275C6">
              <w:t xml:space="preserve">Ministerial direction/guideline: </w:t>
            </w:r>
            <w:r w:rsidR="1025A859">
              <w:t>V</w:t>
            </w:r>
            <w:r w:rsidR="00242079">
              <w:t>ic</w:t>
            </w:r>
            <w:r w:rsidR="1025A859">
              <w:t xml:space="preserve">, </w:t>
            </w:r>
            <w:r w:rsidR="4393B2CA">
              <w:t>NSW</w:t>
            </w:r>
          </w:p>
          <w:p w14:paraId="49DB9B5E" w14:textId="2954FE0E" w:rsidR="00E972F9" w:rsidRPr="007275C6" w:rsidRDefault="00E972F9" w:rsidP="00E972F9">
            <w:pPr>
              <w:pStyle w:val="TableText"/>
            </w:pPr>
            <w:r w:rsidRPr="007275C6">
              <w:t>Licen</w:t>
            </w:r>
            <w:r w:rsidR="00EA18C4">
              <w:t>ce Condition</w:t>
            </w:r>
            <w:r w:rsidRPr="007275C6">
              <w:t>: Q</w:t>
            </w:r>
            <w:r w:rsidR="00242079" w:rsidRPr="007275C6">
              <w:t>ld</w:t>
            </w:r>
          </w:p>
        </w:tc>
      </w:tr>
      <w:tr w:rsidR="00E972F9" w:rsidRPr="007275C6" w14:paraId="09990BAC" w14:textId="77777777" w:rsidTr="00CB7B11">
        <w:trPr>
          <w:cantSplit w:val="0"/>
        </w:trPr>
        <w:tc>
          <w:tcPr>
            <w:tcW w:w="3119" w:type="dxa"/>
          </w:tcPr>
          <w:p w14:paraId="3E7B581C" w14:textId="57AF73A4" w:rsidR="00E972F9" w:rsidRPr="007275C6" w:rsidRDefault="00E972F9" w:rsidP="00E972F9">
            <w:pPr>
              <w:pStyle w:val="TableText"/>
            </w:pPr>
            <w:r w:rsidRPr="007275C6">
              <w:t xml:space="preserve">Consistent </w:t>
            </w:r>
            <w:r w:rsidR="00242079" w:rsidRPr="007275C6">
              <w:t xml:space="preserve">gambling messaging </w:t>
            </w:r>
            <w:r w:rsidRPr="007275C6">
              <w:t xml:space="preserve">(Measure 8) </w:t>
            </w:r>
          </w:p>
        </w:tc>
        <w:tc>
          <w:tcPr>
            <w:tcW w:w="5386" w:type="dxa"/>
          </w:tcPr>
          <w:p w14:paraId="1CEFFCE5" w14:textId="757D367A" w:rsidR="00E972F9" w:rsidRPr="007275C6" w:rsidRDefault="00E972F9" w:rsidP="00E972F9">
            <w:pPr>
              <w:pStyle w:val="TableText"/>
            </w:pPr>
            <w:r w:rsidRPr="007275C6">
              <w:t>Code of Practice: NT, SA</w:t>
            </w:r>
            <w:r w:rsidR="641C93DB">
              <w:t>, T</w:t>
            </w:r>
            <w:r w:rsidR="00242079">
              <w:t>as</w:t>
            </w:r>
            <w:r w:rsidR="641C93DB">
              <w:t>, ACT</w:t>
            </w:r>
          </w:p>
          <w:p w14:paraId="2AE7B488" w14:textId="63F003E7" w:rsidR="166B13BA" w:rsidRDefault="641C93DB" w:rsidP="166B13BA">
            <w:pPr>
              <w:pStyle w:val="TableText"/>
            </w:pPr>
            <w:r>
              <w:t>Regulations: WA, NSW</w:t>
            </w:r>
          </w:p>
          <w:p w14:paraId="10D1DCE7" w14:textId="15999186" w:rsidR="006B3884" w:rsidRDefault="00E972F9" w:rsidP="00E972F9">
            <w:pPr>
              <w:pStyle w:val="TableText"/>
            </w:pPr>
            <w:r w:rsidRPr="007275C6">
              <w:t>Ministerial direction/guideline: V</w:t>
            </w:r>
            <w:r w:rsidR="00242079" w:rsidRPr="007275C6">
              <w:t>ic</w:t>
            </w:r>
          </w:p>
          <w:p w14:paraId="2326E466" w14:textId="31570D3A" w:rsidR="00E972F9" w:rsidRPr="007275C6" w:rsidRDefault="00E972F9" w:rsidP="00E972F9">
            <w:pPr>
              <w:pStyle w:val="TableText"/>
            </w:pPr>
            <w:r w:rsidRPr="007275C6">
              <w:t>Licen</w:t>
            </w:r>
            <w:r w:rsidR="00EA18C4">
              <w:t>ce Condition</w:t>
            </w:r>
            <w:r w:rsidRPr="007275C6">
              <w:t>: Q</w:t>
            </w:r>
            <w:r w:rsidR="00242079" w:rsidRPr="007275C6">
              <w:t>ld</w:t>
            </w:r>
          </w:p>
        </w:tc>
      </w:tr>
      <w:tr w:rsidR="0039005F" w:rsidRPr="007275C6" w14:paraId="6BD37638" w14:textId="77777777" w:rsidTr="00CB7B11">
        <w:trPr>
          <w:cantSplit w:val="0"/>
        </w:trPr>
        <w:tc>
          <w:tcPr>
            <w:tcW w:w="3119" w:type="dxa"/>
          </w:tcPr>
          <w:p w14:paraId="15B2A172" w14:textId="1B917F59" w:rsidR="0039005F" w:rsidRPr="007275C6" w:rsidRDefault="0034420A" w:rsidP="00E972F9">
            <w:pPr>
              <w:pStyle w:val="TableText"/>
            </w:pPr>
            <w:r>
              <w:t xml:space="preserve">Staff training </w:t>
            </w:r>
            <w:r w:rsidR="30B83D08">
              <w:t>– required unit of training</w:t>
            </w:r>
            <w:r>
              <w:t xml:space="preserve"> (Measure 9)</w:t>
            </w:r>
          </w:p>
        </w:tc>
        <w:tc>
          <w:tcPr>
            <w:tcW w:w="5386" w:type="dxa"/>
          </w:tcPr>
          <w:p w14:paraId="730C794D" w14:textId="60EE10C3" w:rsidR="004A0DF5" w:rsidRPr="004A0DF5" w:rsidRDefault="797A9124" w:rsidP="004A0DF5">
            <w:pPr>
              <w:pStyle w:val="TableText"/>
            </w:pPr>
            <w:r>
              <w:t>Code of Practice: NT, T</w:t>
            </w:r>
            <w:r w:rsidR="00242079">
              <w:t>as</w:t>
            </w:r>
            <w:r>
              <w:t>, ACT</w:t>
            </w:r>
          </w:p>
          <w:p w14:paraId="1A0CBCBC" w14:textId="2EE8444D" w:rsidR="004A0DF5" w:rsidRPr="004A0DF5" w:rsidRDefault="797A9124" w:rsidP="004A0DF5">
            <w:pPr>
              <w:pStyle w:val="TableText"/>
            </w:pPr>
            <w:r>
              <w:t>Regulations: WA</w:t>
            </w:r>
          </w:p>
          <w:p w14:paraId="24B74B49" w14:textId="115997B9" w:rsidR="004A0DF5" w:rsidRPr="004A0DF5" w:rsidRDefault="004A0DF5" w:rsidP="004A0DF5">
            <w:pPr>
              <w:pStyle w:val="TableText"/>
            </w:pPr>
            <w:r w:rsidRPr="004A0DF5">
              <w:t>Ministerial direction/guideline: V</w:t>
            </w:r>
            <w:r w:rsidR="00242079" w:rsidRPr="004A0DF5">
              <w:t>ic</w:t>
            </w:r>
            <w:r w:rsidRPr="004A0DF5">
              <w:t>, NSW, SA</w:t>
            </w:r>
          </w:p>
          <w:p w14:paraId="00E85362" w14:textId="0A7406B2" w:rsidR="0039005F" w:rsidRPr="007275C6" w:rsidRDefault="004A0DF5" w:rsidP="00E972F9">
            <w:pPr>
              <w:pStyle w:val="TableText"/>
            </w:pPr>
            <w:r w:rsidRPr="004A0DF5">
              <w:t>Licen</w:t>
            </w:r>
            <w:r w:rsidR="00EA18C4">
              <w:t>ce Condition</w:t>
            </w:r>
            <w:r w:rsidRPr="004A0DF5">
              <w:t>: Q</w:t>
            </w:r>
            <w:r w:rsidR="00242079" w:rsidRPr="004A0DF5">
              <w:t>ld</w:t>
            </w:r>
          </w:p>
        </w:tc>
      </w:tr>
      <w:tr w:rsidR="0039005F" w:rsidRPr="007275C6" w14:paraId="1A4AF46C" w14:textId="77777777" w:rsidTr="00CB7B11">
        <w:trPr>
          <w:cantSplit w:val="0"/>
        </w:trPr>
        <w:tc>
          <w:tcPr>
            <w:tcW w:w="3119" w:type="dxa"/>
          </w:tcPr>
          <w:p w14:paraId="75B2D9F0" w14:textId="1515C713" w:rsidR="0039005F" w:rsidRPr="007275C6" w:rsidRDefault="00BB748D" w:rsidP="00E972F9">
            <w:pPr>
              <w:pStyle w:val="TableText"/>
            </w:pPr>
            <w:r>
              <w:t>N</w:t>
            </w:r>
            <w:r w:rsidR="501C7044">
              <w:t xml:space="preserve">ational </w:t>
            </w:r>
            <w:r>
              <w:t>S</w:t>
            </w:r>
            <w:r w:rsidR="775B01AC">
              <w:t>elf-</w:t>
            </w:r>
            <w:r>
              <w:t>E</w:t>
            </w:r>
            <w:r w:rsidR="7BF86EA1">
              <w:t xml:space="preserve">xclusion </w:t>
            </w:r>
            <w:r>
              <w:t>R</w:t>
            </w:r>
            <w:r w:rsidR="12149BB2">
              <w:t>egister</w:t>
            </w:r>
            <w:r w:rsidR="005A77C0">
              <w:t xml:space="preserve"> – </w:t>
            </w:r>
            <w:proofErr w:type="spellStart"/>
            <w:r w:rsidR="005A77C0">
              <w:t>Betstop</w:t>
            </w:r>
            <w:proofErr w:type="spellEnd"/>
            <w:r>
              <w:t xml:space="preserve"> (Measure 10)</w:t>
            </w:r>
          </w:p>
        </w:tc>
        <w:tc>
          <w:tcPr>
            <w:tcW w:w="5386" w:type="dxa"/>
          </w:tcPr>
          <w:p w14:paraId="695FC665" w14:textId="6DB24A91" w:rsidR="0039005F" w:rsidRPr="00CB7B11" w:rsidRDefault="00BB748D" w:rsidP="00E972F9">
            <w:pPr>
              <w:pStyle w:val="TableText"/>
              <w:rPr>
                <w:i/>
                <w:iCs/>
              </w:rPr>
            </w:pPr>
            <w:proofErr w:type="spellStart"/>
            <w:r>
              <w:t>Cth</w:t>
            </w:r>
            <w:proofErr w:type="spellEnd"/>
            <w:r>
              <w:t xml:space="preserve">: </w:t>
            </w:r>
            <w:r>
              <w:rPr>
                <w:i/>
                <w:iCs/>
              </w:rPr>
              <w:t>Interactive Gambling Act 2001</w:t>
            </w:r>
          </w:p>
        </w:tc>
      </w:tr>
    </w:tbl>
    <w:p w14:paraId="44DF0FE6" w14:textId="46C53141" w:rsidR="1CFFBCB5" w:rsidRDefault="1CFFBCB5" w:rsidP="1CFFBCB5">
      <w:pPr>
        <w:pStyle w:val="TableText"/>
        <w:rPr>
          <w:rFonts w:eastAsia="Arial"/>
        </w:rPr>
      </w:pPr>
    </w:p>
    <w:p w14:paraId="771B7772" w14:textId="77777777" w:rsidR="00E80400" w:rsidRDefault="00E80400" w:rsidP="00E80400">
      <w:pPr>
        <w:pStyle w:val="AppendixHeading1"/>
      </w:pPr>
      <w:bookmarkStart w:id="185" w:name="AppendixG"/>
      <w:bookmarkStart w:id="186" w:name="_Toc233643334"/>
      <w:bookmarkEnd w:id="185"/>
      <w:r>
        <w:lastRenderedPageBreak/>
        <w:t>Appendix G: Environmental scan criteria for meeting minimum CGM requirements on websites and apps</w:t>
      </w:r>
      <w:bookmarkEnd w:id="186"/>
    </w:p>
    <w:p w14:paraId="73C24A9F" w14:textId="77777777" w:rsidR="00E80400" w:rsidRDefault="00E80400" w:rsidP="00E80400">
      <w:pPr>
        <w:pStyle w:val="AppendixHeading2"/>
        <w:rPr>
          <w:lang w:eastAsia="en-AU"/>
        </w:rPr>
      </w:pPr>
      <w:bookmarkStart w:id="187" w:name="_Toc233643335"/>
      <w:r>
        <w:rPr>
          <w:lang w:eastAsia="en-AU"/>
        </w:rPr>
        <w:t>Sample</w:t>
      </w:r>
      <w:bookmarkEnd w:id="187"/>
    </w:p>
    <w:p w14:paraId="7FB5997D" w14:textId="41F0F4E7" w:rsidR="00E80400" w:rsidRPr="00455A5B" w:rsidRDefault="00E80400" w:rsidP="00E80400">
      <w:pPr>
        <w:pStyle w:val="BodyText"/>
        <w:rPr>
          <w:color w:val="auto"/>
        </w:rPr>
      </w:pPr>
      <w:r w:rsidRPr="00455A5B">
        <w:rPr>
          <w:lang w:eastAsia="en-AU"/>
        </w:rPr>
        <w:t xml:space="preserve">The environmental scan </w:t>
      </w:r>
      <w:r>
        <w:rPr>
          <w:lang w:eastAsia="en-AU"/>
        </w:rPr>
        <w:t xml:space="preserve">was conducted with a sample </w:t>
      </w:r>
      <w:r w:rsidRPr="00455A5B">
        <w:rPr>
          <w:lang w:bidi="ar-SA"/>
        </w:rPr>
        <w:t xml:space="preserve">of </w:t>
      </w:r>
      <w:r>
        <w:rPr>
          <w:lang w:bidi="ar-SA"/>
        </w:rPr>
        <w:t xml:space="preserve">40 </w:t>
      </w:r>
      <w:r w:rsidRPr="00455A5B">
        <w:rPr>
          <w:lang w:bidi="ar-SA"/>
        </w:rPr>
        <w:t xml:space="preserve">licensed Australian </w:t>
      </w:r>
      <w:r>
        <w:rPr>
          <w:lang w:bidi="ar-SA"/>
        </w:rPr>
        <w:t>online WSP</w:t>
      </w:r>
      <w:r w:rsidRPr="00455A5B">
        <w:rPr>
          <w:lang w:bidi="ar-SA"/>
        </w:rPr>
        <w:t xml:space="preserve"> websites </w:t>
      </w:r>
      <w:r>
        <w:rPr>
          <w:lang w:bidi="ar-SA"/>
        </w:rPr>
        <w:t>(</w:t>
      </w:r>
      <w:r w:rsidRPr="007A60DE">
        <w:rPr>
          <w:i/>
          <w:iCs/>
          <w:lang w:bidi="ar-SA"/>
        </w:rPr>
        <w:t>n</w:t>
      </w:r>
      <w:r w:rsidR="002020D7">
        <w:rPr>
          <w:lang w:bidi="ar-SA"/>
        </w:rPr>
        <w:t xml:space="preserve"> </w:t>
      </w:r>
      <w:r>
        <w:rPr>
          <w:lang w:bidi="ar-SA"/>
        </w:rPr>
        <w:t>=</w:t>
      </w:r>
      <w:r w:rsidR="002020D7">
        <w:rPr>
          <w:lang w:bidi="ar-SA"/>
        </w:rPr>
        <w:t xml:space="preserve"> </w:t>
      </w:r>
      <w:r>
        <w:rPr>
          <w:lang w:bidi="ar-SA"/>
        </w:rPr>
        <w:t xml:space="preserve">20) </w:t>
      </w:r>
      <w:r w:rsidRPr="00455A5B">
        <w:rPr>
          <w:lang w:bidi="ar-SA"/>
        </w:rPr>
        <w:t xml:space="preserve">and mobile apps </w:t>
      </w:r>
      <w:r>
        <w:rPr>
          <w:lang w:bidi="ar-SA"/>
        </w:rPr>
        <w:t>(</w:t>
      </w:r>
      <w:r w:rsidRPr="007A60DE">
        <w:rPr>
          <w:i/>
          <w:iCs/>
          <w:lang w:bidi="ar-SA"/>
        </w:rPr>
        <w:t>n</w:t>
      </w:r>
      <w:r w:rsidR="002020D7">
        <w:rPr>
          <w:lang w:bidi="ar-SA"/>
        </w:rPr>
        <w:t xml:space="preserve"> </w:t>
      </w:r>
      <w:r>
        <w:rPr>
          <w:lang w:bidi="ar-SA"/>
        </w:rPr>
        <w:t>=</w:t>
      </w:r>
      <w:r w:rsidR="002020D7">
        <w:rPr>
          <w:lang w:bidi="ar-SA"/>
        </w:rPr>
        <w:t xml:space="preserve"> </w:t>
      </w:r>
      <w:r>
        <w:rPr>
          <w:lang w:bidi="ar-SA"/>
        </w:rPr>
        <w:t xml:space="preserve">20) and examined </w:t>
      </w:r>
      <w:r w:rsidRPr="00455A5B">
        <w:rPr>
          <w:lang w:eastAsia="en-AU"/>
        </w:rPr>
        <w:t>WSPs</w:t>
      </w:r>
      <w:r>
        <w:rPr>
          <w:lang w:eastAsia="en-AU"/>
        </w:rPr>
        <w:t>’ compliance with</w:t>
      </w:r>
      <w:r w:rsidRPr="00455A5B">
        <w:rPr>
          <w:lang w:eastAsia="en-AU"/>
        </w:rPr>
        <w:t xml:space="preserve"> implement</w:t>
      </w:r>
      <w:r>
        <w:rPr>
          <w:lang w:eastAsia="en-AU"/>
        </w:rPr>
        <w:t>ing</w:t>
      </w:r>
      <w:r w:rsidRPr="00455A5B">
        <w:rPr>
          <w:lang w:eastAsia="en-AU"/>
        </w:rPr>
        <w:t xml:space="preserve"> the </w:t>
      </w:r>
      <w:r w:rsidR="00C603EA" w:rsidRPr="00455A5B">
        <w:rPr>
          <w:lang w:eastAsia="en-AU"/>
        </w:rPr>
        <w:t>c</w:t>
      </w:r>
      <w:r w:rsidRPr="00455A5B">
        <w:rPr>
          <w:lang w:eastAsia="en-AU"/>
        </w:rPr>
        <w:t xml:space="preserve">onsistent </w:t>
      </w:r>
      <w:r w:rsidR="00C603EA" w:rsidRPr="00455A5B">
        <w:rPr>
          <w:lang w:eastAsia="en-AU"/>
        </w:rPr>
        <w:t xml:space="preserve">gambling messaging </w:t>
      </w:r>
      <w:r w:rsidRPr="00455A5B">
        <w:rPr>
          <w:lang w:eastAsia="en-AU"/>
        </w:rPr>
        <w:t>(CGM</w:t>
      </w:r>
      <w:r>
        <w:rPr>
          <w:lang w:eastAsia="en-AU"/>
        </w:rPr>
        <w:t>)</w:t>
      </w:r>
      <w:r w:rsidRPr="00455A5B">
        <w:rPr>
          <w:lang w:eastAsia="en-AU"/>
        </w:rPr>
        <w:t xml:space="preserve"> measure on their websites and apps</w:t>
      </w:r>
      <w:r>
        <w:rPr>
          <w:lang w:eastAsia="en-AU"/>
        </w:rPr>
        <w:t xml:space="preserve"> according to the </w:t>
      </w:r>
      <w:r w:rsidRPr="00455A5B">
        <w:rPr>
          <w:color w:val="auto"/>
        </w:rPr>
        <w:t xml:space="preserve">following guidelines: </w:t>
      </w:r>
    </w:p>
    <w:p w14:paraId="74CE479E" w14:textId="77777777" w:rsidR="00E80400" w:rsidRPr="00455A5B" w:rsidRDefault="00E80400" w:rsidP="00E80400">
      <w:pPr>
        <w:pStyle w:val="ListBullet"/>
        <w:rPr>
          <w:color w:val="auto"/>
        </w:rPr>
      </w:pPr>
      <w:hyperlink r:id="rId82" w:history="1">
        <w:r w:rsidRPr="00455A5B">
          <w:rPr>
            <w:rStyle w:val="Hyperlink"/>
          </w:rPr>
          <w:t>Consistent gambling messaging implementation plan</w:t>
        </w:r>
      </w:hyperlink>
      <w:r w:rsidRPr="00455A5B">
        <w:rPr>
          <w:color w:val="auto"/>
        </w:rPr>
        <w:t xml:space="preserve"> (DSS, 2022</w:t>
      </w:r>
      <w:r>
        <w:rPr>
          <w:color w:val="auto"/>
        </w:rPr>
        <w:t>a</w:t>
      </w:r>
      <w:r w:rsidRPr="00455A5B">
        <w:rPr>
          <w:color w:val="auto"/>
        </w:rPr>
        <w:t>)</w:t>
      </w:r>
    </w:p>
    <w:p w14:paraId="289E784E" w14:textId="2B443AB5" w:rsidR="00E80400" w:rsidRPr="00455A5B" w:rsidRDefault="00E80400" w:rsidP="00E80400">
      <w:pPr>
        <w:pStyle w:val="ListBullet"/>
      </w:pPr>
      <w:hyperlink r:id="rId83" w:history="1">
        <w:r w:rsidRPr="00455A5B">
          <w:rPr>
            <w:rStyle w:val="Hyperlink"/>
          </w:rPr>
          <w:t>Consistent Gambling Messaging Frequently Asked Questions</w:t>
        </w:r>
      </w:hyperlink>
      <w:r w:rsidRPr="00455A5B">
        <w:t xml:space="preserve"> (DSS, 202</w:t>
      </w:r>
      <w:r w:rsidR="008C1D9A">
        <w:t>4</w:t>
      </w:r>
      <w:r w:rsidRPr="00455A5B">
        <w:t>)</w:t>
      </w:r>
    </w:p>
    <w:p w14:paraId="6279FE35" w14:textId="738D0EF6" w:rsidR="00E80400" w:rsidRPr="00455A5B" w:rsidRDefault="00E80400" w:rsidP="00E80400">
      <w:pPr>
        <w:pStyle w:val="ListBullet"/>
      </w:pPr>
      <w:hyperlink r:id="rId84" w:history="1">
        <w:r w:rsidRPr="00455A5B">
          <w:rPr>
            <w:rStyle w:val="Hyperlink"/>
          </w:rPr>
          <w:t>Supplementary Factsheet Consistent gambling messaging</w:t>
        </w:r>
      </w:hyperlink>
      <w:r w:rsidRPr="00455A5B">
        <w:t xml:space="preserve"> – platform definitions and permitted taglines (DSS, </w:t>
      </w:r>
      <w:r w:rsidR="0054462A" w:rsidRPr="00455A5B">
        <w:t>2022</w:t>
      </w:r>
      <w:r w:rsidR="00472568">
        <w:t>b</w:t>
      </w:r>
      <w:r w:rsidRPr="00455A5B">
        <w:t>)</w:t>
      </w:r>
      <w:r w:rsidR="00C603EA">
        <w:t>.</w:t>
      </w:r>
    </w:p>
    <w:p w14:paraId="7D1A2818" w14:textId="77777777" w:rsidR="00E80400" w:rsidRDefault="00E80400" w:rsidP="00E80400">
      <w:pPr>
        <w:pStyle w:val="AppendixHeading2"/>
      </w:pPr>
      <w:bookmarkStart w:id="188" w:name="_Toc233643336"/>
      <w:r>
        <w:t>Criteria</w:t>
      </w:r>
      <w:bookmarkEnd w:id="188"/>
    </w:p>
    <w:p w14:paraId="6F810FAF" w14:textId="77777777" w:rsidR="00E80400" w:rsidRDefault="00E80400" w:rsidP="00E80400">
      <w:pPr>
        <w:pStyle w:val="BodyText"/>
        <w:rPr>
          <w:color w:val="auto"/>
        </w:rPr>
      </w:pPr>
      <w:r w:rsidRPr="00455A5B">
        <w:rPr>
          <w:color w:val="auto"/>
        </w:rPr>
        <w:t xml:space="preserve">The </w:t>
      </w:r>
      <w:r>
        <w:rPr>
          <w:color w:val="auto"/>
        </w:rPr>
        <w:t>criteria for meeting minimum CGM requirements on websites and apps are summarised in the table below.</w:t>
      </w:r>
    </w:p>
    <w:p w14:paraId="4543AD3A" w14:textId="3FA678FD" w:rsidR="00E80400" w:rsidRDefault="00E80400" w:rsidP="00E80400">
      <w:pPr>
        <w:pStyle w:val="TableCaption"/>
      </w:pPr>
      <w:r>
        <w:t xml:space="preserve">Table </w:t>
      </w:r>
      <w:r w:rsidR="00C603EA">
        <w:t>16</w:t>
      </w:r>
      <w:r>
        <w:t>: Criteria for meeting minimum CGM requirements on website and in</w:t>
      </w:r>
      <w:r w:rsidR="00C603EA">
        <w:t xml:space="preserve"> </w:t>
      </w:r>
      <w:r>
        <w:t>apps</w:t>
      </w:r>
    </w:p>
    <w:tbl>
      <w:tblPr>
        <w:tblStyle w:val="TableGrid50"/>
        <w:tblW w:w="8505" w:type="dxa"/>
        <w:tblLook w:val="04A0" w:firstRow="1" w:lastRow="0" w:firstColumn="1" w:lastColumn="0" w:noHBand="0" w:noVBand="1"/>
      </w:tblPr>
      <w:tblGrid>
        <w:gridCol w:w="4111"/>
        <w:gridCol w:w="4394"/>
      </w:tblGrid>
      <w:tr w:rsidR="00E80400" w:rsidRPr="00246C48" w14:paraId="4D905E98" w14:textId="77777777">
        <w:trPr>
          <w:cnfStyle w:val="100000000000" w:firstRow="1" w:lastRow="0" w:firstColumn="0" w:lastColumn="0" w:oddVBand="0" w:evenVBand="0" w:oddHBand="0" w:evenHBand="0" w:firstRowFirstColumn="0" w:firstRowLastColumn="0" w:lastRowFirstColumn="0" w:lastRowLastColumn="0"/>
          <w:trHeight w:val="271"/>
          <w:tblHeader/>
        </w:trPr>
        <w:tc>
          <w:tcPr>
            <w:tcW w:w="4111" w:type="dxa"/>
          </w:tcPr>
          <w:p w14:paraId="50595F43" w14:textId="77777777" w:rsidR="00E80400" w:rsidRPr="00246C48" w:rsidRDefault="00E80400">
            <w:pPr>
              <w:pStyle w:val="TableColHeadLeft"/>
              <w:keepNext w:val="0"/>
              <w:rPr>
                <w:szCs w:val="16"/>
              </w:rPr>
            </w:pPr>
            <w:r w:rsidRPr="00246C48">
              <w:t>Website</w:t>
            </w:r>
          </w:p>
        </w:tc>
        <w:tc>
          <w:tcPr>
            <w:tcW w:w="4394" w:type="dxa"/>
          </w:tcPr>
          <w:p w14:paraId="0FA87B56" w14:textId="6EE3FA64" w:rsidR="00E80400" w:rsidRPr="00246C48" w:rsidRDefault="00E80400">
            <w:pPr>
              <w:pStyle w:val="TableColHeadLeft"/>
              <w:keepNext w:val="0"/>
            </w:pPr>
            <w:r w:rsidRPr="00246C48">
              <w:t>In</w:t>
            </w:r>
            <w:r w:rsidR="00C603EA">
              <w:t xml:space="preserve"> a</w:t>
            </w:r>
            <w:r w:rsidR="00C603EA" w:rsidRPr="00246C48">
              <w:t>pp</w:t>
            </w:r>
          </w:p>
        </w:tc>
      </w:tr>
      <w:tr w:rsidR="00E80400" w:rsidRPr="00246C48" w14:paraId="5F2D760B" w14:textId="77777777">
        <w:tc>
          <w:tcPr>
            <w:tcW w:w="8505" w:type="dxa"/>
            <w:gridSpan w:val="2"/>
            <w:shd w:val="clear" w:color="auto" w:fill="D9D9D9" w:themeFill="background1" w:themeFillShade="D9"/>
          </w:tcPr>
          <w:p w14:paraId="3689CA95" w14:textId="4D814541" w:rsidR="00E80400" w:rsidRPr="00246C48" w:rsidRDefault="00E80400">
            <w:pPr>
              <w:pStyle w:val="TableHeading"/>
              <w:keepNext w:val="0"/>
              <w:jc w:val="center"/>
            </w:pPr>
            <w:r w:rsidRPr="00246C48">
              <w:t>Taglines must be present in</w:t>
            </w:r>
            <w:r w:rsidR="00C603EA">
              <w:t xml:space="preserve"> </w:t>
            </w:r>
            <w:r w:rsidRPr="00246C48">
              <w:t>…</w:t>
            </w:r>
          </w:p>
        </w:tc>
      </w:tr>
      <w:tr w:rsidR="00E80400" w:rsidRPr="00246C48" w14:paraId="1DCF94B6" w14:textId="77777777">
        <w:tc>
          <w:tcPr>
            <w:tcW w:w="4111" w:type="dxa"/>
            <w:tcBorders>
              <w:right w:val="dashSmallGap" w:sz="4" w:space="0" w:color="auto"/>
            </w:tcBorders>
          </w:tcPr>
          <w:p w14:paraId="6E165B83" w14:textId="77777777" w:rsidR="00E80400" w:rsidRPr="00246C48" w:rsidRDefault="00E80400">
            <w:pPr>
              <w:pStyle w:val="TableText"/>
              <w:keepNext w:val="0"/>
            </w:pPr>
            <w:proofErr w:type="gramStart"/>
            <w:r w:rsidRPr="00246C48">
              <w:rPr>
                <w:b/>
                <w:u w:val="single"/>
              </w:rPr>
              <w:t>all of</w:t>
            </w:r>
            <w:proofErr w:type="gramEnd"/>
            <w:r w:rsidRPr="00246C48">
              <w:t xml:space="preserve"> the following:</w:t>
            </w:r>
          </w:p>
          <w:p w14:paraId="6AC1906C" w14:textId="77777777" w:rsidR="00E80400" w:rsidRPr="00246C48" w:rsidRDefault="00E80400">
            <w:pPr>
              <w:pStyle w:val="TableBullet1"/>
              <w:keepNext w:val="0"/>
              <w:rPr>
                <w:szCs w:val="20"/>
              </w:rPr>
            </w:pPr>
            <w:r w:rsidRPr="00246C48">
              <w:rPr>
                <w:szCs w:val="20"/>
              </w:rPr>
              <w:t>Last frame of a rotating carousel</w:t>
            </w:r>
          </w:p>
          <w:p w14:paraId="1ECE655D" w14:textId="77777777" w:rsidR="00E80400" w:rsidRPr="00246C48" w:rsidRDefault="00E80400">
            <w:pPr>
              <w:pStyle w:val="TableBullet1"/>
              <w:keepNext w:val="0"/>
              <w:rPr>
                <w:szCs w:val="20"/>
              </w:rPr>
            </w:pPr>
            <w:r w:rsidRPr="00246C48">
              <w:rPr>
                <w:szCs w:val="20"/>
              </w:rPr>
              <w:t>Header/ footer of website</w:t>
            </w:r>
          </w:p>
          <w:p w14:paraId="6F136A5D" w14:textId="77777777" w:rsidR="00E80400" w:rsidRPr="00246C48" w:rsidRDefault="00E80400">
            <w:pPr>
              <w:pStyle w:val="TableBullet1"/>
              <w:keepNext w:val="0"/>
              <w:rPr>
                <w:szCs w:val="20"/>
              </w:rPr>
            </w:pPr>
            <w:r w:rsidRPr="00246C48">
              <w:rPr>
                <w:szCs w:val="20"/>
              </w:rPr>
              <w:t xml:space="preserve">Responsible gambling sections </w:t>
            </w:r>
          </w:p>
        </w:tc>
        <w:tc>
          <w:tcPr>
            <w:tcW w:w="4394" w:type="dxa"/>
            <w:tcBorders>
              <w:left w:val="dashSmallGap" w:sz="4" w:space="0" w:color="auto"/>
            </w:tcBorders>
          </w:tcPr>
          <w:p w14:paraId="56E459DC" w14:textId="77777777" w:rsidR="00E80400" w:rsidRPr="00246C48" w:rsidRDefault="00E80400">
            <w:pPr>
              <w:pStyle w:val="TableText"/>
              <w:keepNext w:val="0"/>
            </w:pPr>
            <w:r w:rsidRPr="00246C48">
              <w:t xml:space="preserve">at </w:t>
            </w:r>
            <w:r w:rsidRPr="00246C48">
              <w:rPr>
                <w:b/>
                <w:bCs/>
                <w:u w:val="single"/>
              </w:rPr>
              <w:t>least one</w:t>
            </w:r>
            <w:r w:rsidRPr="00246C48">
              <w:rPr>
                <w:b/>
                <w:bCs/>
              </w:rPr>
              <w:t xml:space="preserve"> </w:t>
            </w:r>
            <w:r w:rsidRPr="00246C48">
              <w:t>of the following:</w:t>
            </w:r>
          </w:p>
          <w:p w14:paraId="1158324E" w14:textId="77777777" w:rsidR="00E80400" w:rsidRPr="00246C48" w:rsidRDefault="00E80400">
            <w:pPr>
              <w:pStyle w:val="TableBullet1"/>
              <w:keepNext w:val="0"/>
              <w:rPr>
                <w:szCs w:val="20"/>
              </w:rPr>
            </w:pPr>
            <w:r w:rsidRPr="00246C48">
              <w:rPr>
                <w:szCs w:val="20"/>
              </w:rPr>
              <w:t>Rotating carousel (any frame)</w:t>
            </w:r>
          </w:p>
          <w:p w14:paraId="7F8E8498" w14:textId="77777777" w:rsidR="00E80400" w:rsidRPr="00246C48" w:rsidRDefault="00E80400">
            <w:pPr>
              <w:pStyle w:val="TableBullet1"/>
              <w:keepNext w:val="0"/>
              <w:rPr>
                <w:szCs w:val="20"/>
              </w:rPr>
            </w:pPr>
            <w:r w:rsidRPr="00246C48">
              <w:rPr>
                <w:szCs w:val="20"/>
              </w:rPr>
              <w:t>Bottom of home page</w:t>
            </w:r>
          </w:p>
          <w:p w14:paraId="1981A625" w14:textId="77777777" w:rsidR="00E80400" w:rsidRPr="00246C48" w:rsidRDefault="00E80400">
            <w:pPr>
              <w:pStyle w:val="TableBullet1"/>
              <w:keepNext w:val="0"/>
              <w:rPr>
                <w:szCs w:val="20"/>
              </w:rPr>
            </w:pPr>
            <w:r w:rsidRPr="00246C48">
              <w:rPr>
                <w:szCs w:val="20"/>
              </w:rPr>
              <w:t>Below bet slip section</w:t>
            </w:r>
          </w:p>
        </w:tc>
      </w:tr>
      <w:tr w:rsidR="00E80400" w:rsidRPr="00246C48" w14:paraId="7FC3B503" w14:textId="77777777">
        <w:tc>
          <w:tcPr>
            <w:tcW w:w="8505" w:type="dxa"/>
            <w:gridSpan w:val="2"/>
            <w:shd w:val="clear" w:color="auto" w:fill="D9D9D9" w:themeFill="background1" w:themeFillShade="D9"/>
          </w:tcPr>
          <w:p w14:paraId="3F88D798" w14:textId="0ECA3CF5" w:rsidR="00E80400" w:rsidRPr="00246C48" w:rsidRDefault="00E80400">
            <w:pPr>
              <w:pStyle w:val="TableHeading"/>
              <w:keepNext w:val="0"/>
              <w:jc w:val="center"/>
            </w:pPr>
            <w:r w:rsidRPr="00246C48">
              <w:t xml:space="preserve">Use one of the </w:t>
            </w:r>
            <w:r w:rsidR="00FE108C">
              <w:t>6</w:t>
            </w:r>
            <w:r w:rsidRPr="00246C48">
              <w:t xml:space="preserve"> following taglines for websites and apps:</w:t>
            </w:r>
          </w:p>
        </w:tc>
      </w:tr>
      <w:tr w:rsidR="00E80400" w:rsidRPr="00246C48" w14:paraId="1AC5BCF1" w14:textId="77777777">
        <w:trPr>
          <w:trHeight w:val="1400"/>
        </w:trPr>
        <w:tc>
          <w:tcPr>
            <w:tcW w:w="8505" w:type="dxa"/>
            <w:gridSpan w:val="2"/>
          </w:tcPr>
          <w:p w14:paraId="12042948" w14:textId="77777777" w:rsidR="00E80400" w:rsidRPr="00246C48" w:rsidRDefault="00E80400">
            <w:pPr>
              <w:pStyle w:val="TableNumber1"/>
              <w:keepNext w:val="0"/>
              <w:numPr>
                <w:ilvl w:val="0"/>
                <w:numId w:val="50"/>
              </w:numPr>
            </w:pPr>
            <w:r w:rsidRPr="00246C48">
              <w:t>Chances are you’re about to lose</w:t>
            </w:r>
          </w:p>
          <w:p w14:paraId="44B065EE" w14:textId="77777777" w:rsidR="00E80400" w:rsidRPr="00246C48" w:rsidRDefault="00E80400">
            <w:pPr>
              <w:pStyle w:val="TableNumber1"/>
              <w:keepNext w:val="0"/>
              <w:numPr>
                <w:ilvl w:val="0"/>
                <w:numId w:val="50"/>
              </w:numPr>
            </w:pPr>
            <w:r w:rsidRPr="00246C48">
              <w:t>Think. Is this a bet you really want to place?</w:t>
            </w:r>
          </w:p>
          <w:p w14:paraId="3E432CD5" w14:textId="77777777" w:rsidR="00E80400" w:rsidRPr="00246C48" w:rsidRDefault="00E80400">
            <w:pPr>
              <w:pStyle w:val="TableNumber1"/>
              <w:keepNext w:val="0"/>
              <w:numPr>
                <w:ilvl w:val="0"/>
                <w:numId w:val="50"/>
              </w:numPr>
            </w:pPr>
            <w:r w:rsidRPr="00246C48">
              <w:t>What’s gambling really costing you?</w:t>
            </w:r>
          </w:p>
          <w:p w14:paraId="321BCB42" w14:textId="77777777" w:rsidR="00E80400" w:rsidRPr="00246C48" w:rsidRDefault="00E80400">
            <w:pPr>
              <w:pStyle w:val="TableNumber1"/>
              <w:keepNext w:val="0"/>
              <w:numPr>
                <w:ilvl w:val="0"/>
                <w:numId w:val="50"/>
              </w:numPr>
            </w:pPr>
            <w:r w:rsidRPr="00246C48">
              <w:t>What are you prepared to lose today? Set a deposit limit.</w:t>
            </w:r>
          </w:p>
          <w:p w14:paraId="6F5181AF" w14:textId="77777777" w:rsidR="00E80400" w:rsidRPr="00246C48" w:rsidRDefault="00E80400">
            <w:pPr>
              <w:pStyle w:val="TableNumber1"/>
              <w:keepNext w:val="0"/>
              <w:numPr>
                <w:ilvl w:val="0"/>
                <w:numId w:val="50"/>
              </w:numPr>
            </w:pPr>
            <w:r w:rsidRPr="00246C48">
              <w:t xml:space="preserve">Imagine what you could </w:t>
            </w:r>
            <w:proofErr w:type="gramStart"/>
            <w:r w:rsidRPr="00246C48">
              <w:t>be buying</w:t>
            </w:r>
            <w:proofErr w:type="gramEnd"/>
            <w:r w:rsidRPr="00246C48">
              <w:t xml:space="preserve"> instead.</w:t>
            </w:r>
          </w:p>
          <w:p w14:paraId="24E90732" w14:textId="77777777" w:rsidR="00E80400" w:rsidRPr="00246C48" w:rsidRDefault="00E80400">
            <w:pPr>
              <w:pStyle w:val="TableNumber1"/>
              <w:keepNext w:val="0"/>
              <w:numPr>
                <w:ilvl w:val="0"/>
                <w:numId w:val="50"/>
              </w:numPr>
            </w:pPr>
            <w:r w:rsidRPr="00246C48">
              <w:t>What are you really gambling with?</w:t>
            </w:r>
          </w:p>
        </w:tc>
      </w:tr>
      <w:tr w:rsidR="00E80400" w:rsidRPr="00246C48" w14:paraId="02D06535" w14:textId="77777777">
        <w:tc>
          <w:tcPr>
            <w:tcW w:w="8505" w:type="dxa"/>
            <w:gridSpan w:val="2"/>
            <w:shd w:val="clear" w:color="auto" w:fill="D9D9D9" w:themeFill="background1" w:themeFillShade="D9"/>
          </w:tcPr>
          <w:p w14:paraId="2EEE30BC" w14:textId="58BFC55F" w:rsidR="00E80400" w:rsidRPr="00246C48" w:rsidRDefault="00E80400">
            <w:pPr>
              <w:pStyle w:val="TableHeading"/>
              <w:keepNext w:val="0"/>
              <w:jc w:val="center"/>
            </w:pPr>
            <w:r w:rsidRPr="00246C48">
              <w:t>Taglines must</w:t>
            </w:r>
            <w:r w:rsidR="00F61783">
              <w:t xml:space="preserve"> </w:t>
            </w:r>
            <w:r w:rsidRPr="00246C48">
              <w:t>…</w:t>
            </w:r>
          </w:p>
        </w:tc>
      </w:tr>
      <w:tr w:rsidR="00E80400" w:rsidRPr="00246C48" w14:paraId="1211D2DC" w14:textId="77777777">
        <w:tc>
          <w:tcPr>
            <w:tcW w:w="4111" w:type="dxa"/>
            <w:tcBorders>
              <w:right w:val="dashSmallGap" w:sz="4" w:space="0" w:color="auto"/>
            </w:tcBorders>
          </w:tcPr>
          <w:p w14:paraId="0FC74B9E" w14:textId="77777777" w:rsidR="00E80400" w:rsidRPr="00246C48" w:rsidRDefault="00E80400">
            <w:pPr>
              <w:pStyle w:val="TableText"/>
              <w:keepNext w:val="0"/>
            </w:pPr>
            <w:r w:rsidRPr="00246C48">
              <w:t>be accompanied with the standard call to action:</w:t>
            </w:r>
          </w:p>
          <w:p w14:paraId="6BACAA10" w14:textId="02450928" w:rsidR="00E80400" w:rsidRPr="00246C48" w:rsidRDefault="00F61783">
            <w:pPr>
              <w:pStyle w:val="TableText"/>
              <w:keepNext w:val="0"/>
            </w:pPr>
            <w:r>
              <w:rPr>
                <w:i/>
              </w:rPr>
              <w:t>‘</w:t>
            </w:r>
            <w:r w:rsidR="00E80400" w:rsidRPr="00246C48">
              <w:rPr>
                <w:i/>
              </w:rPr>
              <w:t>For free and confidential support call 1800 858 858 or visit gamblinghelponline.org.au</w:t>
            </w:r>
            <w:r>
              <w:rPr>
                <w:i/>
              </w:rPr>
              <w:t>’</w:t>
            </w:r>
          </w:p>
        </w:tc>
        <w:tc>
          <w:tcPr>
            <w:tcW w:w="4394" w:type="dxa"/>
            <w:tcBorders>
              <w:left w:val="dashSmallGap" w:sz="4" w:space="0" w:color="auto"/>
            </w:tcBorders>
          </w:tcPr>
          <w:p w14:paraId="5A052B76" w14:textId="01C902E6" w:rsidR="00E80400" w:rsidRPr="00246C48" w:rsidRDefault="00E80400">
            <w:pPr>
              <w:pStyle w:val="TableText"/>
              <w:keepNext w:val="0"/>
            </w:pPr>
            <w:r w:rsidRPr="00246C48">
              <w:t xml:space="preserve">be accompanied </w:t>
            </w:r>
            <w:r w:rsidR="00364DAD">
              <w:t xml:space="preserve">by the </w:t>
            </w:r>
            <w:r w:rsidRPr="00246C48">
              <w:t>shortened call to action:</w:t>
            </w:r>
          </w:p>
          <w:p w14:paraId="13612D41" w14:textId="2F16EE27" w:rsidR="00E80400" w:rsidRPr="00246C48" w:rsidRDefault="00F61783">
            <w:pPr>
              <w:pStyle w:val="TableText"/>
              <w:keepNext w:val="0"/>
            </w:pPr>
            <w:r>
              <w:rPr>
                <w:i/>
              </w:rPr>
              <w:t>‘</w:t>
            </w:r>
            <w:r w:rsidR="00E80400" w:rsidRPr="00246C48">
              <w:rPr>
                <w:i/>
              </w:rPr>
              <w:t>Set a deposit limit</w:t>
            </w:r>
            <w:r>
              <w:rPr>
                <w:i/>
              </w:rPr>
              <w:t>’</w:t>
            </w:r>
          </w:p>
        </w:tc>
      </w:tr>
      <w:tr w:rsidR="00E80400" w:rsidRPr="00246C48" w14:paraId="3D3DCDC6" w14:textId="77777777">
        <w:tc>
          <w:tcPr>
            <w:tcW w:w="4111" w:type="dxa"/>
            <w:tcBorders>
              <w:right w:val="dashSmallGap" w:sz="4" w:space="0" w:color="auto"/>
            </w:tcBorders>
          </w:tcPr>
          <w:p w14:paraId="50D2F6E5" w14:textId="341304F8" w:rsidR="00E80400" w:rsidRPr="00246C48" w:rsidRDefault="00F61783">
            <w:pPr>
              <w:pStyle w:val="TableText"/>
              <w:keepNext w:val="0"/>
            </w:pPr>
            <w:proofErr w:type="spellStart"/>
            <w:r>
              <w:t>s</w:t>
            </w:r>
            <w:r w:rsidRPr="00246C48">
              <w:t>tand</w:t>
            </w:r>
            <w:r>
              <w:t xml:space="preserve"> </w:t>
            </w:r>
            <w:r w:rsidR="00E80400" w:rsidRPr="00246C48">
              <w:t>alone</w:t>
            </w:r>
            <w:proofErr w:type="spellEnd"/>
            <w:r w:rsidR="00E80400" w:rsidRPr="00246C48">
              <w:t xml:space="preserve"> from other material on the website to be clearly visible and </w:t>
            </w:r>
            <w:r>
              <w:t xml:space="preserve">to </w:t>
            </w:r>
            <w:r w:rsidR="00E80400" w:rsidRPr="00246C48">
              <w:t>not be confused with material related to wagering.</w:t>
            </w:r>
          </w:p>
        </w:tc>
        <w:tc>
          <w:tcPr>
            <w:tcW w:w="4394" w:type="dxa"/>
            <w:tcBorders>
              <w:left w:val="dashSmallGap" w:sz="4" w:space="0" w:color="auto"/>
            </w:tcBorders>
            <w:shd w:val="clear" w:color="auto" w:fill="BFBFBF" w:themeFill="background1" w:themeFillShade="BF"/>
          </w:tcPr>
          <w:p w14:paraId="48569924" w14:textId="77777777" w:rsidR="00E80400" w:rsidRPr="00246C48" w:rsidRDefault="00E80400">
            <w:pPr>
              <w:spacing w:before="0" w:line="240" w:lineRule="auto"/>
              <w:contextualSpacing/>
              <w:jc w:val="left"/>
              <w:rPr>
                <w:rFonts w:eastAsia="Times New Roman"/>
                <w:szCs w:val="20"/>
              </w:rPr>
            </w:pPr>
          </w:p>
        </w:tc>
      </w:tr>
      <w:tr w:rsidR="00E80400" w:rsidRPr="00246C48" w14:paraId="7B380B0C" w14:textId="77777777">
        <w:tc>
          <w:tcPr>
            <w:tcW w:w="8505" w:type="dxa"/>
            <w:gridSpan w:val="2"/>
          </w:tcPr>
          <w:p w14:paraId="070BFAA7" w14:textId="77777777" w:rsidR="00E80400" w:rsidRPr="00246C48" w:rsidRDefault="00E80400">
            <w:pPr>
              <w:pStyle w:val="TableText"/>
              <w:keepNext w:val="0"/>
            </w:pPr>
            <w:r w:rsidRPr="00246C48">
              <w:t>be presented in</w:t>
            </w:r>
          </w:p>
          <w:p w14:paraId="719B8459" w14:textId="4D600F28" w:rsidR="00E80400" w:rsidRPr="00246C48" w:rsidRDefault="00E80400">
            <w:pPr>
              <w:pStyle w:val="TableNumber1"/>
              <w:keepNext w:val="0"/>
              <w:numPr>
                <w:ilvl w:val="0"/>
                <w:numId w:val="51"/>
              </w:numPr>
            </w:pPr>
            <w:r w:rsidRPr="00246C48">
              <w:t>a clear, easy</w:t>
            </w:r>
            <w:r w:rsidR="00F61783">
              <w:t>-</w:t>
            </w:r>
            <w:r w:rsidRPr="00246C48">
              <w:t>to</w:t>
            </w:r>
            <w:r w:rsidR="00F61783">
              <w:t>-</w:t>
            </w:r>
            <w:r w:rsidRPr="00246C48">
              <w:t>read text with the largest possible font consistent across the whole message</w:t>
            </w:r>
          </w:p>
          <w:p w14:paraId="7631468F" w14:textId="77777777" w:rsidR="00E80400" w:rsidRPr="00246C48" w:rsidRDefault="00E80400">
            <w:pPr>
              <w:pStyle w:val="TableNumber1"/>
              <w:keepNext w:val="0"/>
              <w:numPr>
                <w:ilvl w:val="0"/>
                <w:numId w:val="51"/>
              </w:numPr>
            </w:pPr>
            <w:r w:rsidRPr="00246C48">
              <w:t>black text on a white background</w:t>
            </w:r>
          </w:p>
          <w:p w14:paraId="5B6CE272" w14:textId="79325482" w:rsidR="00E80400" w:rsidRPr="00246C48" w:rsidRDefault="00E80400">
            <w:pPr>
              <w:pStyle w:val="TableNumber1"/>
              <w:keepNext w:val="0"/>
              <w:numPr>
                <w:ilvl w:val="0"/>
                <w:numId w:val="51"/>
              </w:numPr>
            </w:pPr>
            <w:r w:rsidRPr="00246C48">
              <w:t>take up at least one</w:t>
            </w:r>
            <w:r w:rsidR="00F61783">
              <w:t>-</w:t>
            </w:r>
            <w:r w:rsidRPr="00246C48">
              <w:t xml:space="preserve">third of the message space (tagline and call to </w:t>
            </w:r>
            <w:proofErr w:type="gramStart"/>
            <w:r w:rsidRPr="00246C48">
              <w:t>action each</w:t>
            </w:r>
            <w:proofErr w:type="gramEnd"/>
            <w:r w:rsidRPr="00246C48">
              <w:t>)</w:t>
            </w:r>
            <w:r w:rsidR="00F61783">
              <w:t>.</w:t>
            </w:r>
          </w:p>
        </w:tc>
      </w:tr>
    </w:tbl>
    <w:p w14:paraId="300CD12F" w14:textId="5E48FC27" w:rsidR="00E80400" w:rsidRDefault="00E80400" w:rsidP="00E80400">
      <w:pPr>
        <w:pStyle w:val="AppendixHeading2"/>
      </w:pPr>
      <w:bookmarkStart w:id="189" w:name="_Toc233643337"/>
      <w:r>
        <w:lastRenderedPageBreak/>
        <w:t xml:space="preserve">Detailed </w:t>
      </w:r>
      <w:r w:rsidR="00F61783">
        <w:t>f</w:t>
      </w:r>
      <w:r>
        <w:t>indings</w:t>
      </w:r>
      <w:bookmarkEnd w:id="189"/>
    </w:p>
    <w:p w14:paraId="76C1BB6F" w14:textId="7ABDB345" w:rsidR="00E80400" w:rsidRPr="00843A16" w:rsidRDefault="00E80400" w:rsidP="00E80400">
      <w:pPr>
        <w:pStyle w:val="BodyText"/>
      </w:pPr>
      <w:r w:rsidRPr="00843A16">
        <w:t xml:space="preserve">Four of the 7 non-compliant websites were non-compliant due to a missing tagline in a static PDF on responsible gambling pages rather than a live webpage. All live html webpages analysed were compliant in this area, indicating that there is a lack of clarity among WSPs around static documents. </w:t>
      </w:r>
      <w:r>
        <w:t>Comparatively, o</w:t>
      </w:r>
      <w:r w:rsidRPr="00843A16">
        <w:t xml:space="preserve">nly 1 out of the 13 (7.7%) non-compliant apps failed to meet </w:t>
      </w:r>
      <w:r>
        <w:t xml:space="preserve">these </w:t>
      </w:r>
      <w:r w:rsidRPr="00843A16">
        <w:t>tagline placement requirements</w:t>
      </w:r>
      <w:r>
        <w:t>. This difference in compliance</w:t>
      </w:r>
      <w:r w:rsidRPr="00843A16">
        <w:t xml:space="preserve"> </w:t>
      </w:r>
      <w:r>
        <w:t xml:space="preserve">may </w:t>
      </w:r>
      <w:r w:rsidRPr="00843A16">
        <w:t xml:space="preserve">reflect the </w:t>
      </w:r>
      <w:r>
        <w:t>difficulty in complying with varying</w:t>
      </w:r>
      <w:r w:rsidRPr="00843A16">
        <w:t xml:space="preserve"> requirements for </w:t>
      </w:r>
      <w:r>
        <w:t xml:space="preserve">implementing CGM on different </w:t>
      </w:r>
      <w:r w:rsidRPr="00843A16">
        <w:t>platform</w:t>
      </w:r>
      <w:r>
        <w:t>s</w:t>
      </w:r>
      <w:r w:rsidRPr="00843A16">
        <w:t xml:space="preserve">. </w:t>
      </w:r>
      <w:r>
        <w:t>Twelve</w:t>
      </w:r>
      <w:r w:rsidRPr="00843A16">
        <w:t xml:space="preserve"> out of the 13 apps used the incorrect call to action, with all 12 apps using the standard-length call to action (</w:t>
      </w:r>
      <w:r w:rsidR="000C74EB">
        <w:t>‘</w:t>
      </w:r>
      <w:r w:rsidRPr="00843A16">
        <w:rPr>
          <w:i/>
          <w:iCs/>
        </w:rPr>
        <w:t>For free and confidential support call 1800 858 858 or visit gamblinghelponline.org.au</w:t>
      </w:r>
      <w:r w:rsidR="000C74EB">
        <w:rPr>
          <w:i/>
          <w:iCs/>
        </w:rPr>
        <w:t>’</w:t>
      </w:r>
      <w:r w:rsidRPr="00843A16">
        <w:rPr>
          <w:i/>
          <w:iCs/>
        </w:rPr>
        <w:t>)</w:t>
      </w:r>
      <w:r w:rsidRPr="00843A16">
        <w:t xml:space="preserve"> instead of the shortened call to action (</w:t>
      </w:r>
      <w:r w:rsidR="000C74EB">
        <w:t>‘</w:t>
      </w:r>
      <w:r w:rsidRPr="00843A16">
        <w:rPr>
          <w:i/>
          <w:iCs/>
        </w:rPr>
        <w:t>Set a deposit limit</w:t>
      </w:r>
      <w:r w:rsidR="000C74EB">
        <w:rPr>
          <w:i/>
          <w:iCs/>
        </w:rPr>
        <w:t>’</w:t>
      </w:r>
      <w:r w:rsidRPr="00843A16">
        <w:t>) as required for apps.</w:t>
      </w:r>
    </w:p>
    <w:p w14:paraId="0140767B" w14:textId="77777777" w:rsidR="00E80400" w:rsidRPr="00843A16" w:rsidRDefault="00E80400" w:rsidP="00E80400">
      <w:pPr>
        <w:pStyle w:val="BodyText"/>
      </w:pPr>
      <w:r>
        <w:t>Three</w:t>
      </w:r>
      <w:r w:rsidRPr="00843A16">
        <w:t xml:space="preserve"> apps and 3 websites were non-compliant due to presenting taglines with black text on a white background. The NCPF </w:t>
      </w:r>
      <w:r>
        <w:t xml:space="preserve">environmental scan </w:t>
      </w:r>
      <w:r w:rsidRPr="00843A16">
        <w:t xml:space="preserve">allowed an exception for the use of blue font text where a hyperlink </w:t>
      </w:r>
      <w:r>
        <w:t xml:space="preserve">to consumer protection tools </w:t>
      </w:r>
      <w:r w:rsidRPr="00843A16">
        <w:t xml:space="preserve">was used in the call to action. </w:t>
      </w:r>
      <w:r>
        <w:t>This design principle improves consumer accessibility to protection tools.</w:t>
      </w:r>
    </w:p>
    <w:p w14:paraId="210E088E" w14:textId="31EA7C60" w:rsidR="00E80400" w:rsidRPr="00843A16" w:rsidRDefault="00E80400" w:rsidP="00E80400">
      <w:pPr>
        <w:pStyle w:val="BodyText"/>
      </w:pPr>
      <w:r w:rsidRPr="00843A16">
        <w:t>The CGM implementation plan (DSS, 202</w:t>
      </w:r>
      <w:r w:rsidR="008C1D9A">
        <w:t>2a</w:t>
      </w:r>
      <w:r w:rsidRPr="00843A16">
        <w:t xml:space="preserve">) and the FAQs updated in November 2024 (DSS, 2024) require that the tagline and call to action combined should occupy </w:t>
      </w:r>
      <w:r>
        <w:t>two-thirds</w:t>
      </w:r>
      <w:r w:rsidRPr="00843A16">
        <w:t xml:space="preserve"> or 66.7% of the screen at a minimum. None of the 39 taglines on the body of the homepages of </w:t>
      </w:r>
      <w:r>
        <w:t xml:space="preserve">the </w:t>
      </w:r>
      <w:r w:rsidRPr="00843A16">
        <w:t xml:space="preserve">scanned products occupied </w:t>
      </w:r>
      <w:proofErr w:type="gramStart"/>
      <w:r w:rsidRPr="00843A16">
        <w:t>the majority of</w:t>
      </w:r>
      <w:proofErr w:type="gramEnd"/>
      <w:r w:rsidRPr="00843A16">
        <w:t xml:space="preserve"> the screen on either </w:t>
      </w:r>
      <w:r w:rsidRPr="00530AC4">
        <w:t>apps</w:t>
      </w:r>
      <w:r w:rsidRPr="00843A16">
        <w:t xml:space="preserve"> or websites. On average</w:t>
      </w:r>
      <w:r>
        <w:t>,</w:t>
      </w:r>
      <w:r w:rsidRPr="00843A16">
        <w:t xml:space="preserve"> the tagline and call to action text combined occupied just 1.57% of the screen.</w:t>
      </w:r>
    </w:p>
    <w:p w14:paraId="34BF1977" w14:textId="37764761" w:rsidR="008F48D0" w:rsidRPr="00EA0DF4" w:rsidRDefault="008F48D0" w:rsidP="00E972F9">
      <w:pPr>
        <w:pStyle w:val="TableText"/>
        <w:rPr>
          <w:rFonts w:eastAsia="Arial"/>
        </w:rPr>
      </w:pPr>
    </w:p>
    <w:sectPr w:rsidR="008F48D0" w:rsidRPr="00EA0DF4" w:rsidSect="00890D7F">
      <w:pgSz w:w="11901" w:h="16840"/>
      <w:pgMar w:top="1418" w:right="1701" w:bottom="1418" w:left="1701" w:header="680" w:footer="68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945D" w14:textId="77777777" w:rsidR="00E34548" w:rsidRPr="00843A16" w:rsidRDefault="00E34548" w:rsidP="008C3543">
      <w:pPr>
        <w:spacing w:before="0" w:line="240" w:lineRule="auto"/>
      </w:pPr>
      <w:r w:rsidRPr="00843A16">
        <w:separator/>
      </w:r>
    </w:p>
  </w:endnote>
  <w:endnote w:type="continuationSeparator" w:id="0">
    <w:p w14:paraId="762C4F75" w14:textId="77777777" w:rsidR="00E34548" w:rsidRPr="00843A16" w:rsidRDefault="00E34548" w:rsidP="008C3543">
      <w:pPr>
        <w:spacing w:before="0" w:line="240" w:lineRule="auto"/>
      </w:pPr>
      <w:r w:rsidRPr="00843A16">
        <w:continuationSeparator/>
      </w:r>
    </w:p>
  </w:endnote>
  <w:endnote w:type="continuationNotice" w:id="1">
    <w:p w14:paraId="69539120" w14:textId="77777777" w:rsidR="00E34548" w:rsidRPr="00843A16" w:rsidRDefault="00E3454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auhaus 93">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80679" w14:textId="41F36BA3" w:rsidR="00DB353D" w:rsidRDefault="004279E3" w:rsidP="002D5AA6">
    <w:pPr>
      <w:pStyle w:val="Footer"/>
      <w:jc w:val="center"/>
    </w:pPr>
    <w:r>
      <w:fldChar w:fldCharType="begin"/>
    </w:r>
    <w:r>
      <w:instrText xml:space="preserve"> PAGE   \* MERGEFORMAT </w:instrText>
    </w:r>
    <w:r>
      <w:fldChar w:fldCharType="separate"/>
    </w:r>
    <w:r>
      <w:t>4</w:t>
    </w:r>
    <w:r>
      <w:rPr>
        <w:noProof/>
      </w:rPr>
      <w:fldChar w:fldCharType="end"/>
    </w:r>
    <w:r>
      <w:tab/>
    </w:r>
    <w:r w:rsidR="00B9061F">
      <w:t>Australian Institute of Family Studies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D681" w14:textId="3CD11DE2" w:rsidR="008559C3" w:rsidRDefault="00B9061F" w:rsidP="007A4C54">
    <w:pPr>
      <w:pStyle w:val="Footer"/>
      <w:jc w:val="center"/>
    </w:pPr>
    <w:r>
      <w:t>Australian Institute of Family Studies</w:t>
    </w:r>
    <w:r w:rsidR="007A4C54">
      <w:tab/>
    </w:r>
    <w:r w:rsidR="000E4350" w:rsidRPr="00526EC6">
      <w:rPr>
        <w:rStyle w:val="PageNumber"/>
      </w:rPr>
      <w:fldChar w:fldCharType="begin"/>
    </w:r>
    <w:r w:rsidR="000E4350" w:rsidRPr="00526EC6">
      <w:rPr>
        <w:rStyle w:val="PageNumber"/>
      </w:rPr>
      <w:instrText xml:space="preserve"> PAGE </w:instrText>
    </w:r>
    <w:r w:rsidR="000E4350" w:rsidRPr="00526EC6">
      <w:rPr>
        <w:rStyle w:val="PageNumber"/>
      </w:rPr>
      <w:fldChar w:fldCharType="separate"/>
    </w:r>
    <w:r w:rsidR="000E4350">
      <w:rPr>
        <w:rStyle w:val="PageNumber"/>
      </w:rPr>
      <w:t>3</w:t>
    </w:r>
    <w:r w:rsidR="000E4350" w:rsidRPr="00526EC6">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AF4AA" w14:textId="42A0F073" w:rsidR="00402926" w:rsidRPr="0091741E" w:rsidRDefault="00402926" w:rsidP="00917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3169" w14:textId="77777777" w:rsidR="00E34548" w:rsidRPr="00843A16" w:rsidRDefault="00E34548" w:rsidP="008C3543">
      <w:pPr>
        <w:spacing w:before="0" w:line="240" w:lineRule="auto"/>
      </w:pPr>
      <w:r w:rsidRPr="00843A16">
        <w:separator/>
      </w:r>
    </w:p>
  </w:footnote>
  <w:footnote w:type="continuationSeparator" w:id="0">
    <w:p w14:paraId="0537640B" w14:textId="77777777" w:rsidR="00E34548" w:rsidRPr="00843A16" w:rsidRDefault="00E34548" w:rsidP="008C3543">
      <w:pPr>
        <w:spacing w:before="0" w:line="240" w:lineRule="auto"/>
      </w:pPr>
      <w:r w:rsidRPr="00843A16">
        <w:continuationSeparator/>
      </w:r>
    </w:p>
  </w:footnote>
  <w:footnote w:type="continuationNotice" w:id="1">
    <w:p w14:paraId="2B7D99E1" w14:textId="77777777" w:rsidR="00E34548" w:rsidRPr="00843A16" w:rsidRDefault="00E34548">
      <w:pPr>
        <w:spacing w:before="0" w:line="240" w:lineRule="auto"/>
      </w:pPr>
    </w:p>
  </w:footnote>
  <w:footnote w:id="2">
    <w:p w14:paraId="738777B1" w14:textId="0BDEED4E" w:rsidR="000F3EF9" w:rsidRPr="00843A16" w:rsidRDefault="000F3EF9" w:rsidP="000F3EF9">
      <w:pPr>
        <w:pStyle w:val="FootnoteText"/>
      </w:pPr>
      <w:r w:rsidRPr="00843A16">
        <w:rPr>
          <w:rStyle w:val="FootnoteReference"/>
        </w:rPr>
        <w:footnoteRef/>
      </w:r>
      <w:r w:rsidRPr="00843A16">
        <w:rPr>
          <w:vertAlign w:val="superscript"/>
        </w:rPr>
        <w:t xml:space="preserve"> </w:t>
      </w:r>
      <w:r w:rsidR="005425EE">
        <w:rPr>
          <w:vertAlign w:val="superscript"/>
        </w:rPr>
        <w:tab/>
      </w:r>
      <w:r w:rsidRPr="00843A16">
        <w:t xml:space="preserve">The template currently provided to WSPs has been altered slightly from the original BETA prototype. It is published on the DSS website: </w:t>
      </w:r>
      <w:hyperlink r:id="rId1" w:history="1">
        <w:r w:rsidRPr="00843A16">
          <w:rPr>
            <w:rStyle w:val="Hyperlink"/>
          </w:rPr>
          <w:t>Activity Statement Prototype</w:t>
        </w:r>
      </w:hyperlink>
    </w:p>
  </w:footnote>
  <w:footnote w:id="3">
    <w:p w14:paraId="30B06880" w14:textId="0BB22E91" w:rsidR="00C34E2D" w:rsidRDefault="00C34E2D">
      <w:pPr>
        <w:pStyle w:val="FootnoteText"/>
      </w:pPr>
      <w:r>
        <w:rPr>
          <w:rStyle w:val="FootnoteReference"/>
        </w:rPr>
        <w:footnoteRef/>
      </w:r>
      <w:r>
        <w:t xml:space="preserve"> </w:t>
      </w:r>
      <w:r w:rsidR="00FF212B">
        <w:tab/>
      </w:r>
      <w:r w:rsidRPr="00626D5E">
        <w:t>The NPS was slightly updated in May 2022</w:t>
      </w:r>
      <w:r w:rsidR="0078305C">
        <w:t xml:space="preserve"> </w:t>
      </w:r>
      <w:r w:rsidR="00926F9D">
        <w:t>due to</w:t>
      </w:r>
      <w:r w:rsidR="00911741">
        <w:t xml:space="preserve"> </w:t>
      </w:r>
      <w:r w:rsidR="00027282">
        <w:t>changes</w:t>
      </w:r>
      <w:r w:rsidR="00911741">
        <w:t xml:space="preserve"> to </w:t>
      </w:r>
      <w:r w:rsidR="0039766F">
        <w:t xml:space="preserve">customer verification and </w:t>
      </w:r>
      <w:r w:rsidR="0022355E">
        <w:t>activity statement</w:t>
      </w:r>
      <w:r w:rsidR="00027282">
        <w:t>s</w:t>
      </w:r>
      <w:r w:rsidRPr="00626D5E">
        <w:t>.</w:t>
      </w:r>
      <w:r w:rsidR="00890FC9">
        <w:t xml:space="preserve"> </w:t>
      </w:r>
    </w:p>
  </w:footnote>
  <w:footnote w:id="4">
    <w:p w14:paraId="632A9CF0" w14:textId="30F83527" w:rsidR="009A521E" w:rsidRDefault="009A521E" w:rsidP="00575ECC">
      <w:pPr>
        <w:pStyle w:val="FootnoteText"/>
      </w:pPr>
      <w:r>
        <w:rPr>
          <w:rStyle w:val="FootnoteReference"/>
        </w:rPr>
        <w:footnoteRef/>
      </w:r>
      <w:r>
        <w:t xml:space="preserve"> </w:t>
      </w:r>
      <w:r w:rsidR="00655B78">
        <w:tab/>
      </w:r>
      <w:r w:rsidRPr="00655B78">
        <w:t>The</w:t>
      </w:r>
      <w:r w:rsidRPr="001D3D25">
        <w:t xml:space="preserve"> 2023 Northern Territory Gambling Prevalence and Wellbeing Survey Report (Stevens et al., 2024) noted gambling-related harm had increased</w:t>
      </w:r>
      <w:r w:rsidR="00995986">
        <w:t>;</w:t>
      </w:r>
      <w:r w:rsidRPr="001D3D25">
        <w:t xml:space="preserve"> </w:t>
      </w:r>
      <w:r>
        <w:t xml:space="preserve">however, </w:t>
      </w:r>
      <w:r w:rsidRPr="001D3D25">
        <w:t>it also determined that the NT had experienced a slight increase in gambling participation</w:t>
      </w:r>
      <w:r w:rsidR="00995986">
        <w:t>,</w:t>
      </w:r>
      <w:r w:rsidRPr="001D3D25">
        <w:t xml:space="preserve"> unlike other jurisdictions</w:t>
      </w:r>
      <w:r>
        <w:t>.</w:t>
      </w:r>
    </w:p>
  </w:footnote>
  <w:footnote w:id="5">
    <w:p w14:paraId="5027E53B" w14:textId="3D1BDABB" w:rsidR="00C64185" w:rsidRDefault="00DB2F3C" w:rsidP="00575ECC">
      <w:pPr>
        <w:pStyle w:val="FootnoteText"/>
      </w:pPr>
      <w:r>
        <w:rPr>
          <w:rStyle w:val="FootnoteReference"/>
        </w:rPr>
        <w:footnoteRef/>
      </w:r>
      <w:r w:rsidR="00E10F49">
        <w:rPr>
          <w:rStyle w:val="FootnoteReference"/>
        </w:rPr>
        <w:footnoteRef/>
      </w:r>
      <w:r w:rsidR="00E10F49">
        <w:t xml:space="preserve"> </w:t>
      </w:r>
      <w:r w:rsidR="00DF1EE1">
        <w:tab/>
      </w:r>
      <w:r w:rsidR="00E10F49">
        <w:t>This assumes that credit can be well</w:t>
      </w:r>
      <w:r w:rsidR="00AA1F64">
        <w:t>-</w:t>
      </w:r>
      <w:r w:rsidR="00E10F49">
        <w:t xml:space="preserve">defined and this has been attempted in the </w:t>
      </w:r>
      <w:r w:rsidR="00E10F49">
        <w:rPr>
          <w:i/>
          <w:iCs/>
        </w:rPr>
        <w:t xml:space="preserve">Interactive Gambling Amendment (Credit and Other Measures) Act 2023 </w:t>
      </w:r>
      <w:r w:rsidR="00E10F49" w:rsidRPr="00575ECC">
        <w:t>(</w:t>
      </w:r>
      <w:proofErr w:type="spellStart"/>
      <w:r w:rsidR="00E10F49" w:rsidRPr="00575ECC">
        <w:t>Cth</w:t>
      </w:r>
      <w:proofErr w:type="spellEnd"/>
      <w:r w:rsidR="00E10F49" w:rsidRPr="00575ECC">
        <w:t>)</w:t>
      </w:r>
      <w:r w:rsidR="00E10F49" w:rsidRPr="00AA1F64">
        <w:t>.</w:t>
      </w:r>
      <w:r w:rsidR="00E10F49">
        <w:t xml:space="preserve"> Where definitional issues arise, such as for inducements, the measure’s impact will be greater if a common definition can be agreed.</w:t>
      </w:r>
    </w:p>
    <w:p w14:paraId="1C9716A3" w14:textId="79DB60AB" w:rsidR="00DB2F3C" w:rsidRDefault="00DB2F3C" w:rsidP="00575ECC">
      <w:pPr>
        <w:pStyle w:val="FootnoteText"/>
        <w:ind w:firstLine="0"/>
      </w:pPr>
      <w:r>
        <w:t xml:space="preserve">Discretion was </w:t>
      </w:r>
      <w:r w:rsidRPr="00575ECC">
        <w:t>provided</w:t>
      </w:r>
      <w:r>
        <w:t xml:space="preserve"> to WSPs for activity statements, resulting in a lack of consistency. Little discretion was provided to WSPs in CGM. Where guidance wasn’t provided for volume and tone, some WSPs used this </w:t>
      </w:r>
      <w:r w:rsidR="00B14B59">
        <w:t xml:space="preserve">lack of guidance </w:t>
      </w:r>
      <w:r>
        <w:t xml:space="preserve">in a </w:t>
      </w:r>
      <w:r w:rsidR="00112A54">
        <w:t xml:space="preserve">way </w:t>
      </w:r>
      <w:r>
        <w:t>that was considered not within the spirit of providing clear harm reduction messages. It is easier for regulators to judge compliance where highly specific guidance is provided</w:t>
      </w:r>
      <w:r w:rsidR="00E2773C">
        <w:t>.</w:t>
      </w:r>
      <w:r>
        <w:t xml:space="preserve"> </w:t>
      </w:r>
      <w:r w:rsidR="00E2773C">
        <w:t>H</w:t>
      </w:r>
      <w:r>
        <w:t>owever, it also results in many elements that need checking by regulators.</w:t>
      </w:r>
    </w:p>
  </w:footnote>
  <w:footnote w:id="6">
    <w:p w14:paraId="157E466A" w14:textId="3C223137" w:rsidR="00D96206" w:rsidRPr="00843A16" w:rsidRDefault="00D96206" w:rsidP="00D96206">
      <w:pPr>
        <w:pStyle w:val="FootnoteText"/>
      </w:pPr>
      <w:r w:rsidRPr="00843A16">
        <w:rPr>
          <w:rStyle w:val="FootnoteReference"/>
        </w:rPr>
        <w:footnoteRef/>
      </w:r>
      <w:r w:rsidRPr="00843A16">
        <w:rPr>
          <w:vertAlign w:val="superscript"/>
        </w:rPr>
        <w:t xml:space="preserve"> </w:t>
      </w:r>
      <w:r w:rsidR="00F57071">
        <w:rPr>
          <w:vertAlign w:val="superscript"/>
        </w:rPr>
        <w:tab/>
      </w:r>
      <w:r w:rsidRPr="00843A16">
        <w:t xml:space="preserve">The template currently provided to WSPs has been altered slightly from the original BETA prototype. It is published on the DSS website: </w:t>
      </w:r>
      <w:hyperlink r:id="rId2" w:history="1">
        <w:r w:rsidRPr="00843A16">
          <w:rPr>
            <w:rStyle w:val="Hyperlink"/>
          </w:rPr>
          <w:t>Activity Statement Prototype</w:t>
        </w:r>
      </w:hyperlink>
    </w:p>
  </w:footnote>
  <w:footnote w:id="7">
    <w:p w14:paraId="74C42909" w14:textId="46D63E23" w:rsidR="008E700F" w:rsidRPr="005667A2" w:rsidRDefault="008E700F" w:rsidP="008E700F">
      <w:pPr>
        <w:pStyle w:val="FootnoteText"/>
      </w:pPr>
      <w:r w:rsidRPr="00843A16">
        <w:rPr>
          <w:rStyle w:val="FootnoteReference"/>
        </w:rPr>
        <w:footnoteRef/>
      </w:r>
      <w:r w:rsidRPr="00843A16">
        <w:rPr>
          <w:vertAlign w:val="superscript"/>
        </w:rPr>
        <w:t xml:space="preserve"> </w:t>
      </w:r>
      <w:r w:rsidR="00B35855">
        <w:rPr>
          <w:vertAlign w:val="superscript"/>
        </w:rPr>
        <w:tab/>
      </w:r>
      <w:r w:rsidRPr="00843A16">
        <w:t xml:space="preserve">Criteria used for classifying whether a product complied with CGM requirements was derived from DSS documentation. Allowances were made for deviations from strict adherence to the requirements as spelled out where it was within the intentions of the measure.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DDA4" w14:textId="023F7CD0" w:rsidR="00861731" w:rsidRDefault="00897755" w:rsidP="00CA705E">
    <w:pPr>
      <w:pStyle w:val="Header"/>
      <w:jc w:val="right"/>
    </w:pPr>
    <w:fldSimple w:instr="STYLEREF  &quot;Report Title&quot;  \* MERGEFORMAT">
      <w:r w:rsidR="00446B02" w:rsidRPr="00446B02">
        <w:rPr>
          <w:b/>
        </w:rPr>
        <w:t xml:space="preserve">National Consumer Protection Framework for Online Wagering Evaluation: </w:t>
      </w:r>
      <w:r w:rsidR="00446B02">
        <w:t>Phase 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C690" w14:textId="1756BA9E" w:rsidR="008559C3" w:rsidRDefault="00DA3FA8">
    <w:pPr>
      <w:pStyle w:val="Header"/>
    </w:pPr>
    <w:r w:rsidRPr="00843A16">
      <w:rPr>
        <w:noProof w:val="0"/>
        <w:lang w:val="en-AU"/>
      </w:rPr>
      <w:fldChar w:fldCharType="begin"/>
    </w:r>
    <w:r w:rsidRPr="00843A16">
      <w:rPr>
        <w:noProof w:val="0"/>
        <w:lang w:val="en-AU"/>
      </w:rPr>
      <w:instrText>STYLEREF  "Report Title"  \* MERGEFORMAT</w:instrText>
    </w:r>
    <w:r w:rsidRPr="00843A16">
      <w:rPr>
        <w:noProof w:val="0"/>
        <w:lang w:val="en-AU"/>
      </w:rPr>
      <w:fldChar w:fldCharType="separate"/>
    </w:r>
    <w:r w:rsidR="00446B02" w:rsidRPr="00446B02">
      <w:rPr>
        <w:b/>
      </w:rPr>
      <w:t xml:space="preserve">National Consumer Protection Framework for Online Wagering Evaluation: </w:t>
    </w:r>
    <w:r w:rsidR="00446B02">
      <w:rPr>
        <w:lang w:val="en-AU"/>
      </w:rPr>
      <w:t>Phase 1</w:t>
    </w:r>
    <w:r w:rsidRPr="00843A16">
      <w:rPr>
        <w:noProof w:val="0"/>
        <w:lang w:val="en-AU"/>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A01F" w14:textId="08F70BD6" w:rsidR="00994670" w:rsidRPr="00843A16" w:rsidRDefault="009C1E30" w:rsidP="00C03ADF">
    <w:r w:rsidRPr="000B0BBD">
      <w:rPr>
        <w:noProof/>
      </w:rPr>
      <w:drawing>
        <wp:anchor distT="0" distB="0" distL="114300" distR="114300" simplePos="0" relativeHeight="251658240" behindDoc="0" locked="0" layoutInCell="1" allowOverlap="1" wp14:anchorId="26C88E56" wp14:editId="4C9A0045">
          <wp:simplePos x="0" y="0"/>
          <wp:positionH relativeFrom="column">
            <wp:posOffset>-384810</wp:posOffset>
          </wp:positionH>
          <wp:positionV relativeFrom="page">
            <wp:posOffset>532765</wp:posOffset>
          </wp:positionV>
          <wp:extent cx="3428365" cy="641350"/>
          <wp:effectExtent l="0" t="0" r="635" b="6350"/>
          <wp:wrapTopAndBottom/>
          <wp:docPr id="1753844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a:fillRect/>
                  </a:stretch>
                </pic:blipFill>
                <pic:spPr bwMode="auto">
                  <a:xfrm>
                    <a:off x="0" y="0"/>
                    <a:ext cx="3428365" cy="641350"/>
                  </a:xfrm>
                  <a:prstGeom prst="rect">
                    <a:avLst/>
                  </a:prstGeom>
                  <a:noFill/>
                  <a:ln>
                    <a:noFill/>
                  </a:ln>
                  <a:extLst>
                    <a:ext uri="{FAA26D3D-D897-4be2-8F04-BA451C77F1D7}">
                      <ma14:placeholderFlag xmlns:lc="http://schemas.openxmlformats.org/drawingml/2006/lockedCanvas"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0BBD">
      <w:rPr>
        <w:noProof/>
      </w:rPr>
      <w:drawing>
        <wp:anchor distT="0" distB="0" distL="114300" distR="114300" simplePos="0" relativeHeight="251658241" behindDoc="0" locked="0" layoutInCell="1" allowOverlap="1" wp14:anchorId="4337FB17" wp14:editId="4B094031">
          <wp:simplePos x="0" y="0"/>
          <wp:positionH relativeFrom="column">
            <wp:posOffset>-384810</wp:posOffset>
          </wp:positionH>
          <wp:positionV relativeFrom="page">
            <wp:posOffset>532765</wp:posOffset>
          </wp:positionV>
          <wp:extent cx="3428365" cy="641350"/>
          <wp:effectExtent l="0" t="0" r="635" b="6350"/>
          <wp:wrapTopAndBottom/>
          <wp:docPr id="694306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a:fillRect/>
                  </a:stretch>
                </pic:blipFill>
                <pic:spPr bwMode="auto">
                  <a:xfrm>
                    <a:off x="0" y="0"/>
                    <a:ext cx="3428365" cy="641350"/>
                  </a:xfrm>
                  <a:prstGeom prst="rect">
                    <a:avLst/>
                  </a:prstGeom>
                  <a:noFill/>
                  <a:ln>
                    <a:noFill/>
                  </a:ln>
                  <a:extLst>
                    <a:ext uri="{FAA26D3D-D897-4be2-8F04-BA451C77F1D7}">
                      <ma14:placeholderFlag xmlns:lc="http://schemas.openxmlformats.org/drawingml/2006/lockedCanvas"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0BBD">
      <w:rPr>
        <w:noProof/>
      </w:rPr>
      <w:drawing>
        <wp:anchor distT="0" distB="0" distL="114300" distR="114300" simplePos="0" relativeHeight="251658242" behindDoc="0" locked="0" layoutInCell="1" allowOverlap="1" wp14:anchorId="2A991682" wp14:editId="3CF06B92">
          <wp:simplePos x="0" y="0"/>
          <wp:positionH relativeFrom="column">
            <wp:posOffset>-384810</wp:posOffset>
          </wp:positionH>
          <wp:positionV relativeFrom="page">
            <wp:posOffset>532765</wp:posOffset>
          </wp:positionV>
          <wp:extent cx="3428365" cy="641350"/>
          <wp:effectExtent l="0" t="0" r="635" b="6350"/>
          <wp:wrapTopAndBottom/>
          <wp:docPr id="48300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a:fillRect/>
                  </a:stretch>
                </pic:blipFill>
                <pic:spPr bwMode="auto">
                  <a:xfrm>
                    <a:off x="0" y="0"/>
                    <a:ext cx="3428365" cy="641350"/>
                  </a:xfrm>
                  <a:prstGeom prst="rect">
                    <a:avLst/>
                  </a:prstGeom>
                  <a:noFill/>
                  <a:ln>
                    <a:noFill/>
                  </a:ln>
                  <a:extLst>
                    <a:ext uri="{FAA26D3D-D897-4be2-8F04-BA451C77F1D7}">
                      <ma14:placeholderFlag xmlns:lc="http://schemas.openxmlformats.org/drawingml/2006/lockedCanvas"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36FD3" w14:textId="745DB5E6" w:rsidR="00463079" w:rsidRPr="00843A16" w:rsidRDefault="00537823" w:rsidP="000243F8">
    <w:pPr>
      <w:pStyle w:val="Header"/>
      <w:rPr>
        <w:noProof w:val="0"/>
        <w:lang w:val="en-AU"/>
      </w:rPr>
    </w:pPr>
    <w:r w:rsidRPr="00843A16">
      <w:rPr>
        <w:noProof w:val="0"/>
        <w:lang w:val="en-AU"/>
      </w:rPr>
      <w:fldChar w:fldCharType="begin"/>
    </w:r>
    <w:r w:rsidRPr="00843A16">
      <w:rPr>
        <w:noProof w:val="0"/>
        <w:lang w:val="en-AU"/>
      </w:rPr>
      <w:instrText>STYLEREF  "Report Title"  \* MERGEFORMAT</w:instrText>
    </w:r>
    <w:r w:rsidRPr="00843A16">
      <w:rPr>
        <w:noProof w:val="0"/>
        <w:lang w:val="en-AU"/>
      </w:rPr>
      <w:fldChar w:fldCharType="separate"/>
    </w:r>
    <w:r w:rsidR="00446B02" w:rsidRPr="00446B02">
      <w:rPr>
        <w:b/>
      </w:rPr>
      <w:t xml:space="preserve">National Consumer Protection Framework for Online Wagering Evaluation: </w:t>
    </w:r>
    <w:r w:rsidR="00446B02">
      <w:rPr>
        <w:lang w:val="en-AU"/>
      </w:rPr>
      <w:t>Phase 1</w:t>
    </w:r>
    <w:r w:rsidRPr="00843A16">
      <w:rPr>
        <w:noProof w:val="0"/>
        <w:lang w:val="en-AU"/>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A2DA" w14:textId="7A726DA2" w:rsidR="009B19C9" w:rsidRDefault="009B19C9">
    <w:r>
      <w:cr/>
    </w:r>
  </w:p>
  <w:p w14:paraId="4148D49B" w14:textId="77777777" w:rsidR="00F142FC" w:rsidRDefault="00F142FC">
    <w:pP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A61C72"/>
    <w:lvl w:ilvl="0">
      <w:start w:val="1"/>
      <w:numFmt w:val="bullet"/>
      <w:pStyle w:val="ListBullet2"/>
      <w:lvlText w:val="–"/>
      <w:lvlJc w:val="left"/>
      <w:pPr>
        <w:tabs>
          <w:tab w:val="num" w:pos="851"/>
        </w:tabs>
        <w:ind w:left="851" w:hanging="426"/>
      </w:pPr>
      <w:rPr>
        <w:rFonts w:ascii="Times New Roman" w:hAnsi="Times New Roman" w:cs="Times New Roman" w:hint="default"/>
        <w:color w:val="62136D"/>
      </w:rPr>
    </w:lvl>
  </w:abstractNum>
  <w:abstractNum w:abstractNumId="1" w15:restartNumberingAfterBreak="0">
    <w:nsid w:val="FFFFFF89"/>
    <w:multiLevelType w:val="singleLevel"/>
    <w:tmpl w:val="94A6077A"/>
    <w:lvl w:ilvl="0">
      <w:start w:val="1"/>
      <w:numFmt w:val="bullet"/>
      <w:pStyle w:val="ListBullet"/>
      <w:lvlText w:val=""/>
      <w:lvlJc w:val="left"/>
      <w:pPr>
        <w:tabs>
          <w:tab w:val="num" w:pos="425"/>
        </w:tabs>
        <w:ind w:left="425" w:hanging="425"/>
      </w:pPr>
      <w:rPr>
        <w:rFonts w:ascii="Wingdings" w:hAnsi="Wingdings" w:hint="default"/>
        <w:color w:val="62136D"/>
      </w:rPr>
    </w:lvl>
  </w:abstractNum>
  <w:abstractNum w:abstractNumId="2" w15:restartNumberingAfterBreak="0">
    <w:nsid w:val="00432BF5"/>
    <w:multiLevelType w:val="hybridMultilevel"/>
    <w:tmpl w:val="BF047B58"/>
    <w:lvl w:ilvl="0" w:tplc="4CA6006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172EDD"/>
    <w:multiLevelType w:val="hybridMultilevel"/>
    <w:tmpl w:val="2FAEA720"/>
    <w:lvl w:ilvl="0" w:tplc="F89290FE">
      <w:start w:val="1"/>
      <w:numFmt w:val="lowerLetter"/>
      <w:pStyle w:val="ListNumber2"/>
      <w:lvlText w:val="%1."/>
      <w:lvlJc w:val="left"/>
      <w:pPr>
        <w:tabs>
          <w:tab w:val="num" w:pos="851"/>
        </w:tabs>
        <w:ind w:left="851" w:hanging="426"/>
      </w:pPr>
      <w:rPr>
        <w:rFonts w:hint="default"/>
        <w:color w:val="62136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BD11CE"/>
    <w:multiLevelType w:val="hybridMultilevel"/>
    <w:tmpl w:val="348A0912"/>
    <w:lvl w:ilvl="0" w:tplc="59AEFF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F02807"/>
    <w:multiLevelType w:val="hybridMultilevel"/>
    <w:tmpl w:val="BAF4A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D43A49"/>
    <w:multiLevelType w:val="hybridMultilevel"/>
    <w:tmpl w:val="58345870"/>
    <w:lvl w:ilvl="0" w:tplc="53E00DDC">
      <w:start w:val="1"/>
      <w:numFmt w:val="upperLetter"/>
      <w:pStyle w:val="Heading1Part"/>
      <w:lvlText w:val="Part %1. "/>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B975B4"/>
    <w:multiLevelType w:val="hybridMultilevel"/>
    <w:tmpl w:val="87FC43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9ED03F9"/>
    <w:multiLevelType w:val="hybridMultilevel"/>
    <w:tmpl w:val="088C5A10"/>
    <w:lvl w:ilvl="0" w:tplc="42C0276E">
      <w:start w:val="1"/>
      <w:numFmt w:val="bullet"/>
      <w:lvlText w:val=""/>
      <w:lvlJc w:val="left"/>
      <w:pPr>
        <w:ind w:left="720" w:hanging="360"/>
      </w:pPr>
      <w:rPr>
        <w:rFonts w:ascii="Wingdings" w:hAnsi="Wingdings" w:hint="default"/>
        <w:color w:val="EC0B6D"/>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D301F3E"/>
    <w:multiLevelType w:val="hybridMultilevel"/>
    <w:tmpl w:val="216C70EE"/>
    <w:lvl w:ilvl="0" w:tplc="E26A87F0">
      <w:start w:val="1"/>
      <w:numFmt w:val="lowerLetter"/>
      <w:pStyle w:val="TableNumber2"/>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0" w15:restartNumberingAfterBreak="0">
    <w:nsid w:val="0E9339BB"/>
    <w:multiLevelType w:val="hybridMultilevel"/>
    <w:tmpl w:val="FFFFFFFF"/>
    <w:lvl w:ilvl="0" w:tplc="C74A0B38">
      <w:start w:val="1"/>
      <w:numFmt w:val="lowerLetter"/>
      <w:lvlText w:val="%1."/>
      <w:lvlJc w:val="left"/>
      <w:pPr>
        <w:ind w:left="1211" w:hanging="360"/>
      </w:pPr>
    </w:lvl>
    <w:lvl w:ilvl="1" w:tplc="C656879C">
      <w:start w:val="1"/>
      <w:numFmt w:val="lowerLetter"/>
      <w:lvlText w:val="%2."/>
      <w:lvlJc w:val="left"/>
      <w:pPr>
        <w:ind w:left="1931" w:hanging="360"/>
      </w:pPr>
    </w:lvl>
    <w:lvl w:ilvl="2" w:tplc="043A6EE2">
      <w:start w:val="1"/>
      <w:numFmt w:val="lowerRoman"/>
      <w:lvlText w:val="%3."/>
      <w:lvlJc w:val="right"/>
      <w:pPr>
        <w:ind w:left="2651" w:hanging="180"/>
      </w:pPr>
    </w:lvl>
    <w:lvl w:ilvl="3" w:tplc="5ADC355A">
      <w:start w:val="1"/>
      <w:numFmt w:val="decimal"/>
      <w:lvlText w:val="%4."/>
      <w:lvlJc w:val="left"/>
      <w:pPr>
        <w:ind w:left="3371" w:hanging="360"/>
      </w:pPr>
    </w:lvl>
    <w:lvl w:ilvl="4" w:tplc="05A4AF0C">
      <w:start w:val="1"/>
      <w:numFmt w:val="lowerLetter"/>
      <w:lvlText w:val="%5."/>
      <w:lvlJc w:val="left"/>
      <w:pPr>
        <w:ind w:left="4091" w:hanging="360"/>
      </w:pPr>
    </w:lvl>
    <w:lvl w:ilvl="5" w:tplc="071ACDCA">
      <w:start w:val="1"/>
      <w:numFmt w:val="lowerRoman"/>
      <w:lvlText w:val="%6."/>
      <w:lvlJc w:val="right"/>
      <w:pPr>
        <w:ind w:left="4811" w:hanging="180"/>
      </w:pPr>
    </w:lvl>
    <w:lvl w:ilvl="6" w:tplc="7A1E74DE">
      <w:start w:val="1"/>
      <w:numFmt w:val="decimal"/>
      <w:lvlText w:val="%7."/>
      <w:lvlJc w:val="left"/>
      <w:pPr>
        <w:ind w:left="5531" w:hanging="360"/>
      </w:pPr>
    </w:lvl>
    <w:lvl w:ilvl="7" w:tplc="F4643768">
      <w:start w:val="1"/>
      <w:numFmt w:val="lowerLetter"/>
      <w:lvlText w:val="%8."/>
      <w:lvlJc w:val="left"/>
      <w:pPr>
        <w:ind w:left="6251" w:hanging="360"/>
      </w:pPr>
    </w:lvl>
    <w:lvl w:ilvl="8" w:tplc="0F6E3480">
      <w:start w:val="1"/>
      <w:numFmt w:val="lowerRoman"/>
      <w:lvlText w:val="%9."/>
      <w:lvlJc w:val="right"/>
      <w:pPr>
        <w:ind w:left="6971" w:hanging="180"/>
      </w:pPr>
    </w:lvl>
  </w:abstractNum>
  <w:abstractNum w:abstractNumId="11" w15:restartNumberingAfterBreak="0">
    <w:nsid w:val="11D01C33"/>
    <w:multiLevelType w:val="hybridMultilevel"/>
    <w:tmpl w:val="ABA2DBC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608576B"/>
    <w:multiLevelType w:val="hybridMultilevel"/>
    <w:tmpl w:val="B0B23F3A"/>
    <w:lvl w:ilvl="0" w:tplc="0C090001">
      <w:start w:val="1"/>
      <w:numFmt w:val="bullet"/>
      <w:lvlText w:val=""/>
      <w:lvlJc w:val="left"/>
      <w:pPr>
        <w:tabs>
          <w:tab w:val="num" w:pos="720"/>
        </w:tabs>
        <w:ind w:left="720" w:hanging="360"/>
      </w:pPr>
      <w:rPr>
        <w:rFonts w:ascii="Symbol" w:hAnsi="Symbol" w:hint="default"/>
      </w:rPr>
    </w:lvl>
    <w:lvl w:ilvl="1" w:tplc="4CA602E2" w:tentative="1">
      <w:start w:val="1"/>
      <w:numFmt w:val="bullet"/>
      <w:lvlText w:val="-"/>
      <w:lvlJc w:val="left"/>
      <w:pPr>
        <w:tabs>
          <w:tab w:val="num" w:pos="1440"/>
        </w:tabs>
        <w:ind w:left="1440" w:hanging="360"/>
      </w:pPr>
      <w:rPr>
        <w:rFonts w:ascii="Arial" w:hAnsi="Arial" w:hint="default"/>
      </w:rPr>
    </w:lvl>
    <w:lvl w:ilvl="2" w:tplc="0DDAD03E" w:tentative="1">
      <w:start w:val="1"/>
      <w:numFmt w:val="bullet"/>
      <w:lvlText w:val="-"/>
      <w:lvlJc w:val="left"/>
      <w:pPr>
        <w:tabs>
          <w:tab w:val="num" w:pos="2160"/>
        </w:tabs>
        <w:ind w:left="2160" w:hanging="360"/>
      </w:pPr>
      <w:rPr>
        <w:rFonts w:ascii="Arial" w:hAnsi="Arial" w:hint="default"/>
      </w:rPr>
    </w:lvl>
    <w:lvl w:ilvl="3" w:tplc="77742764" w:tentative="1">
      <w:start w:val="1"/>
      <w:numFmt w:val="bullet"/>
      <w:lvlText w:val="-"/>
      <w:lvlJc w:val="left"/>
      <w:pPr>
        <w:tabs>
          <w:tab w:val="num" w:pos="2880"/>
        </w:tabs>
        <w:ind w:left="2880" w:hanging="360"/>
      </w:pPr>
      <w:rPr>
        <w:rFonts w:ascii="Arial" w:hAnsi="Arial" w:hint="default"/>
      </w:rPr>
    </w:lvl>
    <w:lvl w:ilvl="4" w:tplc="9F286F96" w:tentative="1">
      <w:start w:val="1"/>
      <w:numFmt w:val="bullet"/>
      <w:lvlText w:val="-"/>
      <w:lvlJc w:val="left"/>
      <w:pPr>
        <w:tabs>
          <w:tab w:val="num" w:pos="3600"/>
        </w:tabs>
        <w:ind w:left="3600" w:hanging="360"/>
      </w:pPr>
      <w:rPr>
        <w:rFonts w:ascii="Arial" w:hAnsi="Arial" w:hint="default"/>
      </w:rPr>
    </w:lvl>
    <w:lvl w:ilvl="5" w:tplc="6C5EE436" w:tentative="1">
      <w:start w:val="1"/>
      <w:numFmt w:val="bullet"/>
      <w:lvlText w:val="-"/>
      <w:lvlJc w:val="left"/>
      <w:pPr>
        <w:tabs>
          <w:tab w:val="num" w:pos="4320"/>
        </w:tabs>
        <w:ind w:left="4320" w:hanging="360"/>
      </w:pPr>
      <w:rPr>
        <w:rFonts w:ascii="Arial" w:hAnsi="Arial" w:hint="default"/>
      </w:rPr>
    </w:lvl>
    <w:lvl w:ilvl="6" w:tplc="7F602A74" w:tentative="1">
      <w:start w:val="1"/>
      <w:numFmt w:val="bullet"/>
      <w:lvlText w:val="-"/>
      <w:lvlJc w:val="left"/>
      <w:pPr>
        <w:tabs>
          <w:tab w:val="num" w:pos="5040"/>
        </w:tabs>
        <w:ind w:left="5040" w:hanging="360"/>
      </w:pPr>
      <w:rPr>
        <w:rFonts w:ascii="Arial" w:hAnsi="Arial" w:hint="default"/>
      </w:rPr>
    </w:lvl>
    <w:lvl w:ilvl="7" w:tplc="0BCE3650" w:tentative="1">
      <w:start w:val="1"/>
      <w:numFmt w:val="bullet"/>
      <w:lvlText w:val="-"/>
      <w:lvlJc w:val="left"/>
      <w:pPr>
        <w:tabs>
          <w:tab w:val="num" w:pos="5760"/>
        </w:tabs>
        <w:ind w:left="5760" w:hanging="360"/>
      </w:pPr>
      <w:rPr>
        <w:rFonts w:ascii="Arial" w:hAnsi="Arial" w:hint="default"/>
      </w:rPr>
    </w:lvl>
    <w:lvl w:ilvl="8" w:tplc="1DE65D9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8F05782"/>
    <w:multiLevelType w:val="hybridMultilevel"/>
    <w:tmpl w:val="AD785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6F7D4E"/>
    <w:multiLevelType w:val="hybridMultilevel"/>
    <w:tmpl w:val="9774EBB6"/>
    <w:lvl w:ilvl="0" w:tplc="381AB0F6">
      <w:start w:val="1"/>
      <w:numFmt w:val="decimal"/>
      <w:pStyle w:val="TableNumber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AEE62A8"/>
    <w:multiLevelType w:val="hybridMultilevel"/>
    <w:tmpl w:val="1910F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B413D81"/>
    <w:multiLevelType w:val="hybridMultilevel"/>
    <w:tmpl w:val="944E020E"/>
    <w:lvl w:ilvl="0" w:tplc="7AD60114">
      <w:start w:val="1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BFF4929"/>
    <w:multiLevelType w:val="hybridMultilevel"/>
    <w:tmpl w:val="D6A63BDE"/>
    <w:lvl w:ilvl="0" w:tplc="109A4A9E">
      <w:start w:val="1"/>
      <w:numFmt w:val="bullet"/>
      <w:lvlText w:val=""/>
      <w:lvlJc w:val="left"/>
      <w:pPr>
        <w:ind w:left="1440" w:hanging="360"/>
      </w:pPr>
      <w:rPr>
        <w:rFonts w:ascii="Symbol" w:hAnsi="Symbol"/>
      </w:rPr>
    </w:lvl>
    <w:lvl w:ilvl="1" w:tplc="0A329D94">
      <w:start w:val="1"/>
      <w:numFmt w:val="bullet"/>
      <w:lvlText w:val=""/>
      <w:lvlJc w:val="left"/>
      <w:pPr>
        <w:ind w:left="1440" w:hanging="360"/>
      </w:pPr>
      <w:rPr>
        <w:rFonts w:ascii="Symbol" w:hAnsi="Symbol"/>
      </w:rPr>
    </w:lvl>
    <w:lvl w:ilvl="2" w:tplc="ACACE54E">
      <w:start w:val="1"/>
      <w:numFmt w:val="bullet"/>
      <w:lvlText w:val=""/>
      <w:lvlJc w:val="left"/>
      <w:pPr>
        <w:ind w:left="1440" w:hanging="360"/>
      </w:pPr>
      <w:rPr>
        <w:rFonts w:ascii="Symbol" w:hAnsi="Symbol"/>
      </w:rPr>
    </w:lvl>
    <w:lvl w:ilvl="3" w:tplc="748490C4">
      <w:start w:val="1"/>
      <w:numFmt w:val="bullet"/>
      <w:lvlText w:val=""/>
      <w:lvlJc w:val="left"/>
      <w:pPr>
        <w:ind w:left="1440" w:hanging="360"/>
      </w:pPr>
      <w:rPr>
        <w:rFonts w:ascii="Symbol" w:hAnsi="Symbol"/>
      </w:rPr>
    </w:lvl>
    <w:lvl w:ilvl="4" w:tplc="14708D6C">
      <w:start w:val="1"/>
      <w:numFmt w:val="bullet"/>
      <w:lvlText w:val=""/>
      <w:lvlJc w:val="left"/>
      <w:pPr>
        <w:ind w:left="1440" w:hanging="360"/>
      </w:pPr>
      <w:rPr>
        <w:rFonts w:ascii="Symbol" w:hAnsi="Symbol"/>
      </w:rPr>
    </w:lvl>
    <w:lvl w:ilvl="5" w:tplc="F4F4DC5A">
      <w:start w:val="1"/>
      <w:numFmt w:val="bullet"/>
      <w:lvlText w:val=""/>
      <w:lvlJc w:val="left"/>
      <w:pPr>
        <w:ind w:left="1440" w:hanging="360"/>
      </w:pPr>
      <w:rPr>
        <w:rFonts w:ascii="Symbol" w:hAnsi="Symbol"/>
      </w:rPr>
    </w:lvl>
    <w:lvl w:ilvl="6" w:tplc="2A92A94C">
      <w:start w:val="1"/>
      <w:numFmt w:val="bullet"/>
      <w:lvlText w:val=""/>
      <w:lvlJc w:val="left"/>
      <w:pPr>
        <w:ind w:left="1440" w:hanging="360"/>
      </w:pPr>
      <w:rPr>
        <w:rFonts w:ascii="Symbol" w:hAnsi="Symbol"/>
      </w:rPr>
    </w:lvl>
    <w:lvl w:ilvl="7" w:tplc="73E82264">
      <w:start w:val="1"/>
      <w:numFmt w:val="bullet"/>
      <w:lvlText w:val=""/>
      <w:lvlJc w:val="left"/>
      <w:pPr>
        <w:ind w:left="1440" w:hanging="360"/>
      </w:pPr>
      <w:rPr>
        <w:rFonts w:ascii="Symbol" w:hAnsi="Symbol"/>
      </w:rPr>
    </w:lvl>
    <w:lvl w:ilvl="8" w:tplc="AB1A866A">
      <w:start w:val="1"/>
      <w:numFmt w:val="bullet"/>
      <w:lvlText w:val=""/>
      <w:lvlJc w:val="left"/>
      <w:pPr>
        <w:ind w:left="1440" w:hanging="360"/>
      </w:pPr>
      <w:rPr>
        <w:rFonts w:ascii="Symbol" w:hAnsi="Symbol"/>
      </w:rPr>
    </w:lvl>
  </w:abstractNum>
  <w:abstractNum w:abstractNumId="18" w15:restartNumberingAfterBreak="0">
    <w:nsid w:val="1CE375FB"/>
    <w:multiLevelType w:val="hybridMultilevel"/>
    <w:tmpl w:val="E6026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A5056E"/>
    <w:multiLevelType w:val="hybridMultilevel"/>
    <w:tmpl w:val="EF08C9B0"/>
    <w:lvl w:ilvl="0" w:tplc="42C0276E">
      <w:start w:val="1"/>
      <w:numFmt w:val="bullet"/>
      <w:lvlText w:val=""/>
      <w:lvlJc w:val="left"/>
      <w:pPr>
        <w:ind w:left="720" w:hanging="360"/>
      </w:pPr>
      <w:rPr>
        <w:rFonts w:ascii="Wingdings" w:hAnsi="Wingdings" w:hint="default"/>
        <w:color w:val="EC0B6D"/>
        <w:sz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D67421"/>
    <w:multiLevelType w:val="hybridMultilevel"/>
    <w:tmpl w:val="F3828B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902406"/>
    <w:multiLevelType w:val="hybridMultilevel"/>
    <w:tmpl w:val="5874CC78"/>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22" w15:restartNumberingAfterBreak="0">
    <w:nsid w:val="2476007C"/>
    <w:multiLevelType w:val="hybridMultilevel"/>
    <w:tmpl w:val="7730F040"/>
    <w:lvl w:ilvl="0" w:tplc="0C090001">
      <w:start w:val="1"/>
      <w:numFmt w:val="bullet"/>
      <w:lvlText w:val=""/>
      <w:lvlJc w:val="left"/>
      <w:pPr>
        <w:ind w:left="774" w:hanging="360"/>
      </w:pPr>
      <w:rPr>
        <w:rFonts w:ascii="Symbol" w:hAnsi="Symbol" w:hint="default"/>
      </w:rPr>
    </w:lvl>
    <w:lvl w:ilvl="1" w:tplc="0C090003">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3" w15:restartNumberingAfterBreak="0">
    <w:nsid w:val="29FA13E1"/>
    <w:multiLevelType w:val="hybridMultilevel"/>
    <w:tmpl w:val="A9BE9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4B0165"/>
    <w:multiLevelType w:val="hybridMultilevel"/>
    <w:tmpl w:val="7A465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52177EA"/>
    <w:multiLevelType w:val="multilevel"/>
    <w:tmpl w:val="4A7A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0B4BE5"/>
    <w:multiLevelType w:val="hybridMultilevel"/>
    <w:tmpl w:val="E6ACF470"/>
    <w:lvl w:ilvl="0" w:tplc="C620445C">
      <w:start w:val="3"/>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8F90D3F"/>
    <w:multiLevelType w:val="hybridMultilevel"/>
    <w:tmpl w:val="FFFFFFFF"/>
    <w:lvl w:ilvl="0" w:tplc="899A511C">
      <w:start w:val="1"/>
      <w:numFmt w:val="decimal"/>
      <w:lvlText w:val="–"/>
      <w:lvlJc w:val="left"/>
      <w:pPr>
        <w:ind w:left="720" w:hanging="360"/>
      </w:pPr>
    </w:lvl>
    <w:lvl w:ilvl="1" w:tplc="EDB8622C">
      <w:start w:val="1"/>
      <w:numFmt w:val="lowerLetter"/>
      <w:lvlText w:val="%2."/>
      <w:lvlJc w:val="left"/>
      <w:pPr>
        <w:ind w:left="1440" w:hanging="360"/>
      </w:pPr>
    </w:lvl>
    <w:lvl w:ilvl="2" w:tplc="A8728F44">
      <w:start w:val="1"/>
      <w:numFmt w:val="lowerRoman"/>
      <w:lvlText w:val="%3."/>
      <w:lvlJc w:val="right"/>
      <w:pPr>
        <w:ind w:left="2160" w:hanging="180"/>
      </w:pPr>
    </w:lvl>
    <w:lvl w:ilvl="3" w:tplc="A7FE6990">
      <w:start w:val="1"/>
      <w:numFmt w:val="decimal"/>
      <w:lvlText w:val="%4."/>
      <w:lvlJc w:val="left"/>
      <w:pPr>
        <w:ind w:left="2880" w:hanging="360"/>
      </w:pPr>
    </w:lvl>
    <w:lvl w:ilvl="4" w:tplc="5AAA7DBA">
      <w:start w:val="1"/>
      <w:numFmt w:val="lowerLetter"/>
      <w:lvlText w:val="%5."/>
      <w:lvlJc w:val="left"/>
      <w:pPr>
        <w:ind w:left="3600" w:hanging="360"/>
      </w:pPr>
    </w:lvl>
    <w:lvl w:ilvl="5" w:tplc="A6BCE6F6">
      <w:start w:val="1"/>
      <w:numFmt w:val="lowerRoman"/>
      <w:lvlText w:val="%6."/>
      <w:lvlJc w:val="right"/>
      <w:pPr>
        <w:ind w:left="4320" w:hanging="180"/>
      </w:pPr>
    </w:lvl>
    <w:lvl w:ilvl="6" w:tplc="FFEEF784">
      <w:start w:val="1"/>
      <w:numFmt w:val="decimal"/>
      <w:lvlText w:val="%7."/>
      <w:lvlJc w:val="left"/>
      <w:pPr>
        <w:ind w:left="5040" w:hanging="360"/>
      </w:pPr>
    </w:lvl>
    <w:lvl w:ilvl="7" w:tplc="2BC47274">
      <w:start w:val="1"/>
      <w:numFmt w:val="lowerLetter"/>
      <w:lvlText w:val="%8."/>
      <w:lvlJc w:val="left"/>
      <w:pPr>
        <w:ind w:left="5760" w:hanging="360"/>
      </w:pPr>
    </w:lvl>
    <w:lvl w:ilvl="8" w:tplc="49442338">
      <w:start w:val="1"/>
      <w:numFmt w:val="lowerRoman"/>
      <w:lvlText w:val="%9."/>
      <w:lvlJc w:val="right"/>
      <w:pPr>
        <w:ind w:left="6480" w:hanging="180"/>
      </w:pPr>
    </w:lvl>
  </w:abstractNum>
  <w:abstractNum w:abstractNumId="28" w15:restartNumberingAfterBreak="0">
    <w:nsid w:val="3A9E6E83"/>
    <w:multiLevelType w:val="hybridMultilevel"/>
    <w:tmpl w:val="C0D8A708"/>
    <w:lvl w:ilvl="0" w:tplc="91A022C4">
      <w:start w:val="1"/>
      <w:numFmt w:val="decimal"/>
      <w:pStyle w:val="ListNumber"/>
      <w:lvlText w:val="%1."/>
      <w:lvlJc w:val="left"/>
      <w:pPr>
        <w:tabs>
          <w:tab w:val="num" w:pos="425"/>
        </w:tabs>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217007"/>
    <w:multiLevelType w:val="hybridMultilevel"/>
    <w:tmpl w:val="FFFFFFFF"/>
    <w:lvl w:ilvl="0" w:tplc="DDD6023C">
      <w:start w:val="1"/>
      <w:numFmt w:val="decimal"/>
      <w:lvlText w:val="–"/>
      <w:lvlJc w:val="left"/>
      <w:pPr>
        <w:ind w:left="720" w:hanging="360"/>
      </w:pPr>
    </w:lvl>
    <w:lvl w:ilvl="1" w:tplc="29DC3CAC">
      <w:start w:val="1"/>
      <w:numFmt w:val="lowerLetter"/>
      <w:lvlText w:val="%2."/>
      <w:lvlJc w:val="left"/>
      <w:pPr>
        <w:ind w:left="1440" w:hanging="360"/>
      </w:pPr>
    </w:lvl>
    <w:lvl w:ilvl="2" w:tplc="21B8EC0A">
      <w:start w:val="1"/>
      <w:numFmt w:val="lowerRoman"/>
      <w:lvlText w:val="%3."/>
      <w:lvlJc w:val="right"/>
      <w:pPr>
        <w:ind w:left="2160" w:hanging="180"/>
      </w:pPr>
    </w:lvl>
    <w:lvl w:ilvl="3" w:tplc="E0081E9E">
      <w:start w:val="1"/>
      <w:numFmt w:val="decimal"/>
      <w:lvlText w:val="%4."/>
      <w:lvlJc w:val="left"/>
      <w:pPr>
        <w:ind w:left="2880" w:hanging="360"/>
      </w:pPr>
    </w:lvl>
    <w:lvl w:ilvl="4" w:tplc="0E669D54">
      <w:start w:val="1"/>
      <w:numFmt w:val="lowerLetter"/>
      <w:lvlText w:val="%5."/>
      <w:lvlJc w:val="left"/>
      <w:pPr>
        <w:ind w:left="3600" w:hanging="360"/>
      </w:pPr>
    </w:lvl>
    <w:lvl w:ilvl="5" w:tplc="18D8663A">
      <w:start w:val="1"/>
      <w:numFmt w:val="lowerRoman"/>
      <w:lvlText w:val="%6."/>
      <w:lvlJc w:val="right"/>
      <w:pPr>
        <w:ind w:left="4320" w:hanging="180"/>
      </w:pPr>
    </w:lvl>
    <w:lvl w:ilvl="6" w:tplc="22E4F796">
      <w:start w:val="1"/>
      <w:numFmt w:val="decimal"/>
      <w:lvlText w:val="%7."/>
      <w:lvlJc w:val="left"/>
      <w:pPr>
        <w:ind w:left="5040" w:hanging="360"/>
      </w:pPr>
    </w:lvl>
    <w:lvl w:ilvl="7" w:tplc="C978834A">
      <w:start w:val="1"/>
      <w:numFmt w:val="lowerLetter"/>
      <w:lvlText w:val="%8."/>
      <w:lvlJc w:val="left"/>
      <w:pPr>
        <w:ind w:left="5760" w:hanging="360"/>
      </w:pPr>
    </w:lvl>
    <w:lvl w:ilvl="8" w:tplc="1082B744">
      <w:start w:val="1"/>
      <w:numFmt w:val="lowerRoman"/>
      <w:lvlText w:val="%9."/>
      <w:lvlJc w:val="right"/>
      <w:pPr>
        <w:ind w:left="6480" w:hanging="180"/>
      </w:pPr>
    </w:lvl>
  </w:abstractNum>
  <w:abstractNum w:abstractNumId="30" w15:restartNumberingAfterBreak="0">
    <w:nsid w:val="3C9731DB"/>
    <w:multiLevelType w:val="hybridMultilevel"/>
    <w:tmpl w:val="CF628800"/>
    <w:lvl w:ilvl="0" w:tplc="FD5C72E6">
      <w:start w:val="1"/>
      <w:numFmt w:val="decimal"/>
      <w:pStyle w:val="ListParagraph"/>
      <w:lvlText w:val="%1."/>
      <w:lvlJc w:val="left"/>
      <w:pPr>
        <w:ind w:left="1145" w:hanging="360"/>
      </w:p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31" w15:restartNumberingAfterBreak="0">
    <w:nsid w:val="3CB94589"/>
    <w:multiLevelType w:val="hybridMultilevel"/>
    <w:tmpl w:val="B302F2DA"/>
    <w:lvl w:ilvl="0" w:tplc="30D27688">
      <w:start w:val="1"/>
      <w:numFmt w:val="bullet"/>
      <w:lvlText w:val=""/>
      <w:lvlJc w:val="left"/>
      <w:pPr>
        <w:ind w:left="1080" w:hanging="360"/>
      </w:pPr>
      <w:rPr>
        <w:rFonts w:ascii="Symbol" w:hAnsi="Symbol"/>
      </w:rPr>
    </w:lvl>
    <w:lvl w:ilvl="1" w:tplc="B4803CF2">
      <w:start w:val="1"/>
      <w:numFmt w:val="bullet"/>
      <w:lvlText w:val=""/>
      <w:lvlJc w:val="left"/>
      <w:pPr>
        <w:ind w:left="1080" w:hanging="360"/>
      </w:pPr>
      <w:rPr>
        <w:rFonts w:ascii="Symbol" w:hAnsi="Symbol"/>
      </w:rPr>
    </w:lvl>
    <w:lvl w:ilvl="2" w:tplc="8C9E1F92">
      <w:start w:val="1"/>
      <w:numFmt w:val="bullet"/>
      <w:lvlText w:val=""/>
      <w:lvlJc w:val="left"/>
      <w:pPr>
        <w:ind w:left="1080" w:hanging="360"/>
      </w:pPr>
      <w:rPr>
        <w:rFonts w:ascii="Symbol" w:hAnsi="Symbol"/>
      </w:rPr>
    </w:lvl>
    <w:lvl w:ilvl="3" w:tplc="A7641B9E">
      <w:start w:val="1"/>
      <w:numFmt w:val="bullet"/>
      <w:lvlText w:val=""/>
      <w:lvlJc w:val="left"/>
      <w:pPr>
        <w:ind w:left="1080" w:hanging="360"/>
      </w:pPr>
      <w:rPr>
        <w:rFonts w:ascii="Symbol" w:hAnsi="Symbol"/>
      </w:rPr>
    </w:lvl>
    <w:lvl w:ilvl="4" w:tplc="E7FA1D2E">
      <w:start w:val="1"/>
      <w:numFmt w:val="bullet"/>
      <w:lvlText w:val=""/>
      <w:lvlJc w:val="left"/>
      <w:pPr>
        <w:ind w:left="1080" w:hanging="360"/>
      </w:pPr>
      <w:rPr>
        <w:rFonts w:ascii="Symbol" w:hAnsi="Symbol"/>
      </w:rPr>
    </w:lvl>
    <w:lvl w:ilvl="5" w:tplc="F486617E">
      <w:start w:val="1"/>
      <w:numFmt w:val="bullet"/>
      <w:lvlText w:val=""/>
      <w:lvlJc w:val="left"/>
      <w:pPr>
        <w:ind w:left="1080" w:hanging="360"/>
      </w:pPr>
      <w:rPr>
        <w:rFonts w:ascii="Symbol" w:hAnsi="Symbol"/>
      </w:rPr>
    </w:lvl>
    <w:lvl w:ilvl="6" w:tplc="B6AA075A">
      <w:start w:val="1"/>
      <w:numFmt w:val="bullet"/>
      <w:lvlText w:val=""/>
      <w:lvlJc w:val="left"/>
      <w:pPr>
        <w:ind w:left="1080" w:hanging="360"/>
      </w:pPr>
      <w:rPr>
        <w:rFonts w:ascii="Symbol" w:hAnsi="Symbol"/>
      </w:rPr>
    </w:lvl>
    <w:lvl w:ilvl="7" w:tplc="40928352">
      <w:start w:val="1"/>
      <w:numFmt w:val="bullet"/>
      <w:lvlText w:val=""/>
      <w:lvlJc w:val="left"/>
      <w:pPr>
        <w:ind w:left="1080" w:hanging="360"/>
      </w:pPr>
      <w:rPr>
        <w:rFonts w:ascii="Symbol" w:hAnsi="Symbol"/>
      </w:rPr>
    </w:lvl>
    <w:lvl w:ilvl="8" w:tplc="480AFAC8">
      <w:start w:val="1"/>
      <w:numFmt w:val="bullet"/>
      <w:lvlText w:val=""/>
      <w:lvlJc w:val="left"/>
      <w:pPr>
        <w:ind w:left="1080" w:hanging="360"/>
      </w:pPr>
      <w:rPr>
        <w:rFonts w:ascii="Symbol" w:hAnsi="Symbol"/>
      </w:rPr>
    </w:lvl>
  </w:abstractNum>
  <w:abstractNum w:abstractNumId="32" w15:restartNumberingAfterBreak="0">
    <w:nsid w:val="3EDC48CD"/>
    <w:multiLevelType w:val="hybridMultilevel"/>
    <w:tmpl w:val="A162D30E"/>
    <w:lvl w:ilvl="0" w:tplc="44027134">
      <w:start w:val="1"/>
      <w:numFmt w:val="bullet"/>
      <w:pStyle w:val="Table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EF5202"/>
    <w:multiLevelType w:val="hybridMultilevel"/>
    <w:tmpl w:val="6E9A78DA"/>
    <w:lvl w:ilvl="0" w:tplc="E9A637F2">
      <w:start w:val="1"/>
      <w:numFmt w:val="bullet"/>
      <w:pStyle w:val="TableBullet2"/>
      <w:lvlText w:val="–"/>
      <w:lvlJc w:val="left"/>
      <w:pPr>
        <w:ind w:left="947" w:hanging="360"/>
      </w:pPr>
      <w:rPr>
        <w:rFonts w:ascii="Arial" w:hAnsi="Aria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43B535CA"/>
    <w:multiLevelType w:val="hybridMultilevel"/>
    <w:tmpl w:val="442C992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90170B6"/>
    <w:multiLevelType w:val="multilevel"/>
    <w:tmpl w:val="A4A0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410B24"/>
    <w:multiLevelType w:val="multilevel"/>
    <w:tmpl w:val="03F416BE"/>
    <w:lvl w:ilvl="0">
      <w:start w:val="1"/>
      <w:numFmt w:val="decimal"/>
      <w:pStyle w:val="Heading1Outline"/>
      <w:lvlText w:val="%1."/>
      <w:lvlJc w:val="left"/>
      <w:pPr>
        <w:tabs>
          <w:tab w:val="num" w:pos="992"/>
        </w:tabs>
        <w:ind w:left="992" w:hanging="992"/>
      </w:pPr>
      <w:rPr>
        <w:rFonts w:hint="default"/>
      </w:rPr>
    </w:lvl>
    <w:lvl w:ilvl="1">
      <w:start w:val="1"/>
      <w:numFmt w:val="decimal"/>
      <w:pStyle w:val="Heading2Outline"/>
      <w:lvlText w:val="%1.%2."/>
      <w:lvlJc w:val="left"/>
      <w:pPr>
        <w:tabs>
          <w:tab w:val="num" w:pos="851"/>
        </w:tabs>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9D233CF"/>
    <w:multiLevelType w:val="hybridMultilevel"/>
    <w:tmpl w:val="E2EE705C"/>
    <w:lvl w:ilvl="0" w:tplc="0C090001">
      <w:start w:val="1"/>
      <w:numFmt w:val="bullet"/>
      <w:lvlText w:val=""/>
      <w:lvlJc w:val="left"/>
      <w:pPr>
        <w:tabs>
          <w:tab w:val="num" w:pos="720"/>
        </w:tabs>
        <w:ind w:left="720" w:hanging="360"/>
      </w:pPr>
      <w:rPr>
        <w:rFonts w:ascii="Symbol" w:hAnsi="Symbol" w:hint="default"/>
      </w:rPr>
    </w:lvl>
    <w:lvl w:ilvl="1" w:tplc="33E67518" w:tentative="1">
      <w:start w:val="1"/>
      <w:numFmt w:val="bullet"/>
      <w:lvlText w:val="-"/>
      <w:lvlJc w:val="left"/>
      <w:pPr>
        <w:tabs>
          <w:tab w:val="num" w:pos="1440"/>
        </w:tabs>
        <w:ind w:left="1440" w:hanging="360"/>
      </w:pPr>
      <w:rPr>
        <w:rFonts w:ascii="Arial" w:hAnsi="Arial" w:hint="default"/>
      </w:rPr>
    </w:lvl>
    <w:lvl w:ilvl="2" w:tplc="AEE03456" w:tentative="1">
      <w:start w:val="1"/>
      <w:numFmt w:val="bullet"/>
      <w:lvlText w:val="-"/>
      <w:lvlJc w:val="left"/>
      <w:pPr>
        <w:tabs>
          <w:tab w:val="num" w:pos="2160"/>
        </w:tabs>
        <w:ind w:left="2160" w:hanging="360"/>
      </w:pPr>
      <w:rPr>
        <w:rFonts w:ascii="Arial" w:hAnsi="Arial" w:hint="default"/>
      </w:rPr>
    </w:lvl>
    <w:lvl w:ilvl="3" w:tplc="4F54BF3E" w:tentative="1">
      <w:start w:val="1"/>
      <w:numFmt w:val="bullet"/>
      <w:lvlText w:val="-"/>
      <w:lvlJc w:val="left"/>
      <w:pPr>
        <w:tabs>
          <w:tab w:val="num" w:pos="2880"/>
        </w:tabs>
        <w:ind w:left="2880" w:hanging="360"/>
      </w:pPr>
      <w:rPr>
        <w:rFonts w:ascii="Arial" w:hAnsi="Arial" w:hint="default"/>
      </w:rPr>
    </w:lvl>
    <w:lvl w:ilvl="4" w:tplc="4094DE9E" w:tentative="1">
      <w:start w:val="1"/>
      <w:numFmt w:val="bullet"/>
      <w:lvlText w:val="-"/>
      <w:lvlJc w:val="left"/>
      <w:pPr>
        <w:tabs>
          <w:tab w:val="num" w:pos="3600"/>
        </w:tabs>
        <w:ind w:left="3600" w:hanging="360"/>
      </w:pPr>
      <w:rPr>
        <w:rFonts w:ascii="Arial" w:hAnsi="Arial" w:hint="default"/>
      </w:rPr>
    </w:lvl>
    <w:lvl w:ilvl="5" w:tplc="11960912" w:tentative="1">
      <w:start w:val="1"/>
      <w:numFmt w:val="bullet"/>
      <w:lvlText w:val="-"/>
      <w:lvlJc w:val="left"/>
      <w:pPr>
        <w:tabs>
          <w:tab w:val="num" w:pos="4320"/>
        </w:tabs>
        <w:ind w:left="4320" w:hanging="360"/>
      </w:pPr>
      <w:rPr>
        <w:rFonts w:ascii="Arial" w:hAnsi="Arial" w:hint="default"/>
      </w:rPr>
    </w:lvl>
    <w:lvl w:ilvl="6" w:tplc="5F584F28" w:tentative="1">
      <w:start w:val="1"/>
      <w:numFmt w:val="bullet"/>
      <w:lvlText w:val="-"/>
      <w:lvlJc w:val="left"/>
      <w:pPr>
        <w:tabs>
          <w:tab w:val="num" w:pos="5040"/>
        </w:tabs>
        <w:ind w:left="5040" w:hanging="360"/>
      </w:pPr>
      <w:rPr>
        <w:rFonts w:ascii="Arial" w:hAnsi="Arial" w:hint="default"/>
      </w:rPr>
    </w:lvl>
    <w:lvl w:ilvl="7" w:tplc="408EF9A6" w:tentative="1">
      <w:start w:val="1"/>
      <w:numFmt w:val="bullet"/>
      <w:lvlText w:val="-"/>
      <w:lvlJc w:val="left"/>
      <w:pPr>
        <w:tabs>
          <w:tab w:val="num" w:pos="5760"/>
        </w:tabs>
        <w:ind w:left="5760" w:hanging="360"/>
      </w:pPr>
      <w:rPr>
        <w:rFonts w:ascii="Arial" w:hAnsi="Arial" w:hint="default"/>
      </w:rPr>
    </w:lvl>
    <w:lvl w:ilvl="8" w:tplc="F3C0C93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4DAA3248"/>
    <w:multiLevelType w:val="hybridMultilevel"/>
    <w:tmpl w:val="119CD3C0"/>
    <w:lvl w:ilvl="0" w:tplc="E424FDC2">
      <w:start w:val="1"/>
      <w:numFmt w:val="bullet"/>
      <w:pStyle w:val="BoxBullet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AF7279"/>
    <w:multiLevelType w:val="hybridMultilevel"/>
    <w:tmpl w:val="8378FFC0"/>
    <w:lvl w:ilvl="0" w:tplc="17F09F4C">
      <w:start w:val="1"/>
      <w:numFmt w:val="bullet"/>
      <w:pStyle w:val="CommentTextBullet"/>
      <w:lvlText w:val=""/>
      <w:lvlJc w:val="left"/>
      <w:pPr>
        <w:tabs>
          <w:tab w:val="num" w:pos="227"/>
        </w:tabs>
        <w:ind w:left="227" w:hanging="227"/>
      </w:pPr>
      <w:rPr>
        <w:rFonts w:ascii="Wingdings" w:hAnsi="Wingdings" w:hint="default"/>
        <w:color w:val="62136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FFC4B76"/>
    <w:multiLevelType w:val="hybridMultilevel"/>
    <w:tmpl w:val="94B2F8C2"/>
    <w:lvl w:ilvl="0" w:tplc="D4EAD530">
      <w:start w:val="1"/>
      <w:numFmt w:val="bullet"/>
      <w:lvlText w:val="·"/>
      <w:lvlJc w:val="left"/>
      <w:pPr>
        <w:ind w:left="720" w:hanging="360"/>
      </w:pPr>
      <w:rPr>
        <w:rFonts w:ascii="Symbol" w:hAnsi="Symbol" w:hint="default"/>
      </w:rPr>
    </w:lvl>
    <w:lvl w:ilvl="1" w:tplc="123E2E30">
      <w:start w:val="1"/>
      <w:numFmt w:val="bullet"/>
      <w:lvlText w:val="o"/>
      <w:lvlJc w:val="left"/>
      <w:pPr>
        <w:ind w:left="1440" w:hanging="360"/>
      </w:pPr>
      <w:rPr>
        <w:rFonts w:ascii="Courier New" w:hAnsi="Courier New" w:hint="default"/>
      </w:rPr>
    </w:lvl>
    <w:lvl w:ilvl="2" w:tplc="759A3688">
      <w:start w:val="1"/>
      <w:numFmt w:val="bullet"/>
      <w:lvlText w:val=""/>
      <w:lvlJc w:val="left"/>
      <w:pPr>
        <w:ind w:left="2160" w:hanging="360"/>
      </w:pPr>
      <w:rPr>
        <w:rFonts w:ascii="Wingdings" w:hAnsi="Wingdings" w:hint="default"/>
      </w:rPr>
    </w:lvl>
    <w:lvl w:ilvl="3" w:tplc="7A9AEDBE">
      <w:start w:val="1"/>
      <w:numFmt w:val="bullet"/>
      <w:lvlText w:val=""/>
      <w:lvlJc w:val="left"/>
      <w:pPr>
        <w:ind w:left="2880" w:hanging="360"/>
      </w:pPr>
      <w:rPr>
        <w:rFonts w:ascii="Symbol" w:hAnsi="Symbol" w:hint="default"/>
      </w:rPr>
    </w:lvl>
    <w:lvl w:ilvl="4" w:tplc="10D0446E">
      <w:start w:val="1"/>
      <w:numFmt w:val="bullet"/>
      <w:lvlText w:val="o"/>
      <w:lvlJc w:val="left"/>
      <w:pPr>
        <w:ind w:left="3600" w:hanging="360"/>
      </w:pPr>
      <w:rPr>
        <w:rFonts w:ascii="Courier New" w:hAnsi="Courier New" w:hint="default"/>
      </w:rPr>
    </w:lvl>
    <w:lvl w:ilvl="5" w:tplc="BEBA7DAC">
      <w:start w:val="1"/>
      <w:numFmt w:val="bullet"/>
      <w:lvlText w:val=""/>
      <w:lvlJc w:val="left"/>
      <w:pPr>
        <w:ind w:left="4320" w:hanging="360"/>
      </w:pPr>
      <w:rPr>
        <w:rFonts w:ascii="Wingdings" w:hAnsi="Wingdings" w:hint="default"/>
      </w:rPr>
    </w:lvl>
    <w:lvl w:ilvl="6" w:tplc="C298BB3C">
      <w:start w:val="1"/>
      <w:numFmt w:val="bullet"/>
      <w:lvlText w:val=""/>
      <w:lvlJc w:val="left"/>
      <w:pPr>
        <w:ind w:left="5040" w:hanging="360"/>
      </w:pPr>
      <w:rPr>
        <w:rFonts w:ascii="Symbol" w:hAnsi="Symbol" w:hint="default"/>
      </w:rPr>
    </w:lvl>
    <w:lvl w:ilvl="7" w:tplc="6E8680C8">
      <w:start w:val="1"/>
      <w:numFmt w:val="bullet"/>
      <w:lvlText w:val="o"/>
      <w:lvlJc w:val="left"/>
      <w:pPr>
        <w:ind w:left="5760" w:hanging="360"/>
      </w:pPr>
      <w:rPr>
        <w:rFonts w:ascii="Courier New" w:hAnsi="Courier New" w:hint="default"/>
      </w:rPr>
    </w:lvl>
    <w:lvl w:ilvl="8" w:tplc="0802B7A6">
      <w:start w:val="1"/>
      <w:numFmt w:val="bullet"/>
      <w:lvlText w:val=""/>
      <w:lvlJc w:val="left"/>
      <w:pPr>
        <w:ind w:left="6480" w:hanging="360"/>
      </w:pPr>
      <w:rPr>
        <w:rFonts w:ascii="Wingdings" w:hAnsi="Wingdings" w:hint="default"/>
      </w:rPr>
    </w:lvl>
  </w:abstractNum>
  <w:abstractNum w:abstractNumId="41" w15:restartNumberingAfterBreak="0">
    <w:nsid w:val="5575396B"/>
    <w:multiLevelType w:val="hybridMultilevel"/>
    <w:tmpl w:val="FEA811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6BA59CE"/>
    <w:multiLevelType w:val="hybridMultilevel"/>
    <w:tmpl w:val="FFFFFFFF"/>
    <w:lvl w:ilvl="0" w:tplc="4CD84C9E">
      <w:start w:val="1"/>
      <w:numFmt w:val="decimal"/>
      <w:lvlText w:val="%1."/>
      <w:lvlJc w:val="left"/>
      <w:pPr>
        <w:ind w:left="425" w:hanging="425"/>
      </w:pPr>
    </w:lvl>
    <w:lvl w:ilvl="1" w:tplc="DBDE5388">
      <w:start w:val="1"/>
      <w:numFmt w:val="lowerLetter"/>
      <w:lvlText w:val="%2."/>
      <w:lvlJc w:val="left"/>
      <w:pPr>
        <w:ind w:left="1440" w:hanging="360"/>
      </w:pPr>
    </w:lvl>
    <w:lvl w:ilvl="2" w:tplc="0270CEAA">
      <w:start w:val="1"/>
      <w:numFmt w:val="lowerRoman"/>
      <w:lvlText w:val="%3."/>
      <w:lvlJc w:val="right"/>
      <w:pPr>
        <w:ind w:left="2160" w:hanging="180"/>
      </w:pPr>
    </w:lvl>
    <w:lvl w:ilvl="3" w:tplc="FFF05310">
      <w:start w:val="1"/>
      <w:numFmt w:val="decimal"/>
      <w:lvlText w:val="%4."/>
      <w:lvlJc w:val="left"/>
      <w:pPr>
        <w:ind w:left="2880" w:hanging="360"/>
      </w:pPr>
    </w:lvl>
    <w:lvl w:ilvl="4" w:tplc="14765678">
      <w:start w:val="1"/>
      <w:numFmt w:val="lowerLetter"/>
      <w:lvlText w:val="%5."/>
      <w:lvlJc w:val="left"/>
      <w:pPr>
        <w:ind w:left="3600" w:hanging="360"/>
      </w:pPr>
    </w:lvl>
    <w:lvl w:ilvl="5" w:tplc="8E641CDC">
      <w:start w:val="1"/>
      <w:numFmt w:val="lowerRoman"/>
      <w:lvlText w:val="%6."/>
      <w:lvlJc w:val="right"/>
      <w:pPr>
        <w:ind w:left="4320" w:hanging="180"/>
      </w:pPr>
    </w:lvl>
    <w:lvl w:ilvl="6" w:tplc="95B27BC0">
      <w:start w:val="1"/>
      <w:numFmt w:val="decimal"/>
      <w:lvlText w:val="%7."/>
      <w:lvlJc w:val="left"/>
      <w:pPr>
        <w:ind w:left="5040" w:hanging="360"/>
      </w:pPr>
    </w:lvl>
    <w:lvl w:ilvl="7" w:tplc="F870A908">
      <w:start w:val="1"/>
      <w:numFmt w:val="lowerLetter"/>
      <w:lvlText w:val="%8."/>
      <w:lvlJc w:val="left"/>
      <w:pPr>
        <w:ind w:left="5760" w:hanging="360"/>
      </w:pPr>
    </w:lvl>
    <w:lvl w:ilvl="8" w:tplc="3E48C41E">
      <w:start w:val="1"/>
      <w:numFmt w:val="lowerRoman"/>
      <w:lvlText w:val="%9."/>
      <w:lvlJc w:val="right"/>
      <w:pPr>
        <w:ind w:left="6480" w:hanging="180"/>
      </w:pPr>
    </w:lvl>
  </w:abstractNum>
  <w:abstractNum w:abstractNumId="43" w15:restartNumberingAfterBreak="0">
    <w:nsid w:val="57E818D2"/>
    <w:multiLevelType w:val="hybridMultilevel"/>
    <w:tmpl w:val="AB845424"/>
    <w:lvl w:ilvl="0" w:tplc="17D6AA4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BCB4F15"/>
    <w:multiLevelType w:val="hybridMultilevel"/>
    <w:tmpl w:val="58063A60"/>
    <w:lvl w:ilvl="0" w:tplc="3FB68AEE">
      <w:start w:val="5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05A367E"/>
    <w:multiLevelType w:val="hybridMultilevel"/>
    <w:tmpl w:val="8FDC547A"/>
    <w:lvl w:ilvl="0" w:tplc="3CEA312C">
      <w:start w:val="1"/>
      <w:numFmt w:val="bullet"/>
      <w:lvlText w:val=""/>
      <w:lvlJc w:val="left"/>
      <w:pPr>
        <w:ind w:left="1080" w:hanging="360"/>
      </w:pPr>
      <w:rPr>
        <w:rFonts w:ascii="Symbol" w:hAnsi="Symbol"/>
      </w:rPr>
    </w:lvl>
    <w:lvl w:ilvl="1" w:tplc="C4186758">
      <w:start w:val="1"/>
      <w:numFmt w:val="bullet"/>
      <w:lvlText w:val=""/>
      <w:lvlJc w:val="left"/>
      <w:pPr>
        <w:ind w:left="1080" w:hanging="360"/>
      </w:pPr>
      <w:rPr>
        <w:rFonts w:ascii="Symbol" w:hAnsi="Symbol"/>
      </w:rPr>
    </w:lvl>
    <w:lvl w:ilvl="2" w:tplc="F5AA1CDE">
      <w:start w:val="1"/>
      <w:numFmt w:val="bullet"/>
      <w:lvlText w:val=""/>
      <w:lvlJc w:val="left"/>
      <w:pPr>
        <w:ind w:left="1080" w:hanging="360"/>
      </w:pPr>
      <w:rPr>
        <w:rFonts w:ascii="Symbol" w:hAnsi="Symbol"/>
      </w:rPr>
    </w:lvl>
    <w:lvl w:ilvl="3" w:tplc="B9A0B606">
      <w:start w:val="1"/>
      <w:numFmt w:val="bullet"/>
      <w:lvlText w:val=""/>
      <w:lvlJc w:val="left"/>
      <w:pPr>
        <w:ind w:left="1080" w:hanging="360"/>
      </w:pPr>
      <w:rPr>
        <w:rFonts w:ascii="Symbol" w:hAnsi="Symbol"/>
      </w:rPr>
    </w:lvl>
    <w:lvl w:ilvl="4" w:tplc="8A1AACAC">
      <w:start w:val="1"/>
      <w:numFmt w:val="bullet"/>
      <w:lvlText w:val=""/>
      <w:lvlJc w:val="left"/>
      <w:pPr>
        <w:ind w:left="1080" w:hanging="360"/>
      </w:pPr>
      <w:rPr>
        <w:rFonts w:ascii="Symbol" w:hAnsi="Symbol"/>
      </w:rPr>
    </w:lvl>
    <w:lvl w:ilvl="5" w:tplc="F4C4CA0E">
      <w:start w:val="1"/>
      <w:numFmt w:val="bullet"/>
      <w:lvlText w:val=""/>
      <w:lvlJc w:val="left"/>
      <w:pPr>
        <w:ind w:left="1080" w:hanging="360"/>
      </w:pPr>
      <w:rPr>
        <w:rFonts w:ascii="Symbol" w:hAnsi="Symbol"/>
      </w:rPr>
    </w:lvl>
    <w:lvl w:ilvl="6" w:tplc="1D709FAE">
      <w:start w:val="1"/>
      <w:numFmt w:val="bullet"/>
      <w:lvlText w:val=""/>
      <w:lvlJc w:val="left"/>
      <w:pPr>
        <w:ind w:left="1080" w:hanging="360"/>
      </w:pPr>
      <w:rPr>
        <w:rFonts w:ascii="Symbol" w:hAnsi="Symbol"/>
      </w:rPr>
    </w:lvl>
    <w:lvl w:ilvl="7" w:tplc="672A1A6C">
      <w:start w:val="1"/>
      <w:numFmt w:val="bullet"/>
      <w:lvlText w:val=""/>
      <w:lvlJc w:val="left"/>
      <w:pPr>
        <w:ind w:left="1080" w:hanging="360"/>
      </w:pPr>
      <w:rPr>
        <w:rFonts w:ascii="Symbol" w:hAnsi="Symbol"/>
      </w:rPr>
    </w:lvl>
    <w:lvl w:ilvl="8" w:tplc="E8C0C0B6">
      <w:start w:val="1"/>
      <w:numFmt w:val="bullet"/>
      <w:lvlText w:val=""/>
      <w:lvlJc w:val="left"/>
      <w:pPr>
        <w:ind w:left="1080" w:hanging="360"/>
      </w:pPr>
      <w:rPr>
        <w:rFonts w:ascii="Symbol" w:hAnsi="Symbol"/>
      </w:rPr>
    </w:lvl>
  </w:abstractNum>
  <w:abstractNum w:abstractNumId="46" w15:restartNumberingAfterBreak="0">
    <w:nsid w:val="63CA07CA"/>
    <w:multiLevelType w:val="hybridMultilevel"/>
    <w:tmpl w:val="F6E69572"/>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7" w15:restartNumberingAfterBreak="0">
    <w:nsid w:val="65078615"/>
    <w:multiLevelType w:val="hybridMultilevel"/>
    <w:tmpl w:val="FFFFFFFF"/>
    <w:lvl w:ilvl="0" w:tplc="3B3CE7A6">
      <w:start w:val="1"/>
      <w:numFmt w:val="lowerLetter"/>
      <w:lvlText w:val="%1."/>
      <w:lvlJc w:val="left"/>
      <w:pPr>
        <w:ind w:left="1211" w:hanging="360"/>
      </w:pPr>
    </w:lvl>
    <w:lvl w:ilvl="1" w:tplc="5680FDDE">
      <w:start w:val="1"/>
      <w:numFmt w:val="lowerLetter"/>
      <w:lvlText w:val="%2."/>
      <w:lvlJc w:val="left"/>
      <w:pPr>
        <w:ind w:left="1931" w:hanging="360"/>
      </w:pPr>
    </w:lvl>
    <w:lvl w:ilvl="2" w:tplc="F5067E84">
      <w:start w:val="1"/>
      <w:numFmt w:val="lowerRoman"/>
      <w:lvlText w:val="%3."/>
      <w:lvlJc w:val="right"/>
      <w:pPr>
        <w:ind w:left="2651" w:hanging="180"/>
      </w:pPr>
    </w:lvl>
    <w:lvl w:ilvl="3" w:tplc="1DACA128">
      <w:start w:val="1"/>
      <w:numFmt w:val="decimal"/>
      <w:lvlText w:val="%4."/>
      <w:lvlJc w:val="left"/>
      <w:pPr>
        <w:ind w:left="3371" w:hanging="360"/>
      </w:pPr>
    </w:lvl>
    <w:lvl w:ilvl="4" w:tplc="060C4796">
      <w:start w:val="1"/>
      <w:numFmt w:val="lowerLetter"/>
      <w:lvlText w:val="%5."/>
      <w:lvlJc w:val="left"/>
      <w:pPr>
        <w:ind w:left="4091" w:hanging="360"/>
      </w:pPr>
    </w:lvl>
    <w:lvl w:ilvl="5" w:tplc="9F20240A">
      <w:start w:val="1"/>
      <w:numFmt w:val="lowerRoman"/>
      <w:lvlText w:val="%6."/>
      <w:lvlJc w:val="right"/>
      <w:pPr>
        <w:ind w:left="4811" w:hanging="180"/>
      </w:pPr>
    </w:lvl>
    <w:lvl w:ilvl="6" w:tplc="DB8418AC">
      <w:start w:val="1"/>
      <w:numFmt w:val="decimal"/>
      <w:lvlText w:val="%7."/>
      <w:lvlJc w:val="left"/>
      <w:pPr>
        <w:ind w:left="5531" w:hanging="360"/>
      </w:pPr>
    </w:lvl>
    <w:lvl w:ilvl="7" w:tplc="D98A0772">
      <w:start w:val="1"/>
      <w:numFmt w:val="lowerLetter"/>
      <w:lvlText w:val="%8."/>
      <w:lvlJc w:val="left"/>
      <w:pPr>
        <w:ind w:left="6251" w:hanging="360"/>
      </w:pPr>
    </w:lvl>
    <w:lvl w:ilvl="8" w:tplc="1B38A344">
      <w:start w:val="1"/>
      <w:numFmt w:val="lowerRoman"/>
      <w:lvlText w:val="%9."/>
      <w:lvlJc w:val="right"/>
      <w:pPr>
        <w:ind w:left="6971" w:hanging="180"/>
      </w:pPr>
    </w:lvl>
  </w:abstractNum>
  <w:abstractNum w:abstractNumId="48" w15:restartNumberingAfterBreak="0">
    <w:nsid w:val="667B3AAC"/>
    <w:multiLevelType w:val="hybridMultilevel"/>
    <w:tmpl w:val="0C9E6CD8"/>
    <w:lvl w:ilvl="0" w:tplc="06FC54AC">
      <w:start w:val="1"/>
      <w:numFmt w:val="bullet"/>
      <w:lvlText w:val=""/>
      <w:lvlJc w:val="left"/>
      <w:pPr>
        <w:ind w:left="1080" w:hanging="360"/>
      </w:pPr>
      <w:rPr>
        <w:rFonts w:ascii="Symbol" w:hAnsi="Symbol"/>
      </w:rPr>
    </w:lvl>
    <w:lvl w:ilvl="1" w:tplc="D090CF9A">
      <w:start w:val="1"/>
      <w:numFmt w:val="bullet"/>
      <w:lvlText w:val=""/>
      <w:lvlJc w:val="left"/>
      <w:pPr>
        <w:ind w:left="1080" w:hanging="360"/>
      </w:pPr>
      <w:rPr>
        <w:rFonts w:ascii="Symbol" w:hAnsi="Symbol"/>
      </w:rPr>
    </w:lvl>
    <w:lvl w:ilvl="2" w:tplc="006EB9EE">
      <w:start w:val="1"/>
      <w:numFmt w:val="bullet"/>
      <w:lvlText w:val=""/>
      <w:lvlJc w:val="left"/>
      <w:pPr>
        <w:ind w:left="1080" w:hanging="360"/>
      </w:pPr>
      <w:rPr>
        <w:rFonts w:ascii="Symbol" w:hAnsi="Symbol"/>
      </w:rPr>
    </w:lvl>
    <w:lvl w:ilvl="3" w:tplc="5880B52E">
      <w:start w:val="1"/>
      <w:numFmt w:val="bullet"/>
      <w:lvlText w:val=""/>
      <w:lvlJc w:val="left"/>
      <w:pPr>
        <w:ind w:left="1080" w:hanging="360"/>
      </w:pPr>
      <w:rPr>
        <w:rFonts w:ascii="Symbol" w:hAnsi="Symbol"/>
      </w:rPr>
    </w:lvl>
    <w:lvl w:ilvl="4" w:tplc="5672A7C2">
      <w:start w:val="1"/>
      <w:numFmt w:val="bullet"/>
      <w:lvlText w:val=""/>
      <w:lvlJc w:val="left"/>
      <w:pPr>
        <w:ind w:left="1080" w:hanging="360"/>
      </w:pPr>
      <w:rPr>
        <w:rFonts w:ascii="Symbol" w:hAnsi="Symbol"/>
      </w:rPr>
    </w:lvl>
    <w:lvl w:ilvl="5" w:tplc="3F10DBE0">
      <w:start w:val="1"/>
      <w:numFmt w:val="bullet"/>
      <w:lvlText w:val=""/>
      <w:lvlJc w:val="left"/>
      <w:pPr>
        <w:ind w:left="1080" w:hanging="360"/>
      </w:pPr>
      <w:rPr>
        <w:rFonts w:ascii="Symbol" w:hAnsi="Symbol"/>
      </w:rPr>
    </w:lvl>
    <w:lvl w:ilvl="6" w:tplc="D9425C98">
      <w:start w:val="1"/>
      <w:numFmt w:val="bullet"/>
      <w:lvlText w:val=""/>
      <w:lvlJc w:val="left"/>
      <w:pPr>
        <w:ind w:left="1080" w:hanging="360"/>
      </w:pPr>
      <w:rPr>
        <w:rFonts w:ascii="Symbol" w:hAnsi="Symbol"/>
      </w:rPr>
    </w:lvl>
    <w:lvl w:ilvl="7" w:tplc="8EC0CCD2">
      <w:start w:val="1"/>
      <w:numFmt w:val="bullet"/>
      <w:lvlText w:val=""/>
      <w:lvlJc w:val="left"/>
      <w:pPr>
        <w:ind w:left="1080" w:hanging="360"/>
      </w:pPr>
      <w:rPr>
        <w:rFonts w:ascii="Symbol" w:hAnsi="Symbol"/>
      </w:rPr>
    </w:lvl>
    <w:lvl w:ilvl="8" w:tplc="40BE034A">
      <w:start w:val="1"/>
      <w:numFmt w:val="bullet"/>
      <w:lvlText w:val=""/>
      <w:lvlJc w:val="left"/>
      <w:pPr>
        <w:ind w:left="1080" w:hanging="360"/>
      </w:pPr>
      <w:rPr>
        <w:rFonts w:ascii="Symbol" w:hAnsi="Symbol"/>
      </w:rPr>
    </w:lvl>
  </w:abstractNum>
  <w:abstractNum w:abstractNumId="49" w15:restartNumberingAfterBreak="0">
    <w:nsid w:val="67916703"/>
    <w:multiLevelType w:val="hybridMultilevel"/>
    <w:tmpl w:val="73646140"/>
    <w:lvl w:ilvl="0" w:tplc="424238C8">
      <w:start w:val="1"/>
      <w:numFmt w:val="bullet"/>
      <w:lvlText w:val=""/>
      <w:lvlJc w:val="left"/>
      <w:pPr>
        <w:ind w:left="1080" w:hanging="360"/>
      </w:pPr>
      <w:rPr>
        <w:rFonts w:ascii="Symbol" w:hAnsi="Symbol"/>
      </w:rPr>
    </w:lvl>
    <w:lvl w:ilvl="1" w:tplc="B2120896">
      <w:start w:val="1"/>
      <w:numFmt w:val="bullet"/>
      <w:lvlText w:val=""/>
      <w:lvlJc w:val="left"/>
      <w:pPr>
        <w:ind w:left="1080" w:hanging="360"/>
      </w:pPr>
      <w:rPr>
        <w:rFonts w:ascii="Symbol" w:hAnsi="Symbol"/>
      </w:rPr>
    </w:lvl>
    <w:lvl w:ilvl="2" w:tplc="D550F5A2">
      <w:start w:val="1"/>
      <w:numFmt w:val="bullet"/>
      <w:lvlText w:val=""/>
      <w:lvlJc w:val="left"/>
      <w:pPr>
        <w:ind w:left="1080" w:hanging="360"/>
      </w:pPr>
      <w:rPr>
        <w:rFonts w:ascii="Symbol" w:hAnsi="Symbol"/>
      </w:rPr>
    </w:lvl>
    <w:lvl w:ilvl="3" w:tplc="EFD69A10">
      <w:start w:val="1"/>
      <w:numFmt w:val="bullet"/>
      <w:lvlText w:val=""/>
      <w:lvlJc w:val="left"/>
      <w:pPr>
        <w:ind w:left="1080" w:hanging="360"/>
      </w:pPr>
      <w:rPr>
        <w:rFonts w:ascii="Symbol" w:hAnsi="Symbol"/>
      </w:rPr>
    </w:lvl>
    <w:lvl w:ilvl="4" w:tplc="E77AC898">
      <w:start w:val="1"/>
      <w:numFmt w:val="bullet"/>
      <w:lvlText w:val=""/>
      <w:lvlJc w:val="left"/>
      <w:pPr>
        <w:ind w:left="1080" w:hanging="360"/>
      </w:pPr>
      <w:rPr>
        <w:rFonts w:ascii="Symbol" w:hAnsi="Symbol"/>
      </w:rPr>
    </w:lvl>
    <w:lvl w:ilvl="5" w:tplc="EB3E6CC6">
      <w:start w:val="1"/>
      <w:numFmt w:val="bullet"/>
      <w:lvlText w:val=""/>
      <w:lvlJc w:val="left"/>
      <w:pPr>
        <w:ind w:left="1080" w:hanging="360"/>
      </w:pPr>
      <w:rPr>
        <w:rFonts w:ascii="Symbol" w:hAnsi="Symbol"/>
      </w:rPr>
    </w:lvl>
    <w:lvl w:ilvl="6" w:tplc="59D4B698">
      <w:start w:val="1"/>
      <w:numFmt w:val="bullet"/>
      <w:lvlText w:val=""/>
      <w:lvlJc w:val="left"/>
      <w:pPr>
        <w:ind w:left="1080" w:hanging="360"/>
      </w:pPr>
      <w:rPr>
        <w:rFonts w:ascii="Symbol" w:hAnsi="Symbol"/>
      </w:rPr>
    </w:lvl>
    <w:lvl w:ilvl="7" w:tplc="6B0E7FC8">
      <w:start w:val="1"/>
      <w:numFmt w:val="bullet"/>
      <w:lvlText w:val=""/>
      <w:lvlJc w:val="left"/>
      <w:pPr>
        <w:ind w:left="1080" w:hanging="360"/>
      </w:pPr>
      <w:rPr>
        <w:rFonts w:ascii="Symbol" w:hAnsi="Symbol"/>
      </w:rPr>
    </w:lvl>
    <w:lvl w:ilvl="8" w:tplc="7994BC5C">
      <w:start w:val="1"/>
      <w:numFmt w:val="bullet"/>
      <w:lvlText w:val=""/>
      <w:lvlJc w:val="left"/>
      <w:pPr>
        <w:ind w:left="1080" w:hanging="360"/>
      </w:pPr>
      <w:rPr>
        <w:rFonts w:ascii="Symbol" w:hAnsi="Symbol"/>
      </w:rPr>
    </w:lvl>
  </w:abstractNum>
  <w:abstractNum w:abstractNumId="50" w15:restartNumberingAfterBreak="0">
    <w:nsid w:val="698FA12E"/>
    <w:multiLevelType w:val="hybridMultilevel"/>
    <w:tmpl w:val="FFFFFFFF"/>
    <w:lvl w:ilvl="0" w:tplc="B01A8C22">
      <w:start w:val="1"/>
      <w:numFmt w:val="decimal"/>
      <w:lvlText w:val="–"/>
      <w:lvlJc w:val="left"/>
      <w:pPr>
        <w:ind w:left="720" w:hanging="360"/>
      </w:pPr>
    </w:lvl>
    <w:lvl w:ilvl="1" w:tplc="6BCA7FC6">
      <w:start w:val="1"/>
      <w:numFmt w:val="lowerLetter"/>
      <w:lvlText w:val="%2."/>
      <w:lvlJc w:val="left"/>
      <w:pPr>
        <w:ind w:left="1440" w:hanging="360"/>
      </w:pPr>
    </w:lvl>
    <w:lvl w:ilvl="2" w:tplc="7070104C">
      <w:start w:val="1"/>
      <w:numFmt w:val="lowerRoman"/>
      <w:lvlText w:val="%3."/>
      <w:lvlJc w:val="right"/>
      <w:pPr>
        <w:ind w:left="2160" w:hanging="180"/>
      </w:pPr>
    </w:lvl>
    <w:lvl w:ilvl="3" w:tplc="818C553C">
      <w:start w:val="1"/>
      <w:numFmt w:val="decimal"/>
      <w:lvlText w:val="%4."/>
      <w:lvlJc w:val="left"/>
      <w:pPr>
        <w:ind w:left="2880" w:hanging="360"/>
      </w:pPr>
    </w:lvl>
    <w:lvl w:ilvl="4" w:tplc="44ACFFD0">
      <w:start w:val="1"/>
      <w:numFmt w:val="lowerLetter"/>
      <w:lvlText w:val="%5."/>
      <w:lvlJc w:val="left"/>
      <w:pPr>
        <w:ind w:left="3600" w:hanging="360"/>
      </w:pPr>
    </w:lvl>
    <w:lvl w:ilvl="5" w:tplc="8A788FDC">
      <w:start w:val="1"/>
      <w:numFmt w:val="lowerRoman"/>
      <w:lvlText w:val="%6."/>
      <w:lvlJc w:val="right"/>
      <w:pPr>
        <w:ind w:left="4320" w:hanging="180"/>
      </w:pPr>
    </w:lvl>
    <w:lvl w:ilvl="6" w:tplc="81EEE736">
      <w:start w:val="1"/>
      <w:numFmt w:val="decimal"/>
      <w:lvlText w:val="%7."/>
      <w:lvlJc w:val="left"/>
      <w:pPr>
        <w:ind w:left="5040" w:hanging="360"/>
      </w:pPr>
    </w:lvl>
    <w:lvl w:ilvl="7" w:tplc="89A63C28">
      <w:start w:val="1"/>
      <w:numFmt w:val="lowerLetter"/>
      <w:lvlText w:val="%8."/>
      <w:lvlJc w:val="left"/>
      <w:pPr>
        <w:ind w:left="5760" w:hanging="360"/>
      </w:pPr>
    </w:lvl>
    <w:lvl w:ilvl="8" w:tplc="5EAC841E">
      <w:start w:val="1"/>
      <w:numFmt w:val="lowerRoman"/>
      <w:lvlText w:val="%9."/>
      <w:lvlJc w:val="right"/>
      <w:pPr>
        <w:ind w:left="6480" w:hanging="180"/>
      </w:pPr>
    </w:lvl>
  </w:abstractNum>
  <w:abstractNum w:abstractNumId="51" w15:restartNumberingAfterBreak="0">
    <w:nsid w:val="6AFF18B1"/>
    <w:multiLevelType w:val="hybridMultilevel"/>
    <w:tmpl w:val="2DCAE2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CD027C7"/>
    <w:multiLevelType w:val="hybridMultilevel"/>
    <w:tmpl w:val="05B66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1174EB1"/>
    <w:multiLevelType w:val="hybridMultilevel"/>
    <w:tmpl w:val="E8FC9F34"/>
    <w:lvl w:ilvl="0" w:tplc="3F224BDC">
      <w:start w:val="1"/>
      <w:numFmt w:val="decimal"/>
      <w:pStyle w:val="Box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6D2C51"/>
    <w:multiLevelType w:val="hybridMultilevel"/>
    <w:tmpl w:val="E73A41C6"/>
    <w:lvl w:ilvl="0" w:tplc="0938F3AE">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65624EB"/>
    <w:multiLevelType w:val="hybridMultilevel"/>
    <w:tmpl w:val="FF96B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66833DF"/>
    <w:multiLevelType w:val="hybridMultilevel"/>
    <w:tmpl w:val="5DB8C8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78813766"/>
    <w:multiLevelType w:val="hybridMultilevel"/>
    <w:tmpl w:val="21BC7674"/>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58" w15:restartNumberingAfterBreak="0">
    <w:nsid w:val="7D0175A2"/>
    <w:multiLevelType w:val="hybridMultilevel"/>
    <w:tmpl w:val="FFFFFFFF"/>
    <w:lvl w:ilvl="0" w:tplc="BE125C62">
      <w:start w:val="1"/>
      <w:numFmt w:val="bullet"/>
      <w:lvlText w:val=""/>
      <w:lvlJc w:val="left"/>
      <w:pPr>
        <w:ind w:left="720" w:hanging="360"/>
      </w:pPr>
      <w:rPr>
        <w:rFonts w:ascii="Wingdings" w:hAnsi="Wingdings" w:hint="default"/>
      </w:rPr>
    </w:lvl>
    <w:lvl w:ilvl="1" w:tplc="754EA168">
      <w:start w:val="1"/>
      <w:numFmt w:val="bullet"/>
      <w:lvlText w:val="o"/>
      <w:lvlJc w:val="left"/>
      <w:pPr>
        <w:ind w:left="1440" w:hanging="360"/>
      </w:pPr>
      <w:rPr>
        <w:rFonts w:ascii="Courier New" w:hAnsi="Courier New" w:hint="default"/>
      </w:rPr>
    </w:lvl>
    <w:lvl w:ilvl="2" w:tplc="C19021F0">
      <w:start w:val="1"/>
      <w:numFmt w:val="bullet"/>
      <w:lvlText w:val=""/>
      <w:lvlJc w:val="left"/>
      <w:pPr>
        <w:ind w:left="2160" w:hanging="360"/>
      </w:pPr>
      <w:rPr>
        <w:rFonts w:ascii="Wingdings" w:hAnsi="Wingdings" w:hint="default"/>
      </w:rPr>
    </w:lvl>
    <w:lvl w:ilvl="3" w:tplc="3B4C1FAC">
      <w:start w:val="1"/>
      <w:numFmt w:val="bullet"/>
      <w:lvlText w:val=""/>
      <w:lvlJc w:val="left"/>
      <w:pPr>
        <w:ind w:left="2880" w:hanging="360"/>
      </w:pPr>
      <w:rPr>
        <w:rFonts w:ascii="Symbol" w:hAnsi="Symbol" w:hint="default"/>
      </w:rPr>
    </w:lvl>
    <w:lvl w:ilvl="4" w:tplc="778CB148">
      <w:start w:val="1"/>
      <w:numFmt w:val="bullet"/>
      <w:lvlText w:val="o"/>
      <w:lvlJc w:val="left"/>
      <w:pPr>
        <w:ind w:left="3600" w:hanging="360"/>
      </w:pPr>
      <w:rPr>
        <w:rFonts w:ascii="Courier New" w:hAnsi="Courier New" w:hint="default"/>
      </w:rPr>
    </w:lvl>
    <w:lvl w:ilvl="5" w:tplc="C9D69DB2">
      <w:start w:val="1"/>
      <w:numFmt w:val="bullet"/>
      <w:lvlText w:val=""/>
      <w:lvlJc w:val="left"/>
      <w:pPr>
        <w:ind w:left="4320" w:hanging="360"/>
      </w:pPr>
      <w:rPr>
        <w:rFonts w:ascii="Wingdings" w:hAnsi="Wingdings" w:hint="default"/>
      </w:rPr>
    </w:lvl>
    <w:lvl w:ilvl="6" w:tplc="214A89E8">
      <w:start w:val="1"/>
      <w:numFmt w:val="bullet"/>
      <w:lvlText w:val=""/>
      <w:lvlJc w:val="left"/>
      <w:pPr>
        <w:ind w:left="5040" w:hanging="360"/>
      </w:pPr>
      <w:rPr>
        <w:rFonts w:ascii="Symbol" w:hAnsi="Symbol" w:hint="default"/>
      </w:rPr>
    </w:lvl>
    <w:lvl w:ilvl="7" w:tplc="F95E44CC">
      <w:start w:val="1"/>
      <w:numFmt w:val="bullet"/>
      <w:lvlText w:val="o"/>
      <w:lvlJc w:val="left"/>
      <w:pPr>
        <w:ind w:left="5760" w:hanging="360"/>
      </w:pPr>
      <w:rPr>
        <w:rFonts w:ascii="Courier New" w:hAnsi="Courier New" w:hint="default"/>
      </w:rPr>
    </w:lvl>
    <w:lvl w:ilvl="8" w:tplc="9E128B6A">
      <w:start w:val="1"/>
      <w:numFmt w:val="bullet"/>
      <w:lvlText w:val=""/>
      <w:lvlJc w:val="left"/>
      <w:pPr>
        <w:ind w:left="6480" w:hanging="360"/>
      </w:pPr>
      <w:rPr>
        <w:rFonts w:ascii="Wingdings" w:hAnsi="Wingdings" w:hint="default"/>
      </w:rPr>
    </w:lvl>
  </w:abstractNum>
  <w:num w:numId="1" w16cid:durableId="826945003">
    <w:abstractNumId w:val="40"/>
  </w:num>
  <w:num w:numId="2" w16cid:durableId="1111702236">
    <w:abstractNumId w:val="1"/>
  </w:num>
  <w:num w:numId="3" w16cid:durableId="373698794">
    <w:abstractNumId w:val="0"/>
  </w:num>
  <w:num w:numId="4" w16cid:durableId="833036711">
    <w:abstractNumId w:val="3"/>
  </w:num>
  <w:num w:numId="5" w16cid:durableId="1540242156">
    <w:abstractNumId w:val="36"/>
  </w:num>
  <w:num w:numId="6" w16cid:durableId="355423101">
    <w:abstractNumId w:val="39"/>
  </w:num>
  <w:num w:numId="7" w16cid:durableId="483133014">
    <w:abstractNumId w:val="6"/>
  </w:num>
  <w:num w:numId="8" w16cid:durableId="781342220">
    <w:abstractNumId w:val="38"/>
  </w:num>
  <w:num w:numId="9" w16cid:durableId="787546795">
    <w:abstractNumId w:val="53"/>
  </w:num>
  <w:num w:numId="10" w16cid:durableId="2042199520">
    <w:abstractNumId w:val="14"/>
  </w:num>
  <w:num w:numId="11" w16cid:durableId="2136293903">
    <w:abstractNumId w:val="32"/>
  </w:num>
  <w:num w:numId="12" w16cid:durableId="1400322482">
    <w:abstractNumId w:val="33"/>
  </w:num>
  <w:num w:numId="13" w16cid:durableId="1243442548">
    <w:abstractNumId w:val="9"/>
  </w:num>
  <w:num w:numId="14" w16cid:durableId="656689607">
    <w:abstractNumId w:val="30"/>
  </w:num>
  <w:num w:numId="15" w16cid:durableId="1363869809">
    <w:abstractNumId w:val="19"/>
  </w:num>
  <w:num w:numId="16" w16cid:durableId="1090852996">
    <w:abstractNumId w:val="28"/>
    <w:lvlOverride w:ilvl="0">
      <w:startOverride w:val="1"/>
    </w:lvlOverride>
  </w:num>
  <w:num w:numId="17" w16cid:durableId="1028947449">
    <w:abstractNumId w:val="11"/>
  </w:num>
  <w:num w:numId="18" w16cid:durableId="625625379">
    <w:abstractNumId w:val="43"/>
  </w:num>
  <w:num w:numId="19" w16cid:durableId="13000744">
    <w:abstractNumId w:val="4"/>
  </w:num>
  <w:num w:numId="20" w16cid:durableId="910778181">
    <w:abstractNumId w:val="2"/>
  </w:num>
  <w:num w:numId="21" w16cid:durableId="86654562">
    <w:abstractNumId w:val="8"/>
  </w:num>
  <w:num w:numId="22" w16cid:durableId="1544907901">
    <w:abstractNumId w:val="37"/>
  </w:num>
  <w:num w:numId="23" w16cid:durableId="142351164">
    <w:abstractNumId w:val="12"/>
  </w:num>
  <w:num w:numId="24" w16cid:durableId="1855655972">
    <w:abstractNumId w:val="20"/>
  </w:num>
  <w:num w:numId="25" w16cid:durableId="467673866">
    <w:abstractNumId w:val="41"/>
  </w:num>
  <w:num w:numId="26" w16cid:durableId="1947736137">
    <w:abstractNumId w:val="52"/>
  </w:num>
  <w:num w:numId="27" w16cid:durableId="639308596">
    <w:abstractNumId w:val="56"/>
  </w:num>
  <w:num w:numId="28" w16cid:durableId="730153207">
    <w:abstractNumId w:val="57"/>
  </w:num>
  <w:num w:numId="29" w16cid:durableId="1271815221">
    <w:abstractNumId w:val="18"/>
  </w:num>
  <w:num w:numId="30" w16cid:durableId="1952394319">
    <w:abstractNumId w:val="54"/>
  </w:num>
  <w:num w:numId="31" w16cid:durableId="1046758982">
    <w:abstractNumId w:val="34"/>
  </w:num>
  <w:num w:numId="32" w16cid:durableId="1432772331">
    <w:abstractNumId w:val="23"/>
  </w:num>
  <w:num w:numId="33" w16cid:durableId="324089296">
    <w:abstractNumId w:val="13"/>
  </w:num>
  <w:num w:numId="34" w16cid:durableId="177307551">
    <w:abstractNumId w:val="17"/>
  </w:num>
  <w:num w:numId="35" w16cid:durableId="655493054">
    <w:abstractNumId w:val="21"/>
  </w:num>
  <w:num w:numId="36" w16cid:durableId="2054188732">
    <w:abstractNumId w:val="46"/>
  </w:num>
  <w:num w:numId="37" w16cid:durableId="2108231065">
    <w:abstractNumId w:val="58"/>
  </w:num>
  <w:num w:numId="38" w16cid:durableId="1509297711">
    <w:abstractNumId w:val="45"/>
  </w:num>
  <w:num w:numId="39" w16cid:durableId="1261987030">
    <w:abstractNumId w:val="49"/>
  </w:num>
  <w:num w:numId="40" w16cid:durableId="793324807">
    <w:abstractNumId w:val="31"/>
  </w:num>
  <w:num w:numId="41" w16cid:durableId="1035738383">
    <w:abstractNumId w:val="48"/>
  </w:num>
  <w:num w:numId="42" w16cid:durableId="1548486599">
    <w:abstractNumId w:val="42"/>
  </w:num>
  <w:num w:numId="43" w16cid:durableId="626473386">
    <w:abstractNumId w:val="47"/>
  </w:num>
  <w:num w:numId="44" w16cid:durableId="1492597037">
    <w:abstractNumId w:val="10"/>
  </w:num>
  <w:num w:numId="45" w16cid:durableId="1644265467">
    <w:abstractNumId w:val="22"/>
  </w:num>
  <w:num w:numId="46" w16cid:durableId="1395423931">
    <w:abstractNumId w:val="27"/>
  </w:num>
  <w:num w:numId="47" w16cid:durableId="2076388941">
    <w:abstractNumId w:val="29"/>
  </w:num>
  <w:num w:numId="48" w16cid:durableId="897857241">
    <w:abstractNumId w:val="50"/>
  </w:num>
  <w:num w:numId="49" w16cid:durableId="2106875240">
    <w:abstractNumId w:val="24"/>
  </w:num>
  <w:num w:numId="50" w16cid:durableId="1547571240">
    <w:abstractNumId w:val="14"/>
    <w:lvlOverride w:ilvl="0">
      <w:startOverride w:val="1"/>
    </w:lvlOverride>
  </w:num>
  <w:num w:numId="51" w16cid:durableId="647322391">
    <w:abstractNumId w:val="14"/>
    <w:lvlOverride w:ilvl="0">
      <w:startOverride w:val="1"/>
    </w:lvlOverride>
  </w:num>
  <w:num w:numId="52" w16cid:durableId="465665522">
    <w:abstractNumId w:val="35"/>
  </w:num>
  <w:num w:numId="53" w16cid:durableId="830290493">
    <w:abstractNumId w:val="51"/>
  </w:num>
  <w:num w:numId="54" w16cid:durableId="2136823766">
    <w:abstractNumId w:val="7"/>
  </w:num>
  <w:num w:numId="55" w16cid:durableId="455222276">
    <w:abstractNumId w:val="26"/>
  </w:num>
  <w:num w:numId="56" w16cid:durableId="263003415">
    <w:abstractNumId w:val="16"/>
  </w:num>
  <w:num w:numId="57" w16cid:durableId="2103449961">
    <w:abstractNumId w:val="55"/>
  </w:num>
  <w:num w:numId="58" w16cid:durableId="98452298">
    <w:abstractNumId w:val="44"/>
  </w:num>
  <w:num w:numId="59" w16cid:durableId="200754760">
    <w:abstractNumId w:val="5"/>
  </w:num>
  <w:num w:numId="60" w16cid:durableId="180436169">
    <w:abstractNumId w:val="15"/>
  </w:num>
  <w:num w:numId="61" w16cid:durableId="198014001">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03"/>
    <w:rsid w:val="00000039"/>
    <w:rsid w:val="0000005A"/>
    <w:rsid w:val="000002FD"/>
    <w:rsid w:val="000006FB"/>
    <w:rsid w:val="0000074F"/>
    <w:rsid w:val="00000A10"/>
    <w:rsid w:val="00000AB4"/>
    <w:rsid w:val="00000B0C"/>
    <w:rsid w:val="00000CFC"/>
    <w:rsid w:val="00000D09"/>
    <w:rsid w:val="00000D21"/>
    <w:rsid w:val="00000E3D"/>
    <w:rsid w:val="00000F22"/>
    <w:rsid w:val="00000F25"/>
    <w:rsid w:val="00000FC5"/>
    <w:rsid w:val="00001031"/>
    <w:rsid w:val="00001473"/>
    <w:rsid w:val="00001503"/>
    <w:rsid w:val="00001593"/>
    <w:rsid w:val="000015BC"/>
    <w:rsid w:val="0000176B"/>
    <w:rsid w:val="000017F3"/>
    <w:rsid w:val="00001850"/>
    <w:rsid w:val="000018BF"/>
    <w:rsid w:val="000018CE"/>
    <w:rsid w:val="000018E7"/>
    <w:rsid w:val="00001986"/>
    <w:rsid w:val="00001998"/>
    <w:rsid w:val="00001D94"/>
    <w:rsid w:val="00001E41"/>
    <w:rsid w:val="00001FDC"/>
    <w:rsid w:val="00002022"/>
    <w:rsid w:val="00002103"/>
    <w:rsid w:val="0000211D"/>
    <w:rsid w:val="00002175"/>
    <w:rsid w:val="00002251"/>
    <w:rsid w:val="000022A5"/>
    <w:rsid w:val="00002349"/>
    <w:rsid w:val="00002508"/>
    <w:rsid w:val="000025A6"/>
    <w:rsid w:val="000027DA"/>
    <w:rsid w:val="000027FA"/>
    <w:rsid w:val="000027FD"/>
    <w:rsid w:val="000028DB"/>
    <w:rsid w:val="00002937"/>
    <w:rsid w:val="000029A9"/>
    <w:rsid w:val="000029BD"/>
    <w:rsid w:val="00002A2C"/>
    <w:rsid w:val="00002B0F"/>
    <w:rsid w:val="00002BDD"/>
    <w:rsid w:val="00002D3D"/>
    <w:rsid w:val="00002DFE"/>
    <w:rsid w:val="00002EEF"/>
    <w:rsid w:val="00002F0E"/>
    <w:rsid w:val="00002F0F"/>
    <w:rsid w:val="00002FBE"/>
    <w:rsid w:val="000030C4"/>
    <w:rsid w:val="00003100"/>
    <w:rsid w:val="000032A7"/>
    <w:rsid w:val="00003544"/>
    <w:rsid w:val="000035A6"/>
    <w:rsid w:val="0000370F"/>
    <w:rsid w:val="000037CB"/>
    <w:rsid w:val="00003859"/>
    <w:rsid w:val="00003860"/>
    <w:rsid w:val="00003929"/>
    <w:rsid w:val="000039B4"/>
    <w:rsid w:val="00003A13"/>
    <w:rsid w:val="00003B5D"/>
    <w:rsid w:val="00003CAC"/>
    <w:rsid w:val="00003D15"/>
    <w:rsid w:val="00003E2D"/>
    <w:rsid w:val="00003E90"/>
    <w:rsid w:val="00003EEF"/>
    <w:rsid w:val="00003F4C"/>
    <w:rsid w:val="00003F52"/>
    <w:rsid w:val="00003FCC"/>
    <w:rsid w:val="00003FD0"/>
    <w:rsid w:val="00004075"/>
    <w:rsid w:val="0000413A"/>
    <w:rsid w:val="0000414F"/>
    <w:rsid w:val="0000418E"/>
    <w:rsid w:val="0000424A"/>
    <w:rsid w:val="000042D5"/>
    <w:rsid w:val="0000439A"/>
    <w:rsid w:val="000043BD"/>
    <w:rsid w:val="000044B9"/>
    <w:rsid w:val="0000460D"/>
    <w:rsid w:val="00004679"/>
    <w:rsid w:val="00004873"/>
    <w:rsid w:val="000049B6"/>
    <w:rsid w:val="000049E7"/>
    <w:rsid w:val="000049FE"/>
    <w:rsid w:val="00004B8C"/>
    <w:rsid w:val="00004BB0"/>
    <w:rsid w:val="00004BC9"/>
    <w:rsid w:val="00004BEF"/>
    <w:rsid w:val="00004BF3"/>
    <w:rsid w:val="00004CD4"/>
    <w:rsid w:val="00004E19"/>
    <w:rsid w:val="0000503E"/>
    <w:rsid w:val="00005131"/>
    <w:rsid w:val="00005144"/>
    <w:rsid w:val="000051AC"/>
    <w:rsid w:val="0000529A"/>
    <w:rsid w:val="000052E3"/>
    <w:rsid w:val="000052FD"/>
    <w:rsid w:val="00005366"/>
    <w:rsid w:val="000054E7"/>
    <w:rsid w:val="0000555D"/>
    <w:rsid w:val="00005651"/>
    <w:rsid w:val="000057CF"/>
    <w:rsid w:val="00005935"/>
    <w:rsid w:val="00005A48"/>
    <w:rsid w:val="00005BE0"/>
    <w:rsid w:val="00005C2C"/>
    <w:rsid w:val="00005C75"/>
    <w:rsid w:val="00005D50"/>
    <w:rsid w:val="00005DD2"/>
    <w:rsid w:val="00005E2C"/>
    <w:rsid w:val="00005EBC"/>
    <w:rsid w:val="00005EE7"/>
    <w:rsid w:val="00006094"/>
    <w:rsid w:val="000060E3"/>
    <w:rsid w:val="00006103"/>
    <w:rsid w:val="00006180"/>
    <w:rsid w:val="00006263"/>
    <w:rsid w:val="000063FD"/>
    <w:rsid w:val="0000644F"/>
    <w:rsid w:val="000067E6"/>
    <w:rsid w:val="0000681D"/>
    <w:rsid w:val="0000688E"/>
    <w:rsid w:val="00006A3F"/>
    <w:rsid w:val="00006AC7"/>
    <w:rsid w:val="00006AE8"/>
    <w:rsid w:val="00006BA4"/>
    <w:rsid w:val="00006C08"/>
    <w:rsid w:val="00006CDD"/>
    <w:rsid w:val="00006D30"/>
    <w:rsid w:val="00006DC3"/>
    <w:rsid w:val="00006E23"/>
    <w:rsid w:val="00006E5D"/>
    <w:rsid w:val="00006E65"/>
    <w:rsid w:val="00006EF5"/>
    <w:rsid w:val="00007023"/>
    <w:rsid w:val="00007072"/>
    <w:rsid w:val="00007077"/>
    <w:rsid w:val="000070FA"/>
    <w:rsid w:val="0000712B"/>
    <w:rsid w:val="0000718C"/>
    <w:rsid w:val="00007200"/>
    <w:rsid w:val="00007202"/>
    <w:rsid w:val="00007281"/>
    <w:rsid w:val="00007293"/>
    <w:rsid w:val="0000731A"/>
    <w:rsid w:val="00007378"/>
    <w:rsid w:val="00007557"/>
    <w:rsid w:val="000075B6"/>
    <w:rsid w:val="000075BF"/>
    <w:rsid w:val="000075CD"/>
    <w:rsid w:val="000076FC"/>
    <w:rsid w:val="00007795"/>
    <w:rsid w:val="000077BB"/>
    <w:rsid w:val="000077F0"/>
    <w:rsid w:val="0000789F"/>
    <w:rsid w:val="000078B4"/>
    <w:rsid w:val="0000798D"/>
    <w:rsid w:val="00007C3E"/>
    <w:rsid w:val="00007C52"/>
    <w:rsid w:val="00007CD7"/>
    <w:rsid w:val="00007F50"/>
    <w:rsid w:val="00007F52"/>
    <w:rsid w:val="00007F85"/>
    <w:rsid w:val="00010019"/>
    <w:rsid w:val="00010028"/>
    <w:rsid w:val="00010065"/>
    <w:rsid w:val="00010092"/>
    <w:rsid w:val="000100A1"/>
    <w:rsid w:val="0001032B"/>
    <w:rsid w:val="0001034A"/>
    <w:rsid w:val="00010367"/>
    <w:rsid w:val="000103E7"/>
    <w:rsid w:val="0001051E"/>
    <w:rsid w:val="00010525"/>
    <w:rsid w:val="000105A0"/>
    <w:rsid w:val="000105FD"/>
    <w:rsid w:val="000106D7"/>
    <w:rsid w:val="0001072D"/>
    <w:rsid w:val="00010A59"/>
    <w:rsid w:val="00010C4A"/>
    <w:rsid w:val="00010CEF"/>
    <w:rsid w:val="00010DB6"/>
    <w:rsid w:val="00010F05"/>
    <w:rsid w:val="00010F23"/>
    <w:rsid w:val="00010FD8"/>
    <w:rsid w:val="00010FEB"/>
    <w:rsid w:val="000112CF"/>
    <w:rsid w:val="0001135E"/>
    <w:rsid w:val="000113D9"/>
    <w:rsid w:val="0001146B"/>
    <w:rsid w:val="0001148D"/>
    <w:rsid w:val="000114D6"/>
    <w:rsid w:val="00011632"/>
    <w:rsid w:val="0001166C"/>
    <w:rsid w:val="000117F9"/>
    <w:rsid w:val="0001182D"/>
    <w:rsid w:val="00011874"/>
    <w:rsid w:val="00011892"/>
    <w:rsid w:val="000118A6"/>
    <w:rsid w:val="000118E6"/>
    <w:rsid w:val="00011C5F"/>
    <w:rsid w:val="00011C72"/>
    <w:rsid w:val="00011C78"/>
    <w:rsid w:val="00011CAF"/>
    <w:rsid w:val="00011CF6"/>
    <w:rsid w:val="00011D7A"/>
    <w:rsid w:val="00011E2B"/>
    <w:rsid w:val="00011F28"/>
    <w:rsid w:val="00011FB5"/>
    <w:rsid w:val="00012048"/>
    <w:rsid w:val="0001213D"/>
    <w:rsid w:val="000121DC"/>
    <w:rsid w:val="0001237B"/>
    <w:rsid w:val="00012418"/>
    <w:rsid w:val="000125BE"/>
    <w:rsid w:val="000125CB"/>
    <w:rsid w:val="000125FB"/>
    <w:rsid w:val="0001267A"/>
    <w:rsid w:val="000126F2"/>
    <w:rsid w:val="0001272A"/>
    <w:rsid w:val="00012789"/>
    <w:rsid w:val="0001280D"/>
    <w:rsid w:val="000128D2"/>
    <w:rsid w:val="00012907"/>
    <w:rsid w:val="0001294D"/>
    <w:rsid w:val="000129D4"/>
    <w:rsid w:val="000129EF"/>
    <w:rsid w:val="00012B2B"/>
    <w:rsid w:val="00012BA1"/>
    <w:rsid w:val="00012D0E"/>
    <w:rsid w:val="00012D78"/>
    <w:rsid w:val="00012DA7"/>
    <w:rsid w:val="00012E79"/>
    <w:rsid w:val="00012ED0"/>
    <w:rsid w:val="00012FAC"/>
    <w:rsid w:val="00012FC1"/>
    <w:rsid w:val="00013034"/>
    <w:rsid w:val="000130B1"/>
    <w:rsid w:val="0001313A"/>
    <w:rsid w:val="00013521"/>
    <w:rsid w:val="00013594"/>
    <w:rsid w:val="000135DE"/>
    <w:rsid w:val="00013658"/>
    <w:rsid w:val="00013695"/>
    <w:rsid w:val="00013702"/>
    <w:rsid w:val="000138BD"/>
    <w:rsid w:val="000138D7"/>
    <w:rsid w:val="00013934"/>
    <w:rsid w:val="00013939"/>
    <w:rsid w:val="0001398E"/>
    <w:rsid w:val="00013A71"/>
    <w:rsid w:val="00013AC5"/>
    <w:rsid w:val="00013AD0"/>
    <w:rsid w:val="00013C2A"/>
    <w:rsid w:val="00013C34"/>
    <w:rsid w:val="00013C5D"/>
    <w:rsid w:val="00013DCB"/>
    <w:rsid w:val="00013E72"/>
    <w:rsid w:val="00013F4A"/>
    <w:rsid w:val="0001405C"/>
    <w:rsid w:val="00014079"/>
    <w:rsid w:val="0001410E"/>
    <w:rsid w:val="00014118"/>
    <w:rsid w:val="00014251"/>
    <w:rsid w:val="000142AC"/>
    <w:rsid w:val="000142EC"/>
    <w:rsid w:val="000143AC"/>
    <w:rsid w:val="000143E1"/>
    <w:rsid w:val="0001460B"/>
    <w:rsid w:val="0001473D"/>
    <w:rsid w:val="0001476A"/>
    <w:rsid w:val="0001487E"/>
    <w:rsid w:val="000148F4"/>
    <w:rsid w:val="0001497A"/>
    <w:rsid w:val="000149F9"/>
    <w:rsid w:val="00014B18"/>
    <w:rsid w:val="00014BDE"/>
    <w:rsid w:val="00014BE0"/>
    <w:rsid w:val="00014C7F"/>
    <w:rsid w:val="00014CDE"/>
    <w:rsid w:val="00014D52"/>
    <w:rsid w:val="00014DDB"/>
    <w:rsid w:val="00014E99"/>
    <w:rsid w:val="00014EDB"/>
    <w:rsid w:val="00014F58"/>
    <w:rsid w:val="00014FD3"/>
    <w:rsid w:val="000151AC"/>
    <w:rsid w:val="000151EE"/>
    <w:rsid w:val="00015308"/>
    <w:rsid w:val="00015434"/>
    <w:rsid w:val="00015460"/>
    <w:rsid w:val="00015535"/>
    <w:rsid w:val="00015604"/>
    <w:rsid w:val="0001560C"/>
    <w:rsid w:val="000156B1"/>
    <w:rsid w:val="000156B2"/>
    <w:rsid w:val="000156B5"/>
    <w:rsid w:val="000157CB"/>
    <w:rsid w:val="00015851"/>
    <w:rsid w:val="0001586C"/>
    <w:rsid w:val="00015895"/>
    <w:rsid w:val="00015923"/>
    <w:rsid w:val="00015A91"/>
    <w:rsid w:val="00015AB0"/>
    <w:rsid w:val="00015D90"/>
    <w:rsid w:val="00015EB1"/>
    <w:rsid w:val="00015EDF"/>
    <w:rsid w:val="0001612D"/>
    <w:rsid w:val="000161BE"/>
    <w:rsid w:val="000162BB"/>
    <w:rsid w:val="00016419"/>
    <w:rsid w:val="0001652A"/>
    <w:rsid w:val="00016665"/>
    <w:rsid w:val="000166C6"/>
    <w:rsid w:val="0001673C"/>
    <w:rsid w:val="00016773"/>
    <w:rsid w:val="0001686D"/>
    <w:rsid w:val="000168A5"/>
    <w:rsid w:val="000168D6"/>
    <w:rsid w:val="00016966"/>
    <w:rsid w:val="00016A02"/>
    <w:rsid w:val="00016A38"/>
    <w:rsid w:val="00016A6A"/>
    <w:rsid w:val="00016A82"/>
    <w:rsid w:val="00016AEC"/>
    <w:rsid w:val="00016B14"/>
    <w:rsid w:val="00016C75"/>
    <w:rsid w:val="00016E59"/>
    <w:rsid w:val="00017104"/>
    <w:rsid w:val="000171F1"/>
    <w:rsid w:val="0001727F"/>
    <w:rsid w:val="00017375"/>
    <w:rsid w:val="000173FA"/>
    <w:rsid w:val="00017576"/>
    <w:rsid w:val="000175E7"/>
    <w:rsid w:val="0001785D"/>
    <w:rsid w:val="00017879"/>
    <w:rsid w:val="00017969"/>
    <w:rsid w:val="00017A94"/>
    <w:rsid w:val="00017B01"/>
    <w:rsid w:val="00017CD5"/>
    <w:rsid w:val="00017CD6"/>
    <w:rsid w:val="00017D11"/>
    <w:rsid w:val="00017DF3"/>
    <w:rsid w:val="00017E28"/>
    <w:rsid w:val="00017EC2"/>
    <w:rsid w:val="00017FAD"/>
    <w:rsid w:val="00020038"/>
    <w:rsid w:val="00020095"/>
    <w:rsid w:val="000200B3"/>
    <w:rsid w:val="0002028B"/>
    <w:rsid w:val="0002030D"/>
    <w:rsid w:val="0002039E"/>
    <w:rsid w:val="00020449"/>
    <w:rsid w:val="0002049E"/>
    <w:rsid w:val="00020552"/>
    <w:rsid w:val="00020567"/>
    <w:rsid w:val="00020576"/>
    <w:rsid w:val="000205D7"/>
    <w:rsid w:val="0002061F"/>
    <w:rsid w:val="0002082B"/>
    <w:rsid w:val="000208B4"/>
    <w:rsid w:val="00020A10"/>
    <w:rsid w:val="00020C01"/>
    <w:rsid w:val="00020C6A"/>
    <w:rsid w:val="00020C73"/>
    <w:rsid w:val="00020D18"/>
    <w:rsid w:val="00020D52"/>
    <w:rsid w:val="00020DB8"/>
    <w:rsid w:val="00020DEC"/>
    <w:rsid w:val="00020E18"/>
    <w:rsid w:val="00020E21"/>
    <w:rsid w:val="00020E6D"/>
    <w:rsid w:val="00020EDD"/>
    <w:rsid w:val="00020FAC"/>
    <w:rsid w:val="00021010"/>
    <w:rsid w:val="0002108C"/>
    <w:rsid w:val="000210D9"/>
    <w:rsid w:val="000210EB"/>
    <w:rsid w:val="000213C8"/>
    <w:rsid w:val="00021414"/>
    <w:rsid w:val="0002144B"/>
    <w:rsid w:val="00021520"/>
    <w:rsid w:val="00021545"/>
    <w:rsid w:val="00021596"/>
    <w:rsid w:val="000215A2"/>
    <w:rsid w:val="0002162B"/>
    <w:rsid w:val="00021685"/>
    <w:rsid w:val="000217B1"/>
    <w:rsid w:val="00021856"/>
    <w:rsid w:val="000219AB"/>
    <w:rsid w:val="00021A0D"/>
    <w:rsid w:val="00021AF3"/>
    <w:rsid w:val="00021B57"/>
    <w:rsid w:val="00021DC1"/>
    <w:rsid w:val="00021EF2"/>
    <w:rsid w:val="00021FF1"/>
    <w:rsid w:val="00022036"/>
    <w:rsid w:val="0002220C"/>
    <w:rsid w:val="000222DC"/>
    <w:rsid w:val="00022445"/>
    <w:rsid w:val="0002256A"/>
    <w:rsid w:val="00022606"/>
    <w:rsid w:val="0002265B"/>
    <w:rsid w:val="00022683"/>
    <w:rsid w:val="000226A0"/>
    <w:rsid w:val="00022726"/>
    <w:rsid w:val="0002280A"/>
    <w:rsid w:val="00022874"/>
    <w:rsid w:val="000229E1"/>
    <w:rsid w:val="00022B16"/>
    <w:rsid w:val="00022B6E"/>
    <w:rsid w:val="00022B7E"/>
    <w:rsid w:val="00022C49"/>
    <w:rsid w:val="00022E04"/>
    <w:rsid w:val="00022E4A"/>
    <w:rsid w:val="00022F1B"/>
    <w:rsid w:val="00022FF1"/>
    <w:rsid w:val="000233CB"/>
    <w:rsid w:val="000234A3"/>
    <w:rsid w:val="000234B1"/>
    <w:rsid w:val="000234FE"/>
    <w:rsid w:val="000235A9"/>
    <w:rsid w:val="00023617"/>
    <w:rsid w:val="000236EE"/>
    <w:rsid w:val="00023799"/>
    <w:rsid w:val="000238CC"/>
    <w:rsid w:val="00023987"/>
    <w:rsid w:val="000239CC"/>
    <w:rsid w:val="00023BA5"/>
    <w:rsid w:val="00023C61"/>
    <w:rsid w:val="00023CD9"/>
    <w:rsid w:val="00023E60"/>
    <w:rsid w:val="00023EE6"/>
    <w:rsid w:val="00023F78"/>
    <w:rsid w:val="00023F7F"/>
    <w:rsid w:val="00023FAD"/>
    <w:rsid w:val="00023FEA"/>
    <w:rsid w:val="00024128"/>
    <w:rsid w:val="0002413C"/>
    <w:rsid w:val="0002423B"/>
    <w:rsid w:val="00024310"/>
    <w:rsid w:val="000243F8"/>
    <w:rsid w:val="0002441B"/>
    <w:rsid w:val="0002443D"/>
    <w:rsid w:val="000244CE"/>
    <w:rsid w:val="0002456D"/>
    <w:rsid w:val="00024576"/>
    <w:rsid w:val="00024681"/>
    <w:rsid w:val="00024797"/>
    <w:rsid w:val="000247E3"/>
    <w:rsid w:val="00024846"/>
    <w:rsid w:val="00024C5E"/>
    <w:rsid w:val="00024D94"/>
    <w:rsid w:val="00024F5F"/>
    <w:rsid w:val="00024F6C"/>
    <w:rsid w:val="00024F70"/>
    <w:rsid w:val="000253A3"/>
    <w:rsid w:val="000253DD"/>
    <w:rsid w:val="00025439"/>
    <w:rsid w:val="0002544A"/>
    <w:rsid w:val="000254A1"/>
    <w:rsid w:val="00025741"/>
    <w:rsid w:val="0002582D"/>
    <w:rsid w:val="00025AE0"/>
    <w:rsid w:val="00025B6F"/>
    <w:rsid w:val="00025B8C"/>
    <w:rsid w:val="00025BC7"/>
    <w:rsid w:val="00025C2E"/>
    <w:rsid w:val="00025C76"/>
    <w:rsid w:val="00025E0E"/>
    <w:rsid w:val="00025E24"/>
    <w:rsid w:val="00026007"/>
    <w:rsid w:val="000261BF"/>
    <w:rsid w:val="0002623D"/>
    <w:rsid w:val="000262AF"/>
    <w:rsid w:val="000263D2"/>
    <w:rsid w:val="00026443"/>
    <w:rsid w:val="00026526"/>
    <w:rsid w:val="00026589"/>
    <w:rsid w:val="0002660A"/>
    <w:rsid w:val="000266D9"/>
    <w:rsid w:val="00026823"/>
    <w:rsid w:val="00026A31"/>
    <w:rsid w:val="00026A5C"/>
    <w:rsid w:val="00026C81"/>
    <w:rsid w:val="00026CF0"/>
    <w:rsid w:val="00026D51"/>
    <w:rsid w:val="00026DE8"/>
    <w:rsid w:val="00026DF0"/>
    <w:rsid w:val="00026E88"/>
    <w:rsid w:val="00026F4A"/>
    <w:rsid w:val="00026FE9"/>
    <w:rsid w:val="00027034"/>
    <w:rsid w:val="000270F2"/>
    <w:rsid w:val="00027282"/>
    <w:rsid w:val="000273A1"/>
    <w:rsid w:val="000273A8"/>
    <w:rsid w:val="000274BE"/>
    <w:rsid w:val="00027573"/>
    <w:rsid w:val="00027599"/>
    <w:rsid w:val="00027738"/>
    <w:rsid w:val="000277BB"/>
    <w:rsid w:val="000277D7"/>
    <w:rsid w:val="00027812"/>
    <w:rsid w:val="00027924"/>
    <w:rsid w:val="00027AC3"/>
    <w:rsid w:val="00027B2E"/>
    <w:rsid w:val="00027B48"/>
    <w:rsid w:val="00027BD6"/>
    <w:rsid w:val="00027BD7"/>
    <w:rsid w:val="00027C56"/>
    <w:rsid w:val="00027D51"/>
    <w:rsid w:val="00027DF9"/>
    <w:rsid w:val="00027E6D"/>
    <w:rsid w:val="0003000D"/>
    <w:rsid w:val="00030167"/>
    <w:rsid w:val="000302B8"/>
    <w:rsid w:val="0003037B"/>
    <w:rsid w:val="00030467"/>
    <w:rsid w:val="0003061F"/>
    <w:rsid w:val="00030689"/>
    <w:rsid w:val="00030736"/>
    <w:rsid w:val="0003082F"/>
    <w:rsid w:val="0003084D"/>
    <w:rsid w:val="0003091E"/>
    <w:rsid w:val="00030B90"/>
    <w:rsid w:val="00030BCA"/>
    <w:rsid w:val="00030BCC"/>
    <w:rsid w:val="00030BCF"/>
    <w:rsid w:val="00030BF8"/>
    <w:rsid w:val="00030C37"/>
    <w:rsid w:val="00030CC5"/>
    <w:rsid w:val="00030CD6"/>
    <w:rsid w:val="00030D09"/>
    <w:rsid w:val="00030D1C"/>
    <w:rsid w:val="00030EDB"/>
    <w:rsid w:val="00031072"/>
    <w:rsid w:val="0003120C"/>
    <w:rsid w:val="0003124D"/>
    <w:rsid w:val="000312A0"/>
    <w:rsid w:val="00031334"/>
    <w:rsid w:val="000313AD"/>
    <w:rsid w:val="00031435"/>
    <w:rsid w:val="000314ED"/>
    <w:rsid w:val="0003150D"/>
    <w:rsid w:val="00031516"/>
    <w:rsid w:val="00031520"/>
    <w:rsid w:val="00031523"/>
    <w:rsid w:val="0003160E"/>
    <w:rsid w:val="0003169C"/>
    <w:rsid w:val="000316FC"/>
    <w:rsid w:val="0003170A"/>
    <w:rsid w:val="0003170C"/>
    <w:rsid w:val="000317E0"/>
    <w:rsid w:val="0003187D"/>
    <w:rsid w:val="0003188F"/>
    <w:rsid w:val="00031A74"/>
    <w:rsid w:val="00031AB6"/>
    <w:rsid w:val="00031AB9"/>
    <w:rsid w:val="00031AC5"/>
    <w:rsid w:val="00031AE4"/>
    <w:rsid w:val="00031C47"/>
    <w:rsid w:val="00031CC9"/>
    <w:rsid w:val="00031CFB"/>
    <w:rsid w:val="00031D6E"/>
    <w:rsid w:val="00031D90"/>
    <w:rsid w:val="00031E3E"/>
    <w:rsid w:val="00031FCF"/>
    <w:rsid w:val="00032030"/>
    <w:rsid w:val="00032098"/>
    <w:rsid w:val="00032126"/>
    <w:rsid w:val="00032305"/>
    <w:rsid w:val="00032443"/>
    <w:rsid w:val="00032492"/>
    <w:rsid w:val="0003250B"/>
    <w:rsid w:val="00032521"/>
    <w:rsid w:val="0003254F"/>
    <w:rsid w:val="00032629"/>
    <w:rsid w:val="00032690"/>
    <w:rsid w:val="00032718"/>
    <w:rsid w:val="00032776"/>
    <w:rsid w:val="0003282A"/>
    <w:rsid w:val="00032917"/>
    <w:rsid w:val="00032A38"/>
    <w:rsid w:val="00032A94"/>
    <w:rsid w:val="00032B25"/>
    <w:rsid w:val="00032C63"/>
    <w:rsid w:val="00032CF9"/>
    <w:rsid w:val="00032D63"/>
    <w:rsid w:val="00032D65"/>
    <w:rsid w:val="00032E88"/>
    <w:rsid w:val="00032FF3"/>
    <w:rsid w:val="00033072"/>
    <w:rsid w:val="000330AB"/>
    <w:rsid w:val="00033362"/>
    <w:rsid w:val="000334A6"/>
    <w:rsid w:val="000335B0"/>
    <w:rsid w:val="000335B4"/>
    <w:rsid w:val="000335F3"/>
    <w:rsid w:val="000336FC"/>
    <w:rsid w:val="00033776"/>
    <w:rsid w:val="0003379D"/>
    <w:rsid w:val="0003387B"/>
    <w:rsid w:val="000338F5"/>
    <w:rsid w:val="0003397C"/>
    <w:rsid w:val="00033AD1"/>
    <w:rsid w:val="00033AFF"/>
    <w:rsid w:val="00033BC2"/>
    <w:rsid w:val="00033E83"/>
    <w:rsid w:val="00033F8E"/>
    <w:rsid w:val="00033FF6"/>
    <w:rsid w:val="00034016"/>
    <w:rsid w:val="00034106"/>
    <w:rsid w:val="00034551"/>
    <w:rsid w:val="0003458F"/>
    <w:rsid w:val="00034657"/>
    <w:rsid w:val="000346F5"/>
    <w:rsid w:val="00034706"/>
    <w:rsid w:val="000347C1"/>
    <w:rsid w:val="000348EB"/>
    <w:rsid w:val="00034992"/>
    <w:rsid w:val="00034A02"/>
    <w:rsid w:val="00034A65"/>
    <w:rsid w:val="00034B1B"/>
    <w:rsid w:val="00034B23"/>
    <w:rsid w:val="00034DBC"/>
    <w:rsid w:val="00034DEA"/>
    <w:rsid w:val="00034EF0"/>
    <w:rsid w:val="00034F85"/>
    <w:rsid w:val="00034F93"/>
    <w:rsid w:val="00034FAB"/>
    <w:rsid w:val="0003505B"/>
    <w:rsid w:val="000351B8"/>
    <w:rsid w:val="0003523E"/>
    <w:rsid w:val="000352A5"/>
    <w:rsid w:val="0003535D"/>
    <w:rsid w:val="000353B6"/>
    <w:rsid w:val="00035530"/>
    <w:rsid w:val="000355E3"/>
    <w:rsid w:val="0003563A"/>
    <w:rsid w:val="0003574A"/>
    <w:rsid w:val="0003577E"/>
    <w:rsid w:val="000357BF"/>
    <w:rsid w:val="00035808"/>
    <w:rsid w:val="00035815"/>
    <w:rsid w:val="000358B3"/>
    <w:rsid w:val="00035996"/>
    <w:rsid w:val="00035A90"/>
    <w:rsid w:val="00035ABB"/>
    <w:rsid w:val="00035B56"/>
    <w:rsid w:val="00035D1A"/>
    <w:rsid w:val="00035D61"/>
    <w:rsid w:val="00035D74"/>
    <w:rsid w:val="00035DFB"/>
    <w:rsid w:val="00035E18"/>
    <w:rsid w:val="00035FA4"/>
    <w:rsid w:val="0003610E"/>
    <w:rsid w:val="00036118"/>
    <w:rsid w:val="00036165"/>
    <w:rsid w:val="00036183"/>
    <w:rsid w:val="000362CE"/>
    <w:rsid w:val="0003646D"/>
    <w:rsid w:val="000365CF"/>
    <w:rsid w:val="000365F3"/>
    <w:rsid w:val="0003678A"/>
    <w:rsid w:val="000368B5"/>
    <w:rsid w:val="00036995"/>
    <w:rsid w:val="000369E9"/>
    <w:rsid w:val="00036A13"/>
    <w:rsid w:val="00036A85"/>
    <w:rsid w:val="00036A8C"/>
    <w:rsid w:val="00036A9B"/>
    <w:rsid w:val="00036AE3"/>
    <w:rsid w:val="00036B07"/>
    <w:rsid w:val="00036B50"/>
    <w:rsid w:val="00036C1B"/>
    <w:rsid w:val="00036C31"/>
    <w:rsid w:val="00036DBA"/>
    <w:rsid w:val="00037127"/>
    <w:rsid w:val="00037177"/>
    <w:rsid w:val="00037252"/>
    <w:rsid w:val="00037297"/>
    <w:rsid w:val="0003747F"/>
    <w:rsid w:val="0003753B"/>
    <w:rsid w:val="000375E3"/>
    <w:rsid w:val="000377CB"/>
    <w:rsid w:val="0003780F"/>
    <w:rsid w:val="0003788E"/>
    <w:rsid w:val="000378C3"/>
    <w:rsid w:val="00037A5F"/>
    <w:rsid w:val="00037BC5"/>
    <w:rsid w:val="00037C69"/>
    <w:rsid w:val="00037CAB"/>
    <w:rsid w:val="00037D4F"/>
    <w:rsid w:val="00037DD9"/>
    <w:rsid w:val="00037E11"/>
    <w:rsid w:val="00037E4E"/>
    <w:rsid w:val="00037E93"/>
    <w:rsid w:val="00037EC1"/>
    <w:rsid w:val="000402AA"/>
    <w:rsid w:val="000402C4"/>
    <w:rsid w:val="000403C5"/>
    <w:rsid w:val="0004046E"/>
    <w:rsid w:val="000404A6"/>
    <w:rsid w:val="00040506"/>
    <w:rsid w:val="00040575"/>
    <w:rsid w:val="000405AC"/>
    <w:rsid w:val="00040600"/>
    <w:rsid w:val="00040615"/>
    <w:rsid w:val="00040893"/>
    <w:rsid w:val="00040931"/>
    <w:rsid w:val="000409F8"/>
    <w:rsid w:val="00040A34"/>
    <w:rsid w:val="00040B37"/>
    <w:rsid w:val="00040B84"/>
    <w:rsid w:val="00040C3C"/>
    <w:rsid w:val="00040EE4"/>
    <w:rsid w:val="00040FAA"/>
    <w:rsid w:val="00040FCA"/>
    <w:rsid w:val="00041063"/>
    <w:rsid w:val="00041099"/>
    <w:rsid w:val="000410E7"/>
    <w:rsid w:val="00041170"/>
    <w:rsid w:val="00041185"/>
    <w:rsid w:val="0004121B"/>
    <w:rsid w:val="00041246"/>
    <w:rsid w:val="0004124C"/>
    <w:rsid w:val="0004129A"/>
    <w:rsid w:val="000412A5"/>
    <w:rsid w:val="000413D8"/>
    <w:rsid w:val="000413DD"/>
    <w:rsid w:val="00041424"/>
    <w:rsid w:val="00041451"/>
    <w:rsid w:val="00041600"/>
    <w:rsid w:val="00041695"/>
    <w:rsid w:val="000416B4"/>
    <w:rsid w:val="0004179C"/>
    <w:rsid w:val="0004179D"/>
    <w:rsid w:val="00041873"/>
    <w:rsid w:val="00041884"/>
    <w:rsid w:val="00041A8C"/>
    <w:rsid w:val="00041AF4"/>
    <w:rsid w:val="00041C35"/>
    <w:rsid w:val="00041DAD"/>
    <w:rsid w:val="00041EF5"/>
    <w:rsid w:val="00041F47"/>
    <w:rsid w:val="00041FAD"/>
    <w:rsid w:val="0004207B"/>
    <w:rsid w:val="0004211B"/>
    <w:rsid w:val="0004219A"/>
    <w:rsid w:val="00042233"/>
    <w:rsid w:val="000422F4"/>
    <w:rsid w:val="000424E7"/>
    <w:rsid w:val="000425BA"/>
    <w:rsid w:val="0004260C"/>
    <w:rsid w:val="0004260E"/>
    <w:rsid w:val="0004264E"/>
    <w:rsid w:val="00042706"/>
    <w:rsid w:val="00042818"/>
    <w:rsid w:val="0004286C"/>
    <w:rsid w:val="00042880"/>
    <w:rsid w:val="000428E2"/>
    <w:rsid w:val="00042979"/>
    <w:rsid w:val="00042A25"/>
    <w:rsid w:val="00042A38"/>
    <w:rsid w:val="00042A58"/>
    <w:rsid w:val="00042A91"/>
    <w:rsid w:val="00042B0C"/>
    <w:rsid w:val="00042BB6"/>
    <w:rsid w:val="00042C07"/>
    <w:rsid w:val="00042D23"/>
    <w:rsid w:val="00042DA0"/>
    <w:rsid w:val="00042DA7"/>
    <w:rsid w:val="00042EC4"/>
    <w:rsid w:val="00042F2A"/>
    <w:rsid w:val="0004317A"/>
    <w:rsid w:val="00043211"/>
    <w:rsid w:val="00043220"/>
    <w:rsid w:val="00043300"/>
    <w:rsid w:val="00043372"/>
    <w:rsid w:val="00043436"/>
    <w:rsid w:val="00043494"/>
    <w:rsid w:val="0004358B"/>
    <w:rsid w:val="000435B0"/>
    <w:rsid w:val="000436CD"/>
    <w:rsid w:val="00043771"/>
    <w:rsid w:val="00043780"/>
    <w:rsid w:val="00043860"/>
    <w:rsid w:val="0004394D"/>
    <w:rsid w:val="00043972"/>
    <w:rsid w:val="000439D5"/>
    <w:rsid w:val="00043F23"/>
    <w:rsid w:val="00043FB6"/>
    <w:rsid w:val="00044140"/>
    <w:rsid w:val="000442CB"/>
    <w:rsid w:val="000442F2"/>
    <w:rsid w:val="0004437F"/>
    <w:rsid w:val="000443A2"/>
    <w:rsid w:val="00044414"/>
    <w:rsid w:val="000444BB"/>
    <w:rsid w:val="000445B6"/>
    <w:rsid w:val="00044729"/>
    <w:rsid w:val="00044748"/>
    <w:rsid w:val="00044863"/>
    <w:rsid w:val="00044941"/>
    <w:rsid w:val="00044952"/>
    <w:rsid w:val="00044C21"/>
    <w:rsid w:val="00044C62"/>
    <w:rsid w:val="00044C65"/>
    <w:rsid w:val="00044D12"/>
    <w:rsid w:val="00044D93"/>
    <w:rsid w:val="00044E55"/>
    <w:rsid w:val="00044EE0"/>
    <w:rsid w:val="00044F8D"/>
    <w:rsid w:val="00044FAB"/>
    <w:rsid w:val="000451DA"/>
    <w:rsid w:val="00045315"/>
    <w:rsid w:val="000453ED"/>
    <w:rsid w:val="00045463"/>
    <w:rsid w:val="00045487"/>
    <w:rsid w:val="00045509"/>
    <w:rsid w:val="00045544"/>
    <w:rsid w:val="00045553"/>
    <w:rsid w:val="000455E7"/>
    <w:rsid w:val="000456F5"/>
    <w:rsid w:val="0004573A"/>
    <w:rsid w:val="00045960"/>
    <w:rsid w:val="00045A4A"/>
    <w:rsid w:val="00045AC7"/>
    <w:rsid w:val="00045B09"/>
    <w:rsid w:val="00045B85"/>
    <w:rsid w:val="00045CE5"/>
    <w:rsid w:val="00045D16"/>
    <w:rsid w:val="00045D23"/>
    <w:rsid w:val="00045D8C"/>
    <w:rsid w:val="00045E22"/>
    <w:rsid w:val="00045E2A"/>
    <w:rsid w:val="00045E93"/>
    <w:rsid w:val="00045ECC"/>
    <w:rsid w:val="00045FA5"/>
    <w:rsid w:val="0004604D"/>
    <w:rsid w:val="00046065"/>
    <w:rsid w:val="000461D4"/>
    <w:rsid w:val="000461D8"/>
    <w:rsid w:val="00046296"/>
    <w:rsid w:val="000462AC"/>
    <w:rsid w:val="000463DD"/>
    <w:rsid w:val="00046491"/>
    <w:rsid w:val="0004649A"/>
    <w:rsid w:val="000465AD"/>
    <w:rsid w:val="00046674"/>
    <w:rsid w:val="00046708"/>
    <w:rsid w:val="00046805"/>
    <w:rsid w:val="00046A91"/>
    <w:rsid w:val="00046ABF"/>
    <w:rsid w:val="00046B08"/>
    <w:rsid w:val="00046EE3"/>
    <w:rsid w:val="00046F8F"/>
    <w:rsid w:val="00046FE4"/>
    <w:rsid w:val="00047038"/>
    <w:rsid w:val="000470B5"/>
    <w:rsid w:val="0004715D"/>
    <w:rsid w:val="0004722E"/>
    <w:rsid w:val="00047384"/>
    <w:rsid w:val="0004746B"/>
    <w:rsid w:val="0004756A"/>
    <w:rsid w:val="00047610"/>
    <w:rsid w:val="00047683"/>
    <w:rsid w:val="000476D9"/>
    <w:rsid w:val="00047737"/>
    <w:rsid w:val="00047959"/>
    <w:rsid w:val="00047B81"/>
    <w:rsid w:val="00047B94"/>
    <w:rsid w:val="00047E2B"/>
    <w:rsid w:val="00050038"/>
    <w:rsid w:val="00050039"/>
    <w:rsid w:val="0005029C"/>
    <w:rsid w:val="000502AC"/>
    <w:rsid w:val="000502C7"/>
    <w:rsid w:val="0005061D"/>
    <w:rsid w:val="000506CD"/>
    <w:rsid w:val="00050767"/>
    <w:rsid w:val="00050801"/>
    <w:rsid w:val="000508B0"/>
    <w:rsid w:val="000508BD"/>
    <w:rsid w:val="000509D0"/>
    <w:rsid w:val="00050A5A"/>
    <w:rsid w:val="00050B0D"/>
    <w:rsid w:val="00050BC9"/>
    <w:rsid w:val="00050BEA"/>
    <w:rsid w:val="00050C31"/>
    <w:rsid w:val="00050D40"/>
    <w:rsid w:val="00050E02"/>
    <w:rsid w:val="00050E3B"/>
    <w:rsid w:val="00050E87"/>
    <w:rsid w:val="00051049"/>
    <w:rsid w:val="000510D1"/>
    <w:rsid w:val="000510E7"/>
    <w:rsid w:val="000511AE"/>
    <w:rsid w:val="0005120B"/>
    <w:rsid w:val="0005128E"/>
    <w:rsid w:val="00051322"/>
    <w:rsid w:val="0005142E"/>
    <w:rsid w:val="00051475"/>
    <w:rsid w:val="00051503"/>
    <w:rsid w:val="0005158B"/>
    <w:rsid w:val="000515C0"/>
    <w:rsid w:val="000515C5"/>
    <w:rsid w:val="000516BB"/>
    <w:rsid w:val="000519D2"/>
    <w:rsid w:val="000519EF"/>
    <w:rsid w:val="00051B34"/>
    <w:rsid w:val="00051D2D"/>
    <w:rsid w:val="00051D7B"/>
    <w:rsid w:val="00051DCA"/>
    <w:rsid w:val="00051DF8"/>
    <w:rsid w:val="00051E06"/>
    <w:rsid w:val="00051F1E"/>
    <w:rsid w:val="00051F2C"/>
    <w:rsid w:val="00052110"/>
    <w:rsid w:val="000521E5"/>
    <w:rsid w:val="0005220E"/>
    <w:rsid w:val="0005253D"/>
    <w:rsid w:val="000525B7"/>
    <w:rsid w:val="000525C0"/>
    <w:rsid w:val="000525FA"/>
    <w:rsid w:val="000526AA"/>
    <w:rsid w:val="000527B4"/>
    <w:rsid w:val="000527B6"/>
    <w:rsid w:val="00052944"/>
    <w:rsid w:val="000529C0"/>
    <w:rsid w:val="00052A58"/>
    <w:rsid w:val="00052B37"/>
    <w:rsid w:val="00052B50"/>
    <w:rsid w:val="00052B5F"/>
    <w:rsid w:val="00052BB7"/>
    <w:rsid w:val="00052BEC"/>
    <w:rsid w:val="00052C9F"/>
    <w:rsid w:val="00052E0B"/>
    <w:rsid w:val="00052EE0"/>
    <w:rsid w:val="00052F71"/>
    <w:rsid w:val="00052F90"/>
    <w:rsid w:val="00053089"/>
    <w:rsid w:val="00053096"/>
    <w:rsid w:val="000530ED"/>
    <w:rsid w:val="00053142"/>
    <w:rsid w:val="000531E6"/>
    <w:rsid w:val="000532F2"/>
    <w:rsid w:val="0005332B"/>
    <w:rsid w:val="0005343F"/>
    <w:rsid w:val="0005352E"/>
    <w:rsid w:val="000535D8"/>
    <w:rsid w:val="000535F3"/>
    <w:rsid w:val="00053611"/>
    <w:rsid w:val="000536F2"/>
    <w:rsid w:val="00053751"/>
    <w:rsid w:val="00053877"/>
    <w:rsid w:val="000538C3"/>
    <w:rsid w:val="000538E9"/>
    <w:rsid w:val="000538EE"/>
    <w:rsid w:val="0005392F"/>
    <w:rsid w:val="00053969"/>
    <w:rsid w:val="00053A12"/>
    <w:rsid w:val="00053A27"/>
    <w:rsid w:val="00053B15"/>
    <w:rsid w:val="00053B52"/>
    <w:rsid w:val="00053C10"/>
    <w:rsid w:val="00053C8C"/>
    <w:rsid w:val="00053D88"/>
    <w:rsid w:val="00054107"/>
    <w:rsid w:val="0005419D"/>
    <w:rsid w:val="000541B6"/>
    <w:rsid w:val="000541D5"/>
    <w:rsid w:val="0005430A"/>
    <w:rsid w:val="0005430D"/>
    <w:rsid w:val="000543B0"/>
    <w:rsid w:val="000543B3"/>
    <w:rsid w:val="000543D2"/>
    <w:rsid w:val="00054428"/>
    <w:rsid w:val="0005446A"/>
    <w:rsid w:val="000544ED"/>
    <w:rsid w:val="00054556"/>
    <w:rsid w:val="00054649"/>
    <w:rsid w:val="00054689"/>
    <w:rsid w:val="000546B5"/>
    <w:rsid w:val="000546B7"/>
    <w:rsid w:val="000546E4"/>
    <w:rsid w:val="00054707"/>
    <w:rsid w:val="00054724"/>
    <w:rsid w:val="0005475F"/>
    <w:rsid w:val="0005477D"/>
    <w:rsid w:val="000547ED"/>
    <w:rsid w:val="00054898"/>
    <w:rsid w:val="00054926"/>
    <w:rsid w:val="00054946"/>
    <w:rsid w:val="00054955"/>
    <w:rsid w:val="00054978"/>
    <w:rsid w:val="0005498C"/>
    <w:rsid w:val="00054A81"/>
    <w:rsid w:val="00054B40"/>
    <w:rsid w:val="00054D02"/>
    <w:rsid w:val="00054E0B"/>
    <w:rsid w:val="00054E76"/>
    <w:rsid w:val="00054EF6"/>
    <w:rsid w:val="00054F77"/>
    <w:rsid w:val="00054F89"/>
    <w:rsid w:val="00054FC8"/>
    <w:rsid w:val="00055078"/>
    <w:rsid w:val="00055101"/>
    <w:rsid w:val="00055330"/>
    <w:rsid w:val="00055340"/>
    <w:rsid w:val="000553C4"/>
    <w:rsid w:val="000553F8"/>
    <w:rsid w:val="00055478"/>
    <w:rsid w:val="00055586"/>
    <w:rsid w:val="000555D7"/>
    <w:rsid w:val="0005560A"/>
    <w:rsid w:val="0005593C"/>
    <w:rsid w:val="00055A74"/>
    <w:rsid w:val="00055AEF"/>
    <w:rsid w:val="00055B18"/>
    <w:rsid w:val="00055BAC"/>
    <w:rsid w:val="00055D5F"/>
    <w:rsid w:val="00055DB3"/>
    <w:rsid w:val="00055E1C"/>
    <w:rsid w:val="00055FE8"/>
    <w:rsid w:val="00056134"/>
    <w:rsid w:val="000562BB"/>
    <w:rsid w:val="00056384"/>
    <w:rsid w:val="000564EE"/>
    <w:rsid w:val="00056503"/>
    <w:rsid w:val="00056543"/>
    <w:rsid w:val="000565A6"/>
    <w:rsid w:val="000566C8"/>
    <w:rsid w:val="00056734"/>
    <w:rsid w:val="000567AF"/>
    <w:rsid w:val="00056875"/>
    <w:rsid w:val="0005688A"/>
    <w:rsid w:val="00056945"/>
    <w:rsid w:val="00056979"/>
    <w:rsid w:val="000569D1"/>
    <w:rsid w:val="00056AE1"/>
    <w:rsid w:val="00056C05"/>
    <w:rsid w:val="00056C2E"/>
    <w:rsid w:val="00056D1B"/>
    <w:rsid w:val="00056D6B"/>
    <w:rsid w:val="00056D7F"/>
    <w:rsid w:val="00056DA6"/>
    <w:rsid w:val="00056E68"/>
    <w:rsid w:val="00056F62"/>
    <w:rsid w:val="0005714B"/>
    <w:rsid w:val="00057212"/>
    <w:rsid w:val="0005726C"/>
    <w:rsid w:val="0005728B"/>
    <w:rsid w:val="000572C7"/>
    <w:rsid w:val="000572FD"/>
    <w:rsid w:val="00057301"/>
    <w:rsid w:val="0005730F"/>
    <w:rsid w:val="00057515"/>
    <w:rsid w:val="00057539"/>
    <w:rsid w:val="00057608"/>
    <w:rsid w:val="0005769A"/>
    <w:rsid w:val="000577A4"/>
    <w:rsid w:val="00057825"/>
    <w:rsid w:val="00057870"/>
    <w:rsid w:val="00057968"/>
    <w:rsid w:val="00057A2F"/>
    <w:rsid w:val="00057D8F"/>
    <w:rsid w:val="00057DBB"/>
    <w:rsid w:val="00057DFC"/>
    <w:rsid w:val="00057E42"/>
    <w:rsid w:val="00057EE7"/>
    <w:rsid w:val="00057EFE"/>
    <w:rsid w:val="00057F35"/>
    <w:rsid w:val="00057F7C"/>
    <w:rsid w:val="00060056"/>
    <w:rsid w:val="000600B4"/>
    <w:rsid w:val="00060105"/>
    <w:rsid w:val="0006010C"/>
    <w:rsid w:val="00060141"/>
    <w:rsid w:val="000601BA"/>
    <w:rsid w:val="0006024F"/>
    <w:rsid w:val="000602F9"/>
    <w:rsid w:val="000603AE"/>
    <w:rsid w:val="000603B6"/>
    <w:rsid w:val="0006052D"/>
    <w:rsid w:val="000606B1"/>
    <w:rsid w:val="00060710"/>
    <w:rsid w:val="0006074A"/>
    <w:rsid w:val="00060825"/>
    <w:rsid w:val="000608AB"/>
    <w:rsid w:val="0006099D"/>
    <w:rsid w:val="00060A00"/>
    <w:rsid w:val="00060A8B"/>
    <w:rsid w:val="00060C4A"/>
    <w:rsid w:val="00060F5A"/>
    <w:rsid w:val="00060F5B"/>
    <w:rsid w:val="0006103E"/>
    <w:rsid w:val="00061096"/>
    <w:rsid w:val="0006109E"/>
    <w:rsid w:val="0006116C"/>
    <w:rsid w:val="000612EA"/>
    <w:rsid w:val="00061346"/>
    <w:rsid w:val="00061371"/>
    <w:rsid w:val="000613FE"/>
    <w:rsid w:val="00061487"/>
    <w:rsid w:val="00061644"/>
    <w:rsid w:val="00061733"/>
    <w:rsid w:val="000618EE"/>
    <w:rsid w:val="000619D4"/>
    <w:rsid w:val="000619DB"/>
    <w:rsid w:val="00061A26"/>
    <w:rsid w:val="00061A2D"/>
    <w:rsid w:val="00061A95"/>
    <w:rsid w:val="00061AB1"/>
    <w:rsid w:val="00061B53"/>
    <w:rsid w:val="00061BDE"/>
    <w:rsid w:val="00061C03"/>
    <w:rsid w:val="00061C49"/>
    <w:rsid w:val="00061CC3"/>
    <w:rsid w:val="00061CC6"/>
    <w:rsid w:val="00061D18"/>
    <w:rsid w:val="00061DF7"/>
    <w:rsid w:val="00061ECF"/>
    <w:rsid w:val="00062041"/>
    <w:rsid w:val="000621B9"/>
    <w:rsid w:val="000621E1"/>
    <w:rsid w:val="0006222E"/>
    <w:rsid w:val="00062234"/>
    <w:rsid w:val="000622AC"/>
    <w:rsid w:val="000622B7"/>
    <w:rsid w:val="00062320"/>
    <w:rsid w:val="0006247A"/>
    <w:rsid w:val="000624A7"/>
    <w:rsid w:val="00062541"/>
    <w:rsid w:val="00062664"/>
    <w:rsid w:val="000626CD"/>
    <w:rsid w:val="000626E5"/>
    <w:rsid w:val="00062714"/>
    <w:rsid w:val="000627A6"/>
    <w:rsid w:val="00062962"/>
    <w:rsid w:val="0006296E"/>
    <w:rsid w:val="000629AF"/>
    <w:rsid w:val="00062B70"/>
    <w:rsid w:val="00062C28"/>
    <w:rsid w:val="00062CA0"/>
    <w:rsid w:val="00062D9C"/>
    <w:rsid w:val="00062DB1"/>
    <w:rsid w:val="00062E85"/>
    <w:rsid w:val="00062FA8"/>
    <w:rsid w:val="00063182"/>
    <w:rsid w:val="000631B1"/>
    <w:rsid w:val="000631B9"/>
    <w:rsid w:val="00063213"/>
    <w:rsid w:val="0006345F"/>
    <w:rsid w:val="00063487"/>
    <w:rsid w:val="00063495"/>
    <w:rsid w:val="00063539"/>
    <w:rsid w:val="00063543"/>
    <w:rsid w:val="000635A7"/>
    <w:rsid w:val="00063720"/>
    <w:rsid w:val="00063759"/>
    <w:rsid w:val="000637A2"/>
    <w:rsid w:val="000637EE"/>
    <w:rsid w:val="000638F0"/>
    <w:rsid w:val="000638F6"/>
    <w:rsid w:val="00063910"/>
    <w:rsid w:val="000639A0"/>
    <w:rsid w:val="00063AB2"/>
    <w:rsid w:val="00063AEF"/>
    <w:rsid w:val="00063B72"/>
    <w:rsid w:val="00063BE9"/>
    <w:rsid w:val="00063CCA"/>
    <w:rsid w:val="00063D25"/>
    <w:rsid w:val="00063D58"/>
    <w:rsid w:val="00063DCF"/>
    <w:rsid w:val="00063DF1"/>
    <w:rsid w:val="00063E51"/>
    <w:rsid w:val="00063EA1"/>
    <w:rsid w:val="00063F5F"/>
    <w:rsid w:val="00063F79"/>
    <w:rsid w:val="000640D5"/>
    <w:rsid w:val="000643DF"/>
    <w:rsid w:val="0006445C"/>
    <w:rsid w:val="0006459B"/>
    <w:rsid w:val="000645BE"/>
    <w:rsid w:val="0006461A"/>
    <w:rsid w:val="00064791"/>
    <w:rsid w:val="0006479D"/>
    <w:rsid w:val="000648BF"/>
    <w:rsid w:val="00064BBE"/>
    <w:rsid w:val="00064BC1"/>
    <w:rsid w:val="00064C1E"/>
    <w:rsid w:val="00064C45"/>
    <w:rsid w:val="00064C5E"/>
    <w:rsid w:val="00064CF5"/>
    <w:rsid w:val="00064D6D"/>
    <w:rsid w:val="00064EFC"/>
    <w:rsid w:val="00064F14"/>
    <w:rsid w:val="00065287"/>
    <w:rsid w:val="000654C7"/>
    <w:rsid w:val="00065671"/>
    <w:rsid w:val="0006584F"/>
    <w:rsid w:val="000659A2"/>
    <w:rsid w:val="00065A55"/>
    <w:rsid w:val="00065B17"/>
    <w:rsid w:val="00065BD7"/>
    <w:rsid w:val="00065C39"/>
    <w:rsid w:val="00065CE1"/>
    <w:rsid w:val="00065D69"/>
    <w:rsid w:val="00065D73"/>
    <w:rsid w:val="00065E6C"/>
    <w:rsid w:val="00065EE9"/>
    <w:rsid w:val="00066034"/>
    <w:rsid w:val="0006603A"/>
    <w:rsid w:val="0006624E"/>
    <w:rsid w:val="000663A8"/>
    <w:rsid w:val="000663D0"/>
    <w:rsid w:val="0006650A"/>
    <w:rsid w:val="00066636"/>
    <w:rsid w:val="00066675"/>
    <w:rsid w:val="0006668B"/>
    <w:rsid w:val="00066760"/>
    <w:rsid w:val="00066794"/>
    <w:rsid w:val="0006686D"/>
    <w:rsid w:val="00066893"/>
    <w:rsid w:val="000668D8"/>
    <w:rsid w:val="00066917"/>
    <w:rsid w:val="00066987"/>
    <w:rsid w:val="00066A53"/>
    <w:rsid w:val="00066A6D"/>
    <w:rsid w:val="00066ADA"/>
    <w:rsid w:val="00066B7B"/>
    <w:rsid w:val="00066D0F"/>
    <w:rsid w:val="00066D4F"/>
    <w:rsid w:val="00066DAA"/>
    <w:rsid w:val="00066F14"/>
    <w:rsid w:val="000670F3"/>
    <w:rsid w:val="000671B9"/>
    <w:rsid w:val="00067224"/>
    <w:rsid w:val="000672FF"/>
    <w:rsid w:val="00067345"/>
    <w:rsid w:val="0006749E"/>
    <w:rsid w:val="000674A6"/>
    <w:rsid w:val="000674E7"/>
    <w:rsid w:val="0006759F"/>
    <w:rsid w:val="000675B3"/>
    <w:rsid w:val="000675D0"/>
    <w:rsid w:val="0006764E"/>
    <w:rsid w:val="000678E1"/>
    <w:rsid w:val="00067ACC"/>
    <w:rsid w:val="00067B26"/>
    <w:rsid w:val="00067CB3"/>
    <w:rsid w:val="00067D2D"/>
    <w:rsid w:val="00067D5C"/>
    <w:rsid w:val="00067D69"/>
    <w:rsid w:val="00067F4A"/>
    <w:rsid w:val="00070081"/>
    <w:rsid w:val="0007013F"/>
    <w:rsid w:val="00070144"/>
    <w:rsid w:val="00070225"/>
    <w:rsid w:val="000702B0"/>
    <w:rsid w:val="000704B6"/>
    <w:rsid w:val="00070569"/>
    <w:rsid w:val="0007059C"/>
    <w:rsid w:val="000705A6"/>
    <w:rsid w:val="000705D6"/>
    <w:rsid w:val="000706BF"/>
    <w:rsid w:val="000706CF"/>
    <w:rsid w:val="00070829"/>
    <w:rsid w:val="0007083F"/>
    <w:rsid w:val="0007087C"/>
    <w:rsid w:val="000708C3"/>
    <w:rsid w:val="00070CCD"/>
    <w:rsid w:val="00070CCF"/>
    <w:rsid w:val="00070E54"/>
    <w:rsid w:val="000710A6"/>
    <w:rsid w:val="000710B5"/>
    <w:rsid w:val="000710F4"/>
    <w:rsid w:val="00071394"/>
    <w:rsid w:val="000713B9"/>
    <w:rsid w:val="000714CF"/>
    <w:rsid w:val="00071530"/>
    <w:rsid w:val="000717FB"/>
    <w:rsid w:val="000718BB"/>
    <w:rsid w:val="000718E2"/>
    <w:rsid w:val="00071978"/>
    <w:rsid w:val="00071C53"/>
    <w:rsid w:val="00071C67"/>
    <w:rsid w:val="00071D46"/>
    <w:rsid w:val="00071E3D"/>
    <w:rsid w:val="00071EE8"/>
    <w:rsid w:val="00071F11"/>
    <w:rsid w:val="00071F71"/>
    <w:rsid w:val="000720A5"/>
    <w:rsid w:val="000722F6"/>
    <w:rsid w:val="00072304"/>
    <w:rsid w:val="00072313"/>
    <w:rsid w:val="00072829"/>
    <w:rsid w:val="0007282C"/>
    <w:rsid w:val="00072ABC"/>
    <w:rsid w:val="00072AEA"/>
    <w:rsid w:val="00072B11"/>
    <w:rsid w:val="00072BC4"/>
    <w:rsid w:val="00072C20"/>
    <w:rsid w:val="00072C3A"/>
    <w:rsid w:val="00072CAC"/>
    <w:rsid w:val="00072DC5"/>
    <w:rsid w:val="00072DEF"/>
    <w:rsid w:val="00072F6F"/>
    <w:rsid w:val="0007308F"/>
    <w:rsid w:val="000730D3"/>
    <w:rsid w:val="000731BB"/>
    <w:rsid w:val="000731C1"/>
    <w:rsid w:val="00073202"/>
    <w:rsid w:val="00073277"/>
    <w:rsid w:val="000732FF"/>
    <w:rsid w:val="00073407"/>
    <w:rsid w:val="0007342B"/>
    <w:rsid w:val="00073576"/>
    <w:rsid w:val="00073578"/>
    <w:rsid w:val="0007373D"/>
    <w:rsid w:val="00073880"/>
    <w:rsid w:val="000738B8"/>
    <w:rsid w:val="000739C1"/>
    <w:rsid w:val="000739F5"/>
    <w:rsid w:val="00073AC9"/>
    <w:rsid w:val="00073AD6"/>
    <w:rsid w:val="00073B8D"/>
    <w:rsid w:val="00073BBD"/>
    <w:rsid w:val="00073CD0"/>
    <w:rsid w:val="00073DED"/>
    <w:rsid w:val="00073E4E"/>
    <w:rsid w:val="00073E99"/>
    <w:rsid w:val="00073EC1"/>
    <w:rsid w:val="00073F18"/>
    <w:rsid w:val="00074023"/>
    <w:rsid w:val="00074143"/>
    <w:rsid w:val="000741F7"/>
    <w:rsid w:val="0007431F"/>
    <w:rsid w:val="000743AC"/>
    <w:rsid w:val="000743D9"/>
    <w:rsid w:val="0007447F"/>
    <w:rsid w:val="000744B9"/>
    <w:rsid w:val="0007454A"/>
    <w:rsid w:val="00074746"/>
    <w:rsid w:val="0007477A"/>
    <w:rsid w:val="0007480F"/>
    <w:rsid w:val="000748F2"/>
    <w:rsid w:val="000748F9"/>
    <w:rsid w:val="00074915"/>
    <w:rsid w:val="00074957"/>
    <w:rsid w:val="0007495B"/>
    <w:rsid w:val="0007496E"/>
    <w:rsid w:val="00074A7A"/>
    <w:rsid w:val="00074DA9"/>
    <w:rsid w:val="00074E17"/>
    <w:rsid w:val="00074FD2"/>
    <w:rsid w:val="00074FDC"/>
    <w:rsid w:val="00075100"/>
    <w:rsid w:val="00075155"/>
    <w:rsid w:val="00075182"/>
    <w:rsid w:val="000751D6"/>
    <w:rsid w:val="00075239"/>
    <w:rsid w:val="00075242"/>
    <w:rsid w:val="0007537C"/>
    <w:rsid w:val="000753B9"/>
    <w:rsid w:val="000754EB"/>
    <w:rsid w:val="0007567C"/>
    <w:rsid w:val="00075838"/>
    <w:rsid w:val="00075877"/>
    <w:rsid w:val="000758C3"/>
    <w:rsid w:val="000759B4"/>
    <w:rsid w:val="000759F1"/>
    <w:rsid w:val="00075A22"/>
    <w:rsid w:val="00075C1F"/>
    <w:rsid w:val="00075D4E"/>
    <w:rsid w:val="00075DBD"/>
    <w:rsid w:val="00075E1E"/>
    <w:rsid w:val="00075EE9"/>
    <w:rsid w:val="00075EEA"/>
    <w:rsid w:val="00075F20"/>
    <w:rsid w:val="00075F65"/>
    <w:rsid w:val="00076071"/>
    <w:rsid w:val="000760A2"/>
    <w:rsid w:val="000760EB"/>
    <w:rsid w:val="00076117"/>
    <w:rsid w:val="0007616F"/>
    <w:rsid w:val="00076267"/>
    <w:rsid w:val="0007627A"/>
    <w:rsid w:val="000762E7"/>
    <w:rsid w:val="0007634F"/>
    <w:rsid w:val="00076459"/>
    <w:rsid w:val="0007667C"/>
    <w:rsid w:val="00076735"/>
    <w:rsid w:val="000768FC"/>
    <w:rsid w:val="0007697B"/>
    <w:rsid w:val="0007699E"/>
    <w:rsid w:val="00076A4A"/>
    <w:rsid w:val="00076AFB"/>
    <w:rsid w:val="00076B8C"/>
    <w:rsid w:val="00076DC4"/>
    <w:rsid w:val="00076E24"/>
    <w:rsid w:val="00076E68"/>
    <w:rsid w:val="00076E6D"/>
    <w:rsid w:val="00076F5F"/>
    <w:rsid w:val="00077012"/>
    <w:rsid w:val="0007704C"/>
    <w:rsid w:val="00077051"/>
    <w:rsid w:val="00077200"/>
    <w:rsid w:val="0007728F"/>
    <w:rsid w:val="000772B1"/>
    <w:rsid w:val="00077304"/>
    <w:rsid w:val="0007732C"/>
    <w:rsid w:val="00077382"/>
    <w:rsid w:val="00077588"/>
    <w:rsid w:val="00077599"/>
    <w:rsid w:val="000775CC"/>
    <w:rsid w:val="00077637"/>
    <w:rsid w:val="0007767C"/>
    <w:rsid w:val="00077776"/>
    <w:rsid w:val="00077874"/>
    <w:rsid w:val="000778D0"/>
    <w:rsid w:val="00077915"/>
    <w:rsid w:val="0007791F"/>
    <w:rsid w:val="00077A92"/>
    <w:rsid w:val="00077B10"/>
    <w:rsid w:val="00077B20"/>
    <w:rsid w:val="00077B2A"/>
    <w:rsid w:val="00077BE2"/>
    <w:rsid w:val="00077C78"/>
    <w:rsid w:val="00077D2F"/>
    <w:rsid w:val="00077E1D"/>
    <w:rsid w:val="00077E26"/>
    <w:rsid w:val="00077E6E"/>
    <w:rsid w:val="00077E78"/>
    <w:rsid w:val="00077EAC"/>
    <w:rsid w:val="00077F25"/>
    <w:rsid w:val="00077F37"/>
    <w:rsid w:val="00077F9E"/>
    <w:rsid w:val="0008001F"/>
    <w:rsid w:val="000800CC"/>
    <w:rsid w:val="0008041E"/>
    <w:rsid w:val="000805DD"/>
    <w:rsid w:val="000806C4"/>
    <w:rsid w:val="0008080D"/>
    <w:rsid w:val="0008081A"/>
    <w:rsid w:val="00080946"/>
    <w:rsid w:val="00080B62"/>
    <w:rsid w:val="00080B63"/>
    <w:rsid w:val="00080E94"/>
    <w:rsid w:val="00081033"/>
    <w:rsid w:val="0008107B"/>
    <w:rsid w:val="000811A0"/>
    <w:rsid w:val="00081204"/>
    <w:rsid w:val="00081249"/>
    <w:rsid w:val="0008129B"/>
    <w:rsid w:val="0008149D"/>
    <w:rsid w:val="000815AB"/>
    <w:rsid w:val="00081615"/>
    <w:rsid w:val="00081638"/>
    <w:rsid w:val="000816D5"/>
    <w:rsid w:val="0008176C"/>
    <w:rsid w:val="000817D3"/>
    <w:rsid w:val="000817E8"/>
    <w:rsid w:val="0008187B"/>
    <w:rsid w:val="000818C4"/>
    <w:rsid w:val="00081904"/>
    <w:rsid w:val="00081A32"/>
    <w:rsid w:val="00081A33"/>
    <w:rsid w:val="00081AB8"/>
    <w:rsid w:val="00081BBA"/>
    <w:rsid w:val="00081BF6"/>
    <w:rsid w:val="00081C32"/>
    <w:rsid w:val="00081C9A"/>
    <w:rsid w:val="00081CCF"/>
    <w:rsid w:val="00081D4B"/>
    <w:rsid w:val="00081DCB"/>
    <w:rsid w:val="00081E9F"/>
    <w:rsid w:val="00081EE1"/>
    <w:rsid w:val="00082028"/>
    <w:rsid w:val="000820EE"/>
    <w:rsid w:val="00082200"/>
    <w:rsid w:val="00082312"/>
    <w:rsid w:val="000823A3"/>
    <w:rsid w:val="00082439"/>
    <w:rsid w:val="00082472"/>
    <w:rsid w:val="0008251C"/>
    <w:rsid w:val="00082530"/>
    <w:rsid w:val="00082596"/>
    <w:rsid w:val="000825BC"/>
    <w:rsid w:val="000825D5"/>
    <w:rsid w:val="00082609"/>
    <w:rsid w:val="00082625"/>
    <w:rsid w:val="000826A0"/>
    <w:rsid w:val="000826DB"/>
    <w:rsid w:val="0008279C"/>
    <w:rsid w:val="000827C8"/>
    <w:rsid w:val="0008286F"/>
    <w:rsid w:val="00082953"/>
    <w:rsid w:val="00082ABF"/>
    <w:rsid w:val="00082AEC"/>
    <w:rsid w:val="00082CA4"/>
    <w:rsid w:val="00082E1D"/>
    <w:rsid w:val="00082E24"/>
    <w:rsid w:val="00082E25"/>
    <w:rsid w:val="00082FA6"/>
    <w:rsid w:val="000830A6"/>
    <w:rsid w:val="000830D3"/>
    <w:rsid w:val="000830D4"/>
    <w:rsid w:val="000832E1"/>
    <w:rsid w:val="0008335B"/>
    <w:rsid w:val="0008337D"/>
    <w:rsid w:val="000833F8"/>
    <w:rsid w:val="00083407"/>
    <w:rsid w:val="00083412"/>
    <w:rsid w:val="00083414"/>
    <w:rsid w:val="0008348D"/>
    <w:rsid w:val="000834DE"/>
    <w:rsid w:val="000835BD"/>
    <w:rsid w:val="000835CF"/>
    <w:rsid w:val="00083632"/>
    <w:rsid w:val="00083787"/>
    <w:rsid w:val="0008389B"/>
    <w:rsid w:val="000838D6"/>
    <w:rsid w:val="000839DC"/>
    <w:rsid w:val="00083B10"/>
    <w:rsid w:val="00083BC7"/>
    <w:rsid w:val="00083C29"/>
    <w:rsid w:val="00083CA7"/>
    <w:rsid w:val="00083CE0"/>
    <w:rsid w:val="00083D25"/>
    <w:rsid w:val="00083D96"/>
    <w:rsid w:val="00083D97"/>
    <w:rsid w:val="00083DC2"/>
    <w:rsid w:val="00083DCF"/>
    <w:rsid w:val="00083ECD"/>
    <w:rsid w:val="00083F57"/>
    <w:rsid w:val="00084009"/>
    <w:rsid w:val="000840E3"/>
    <w:rsid w:val="0008424B"/>
    <w:rsid w:val="0008425E"/>
    <w:rsid w:val="000842D1"/>
    <w:rsid w:val="000842E5"/>
    <w:rsid w:val="00084319"/>
    <w:rsid w:val="00084388"/>
    <w:rsid w:val="000843DA"/>
    <w:rsid w:val="00084410"/>
    <w:rsid w:val="0008445D"/>
    <w:rsid w:val="00084488"/>
    <w:rsid w:val="000844A2"/>
    <w:rsid w:val="000844B2"/>
    <w:rsid w:val="000844F8"/>
    <w:rsid w:val="0008450F"/>
    <w:rsid w:val="00084512"/>
    <w:rsid w:val="00084518"/>
    <w:rsid w:val="00084712"/>
    <w:rsid w:val="000847A6"/>
    <w:rsid w:val="00084832"/>
    <w:rsid w:val="0008487E"/>
    <w:rsid w:val="00084887"/>
    <w:rsid w:val="000849B5"/>
    <w:rsid w:val="00084B73"/>
    <w:rsid w:val="00084BF3"/>
    <w:rsid w:val="00084C60"/>
    <w:rsid w:val="00084C7B"/>
    <w:rsid w:val="00084E46"/>
    <w:rsid w:val="00084ED3"/>
    <w:rsid w:val="00084F55"/>
    <w:rsid w:val="0008515F"/>
    <w:rsid w:val="0008517F"/>
    <w:rsid w:val="00085190"/>
    <w:rsid w:val="00085246"/>
    <w:rsid w:val="000852A7"/>
    <w:rsid w:val="000852C0"/>
    <w:rsid w:val="00085365"/>
    <w:rsid w:val="00085400"/>
    <w:rsid w:val="00085424"/>
    <w:rsid w:val="000854A2"/>
    <w:rsid w:val="00085517"/>
    <w:rsid w:val="0008567E"/>
    <w:rsid w:val="000856F6"/>
    <w:rsid w:val="00085769"/>
    <w:rsid w:val="0008597D"/>
    <w:rsid w:val="000859F1"/>
    <w:rsid w:val="00085A0B"/>
    <w:rsid w:val="00085AFB"/>
    <w:rsid w:val="00085BF5"/>
    <w:rsid w:val="00085CED"/>
    <w:rsid w:val="00085D2C"/>
    <w:rsid w:val="00085E9B"/>
    <w:rsid w:val="00085EDE"/>
    <w:rsid w:val="00086047"/>
    <w:rsid w:val="0008609D"/>
    <w:rsid w:val="000860C4"/>
    <w:rsid w:val="0008628D"/>
    <w:rsid w:val="000862E4"/>
    <w:rsid w:val="00086332"/>
    <w:rsid w:val="0008644A"/>
    <w:rsid w:val="00086471"/>
    <w:rsid w:val="00086512"/>
    <w:rsid w:val="0008654C"/>
    <w:rsid w:val="00086587"/>
    <w:rsid w:val="000865CF"/>
    <w:rsid w:val="000865DC"/>
    <w:rsid w:val="000865F0"/>
    <w:rsid w:val="0008668E"/>
    <w:rsid w:val="00086717"/>
    <w:rsid w:val="00086744"/>
    <w:rsid w:val="000867DC"/>
    <w:rsid w:val="0008681E"/>
    <w:rsid w:val="000868B5"/>
    <w:rsid w:val="0008691A"/>
    <w:rsid w:val="000869F2"/>
    <w:rsid w:val="000869FA"/>
    <w:rsid w:val="00086A62"/>
    <w:rsid w:val="00086B45"/>
    <w:rsid w:val="00086BCB"/>
    <w:rsid w:val="00086C40"/>
    <w:rsid w:val="00086E9B"/>
    <w:rsid w:val="00086FD0"/>
    <w:rsid w:val="00087069"/>
    <w:rsid w:val="00087124"/>
    <w:rsid w:val="00087126"/>
    <w:rsid w:val="000871BE"/>
    <w:rsid w:val="00087218"/>
    <w:rsid w:val="0008732F"/>
    <w:rsid w:val="000873C6"/>
    <w:rsid w:val="000873E1"/>
    <w:rsid w:val="000874AC"/>
    <w:rsid w:val="000874C5"/>
    <w:rsid w:val="0008773E"/>
    <w:rsid w:val="00087790"/>
    <w:rsid w:val="00087901"/>
    <w:rsid w:val="000879B1"/>
    <w:rsid w:val="000879CA"/>
    <w:rsid w:val="00087A0E"/>
    <w:rsid w:val="00087A2C"/>
    <w:rsid w:val="00087A44"/>
    <w:rsid w:val="00087C73"/>
    <w:rsid w:val="00087CE8"/>
    <w:rsid w:val="00087D1F"/>
    <w:rsid w:val="00087F22"/>
    <w:rsid w:val="00087F6E"/>
    <w:rsid w:val="000900CC"/>
    <w:rsid w:val="000900DE"/>
    <w:rsid w:val="00090182"/>
    <w:rsid w:val="000901E3"/>
    <w:rsid w:val="000901FF"/>
    <w:rsid w:val="000902C6"/>
    <w:rsid w:val="000903A5"/>
    <w:rsid w:val="000905E6"/>
    <w:rsid w:val="00090858"/>
    <w:rsid w:val="00090869"/>
    <w:rsid w:val="0009089B"/>
    <w:rsid w:val="00090918"/>
    <w:rsid w:val="00090919"/>
    <w:rsid w:val="00090937"/>
    <w:rsid w:val="0009095D"/>
    <w:rsid w:val="00090A7D"/>
    <w:rsid w:val="00090D20"/>
    <w:rsid w:val="00090D3A"/>
    <w:rsid w:val="00090D73"/>
    <w:rsid w:val="00090DC6"/>
    <w:rsid w:val="00090EE3"/>
    <w:rsid w:val="00090EEB"/>
    <w:rsid w:val="00090F13"/>
    <w:rsid w:val="00090F78"/>
    <w:rsid w:val="00090FC8"/>
    <w:rsid w:val="00091101"/>
    <w:rsid w:val="0009112C"/>
    <w:rsid w:val="0009120D"/>
    <w:rsid w:val="000912D6"/>
    <w:rsid w:val="00091338"/>
    <w:rsid w:val="000914A1"/>
    <w:rsid w:val="00091533"/>
    <w:rsid w:val="0009160F"/>
    <w:rsid w:val="0009175E"/>
    <w:rsid w:val="0009176C"/>
    <w:rsid w:val="000918FB"/>
    <w:rsid w:val="00091AA7"/>
    <w:rsid w:val="00091AD5"/>
    <w:rsid w:val="00091B14"/>
    <w:rsid w:val="00091BB0"/>
    <w:rsid w:val="00091D44"/>
    <w:rsid w:val="00091E38"/>
    <w:rsid w:val="00091F40"/>
    <w:rsid w:val="00091F88"/>
    <w:rsid w:val="00092042"/>
    <w:rsid w:val="00092049"/>
    <w:rsid w:val="00092056"/>
    <w:rsid w:val="000922F2"/>
    <w:rsid w:val="00092353"/>
    <w:rsid w:val="00092479"/>
    <w:rsid w:val="000925CC"/>
    <w:rsid w:val="0009276B"/>
    <w:rsid w:val="000928B1"/>
    <w:rsid w:val="000928BE"/>
    <w:rsid w:val="0009294E"/>
    <w:rsid w:val="00092C0F"/>
    <w:rsid w:val="00092C1C"/>
    <w:rsid w:val="00092D60"/>
    <w:rsid w:val="00092D95"/>
    <w:rsid w:val="00092E70"/>
    <w:rsid w:val="00092F50"/>
    <w:rsid w:val="00092F7C"/>
    <w:rsid w:val="000930EC"/>
    <w:rsid w:val="000932E6"/>
    <w:rsid w:val="00093310"/>
    <w:rsid w:val="0009335F"/>
    <w:rsid w:val="00093798"/>
    <w:rsid w:val="000937AF"/>
    <w:rsid w:val="0009395F"/>
    <w:rsid w:val="00093A3A"/>
    <w:rsid w:val="00093A7F"/>
    <w:rsid w:val="00093AA1"/>
    <w:rsid w:val="00093AA2"/>
    <w:rsid w:val="00093B0F"/>
    <w:rsid w:val="00093B11"/>
    <w:rsid w:val="00093B68"/>
    <w:rsid w:val="00093B92"/>
    <w:rsid w:val="00093BE5"/>
    <w:rsid w:val="00093C36"/>
    <w:rsid w:val="00093C5B"/>
    <w:rsid w:val="00093C79"/>
    <w:rsid w:val="00093CBD"/>
    <w:rsid w:val="00093CC3"/>
    <w:rsid w:val="00093D51"/>
    <w:rsid w:val="00093D9F"/>
    <w:rsid w:val="00093DAB"/>
    <w:rsid w:val="00093E0D"/>
    <w:rsid w:val="000941C4"/>
    <w:rsid w:val="000943F3"/>
    <w:rsid w:val="000944B3"/>
    <w:rsid w:val="00094524"/>
    <w:rsid w:val="0009454A"/>
    <w:rsid w:val="00094577"/>
    <w:rsid w:val="0009458E"/>
    <w:rsid w:val="00094622"/>
    <w:rsid w:val="00094778"/>
    <w:rsid w:val="000947DA"/>
    <w:rsid w:val="000948F4"/>
    <w:rsid w:val="00094959"/>
    <w:rsid w:val="000949AB"/>
    <w:rsid w:val="000949D8"/>
    <w:rsid w:val="000949DB"/>
    <w:rsid w:val="00094A45"/>
    <w:rsid w:val="00094A90"/>
    <w:rsid w:val="00094B3F"/>
    <w:rsid w:val="00094B9A"/>
    <w:rsid w:val="00094C53"/>
    <w:rsid w:val="00094C90"/>
    <w:rsid w:val="00094D57"/>
    <w:rsid w:val="00094FFF"/>
    <w:rsid w:val="0009502F"/>
    <w:rsid w:val="0009512F"/>
    <w:rsid w:val="00095185"/>
    <w:rsid w:val="000951A9"/>
    <w:rsid w:val="000951CF"/>
    <w:rsid w:val="000951D0"/>
    <w:rsid w:val="00095285"/>
    <w:rsid w:val="000952AE"/>
    <w:rsid w:val="000952DD"/>
    <w:rsid w:val="000952FC"/>
    <w:rsid w:val="0009537F"/>
    <w:rsid w:val="000954F1"/>
    <w:rsid w:val="00095514"/>
    <w:rsid w:val="0009553F"/>
    <w:rsid w:val="00095546"/>
    <w:rsid w:val="00095579"/>
    <w:rsid w:val="000955DD"/>
    <w:rsid w:val="0009566A"/>
    <w:rsid w:val="000956B1"/>
    <w:rsid w:val="00095858"/>
    <w:rsid w:val="0009591A"/>
    <w:rsid w:val="0009593D"/>
    <w:rsid w:val="00095946"/>
    <w:rsid w:val="00095B08"/>
    <w:rsid w:val="00095DAE"/>
    <w:rsid w:val="00095DF3"/>
    <w:rsid w:val="00095E74"/>
    <w:rsid w:val="00095EC3"/>
    <w:rsid w:val="00095F47"/>
    <w:rsid w:val="00095F6A"/>
    <w:rsid w:val="0009602E"/>
    <w:rsid w:val="00096129"/>
    <w:rsid w:val="000961F8"/>
    <w:rsid w:val="000962E5"/>
    <w:rsid w:val="00096465"/>
    <w:rsid w:val="000964CF"/>
    <w:rsid w:val="00096610"/>
    <w:rsid w:val="00096630"/>
    <w:rsid w:val="000969FC"/>
    <w:rsid w:val="00096A30"/>
    <w:rsid w:val="00096A39"/>
    <w:rsid w:val="00096AAF"/>
    <w:rsid w:val="00096AC1"/>
    <w:rsid w:val="00096AE7"/>
    <w:rsid w:val="00096C56"/>
    <w:rsid w:val="00096C99"/>
    <w:rsid w:val="00096D0E"/>
    <w:rsid w:val="00096ECC"/>
    <w:rsid w:val="00096ED8"/>
    <w:rsid w:val="00096F8F"/>
    <w:rsid w:val="00096FCD"/>
    <w:rsid w:val="00097047"/>
    <w:rsid w:val="0009708D"/>
    <w:rsid w:val="000970EF"/>
    <w:rsid w:val="00097178"/>
    <w:rsid w:val="00097182"/>
    <w:rsid w:val="00097243"/>
    <w:rsid w:val="000972D8"/>
    <w:rsid w:val="00097348"/>
    <w:rsid w:val="00097409"/>
    <w:rsid w:val="00097511"/>
    <w:rsid w:val="0009753D"/>
    <w:rsid w:val="00097540"/>
    <w:rsid w:val="00097603"/>
    <w:rsid w:val="00097678"/>
    <w:rsid w:val="000976C0"/>
    <w:rsid w:val="000977AB"/>
    <w:rsid w:val="00097820"/>
    <w:rsid w:val="00097993"/>
    <w:rsid w:val="00097A09"/>
    <w:rsid w:val="00097A27"/>
    <w:rsid w:val="00097A9E"/>
    <w:rsid w:val="00097BC6"/>
    <w:rsid w:val="00097C19"/>
    <w:rsid w:val="00097CC5"/>
    <w:rsid w:val="00097CDC"/>
    <w:rsid w:val="00097DCE"/>
    <w:rsid w:val="00097DF0"/>
    <w:rsid w:val="00097E05"/>
    <w:rsid w:val="00097E4A"/>
    <w:rsid w:val="000A0035"/>
    <w:rsid w:val="000A0058"/>
    <w:rsid w:val="000A00F6"/>
    <w:rsid w:val="000A019E"/>
    <w:rsid w:val="000A01AA"/>
    <w:rsid w:val="000A02A6"/>
    <w:rsid w:val="000A0326"/>
    <w:rsid w:val="000A038A"/>
    <w:rsid w:val="000A03AE"/>
    <w:rsid w:val="000A04A9"/>
    <w:rsid w:val="000A0530"/>
    <w:rsid w:val="000A063A"/>
    <w:rsid w:val="000A068E"/>
    <w:rsid w:val="000A06EC"/>
    <w:rsid w:val="000A0769"/>
    <w:rsid w:val="000A07C3"/>
    <w:rsid w:val="000A07DE"/>
    <w:rsid w:val="000A0897"/>
    <w:rsid w:val="000A08AF"/>
    <w:rsid w:val="000A0966"/>
    <w:rsid w:val="000A0A95"/>
    <w:rsid w:val="000A0B53"/>
    <w:rsid w:val="000A0B99"/>
    <w:rsid w:val="000A0BAD"/>
    <w:rsid w:val="000A0BFA"/>
    <w:rsid w:val="000A0CE4"/>
    <w:rsid w:val="000A0EC4"/>
    <w:rsid w:val="000A0F8D"/>
    <w:rsid w:val="000A10BF"/>
    <w:rsid w:val="000A10FE"/>
    <w:rsid w:val="000A113C"/>
    <w:rsid w:val="000A1306"/>
    <w:rsid w:val="000A1307"/>
    <w:rsid w:val="000A1540"/>
    <w:rsid w:val="000A1931"/>
    <w:rsid w:val="000A19CE"/>
    <w:rsid w:val="000A1A1B"/>
    <w:rsid w:val="000A1A7A"/>
    <w:rsid w:val="000A1AEC"/>
    <w:rsid w:val="000A1CE4"/>
    <w:rsid w:val="000A1E54"/>
    <w:rsid w:val="000A1E9E"/>
    <w:rsid w:val="000A1EB8"/>
    <w:rsid w:val="000A2044"/>
    <w:rsid w:val="000A2088"/>
    <w:rsid w:val="000A2120"/>
    <w:rsid w:val="000A217C"/>
    <w:rsid w:val="000A233F"/>
    <w:rsid w:val="000A2469"/>
    <w:rsid w:val="000A2750"/>
    <w:rsid w:val="000A275F"/>
    <w:rsid w:val="000A2775"/>
    <w:rsid w:val="000A27D6"/>
    <w:rsid w:val="000A288E"/>
    <w:rsid w:val="000A28B3"/>
    <w:rsid w:val="000A28CC"/>
    <w:rsid w:val="000A28D7"/>
    <w:rsid w:val="000A28F2"/>
    <w:rsid w:val="000A29B5"/>
    <w:rsid w:val="000A29F4"/>
    <w:rsid w:val="000A2A6A"/>
    <w:rsid w:val="000A2A7C"/>
    <w:rsid w:val="000A2A88"/>
    <w:rsid w:val="000A2AD0"/>
    <w:rsid w:val="000A2DE8"/>
    <w:rsid w:val="000A2DEF"/>
    <w:rsid w:val="000A2E26"/>
    <w:rsid w:val="000A2E4C"/>
    <w:rsid w:val="000A2E6E"/>
    <w:rsid w:val="000A2F87"/>
    <w:rsid w:val="000A3116"/>
    <w:rsid w:val="000A3179"/>
    <w:rsid w:val="000A3273"/>
    <w:rsid w:val="000A328D"/>
    <w:rsid w:val="000A32CF"/>
    <w:rsid w:val="000A346A"/>
    <w:rsid w:val="000A34C1"/>
    <w:rsid w:val="000A34FF"/>
    <w:rsid w:val="000A35C4"/>
    <w:rsid w:val="000A3621"/>
    <w:rsid w:val="000A364A"/>
    <w:rsid w:val="000A3776"/>
    <w:rsid w:val="000A384E"/>
    <w:rsid w:val="000A38C6"/>
    <w:rsid w:val="000A396D"/>
    <w:rsid w:val="000A3AB3"/>
    <w:rsid w:val="000A3ABF"/>
    <w:rsid w:val="000A3B32"/>
    <w:rsid w:val="000A3BB6"/>
    <w:rsid w:val="000A3BD2"/>
    <w:rsid w:val="000A3E24"/>
    <w:rsid w:val="000A3E8C"/>
    <w:rsid w:val="000A3FB5"/>
    <w:rsid w:val="000A4121"/>
    <w:rsid w:val="000A4135"/>
    <w:rsid w:val="000A4296"/>
    <w:rsid w:val="000A42FA"/>
    <w:rsid w:val="000A4323"/>
    <w:rsid w:val="000A4537"/>
    <w:rsid w:val="000A455C"/>
    <w:rsid w:val="000A45B0"/>
    <w:rsid w:val="000A462B"/>
    <w:rsid w:val="000A4671"/>
    <w:rsid w:val="000A4672"/>
    <w:rsid w:val="000A467B"/>
    <w:rsid w:val="000A46A1"/>
    <w:rsid w:val="000A481E"/>
    <w:rsid w:val="000A4964"/>
    <w:rsid w:val="000A4AD5"/>
    <w:rsid w:val="000A4D58"/>
    <w:rsid w:val="000A4D97"/>
    <w:rsid w:val="000A4DE7"/>
    <w:rsid w:val="000A4E82"/>
    <w:rsid w:val="000A5082"/>
    <w:rsid w:val="000A50D8"/>
    <w:rsid w:val="000A51C8"/>
    <w:rsid w:val="000A51DB"/>
    <w:rsid w:val="000A520A"/>
    <w:rsid w:val="000A5272"/>
    <w:rsid w:val="000A5293"/>
    <w:rsid w:val="000A5525"/>
    <w:rsid w:val="000A5548"/>
    <w:rsid w:val="000A5586"/>
    <w:rsid w:val="000A558D"/>
    <w:rsid w:val="000A5614"/>
    <w:rsid w:val="000A56C5"/>
    <w:rsid w:val="000A56EB"/>
    <w:rsid w:val="000A578C"/>
    <w:rsid w:val="000A581D"/>
    <w:rsid w:val="000A58CC"/>
    <w:rsid w:val="000A598A"/>
    <w:rsid w:val="000A5A11"/>
    <w:rsid w:val="000A5AD8"/>
    <w:rsid w:val="000A5C71"/>
    <w:rsid w:val="000A5D0B"/>
    <w:rsid w:val="000A5D3D"/>
    <w:rsid w:val="000A5D5A"/>
    <w:rsid w:val="000A5F1E"/>
    <w:rsid w:val="000A6062"/>
    <w:rsid w:val="000A64B7"/>
    <w:rsid w:val="000A64BA"/>
    <w:rsid w:val="000A665D"/>
    <w:rsid w:val="000A66C3"/>
    <w:rsid w:val="000A66F9"/>
    <w:rsid w:val="000A6703"/>
    <w:rsid w:val="000A6732"/>
    <w:rsid w:val="000A6904"/>
    <w:rsid w:val="000A6A4E"/>
    <w:rsid w:val="000A6AAE"/>
    <w:rsid w:val="000A6AE8"/>
    <w:rsid w:val="000A6B33"/>
    <w:rsid w:val="000A6B3D"/>
    <w:rsid w:val="000A6B70"/>
    <w:rsid w:val="000A6B71"/>
    <w:rsid w:val="000A6BF0"/>
    <w:rsid w:val="000A6C9F"/>
    <w:rsid w:val="000A6D8B"/>
    <w:rsid w:val="000A6E58"/>
    <w:rsid w:val="000A6E98"/>
    <w:rsid w:val="000A6E9A"/>
    <w:rsid w:val="000A6FDC"/>
    <w:rsid w:val="000A7207"/>
    <w:rsid w:val="000A7477"/>
    <w:rsid w:val="000A7543"/>
    <w:rsid w:val="000A769A"/>
    <w:rsid w:val="000A7769"/>
    <w:rsid w:val="000A782C"/>
    <w:rsid w:val="000A7A83"/>
    <w:rsid w:val="000A7BBE"/>
    <w:rsid w:val="000A7C0B"/>
    <w:rsid w:val="000A7CF7"/>
    <w:rsid w:val="000A7E7A"/>
    <w:rsid w:val="000A7EEF"/>
    <w:rsid w:val="000A7F09"/>
    <w:rsid w:val="000A7F87"/>
    <w:rsid w:val="000B0053"/>
    <w:rsid w:val="000B01B5"/>
    <w:rsid w:val="000B035A"/>
    <w:rsid w:val="000B0374"/>
    <w:rsid w:val="000B03F5"/>
    <w:rsid w:val="000B040A"/>
    <w:rsid w:val="000B042D"/>
    <w:rsid w:val="000B044A"/>
    <w:rsid w:val="000B04D2"/>
    <w:rsid w:val="000B04F0"/>
    <w:rsid w:val="000B061A"/>
    <w:rsid w:val="000B0655"/>
    <w:rsid w:val="000B06C7"/>
    <w:rsid w:val="000B06D0"/>
    <w:rsid w:val="000B06E4"/>
    <w:rsid w:val="000B0931"/>
    <w:rsid w:val="000B0B79"/>
    <w:rsid w:val="000B0BBD"/>
    <w:rsid w:val="000B0BD6"/>
    <w:rsid w:val="000B0C88"/>
    <w:rsid w:val="000B0CEB"/>
    <w:rsid w:val="000B0D13"/>
    <w:rsid w:val="000B0D74"/>
    <w:rsid w:val="000B0DAC"/>
    <w:rsid w:val="000B104F"/>
    <w:rsid w:val="000B109A"/>
    <w:rsid w:val="000B133C"/>
    <w:rsid w:val="000B13B6"/>
    <w:rsid w:val="000B1441"/>
    <w:rsid w:val="000B144A"/>
    <w:rsid w:val="000B14E1"/>
    <w:rsid w:val="000B16B0"/>
    <w:rsid w:val="000B1755"/>
    <w:rsid w:val="000B178C"/>
    <w:rsid w:val="000B1793"/>
    <w:rsid w:val="000B17CD"/>
    <w:rsid w:val="000B1815"/>
    <w:rsid w:val="000B1826"/>
    <w:rsid w:val="000B18BF"/>
    <w:rsid w:val="000B1917"/>
    <w:rsid w:val="000B1A4D"/>
    <w:rsid w:val="000B1ABE"/>
    <w:rsid w:val="000B1C41"/>
    <w:rsid w:val="000B1C93"/>
    <w:rsid w:val="000B1CE3"/>
    <w:rsid w:val="000B1CF0"/>
    <w:rsid w:val="000B1D79"/>
    <w:rsid w:val="000B1E0D"/>
    <w:rsid w:val="000B1E2B"/>
    <w:rsid w:val="000B1E7A"/>
    <w:rsid w:val="000B1F8C"/>
    <w:rsid w:val="000B2064"/>
    <w:rsid w:val="000B21B2"/>
    <w:rsid w:val="000B21E6"/>
    <w:rsid w:val="000B226A"/>
    <w:rsid w:val="000B226D"/>
    <w:rsid w:val="000B2314"/>
    <w:rsid w:val="000B23C7"/>
    <w:rsid w:val="000B25F0"/>
    <w:rsid w:val="000B2631"/>
    <w:rsid w:val="000B264E"/>
    <w:rsid w:val="000B2650"/>
    <w:rsid w:val="000B26A5"/>
    <w:rsid w:val="000B26DA"/>
    <w:rsid w:val="000B26FB"/>
    <w:rsid w:val="000B2759"/>
    <w:rsid w:val="000B2772"/>
    <w:rsid w:val="000B2792"/>
    <w:rsid w:val="000B29EC"/>
    <w:rsid w:val="000B2A48"/>
    <w:rsid w:val="000B2B0B"/>
    <w:rsid w:val="000B2C22"/>
    <w:rsid w:val="000B2C2C"/>
    <w:rsid w:val="000B2D1E"/>
    <w:rsid w:val="000B2DF3"/>
    <w:rsid w:val="000B2E69"/>
    <w:rsid w:val="000B2F57"/>
    <w:rsid w:val="000B2F71"/>
    <w:rsid w:val="000B2FDB"/>
    <w:rsid w:val="000B3020"/>
    <w:rsid w:val="000B30F0"/>
    <w:rsid w:val="000B327B"/>
    <w:rsid w:val="000B333C"/>
    <w:rsid w:val="000B34CC"/>
    <w:rsid w:val="000B359D"/>
    <w:rsid w:val="000B366D"/>
    <w:rsid w:val="000B36F2"/>
    <w:rsid w:val="000B38FF"/>
    <w:rsid w:val="000B394F"/>
    <w:rsid w:val="000B3954"/>
    <w:rsid w:val="000B3977"/>
    <w:rsid w:val="000B39D6"/>
    <w:rsid w:val="000B3B73"/>
    <w:rsid w:val="000B3C04"/>
    <w:rsid w:val="000B3C5F"/>
    <w:rsid w:val="000B3CCC"/>
    <w:rsid w:val="000B3CE6"/>
    <w:rsid w:val="000B3F91"/>
    <w:rsid w:val="000B3FCE"/>
    <w:rsid w:val="000B400F"/>
    <w:rsid w:val="000B404E"/>
    <w:rsid w:val="000B4079"/>
    <w:rsid w:val="000B40A4"/>
    <w:rsid w:val="000B40CD"/>
    <w:rsid w:val="000B4106"/>
    <w:rsid w:val="000B4263"/>
    <w:rsid w:val="000B4335"/>
    <w:rsid w:val="000B4669"/>
    <w:rsid w:val="000B471A"/>
    <w:rsid w:val="000B474C"/>
    <w:rsid w:val="000B48AF"/>
    <w:rsid w:val="000B494F"/>
    <w:rsid w:val="000B49CA"/>
    <w:rsid w:val="000B4A72"/>
    <w:rsid w:val="000B4A80"/>
    <w:rsid w:val="000B4A9E"/>
    <w:rsid w:val="000B4AE4"/>
    <w:rsid w:val="000B4B57"/>
    <w:rsid w:val="000B4B6C"/>
    <w:rsid w:val="000B4B96"/>
    <w:rsid w:val="000B4C28"/>
    <w:rsid w:val="000B4C47"/>
    <w:rsid w:val="000B4D63"/>
    <w:rsid w:val="000B4E67"/>
    <w:rsid w:val="000B4F8C"/>
    <w:rsid w:val="000B504C"/>
    <w:rsid w:val="000B5104"/>
    <w:rsid w:val="000B5171"/>
    <w:rsid w:val="000B5259"/>
    <w:rsid w:val="000B5397"/>
    <w:rsid w:val="000B53C7"/>
    <w:rsid w:val="000B55D6"/>
    <w:rsid w:val="000B58CD"/>
    <w:rsid w:val="000B596C"/>
    <w:rsid w:val="000B59A5"/>
    <w:rsid w:val="000B5B3F"/>
    <w:rsid w:val="000B5B6F"/>
    <w:rsid w:val="000B5C1F"/>
    <w:rsid w:val="000B5C8D"/>
    <w:rsid w:val="000B5E22"/>
    <w:rsid w:val="000B5E25"/>
    <w:rsid w:val="000B5F4E"/>
    <w:rsid w:val="000B5FD8"/>
    <w:rsid w:val="000B600B"/>
    <w:rsid w:val="000B603C"/>
    <w:rsid w:val="000B6186"/>
    <w:rsid w:val="000B6197"/>
    <w:rsid w:val="000B6241"/>
    <w:rsid w:val="000B6271"/>
    <w:rsid w:val="000B6369"/>
    <w:rsid w:val="000B655B"/>
    <w:rsid w:val="000B66C9"/>
    <w:rsid w:val="000B6733"/>
    <w:rsid w:val="000B6773"/>
    <w:rsid w:val="000B67FD"/>
    <w:rsid w:val="000B68E3"/>
    <w:rsid w:val="000B693E"/>
    <w:rsid w:val="000B6962"/>
    <w:rsid w:val="000B6B0A"/>
    <w:rsid w:val="000B6B58"/>
    <w:rsid w:val="000B6BF4"/>
    <w:rsid w:val="000B6C3E"/>
    <w:rsid w:val="000B6D6A"/>
    <w:rsid w:val="000B6D77"/>
    <w:rsid w:val="000B6E17"/>
    <w:rsid w:val="000B6E7D"/>
    <w:rsid w:val="000B6F6E"/>
    <w:rsid w:val="000B701C"/>
    <w:rsid w:val="000B71EA"/>
    <w:rsid w:val="000B7291"/>
    <w:rsid w:val="000B7357"/>
    <w:rsid w:val="000B7466"/>
    <w:rsid w:val="000B7486"/>
    <w:rsid w:val="000B7489"/>
    <w:rsid w:val="000B7758"/>
    <w:rsid w:val="000B7810"/>
    <w:rsid w:val="000B7875"/>
    <w:rsid w:val="000B7974"/>
    <w:rsid w:val="000B7A25"/>
    <w:rsid w:val="000B7A40"/>
    <w:rsid w:val="000B7A5B"/>
    <w:rsid w:val="000B7BF8"/>
    <w:rsid w:val="000B7CE9"/>
    <w:rsid w:val="000B7D91"/>
    <w:rsid w:val="000B7D9A"/>
    <w:rsid w:val="000B7DBD"/>
    <w:rsid w:val="000B7E19"/>
    <w:rsid w:val="000B7E3B"/>
    <w:rsid w:val="000B7FB3"/>
    <w:rsid w:val="000B7FF3"/>
    <w:rsid w:val="000C028C"/>
    <w:rsid w:val="000C029A"/>
    <w:rsid w:val="000C02B7"/>
    <w:rsid w:val="000C0319"/>
    <w:rsid w:val="000C037C"/>
    <w:rsid w:val="000C0390"/>
    <w:rsid w:val="000C052C"/>
    <w:rsid w:val="000C0552"/>
    <w:rsid w:val="000C0577"/>
    <w:rsid w:val="000C0590"/>
    <w:rsid w:val="000C0645"/>
    <w:rsid w:val="000C07E2"/>
    <w:rsid w:val="000C08EA"/>
    <w:rsid w:val="000C09D9"/>
    <w:rsid w:val="000C0A8F"/>
    <w:rsid w:val="000C0B11"/>
    <w:rsid w:val="000C0BAD"/>
    <w:rsid w:val="000C0BC3"/>
    <w:rsid w:val="000C0C4E"/>
    <w:rsid w:val="000C0C51"/>
    <w:rsid w:val="000C0D31"/>
    <w:rsid w:val="000C0DE2"/>
    <w:rsid w:val="000C0E4A"/>
    <w:rsid w:val="000C13B4"/>
    <w:rsid w:val="000C14F0"/>
    <w:rsid w:val="000C1509"/>
    <w:rsid w:val="000C15B8"/>
    <w:rsid w:val="000C1706"/>
    <w:rsid w:val="000C182E"/>
    <w:rsid w:val="000C1857"/>
    <w:rsid w:val="000C187E"/>
    <w:rsid w:val="000C18BA"/>
    <w:rsid w:val="000C18C3"/>
    <w:rsid w:val="000C18DA"/>
    <w:rsid w:val="000C1940"/>
    <w:rsid w:val="000C1A65"/>
    <w:rsid w:val="000C1AF3"/>
    <w:rsid w:val="000C1B4D"/>
    <w:rsid w:val="000C1C10"/>
    <w:rsid w:val="000C1C39"/>
    <w:rsid w:val="000C1DB7"/>
    <w:rsid w:val="000C1E68"/>
    <w:rsid w:val="000C1EFA"/>
    <w:rsid w:val="000C1F2F"/>
    <w:rsid w:val="000C1F32"/>
    <w:rsid w:val="000C1FAD"/>
    <w:rsid w:val="000C2070"/>
    <w:rsid w:val="000C20C8"/>
    <w:rsid w:val="000C20F2"/>
    <w:rsid w:val="000C2154"/>
    <w:rsid w:val="000C21FC"/>
    <w:rsid w:val="000C231C"/>
    <w:rsid w:val="000C2449"/>
    <w:rsid w:val="000C24A2"/>
    <w:rsid w:val="000C2589"/>
    <w:rsid w:val="000C25F3"/>
    <w:rsid w:val="000C264C"/>
    <w:rsid w:val="000C277A"/>
    <w:rsid w:val="000C293B"/>
    <w:rsid w:val="000C2945"/>
    <w:rsid w:val="000C2A06"/>
    <w:rsid w:val="000C2A6D"/>
    <w:rsid w:val="000C2CC7"/>
    <w:rsid w:val="000C2D6C"/>
    <w:rsid w:val="000C2EA9"/>
    <w:rsid w:val="000C3048"/>
    <w:rsid w:val="000C3117"/>
    <w:rsid w:val="000C3133"/>
    <w:rsid w:val="000C3292"/>
    <w:rsid w:val="000C3358"/>
    <w:rsid w:val="000C3423"/>
    <w:rsid w:val="000C3772"/>
    <w:rsid w:val="000C37A3"/>
    <w:rsid w:val="000C3805"/>
    <w:rsid w:val="000C3871"/>
    <w:rsid w:val="000C388F"/>
    <w:rsid w:val="000C38B0"/>
    <w:rsid w:val="000C3925"/>
    <w:rsid w:val="000C3947"/>
    <w:rsid w:val="000C39D9"/>
    <w:rsid w:val="000C39F0"/>
    <w:rsid w:val="000C3A2B"/>
    <w:rsid w:val="000C3B21"/>
    <w:rsid w:val="000C3BD7"/>
    <w:rsid w:val="000C3D5A"/>
    <w:rsid w:val="000C3D82"/>
    <w:rsid w:val="000C3DC3"/>
    <w:rsid w:val="000C3E3B"/>
    <w:rsid w:val="000C3EB3"/>
    <w:rsid w:val="000C3EE7"/>
    <w:rsid w:val="000C3F3F"/>
    <w:rsid w:val="000C403D"/>
    <w:rsid w:val="000C4157"/>
    <w:rsid w:val="000C41D8"/>
    <w:rsid w:val="000C4201"/>
    <w:rsid w:val="000C42A4"/>
    <w:rsid w:val="000C4364"/>
    <w:rsid w:val="000C4431"/>
    <w:rsid w:val="000C4464"/>
    <w:rsid w:val="000C44C4"/>
    <w:rsid w:val="000C44E6"/>
    <w:rsid w:val="000C456F"/>
    <w:rsid w:val="000C45E3"/>
    <w:rsid w:val="000C4603"/>
    <w:rsid w:val="000C464B"/>
    <w:rsid w:val="000C468B"/>
    <w:rsid w:val="000C46A7"/>
    <w:rsid w:val="000C4752"/>
    <w:rsid w:val="000C47EE"/>
    <w:rsid w:val="000C482C"/>
    <w:rsid w:val="000C4B98"/>
    <w:rsid w:val="000C4BBD"/>
    <w:rsid w:val="000C4DF9"/>
    <w:rsid w:val="000C4E9F"/>
    <w:rsid w:val="000C4F2E"/>
    <w:rsid w:val="000C4FA3"/>
    <w:rsid w:val="000C503B"/>
    <w:rsid w:val="000C508D"/>
    <w:rsid w:val="000C50D1"/>
    <w:rsid w:val="000C521E"/>
    <w:rsid w:val="000C527C"/>
    <w:rsid w:val="000C5372"/>
    <w:rsid w:val="000C53F5"/>
    <w:rsid w:val="000C5437"/>
    <w:rsid w:val="000C545F"/>
    <w:rsid w:val="000C54D4"/>
    <w:rsid w:val="000C55D9"/>
    <w:rsid w:val="000C55EB"/>
    <w:rsid w:val="000C563C"/>
    <w:rsid w:val="000C57CA"/>
    <w:rsid w:val="000C582D"/>
    <w:rsid w:val="000C5856"/>
    <w:rsid w:val="000C58EA"/>
    <w:rsid w:val="000C5A64"/>
    <w:rsid w:val="000C5D7C"/>
    <w:rsid w:val="000C5FB5"/>
    <w:rsid w:val="000C5FB7"/>
    <w:rsid w:val="000C6164"/>
    <w:rsid w:val="000C61AC"/>
    <w:rsid w:val="000C61F8"/>
    <w:rsid w:val="000C62DE"/>
    <w:rsid w:val="000C62F7"/>
    <w:rsid w:val="000C62FF"/>
    <w:rsid w:val="000C64AA"/>
    <w:rsid w:val="000C656D"/>
    <w:rsid w:val="000C65E0"/>
    <w:rsid w:val="000C65F2"/>
    <w:rsid w:val="000C666B"/>
    <w:rsid w:val="000C6708"/>
    <w:rsid w:val="000C677A"/>
    <w:rsid w:val="000C67C0"/>
    <w:rsid w:val="000C67CE"/>
    <w:rsid w:val="000C6845"/>
    <w:rsid w:val="000C6900"/>
    <w:rsid w:val="000C6903"/>
    <w:rsid w:val="000C6998"/>
    <w:rsid w:val="000C69FF"/>
    <w:rsid w:val="000C6AFC"/>
    <w:rsid w:val="000C6B1A"/>
    <w:rsid w:val="000C6B21"/>
    <w:rsid w:val="000C6B9C"/>
    <w:rsid w:val="000C6C3B"/>
    <w:rsid w:val="000C6D1D"/>
    <w:rsid w:val="000C6DCD"/>
    <w:rsid w:val="000C6E13"/>
    <w:rsid w:val="000C6F05"/>
    <w:rsid w:val="000C6F38"/>
    <w:rsid w:val="000C6FE7"/>
    <w:rsid w:val="000C718A"/>
    <w:rsid w:val="000C7240"/>
    <w:rsid w:val="000C726B"/>
    <w:rsid w:val="000C730C"/>
    <w:rsid w:val="000C733F"/>
    <w:rsid w:val="000C73B8"/>
    <w:rsid w:val="000C7408"/>
    <w:rsid w:val="000C74AF"/>
    <w:rsid w:val="000C74EB"/>
    <w:rsid w:val="000C7576"/>
    <w:rsid w:val="000C78A2"/>
    <w:rsid w:val="000C78A3"/>
    <w:rsid w:val="000C79C2"/>
    <w:rsid w:val="000C7A0C"/>
    <w:rsid w:val="000C7B1B"/>
    <w:rsid w:val="000C7B5C"/>
    <w:rsid w:val="000C7B6B"/>
    <w:rsid w:val="000C7B7C"/>
    <w:rsid w:val="000C7B82"/>
    <w:rsid w:val="000C7B9F"/>
    <w:rsid w:val="000C7C12"/>
    <w:rsid w:val="000C7D44"/>
    <w:rsid w:val="000C7E63"/>
    <w:rsid w:val="000C7EE4"/>
    <w:rsid w:val="000C7F56"/>
    <w:rsid w:val="000D0058"/>
    <w:rsid w:val="000D00E9"/>
    <w:rsid w:val="000D00EA"/>
    <w:rsid w:val="000D0186"/>
    <w:rsid w:val="000D0194"/>
    <w:rsid w:val="000D0235"/>
    <w:rsid w:val="000D02AE"/>
    <w:rsid w:val="000D0343"/>
    <w:rsid w:val="000D0398"/>
    <w:rsid w:val="000D0431"/>
    <w:rsid w:val="000D050E"/>
    <w:rsid w:val="000D0625"/>
    <w:rsid w:val="000D062B"/>
    <w:rsid w:val="000D068C"/>
    <w:rsid w:val="000D06BE"/>
    <w:rsid w:val="000D073F"/>
    <w:rsid w:val="000D07AC"/>
    <w:rsid w:val="000D07EB"/>
    <w:rsid w:val="000D0862"/>
    <w:rsid w:val="000D0A6A"/>
    <w:rsid w:val="000D0A8C"/>
    <w:rsid w:val="000D0A97"/>
    <w:rsid w:val="000D0B87"/>
    <w:rsid w:val="000D0C48"/>
    <w:rsid w:val="000D0CA6"/>
    <w:rsid w:val="000D0D0F"/>
    <w:rsid w:val="000D0DCA"/>
    <w:rsid w:val="000D0E99"/>
    <w:rsid w:val="000D0EE3"/>
    <w:rsid w:val="000D0EE4"/>
    <w:rsid w:val="000D0F19"/>
    <w:rsid w:val="000D0F7F"/>
    <w:rsid w:val="000D0F9B"/>
    <w:rsid w:val="000D1006"/>
    <w:rsid w:val="000D114E"/>
    <w:rsid w:val="000D127D"/>
    <w:rsid w:val="000D1436"/>
    <w:rsid w:val="000D1440"/>
    <w:rsid w:val="000D15D6"/>
    <w:rsid w:val="000D17E7"/>
    <w:rsid w:val="000D18FF"/>
    <w:rsid w:val="000D1944"/>
    <w:rsid w:val="000D196F"/>
    <w:rsid w:val="000D19B8"/>
    <w:rsid w:val="000D1C55"/>
    <w:rsid w:val="000D1CAF"/>
    <w:rsid w:val="000D1D85"/>
    <w:rsid w:val="000D1E6D"/>
    <w:rsid w:val="000D1FA6"/>
    <w:rsid w:val="000D2071"/>
    <w:rsid w:val="000D2211"/>
    <w:rsid w:val="000D236F"/>
    <w:rsid w:val="000D244E"/>
    <w:rsid w:val="000D2585"/>
    <w:rsid w:val="000D26B0"/>
    <w:rsid w:val="000D26F7"/>
    <w:rsid w:val="000D276A"/>
    <w:rsid w:val="000D280A"/>
    <w:rsid w:val="000D293B"/>
    <w:rsid w:val="000D2A54"/>
    <w:rsid w:val="000D2B30"/>
    <w:rsid w:val="000D2C11"/>
    <w:rsid w:val="000D2CC5"/>
    <w:rsid w:val="000D2D2B"/>
    <w:rsid w:val="000D2E37"/>
    <w:rsid w:val="000D2EC4"/>
    <w:rsid w:val="000D2FFC"/>
    <w:rsid w:val="000D302E"/>
    <w:rsid w:val="000D3070"/>
    <w:rsid w:val="000D30B1"/>
    <w:rsid w:val="000D314A"/>
    <w:rsid w:val="000D31BF"/>
    <w:rsid w:val="000D32CD"/>
    <w:rsid w:val="000D341F"/>
    <w:rsid w:val="000D3427"/>
    <w:rsid w:val="000D3448"/>
    <w:rsid w:val="000D34AD"/>
    <w:rsid w:val="000D34EF"/>
    <w:rsid w:val="000D358F"/>
    <w:rsid w:val="000D3600"/>
    <w:rsid w:val="000D36EC"/>
    <w:rsid w:val="000D3748"/>
    <w:rsid w:val="000D3773"/>
    <w:rsid w:val="000D387F"/>
    <w:rsid w:val="000D38D1"/>
    <w:rsid w:val="000D3B77"/>
    <w:rsid w:val="000D3BD4"/>
    <w:rsid w:val="000D3E9B"/>
    <w:rsid w:val="000D3EBF"/>
    <w:rsid w:val="000D3F57"/>
    <w:rsid w:val="000D3F86"/>
    <w:rsid w:val="000D3FBB"/>
    <w:rsid w:val="000D4062"/>
    <w:rsid w:val="000D40DD"/>
    <w:rsid w:val="000D4265"/>
    <w:rsid w:val="000D429F"/>
    <w:rsid w:val="000D4339"/>
    <w:rsid w:val="000D437C"/>
    <w:rsid w:val="000D44F6"/>
    <w:rsid w:val="000D4719"/>
    <w:rsid w:val="000D4809"/>
    <w:rsid w:val="000D4856"/>
    <w:rsid w:val="000D48A4"/>
    <w:rsid w:val="000D4921"/>
    <w:rsid w:val="000D494A"/>
    <w:rsid w:val="000D49B6"/>
    <w:rsid w:val="000D49C8"/>
    <w:rsid w:val="000D4ABD"/>
    <w:rsid w:val="000D4CFA"/>
    <w:rsid w:val="000D4EA9"/>
    <w:rsid w:val="000D4FBB"/>
    <w:rsid w:val="000D505E"/>
    <w:rsid w:val="000D5083"/>
    <w:rsid w:val="000D50AD"/>
    <w:rsid w:val="000D50DC"/>
    <w:rsid w:val="000D5198"/>
    <w:rsid w:val="000D520C"/>
    <w:rsid w:val="000D528D"/>
    <w:rsid w:val="000D5374"/>
    <w:rsid w:val="000D5502"/>
    <w:rsid w:val="000D55AD"/>
    <w:rsid w:val="000D5656"/>
    <w:rsid w:val="000D568C"/>
    <w:rsid w:val="000D56CE"/>
    <w:rsid w:val="000D5707"/>
    <w:rsid w:val="000D5870"/>
    <w:rsid w:val="000D58EC"/>
    <w:rsid w:val="000D5918"/>
    <w:rsid w:val="000D59AA"/>
    <w:rsid w:val="000D59CE"/>
    <w:rsid w:val="000D5A20"/>
    <w:rsid w:val="000D5A35"/>
    <w:rsid w:val="000D5A73"/>
    <w:rsid w:val="000D5B1D"/>
    <w:rsid w:val="000D5B81"/>
    <w:rsid w:val="000D5BA8"/>
    <w:rsid w:val="000D5BBC"/>
    <w:rsid w:val="000D5C71"/>
    <w:rsid w:val="000D5EAA"/>
    <w:rsid w:val="000D5EDC"/>
    <w:rsid w:val="000D5F5C"/>
    <w:rsid w:val="000D5F6B"/>
    <w:rsid w:val="000D5F7A"/>
    <w:rsid w:val="000D6068"/>
    <w:rsid w:val="000D6280"/>
    <w:rsid w:val="000D628A"/>
    <w:rsid w:val="000D62C4"/>
    <w:rsid w:val="000D63BA"/>
    <w:rsid w:val="000D6403"/>
    <w:rsid w:val="000D650D"/>
    <w:rsid w:val="000D6573"/>
    <w:rsid w:val="000D6576"/>
    <w:rsid w:val="000D65BE"/>
    <w:rsid w:val="000D66DB"/>
    <w:rsid w:val="000D6845"/>
    <w:rsid w:val="000D6853"/>
    <w:rsid w:val="000D689C"/>
    <w:rsid w:val="000D68EA"/>
    <w:rsid w:val="000D691E"/>
    <w:rsid w:val="000D69CB"/>
    <w:rsid w:val="000D6A95"/>
    <w:rsid w:val="000D6B11"/>
    <w:rsid w:val="000D6BD3"/>
    <w:rsid w:val="000D6BF9"/>
    <w:rsid w:val="000D6C6C"/>
    <w:rsid w:val="000D6C87"/>
    <w:rsid w:val="000D6D59"/>
    <w:rsid w:val="000D6DF8"/>
    <w:rsid w:val="000D6E43"/>
    <w:rsid w:val="000D6FA5"/>
    <w:rsid w:val="000D6FB1"/>
    <w:rsid w:val="000D6FDE"/>
    <w:rsid w:val="000D713B"/>
    <w:rsid w:val="000D7296"/>
    <w:rsid w:val="000D72B9"/>
    <w:rsid w:val="000D735A"/>
    <w:rsid w:val="000D73AF"/>
    <w:rsid w:val="000D745C"/>
    <w:rsid w:val="000D7473"/>
    <w:rsid w:val="000D74E6"/>
    <w:rsid w:val="000D76F8"/>
    <w:rsid w:val="000D77FF"/>
    <w:rsid w:val="000D7806"/>
    <w:rsid w:val="000D79D9"/>
    <w:rsid w:val="000D7A77"/>
    <w:rsid w:val="000D7A89"/>
    <w:rsid w:val="000D7C43"/>
    <w:rsid w:val="000D7CE1"/>
    <w:rsid w:val="000D7DAE"/>
    <w:rsid w:val="000D7DEF"/>
    <w:rsid w:val="000D7E38"/>
    <w:rsid w:val="000D7E43"/>
    <w:rsid w:val="000D7E45"/>
    <w:rsid w:val="000D7F17"/>
    <w:rsid w:val="000E001F"/>
    <w:rsid w:val="000E021A"/>
    <w:rsid w:val="000E023D"/>
    <w:rsid w:val="000E02D2"/>
    <w:rsid w:val="000E0365"/>
    <w:rsid w:val="000E0414"/>
    <w:rsid w:val="000E05B1"/>
    <w:rsid w:val="000E05EA"/>
    <w:rsid w:val="000E06A1"/>
    <w:rsid w:val="000E06DE"/>
    <w:rsid w:val="000E0743"/>
    <w:rsid w:val="000E0775"/>
    <w:rsid w:val="000E07EB"/>
    <w:rsid w:val="000E07F4"/>
    <w:rsid w:val="000E099A"/>
    <w:rsid w:val="000E0AF5"/>
    <w:rsid w:val="000E0B28"/>
    <w:rsid w:val="000E0B7F"/>
    <w:rsid w:val="000E0B9D"/>
    <w:rsid w:val="000E0BCB"/>
    <w:rsid w:val="000E0C29"/>
    <w:rsid w:val="000E0DD5"/>
    <w:rsid w:val="000E0E69"/>
    <w:rsid w:val="000E0EE1"/>
    <w:rsid w:val="000E0EF8"/>
    <w:rsid w:val="000E1092"/>
    <w:rsid w:val="000E1160"/>
    <w:rsid w:val="000E125F"/>
    <w:rsid w:val="000E1268"/>
    <w:rsid w:val="000E12E5"/>
    <w:rsid w:val="000E1375"/>
    <w:rsid w:val="000E13A0"/>
    <w:rsid w:val="000E14F1"/>
    <w:rsid w:val="000E1531"/>
    <w:rsid w:val="000E159E"/>
    <w:rsid w:val="000E1684"/>
    <w:rsid w:val="000E1817"/>
    <w:rsid w:val="000E18F7"/>
    <w:rsid w:val="000E1A84"/>
    <w:rsid w:val="000E1ADD"/>
    <w:rsid w:val="000E1BCF"/>
    <w:rsid w:val="000E1C96"/>
    <w:rsid w:val="000E1C9F"/>
    <w:rsid w:val="000E1CC8"/>
    <w:rsid w:val="000E1D0E"/>
    <w:rsid w:val="000E1DC7"/>
    <w:rsid w:val="000E1E35"/>
    <w:rsid w:val="000E1EDA"/>
    <w:rsid w:val="000E1EE3"/>
    <w:rsid w:val="000E1F3B"/>
    <w:rsid w:val="000E1FD3"/>
    <w:rsid w:val="000E2090"/>
    <w:rsid w:val="000E22DA"/>
    <w:rsid w:val="000E22E8"/>
    <w:rsid w:val="000E2347"/>
    <w:rsid w:val="000E2355"/>
    <w:rsid w:val="000E23BA"/>
    <w:rsid w:val="000E23D0"/>
    <w:rsid w:val="000E23D4"/>
    <w:rsid w:val="000E24B8"/>
    <w:rsid w:val="000E25AD"/>
    <w:rsid w:val="000E26B8"/>
    <w:rsid w:val="000E27BB"/>
    <w:rsid w:val="000E28E1"/>
    <w:rsid w:val="000E297A"/>
    <w:rsid w:val="000E2A63"/>
    <w:rsid w:val="000E2AE4"/>
    <w:rsid w:val="000E2BF0"/>
    <w:rsid w:val="000E2CEF"/>
    <w:rsid w:val="000E2CFB"/>
    <w:rsid w:val="000E2D04"/>
    <w:rsid w:val="000E2DFB"/>
    <w:rsid w:val="000E2E47"/>
    <w:rsid w:val="000E2F11"/>
    <w:rsid w:val="000E2F55"/>
    <w:rsid w:val="000E2F87"/>
    <w:rsid w:val="000E2FD9"/>
    <w:rsid w:val="000E3032"/>
    <w:rsid w:val="000E30CD"/>
    <w:rsid w:val="000E30E0"/>
    <w:rsid w:val="000E319D"/>
    <w:rsid w:val="000E319E"/>
    <w:rsid w:val="000E326F"/>
    <w:rsid w:val="000E3281"/>
    <w:rsid w:val="000E3329"/>
    <w:rsid w:val="000E335B"/>
    <w:rsid w:val="000E35CB"/>
    <w:rsid w:val="000E35DD"/>
    <w:rsid w:val="000E3631"/>
    <w:rsid w:val="000E379F"/>
    <w:rsid w:val="000E3801"/>
    <w:rsid w:val="000E387F"/>
    <w:rsid w:val="000E3B8A"/>
    <w:rsid w:val="000E3BBB"/>
    <w:rsid w:val="000E3E81"/>
    <w:rsid w:val="000E3E8D"/>
    <w:rsid w:val="000E3FC4"/>
    <w:rsid w:val="000E4010"/>
    <w:rsid w:val="000E41FC"/>
    <w:rsid w:val="000E4221"/>
    <w:rsid w:val="000E422A"/>
    <w:rsid w:val="000E427C"/>
    <w:rsid w:val="000E42AD"/>
    <w:rsid w:val="000E4350"/>
    <w:rsid w:val="000E447E"/>
    <w:rsid w:val="000E4539"/>
    <w:rsid w:val="000E460D"/>
    <w:rsid w:val="000E4653"/>
    <w:rsid w:val="000E4690"/>
    <w:rsid w:val="000E4814"/>
    <w:rsid w:val="000E4870"/>
    <w:rsid w:val="000E4895"/>
    <w:rsid w:val="000E494D"/>
    <w:rsid w:val="000E496E"/>
    <w:rsid w:val="000E4A4E"/>
    <w:rsid w:val="000E4A6C"/>
    <w:rsid w:val="000E4ADC"/>
    <w:rsid w:val="000E4CDC"/>
    <w:rsid w:val="000E4D05"/>
    <w:rsid w:val="000E4DFA"/>
    <w:rsid w:val="000E506E"/>
    <w:rsid w:val="000E5188"/>
    <w:rsid w:val="000E5346"/>
    <w:rsid w:val="000E5478"/>
    <w:rsid w:val="000E547E"/>
    <w:rsid w:val="000E54BF"/>
    <w:rsid w:val="000E5511"/>
    <w:rsid w:val="000E5686"/>
    <w:rsid w:val="000E569A"/>
    <w:rsid w:val="000E56A6"/>
    <w:rsid w:val="000E56EF"/>
    <w:rsid w:val="000E5764"/>
    <w:rsid w:val="000E5812"/>
    <w:rsid w:val="000E5831"/>
    <w:rsid w:val="000E58FB"/>
    <w:rsid w:val="000E598C"/>
    <w:rsid w:val="000E59A8"/>
    <w:rsid w:val="000E59CA"/>
    <w:rsid w:val="000E5A56"/>
    <w:rsid w:val="000E5C16"/>
    <w:rsid w:val="000E5C5D"/>
    <w:rsid w:val="000E5C99"/>
    <w:rsid w:val="000E5CA8"/>
    <w:rsid w:val="000E5D35"/>
    <w:rsid w:val="000E5D53"/>
    <w:rsid w:val="000E5D6E"/>
    <w:rsid w:val="000E5DA7"/>
    <w:rsid w:val="000E5DB4"/>
    <w:rsid w:val="000E5FB8"/>
    <w:rsid w:val="000E602E"/>
    <w:rsid w:val="000E6095"/>
    <w:rsid w:val="000E614B"/>
    <w:rsid w:val="000E618B"/>
    <w:rsid w:val="000E62FF"/>
    <w:rsid w:val="000E6368"/>
    <w:rsid w:val="000E638B"/>
    <w:rsid w:val="000E63D3"/>
    <w:rsid w:val="000E64A5"/>
    <w:rsid w:val="000E657C"/>
    <w:rsid w:val="000E659A"/>
    <w:rsid w:val="000E6716"/>
    <w:rsid w:val="000E6737"/>
    <w:rsid w:val="000E67B7"/>
    <w:rsid w:val="000E68E5"/>
    <w:rsid w:val="000E6BA7"/>
    <w:rsid w:val="000E6BB4"/>
    <w:rsid w:val="000E6C36"/>
    <w:rsid w:val="000E6C9F"/>
    <w:rsid w:val="000E6CA3"/>
    <w:rsid w:val="000E6D24"/>
    <w:rsid w:val="000E7003"/>
    <w:rsid w:val="000E7106"/>
    <w:rsid w:val="000E7108"/>
    <w:rsid w:val="000E71A1"/>
    <w:rsid w:val="000E71EC"/>
    <w:rsid w:val="000E7297"/>
    <w:rsid w:val="000E72D2"/>
    <w:rsid w:val="000E73DD"/>
    <w:rsid w:val="000E747B"/>
    <w:rsid w:val="000E74F2"/>
    <w:rsid w:val="000E75FA"/>
    <w:rsid w:val="000E780F"/>
    <w:rsid w:val="000E7831"/>
    <w:rsid w:val="000E787D"/>
    <w:rsid w:val="000E7957"/>
    <w:rsid w:val="000E796E"/>
    <w:rsid w:val="000E79B3"/>
    <w:rsid w:val="000E7B50"/>
    <w:rsid w:val="000E7BD6"/>
    <w:rsid w:val="000E7CA0"/>
    <w:rsid w:val="000E7E7C"/>
    <w:rsid w:val="000E7F0C"/>
    <w:rsid w:val="000F008F"/>
    <w:rsid w:val="000F0324"/>
    <w:rsid w:val="000F037F"/>
    <w:rsid w:val="000F040D"/>
    <w:rsid w:val="000F0458"/>
    <w:rsid w:val="000F0459"/>
    <w:rsid w:val="000F0535"/>
    <w:rsid w:val="000F054D"/>
    <w:rsid w:val="000F0562"/>
    <w:rsid w:val="000F06AB"/>
    <w:rsid w:val="000F079D"/>
    <w:rsid w:val="000F07DD"/>
    <w:rsid w:val="000F0805"/>
    <w:rsid w:val="000F0836"/>
    <w:rsid w:val="000F0A48"/>
    <w:rsid w:val="000F0B7D"/>
    <w:rsid w:val="000F0B99"/>
    <w:rsid w:val="000F0C37"/>
    <w:rsid w:val="000F0DBC"/>
    <w:rsid w:val="000F0DFE"/>
    <w:rsid w:val="000F0DFF"/>
    <w:rsid w:val="000F0E13"/>
    <w:rsid w:val="000F0F20"/>
    <w:rsid w:val="000F0FD6"/>
    <w:rsid w:val="000F101A"/>
    <w:rsid w:val="000F11BB"/>
    <w:rsid w:val="000F11EB"/>
    <w:rsid w:val="000F13CF"/>
    <w:rsid w:val="000F1430"/>
    <w:rsid w:val="000F152D"/>
    <w:rsid w:val="000F163F"/>
    <w:rsid w:val="000F1709"/>
    <w:rsid w:val="000F170F"/>
    <w:rsid w:val="000F18B4"/>
    <w:rsid w:val="000F18E8"/>
    <w:rsid w:val="000F192C"/>
    <w:rsid w:val="000F1978"/>
    <w:rsid w:val="000F19B6"/>
    <w:rsid w:val="000F1AA3"/>
    <w:rsid w:val="000F1BED"/>
    <w:rsid w:val="000F1BFA"/>
    <w:rsid w:val="000F1CC2"/>
    <w:rsid w:val="000F1D41"/>
    <w:rsid w:val="000F1DF0"/>
    <w:rsid w:val="000F1E9D"/>
    <w:rsid w:val="000F1FC4"/>
    <w:rsid w:val="000F2010"/>
    <w:rsid w:val="000F218D"/>
    <w:rsid w:val="000F21A0"/>
    <w:rsid w:val="000F22C4"/>
    <w:rsid w:val="000F2324"/>
    <w:rsid w:val="000F2356"/>
    <w:rsid w:val="000F236C"/>
    <w:rsid w:val="000F23D2"/>
    <w:rsid w:val="000F2562"/>
    <w:rsid w:val="000F259C"/>
    <w:rsid w:val="000F26A3"/>
    <w:rsid w:val="000F2A8C"/>
    <w:rsid w:val="000F2B35"/>
    <w:rsid w:val="000F2B44"/>
    <w:rsid w:val="000F2B59"/>
    <w:rsid w:val="000F2B75"/>
    <w:rsid w:val="000F2DCA"/>
    <w:rsid w:val="000F2DD6"/>
    <w:rsid w:val="000F2E6C"/>
    <w:rsid w:val="000F2F48"/>
    <w:rsid w:val="000F3072"/>
    <w:rsid w:val="000F308B"/>
    <w:rsid w:val="000F31EB"/>
    <w:rsid w:val="000F3216"/>
    <w:rsid w:val="000F323E"/>
    <w:rsid w:val="000F3256"/>
    <w:rsid w:val="000F3281"/>
    <w:rsid w:val="000F32FC"/>
    <w:rsid w:val="000F33BB"/>
    <w:rsid w:val="000F33E3"/>
    <w:rsid w:val="000F343C"/>
    <w:rsid w:val="000F34B4"/>
    <w:rsid w:val="000F34F5"/>
    <w:rsid w:val="000F35DA"/>
    <w:rsid w:val="000F36D3"/>
    <w:rsid w:val="000F36E0"/>
    <w:rsid w:val="000F3701"/>
    <w:rsid w:val="000F373D"/>
    <w:rsid w:val="000F3787"/>
    <w:rsid w:val="000F3A3F"/>
    <w:rsid w:val="000F3AC2"/>
    <w:rsid w:val="000F3B97"/>
    <w:rsid w:val="000F3B98"/>
    <w:rsid w:val="000F3C89"/>
    <w:rsid w:val="000F3CA1"/>
    <w:rsid w:val="000F3D90"/>
    <w:rsid w:val="000F3DA7"/>
    <w:rsid w:val="000F3DCC"/>
    <w:rsid w:val="000F3E69"/>
    <w:rsid w:val="000F3EF9"/>
    <w:rsid w:val="000F3F99"/>
    <w:rsid w:val="000F3FBC"/>
    <w:rsid w:val="000F4016"/>
    <w:rsid w:val="000F4098"/>
    <w:rsid w:val="000F40A0"/>
    <w:rsid w:val="000F40D6"/>
    <w:rsid w:val="000F42CF"/>
    <w:rsid w:val="000F42F2"/>
    <w:rsid w:val="000F4325"/>
    <w:rsid w:val="000F43DD"/>
    <w:rsid w:val="000F43F9"/>
    <w:rsid w:val="000F446D"/>
    <w:rsid w:val="000F4592"/>
    <w:rsid w:val="000F46E6"/>
    <w:rsid w:val="000F4780"/>
    <w:rsid w:val="000F483B"/>
    <w:rsid w:val="000F48C3"/>
    <w:rsid w:val="000F494B"/>
    <w:rsid w:val="000F494D"/>
    <w:rsid w:val="000F49CE"/>
    <w:rsid w:val="000F4A35"/>
    <w:rsid w:val="000F4BA5"/>
    <w:rsid w:val="000F4D0D"/>
    <w:rsid w:val="000F4DB8"/>
    <w:rsid w:val="000F4DEC"/>
    <w:rsid w:val="000F4EAA"/>
    <w:rsid w:val="000F4F21"/>
    <w:rsid w:val="000F4F35"/>
    <w:rsid w:val="000F4FC9"/>
    <w:rsid w:val="000F5178"/>
    <w:rsid w:val="000F51D5"/>
    <w:rsid w:val="000F55D7"/>
    <w:rsid w:val="000F5694"/>
    <w:rsid w:val="000F575B"/>
    <w:rsid w:val="000F58B0"/>
    <w:rsid w:val="000F59F3"/>
    <w:rsid w:val="000F5B2B"/>
    <w:rsid w:val="000F5BE8"/>
    <w:rsid w:val="000F5C10"/>
    <w:rsid w:val="000F5C46"/>
    <w:rsid w:val="000F5E2F"/>
    <w:rsid w:val="000F5EA0"/>
    <w:rsid w:val="000F5EC7"/>
    <w:rsid w:val="000F5EE1"/>
    <w:rsid w:val="000F5F21"/>
    <w:rsid w:val="000F5F2B"/>
    <w:rsid w:val="000F603E"/>
    <w:rsid w:val="000F6130"/>
    <w:rsid w:val="000F61D8"/>
    <w:rsid w:val="000F62AD"/>
    <w:rsid w:val="000F62D1"/>
    <w:rsid w:val="000F6313"/>
    <w:rsid w:val="000F633F"/>
    <w:rsid w:val="000F64BA"/>
    <w:rsid w:val="000F64E4"/>
    <w:rsid w:val="000F64ED"/>
    <w:rsid w:val="000F6580"/>
    <w:rsid w:val="000F65B0"/>
    <w:rsid w:val="000F67B4"/>
    <w:rsid w:val="000F67F5"/>
    <w:rsid w:val="000F695B"/>
    <w:rsid w:val="000F6963"/>
    <w:rsid w:val="000F6A76"/>
    <w:rsid w:val="000F6AC2"/>
    <w:rsid w:val="000F6C5E"/>
    <w:rsid w:val="000F6D06"/>
    <w:rsid w:val="000F6D3E"/>
    <w:rsid w:val="000F6ED4"/>
    <w:rsid w:val="000F6F08"/>
    <w:rsid w:val="000F6FCF"/>
    <w:rsid w:val="000F707E"/>
    <w:rsid w:val="000F7185"/>
    <w:rsid w:val="000F71CB"/>
    <w:rsid w:val="000F7397"/>
    <w:rsid w:val="000F7416"/>
    <w:rsid w:val="000F7445"/>
    <w:rsid w:val="000F746F"/>
    <w:rsid w:val="000F7608"/>
    <w:rsid w:val="000F772A"/>
    <w:rsid w:val="000F773F"/>
    <w:rsid w:val="000F77E8"/>
    <w:rsid w:val="000F78A4"/>
    <w:rsid w:val="000F78C3"/>
    <w:rsid w:val="000F7A4B"/>
    <w:rsid w:val="000F7A72"/>
    <w:rsid w:val="000F7C31"/>
    <w:rsid w:val="000F7C66"/>
    <w:rsid w:val="000F7CF5"/>
    <w:rsid w:val="000F7E90"/>
    <w:rsid w:val="001000E6"/>
    <w:rsid w:val="00100105"/>
    <w:rsid w:val="00100144"/>
    <w:rsid w:val="00100238"/>
    <w:rsid w:val="0010030A"/>
    <w:rsid w:val="0010032D"/>
    <w:rsid w:val="001003F7"/>
    <w:rsid w:val="001004B3"/>
    <w:rsid w:val="001005A9"/>
    <w:rsid w:val="00100664"/>
    <w:rsid w:val="001006A5"/>
    <w:rsid w:val="001006C6"/>
    <w:rsid w:val="001006FE"/>
    <w:rsid w:val="0010072E"/>
    <w:rsid w:val="0010073D"/>
    <w:rsid w:val="00100828"/>
    <w:rsid w:val="001008C5"/>
    <w:rsid w:val="001008CC"/>
    <w:rsid w:val="00100910"/>
    <w:rsid w:val="00100936"/>
    <w:rsid w:val="00100AE9"/>
    <w:rsid w:val="00100B40"/>
    <w:rsid w:val="00100D04"/>
    <w:rsid w:val="00100D3B"/>
    <w:rsid w:val="001011CE"/>
    <w:rsid w:val="001011E1"/>
    <w:rsid w:val="00101222"/>
    <w:rsid w:val="0010129A"/>
    <w:rsid w:val="00101437"/>
    <w:rsid w:val="001016B0"/>
    <w:rsid w:val="001016CC"/>
    <w:rsid w:val="001016E2"/>
    <w:rsid w:val="001017E5"/>
    <w:rsid w:val="00101813"/>
    <w:rsid w:val="0010187F"/>
    <w:rsid w:val="001018F4"/>
    <w:rsid w:val="00101A0C"/>
    <w:rsid w:val="00101AC9"/>
    <w:rsid w:val="00101AE9"/>
    <w:rsid w:val="00101BE3"/>
    <w:rsid w:val="00101D26"/>
    <w:rsid w:val="00101DD9"/>
    <w:rsid w:val="00101E12"/>
    <w:rsid w:val="00102050"/>
    <w:rsid w:val="00102082"/>
    <w:rsid w:val="00102140"/>
    <w:rsid w:val="0010220E"/>
    <w:rsid w:val="0010227C"/>
    <w:rsid w:val="0010233E"/>
    <w:rsid w:val="0010258C"/>
    <w:rsid w:val="001025CB"/>
    <w:rsid w:val="00102706"/>
    <w:rsid w:val="0010282F"/>
    <w:rsid w:val="00102A2B"/>
    <w:rsid w:val="00102BDC"/>
    <w:rsid w:val="00102ECF"/>
    <w:rsid w:val="00103051"/>
    <w:rsid w:val="0010307A"/>
    <w:rsid w:val="001031E7"/>
    <w:rsid w:val="00103336"/>
    <w:rsid w:val="0010343E"/>
    <w:rsid w:val="00103470"/>
    <w:rsid w:val="001035BD"/>
    <w:rsid w:val="001035D8"/>
    <w:rsid w:val="001035F9"/>
    <w:rsid w:val="00103698"/>
    <w:rsid w:val="001036A0"/>
    <w:rsid w:val="00103737"/>
    <w:rsid w:val="00103938"/>
    <w:rsid w:val="00103969"/>
    <w:rsid w:val="00103990"/>
    <w:rsid w:val="0010399D"/>
    <w:rsid w:val="001039C9"/>
    <w:rsid w:val="00103B6B"/>
    <w:rsid w:val="00103D47"/>
    <w:rsid w:val="00103F41"/>
    <w:rsid w:val="00103F98"/>
    <w:rsid w:val="001040B4"/>
    <w:rsid w:val="00104102"/>
    <w:rsid w:val="0010434C"/>
    <w:rsid w:val="001045BB"/>
    <w:rsid w:val="00104629"/>
    <w:rsid w:val="00104675"/>
    <w:rsid w:val="001049F2"/>
    <w:rsid w:val="00104AA2"/>
    <w:rsid w:val="00104AF1"/>
    <w:rsid w:val="00104B57"/>
    <w:rsid w:val="00104B5F"/>
    <w:rsid w:val="00104B82"/>
    <w:rsid w:val="00104C2D"/>
    <w:rsid w:val="00104D8D"/>
    <w:rsid w:val="00104DB9"/>
    <w:rsid w:val="00104F21"/>
    <w:rsid w:val="00105046"/>
    <w:rsid w:val="001050B2"/>
    <w:rsid w:val="001051C8"/>
    <w:rsid w:val="001052F7"/>
    <w:rsid w:val="00105326"/>
    <w:rsid w:val="0010549A"/>
    <w:rsid w:val="001054C7"/>
    <w:rsid w:val="001055D9"/>
    <w:rsid w:val="00105675"/>
    <w:rsid w:val="001056CD"/>
    <w:rsid w:val="00105704"/>
    <w:rsid w:val="00105785"/>
    <w:rsid w:val="001057E1"/>
    <w:rsid w:val="001057F4"/>
    <w:rsid w:val="001059C3"/>
    <w:rsid w:val="001059E2"/>
    <w:rsid w:val="00105A4F"/>
    <w:rsid w:val="00105C91"/>
    <w:rsid w:val="00105C99"/>
    <w:rsid w:val="00105CA9"/>
    <w:rsid w:val="00105D47"/>
    <w:rsid w:val="00105D69"/>
    <w:rsid w:val="00105E61"/>
    <w:rsid w:val="001060B7"/>
    <w:rsid w:val="001060BE"/>
    <w:rsid w:val="00106199"/>
    <w:rsid w:val="0010620F"/>
    <w:rsid w:val="001062CD"/>
    <w:rsid w:val="001064A7"/>
    <w:rsid w:val="0010650B"/>
    <w:rsid w:val="0010665C"/>
    <w:rsid w:val="001066F8"/>
    <w:rsid w:val="0010674D"/>
    <w:rsid w:val="00106798"/>
    <w:rsid w:val="00106925"/>
    <w:rsid w:val="00106ABB"/>
    <w:rsid w:val="00106CD8"/>
    <w:rsid w:val="00106D27"/>
    <w:rsid w:val="00106D68"/>
    <w:rsid w:val="00106D9B"/>
    <w:rsid w:val="00106DA9"/>
    <w:rsid w:val="00106ED5"/>
    <w:rsid w:val="00106FB7"/>
    <w:rsid w:val="00106FCA"/>
    <w:rsid w:val="0010707A"/>
    <w:rsid w:val="00107170"/>
    <w:rsid w:val="001071BD"/>
    <w:rsid w:val="001071C3"/>
    <w:rsid w:val="00107210"/>
    <w:rsid w:val="0010721B"/>
    <w:rsid w:val="0010725E"/>
    <w:rsid w:val="00107395"/>
    <w:rsid w:val="001073B1"/>
    <w:rsid w:val="001073D1"/>
    <w:rsid w:val="0010743A"/>
    <w:rsid w:val="00107501"/>
    <w:rsid w:val="00107527"/>
    <w:rsid w:val="001075F7"/>
    <w:rsid w:val="00107700"/>
    <w:rsid w:val="00107713"/>
    <w:rsid w:val="00107951"/>
    <w:rsid w:val="00107A90"/>
    <w:rsid w:val="00107D30"/>
    <w:rsid w:val="00107D43"/>
    <w:rsid w:val="00107E06"/>
    <w:rsid w:val="00107E30"/>
    <w:rsid w:val="00107F86"/>
    <w:rsid w:val="001100FD"/>
    <w:rsid w:val="00110180"/>
    <w:rsid w:val="00110326"/>
    <w:rsid w:val="00110493"/>
    <w:rsid w:val="001104A1"/>
    <w:rsid w:val="001104A2"/>
    <w:rsid w:val="001104C9"/>
    <w:rsid w:val="001104FD"/>
    <w:rsid w:val="0011059A"/>
    <w:rsid w:val="00110649"/>
    <w:rsid w:val="001106A6"/>
    <w:rsid w:val="001106BB"/>
    <w:rsid w:val="001106F5"/>
    <w:rsid w:val="0011070E"/>
    <w:rsid w:val="00110899"/>
    <w:rsid w:val="00110A16"/>
    <w:rsid w:val="00110B55"/>
    <w:rsid w:val="00110BFB"/>
    <w:rsid w:val="00110C33"/>
    <w:rsid w:val="00110CE3"/>
    <w:rsid w:val="00110CEA"/>
    <w:rsid w:val="00110E1D"/>
    <w:rsid w:val="00110E6E"/>
    <w:rsid w:val="00110EED"/>
    <w:rsid w:val="0011103F"/>
    <w:rsid w:val="00111062"/>
    <w:rsid w:val="00111067"/>
    <w:rsid w:val="00111094"/>
    <w:rsid w:val="001110FF"/>
    <w:rsid w:val="0011110F"/>
    <w:rsid w:val="001112C9"/>
    <w:rsid w:val="0011156A"/>
    <w:rsid w:val="00111600"/>
    <w:rsid w:val="00111648"/>
    <w:rsid w:val="001116DA"/>
    <w:rsid w:val="00111759"/>
    <w:rsid w:val="0011176E"/>
    <w:rsid w:val="001117BA"/>
    <w:rsid w:val="001117EC"/>
    <w:rsid w:val="001117EF"/>
    <w:rsid w:val="0011180C"/>
    <w:rsid w:val="001119D4"/>
    <w:rsid w:val="00111ACB"/>
    <w:rsid w:val="00111AD7"/>
    <w:rsid w:val="00111ADC"/>
    <w:rsid w:val="00111B64"/>
    <w:rsid w:val="00111C47"/>
    <w:rsid w:val="00111D01"/>
    <w:rsid w:val="00111D1A"/>
    <w:rsid w:val="00111DD2"/>
    <w:rsid w:val="00111E59"/>
    <w:rsid w:val="00111EBD"/>
    <w:rsid w:val="00111FE6"/>
    <w:rsid w:val="0011201D"/>
    <w:rsid w:val="0011216E"/>
    <w:rsid w:val="001121D4"/>
    <w:rsid w:val="0011227F"/>
    <w:rsid w:val="0011237D"/>
    <w:rsid w:val="00112552"/>
    <w:rsid w:val="0011256A"/>
    <w:rsid w:val="001125AB"/>
    <w:rsid w:val="001125FC"/>
    <w:rsid w:val="00112620"/>
    <w:rsid w:val="0011273F"/>
    <w:rsid w:val="00112797"/>
    <w:rsid w:val="0011287C"/>
    <w:rsid w:val="00112A54"/>
    <w:rsid w:val="00112CFB"/>
    <w:rsid w:val="00112E00"/>
    <w:rsid w:val="00112E34"/>
    <w:rsid w:val="00112EEF"/>
    <w:rsid w:val="00112F4F"/>
    <w:rsid w:val="00112F5D"/>
    <w:rsid w:val="00112F7D"/>
    <w:rsid w:val="00112FF5"/>
    <w:rsid w:val="00113023"/>
    <w:rsid w:val="00113075"/>
    <w:rsid w:val="001130F8"/>
    <w:rsid w:val="0011310C"/>
    <w:rsid w:val="001131BA"/>
    <w:rsid w:val="001132FB"/>
    <w:rsid w:val="00113360"/>
    <w:rsid w:val="00113382"/>
    <w:rsid w:val="00113444"/>
    <w:rsid w:val="0011349D"/>
    <w:rsid w:val="00113637"/>
    <w:rsid w:val="00113659"/>
    <w:rsid w:val="001136A6"/>
    <w:rsid w:val="00113865"/>
    <w:rsid w:val="00113888"/>
    <w:rsid w:val="001138A2"/>
    <w:rsid w:val="001138AE"/>
    <w:rsid w:val="001139C7"/>
    <w:rsid w:val="001139DB"/>
    <w:rsid w:val="00113B65"/>
    <w:rsid w:val="00113C0A"/>
    <w:rsid w:val="00113D1D"/>
    <w:rsid w:val="00113D25"/>
    <w:rsid w:val="00113D83"/>
    <w:rsid w:val="00113D8C"/>
    <w:rsid w:val="00113E3D"/>
    <w:rsid w:val="00113EC1"/>
    <w:rsid w:val="0011403E"/>
    <w:rsid w:val="001143BC"/>
    <w:rsid w:val="001144A4"/>
    <w:rsid w:val="001146C7"/>
    <w:rsid w:val="001146CF"/>
    <w:rsid w:val="001148EA"/>
    <w:rsid w:val="00114971"/>
    <w:rsid w:val="00114AA1"/>
    <w:rsid w:val="00114B02"/>
    <w:rsid w:val="00114B1E"/>
    <w:rsid w:val="00114C27"/>
    <w:rsid w:val="00114CAB"/>
    <w:rsid w:val="00114D9D"/>
    <w:rsid w:val="00114E72"/>
    <w:rsid w:val="0011501D"/>
    <w:rsid w:val="00115030"/>
    <w:rsid w:val="00115080"/>
    <w:rsid w:val="00115130"/>
    <w:rsid w:val="00115380"/>
    <w:rsid w:val="00115479"/>
    <w:rsid w:val="00115546"/>
    <w:rsid w:val="0011568F"/>
    <w:rsid w:val="0011572F"/>
    <w:rsid w:val="00115777"/>
    <w:rsid w:val="001159AB"/>
    <w:rsid w:val="00115B65"/>
    <w:rsid w:val="00115D8F"/>
    <w:rsid w:val="00115D9C"/>
    <w:rsid w:val="00115E82"/>
    <w:rsid w:val="00115F6A"/>
    <w:rsid w:val="00115F6C"/>
    <w:rsid w:val="00115FE6"/>
    <w:rsid w:val="00116095"/>
    <w:rsid w:val="001160E8"/>
    <w:rsid w:val="001160F3"/>
    <w:rsid w:val="001161A0"/>
    <w:rsid w:val="00116244"/>
    <w:rsid w:val="00116253"/>
    <w:rsid w:val="001162AA"/>
    <w:rsid w:val="00116429"/>
    <w:rsid w:val="0011646A"/>
    <w:rsid w:val="00116470"/>
    <w:rsid w:val="0011654F"/>
    <w:rsid w:val="001165E4"/>
    <w:rsid w:val="0011667E"/>
    <w:rsid w:val="001167DC"/>
    <w:rsid w:val="00116957"/>
    <w:rsid w:val="00116960"/>
    <w:rsid w:val="00116A9E"/>
    <w:rsid w:val="00116B18"/>
    <w:rsid w:val="00116C1D"/>
    <w:rsid w:val="00116DFF"/>
    <w:rsid w:val="00116EB6"/>
    <w:rsid w:val="00116F2A"/>
    <w:rsid w:val="00116F9E"/>
    <w:rsid w:val="0011700C"/>
    <w:rsid w:val="0011709F"/>
    <w:rsid w:val="00117119"/>
    <w:rsid w:val="00117240"/>
    <w:rsid w:val="00117350"/>
    <w:rsid w:val="0011740F"/>
    <w:rsid w:val="0011749D"/>
    <w:rsid w:val="00117641"/>
    <w:rsid w:val="00117746"/>
    <w:rsid w:val="0011781F"/>
    <w:rsid w:val="0011789D"/>
    <w:rsid w:val="00117932"/>
    <w:rsid w:val="00117950"/>
    <w:rsid w:val="00117969"/>
    <w:rsid w:val="0011799A"/>
    <w:rsid w:val="00117A05"/>
    <w:rsid w:val="00117A8A"/>
    <w:rsid w:val="00117AEB"/>
    <w:rsid w:val="00117BE2"/>
    <w:rsid w:val="00117C41"/>
    <w:rsid w:val="00117C7F"/>
    <w:rsid w:val="00117CED"/>
    <w:rsid w:val="00117D2D"/>
    <w:rsid w:val="00117DBE"/>
    <w:rsid w:val="00117F73"/>
    <w:rsid w:val="001200CE"/>
    <w:rsid w:val="0012013F"/>
    <w:rsid w:val="001201EB"/>
    <w:rsid w:val="0012020E"/>
    <w:rsid w:val="00120443"/>
    <w:rsid w:val="00120451"/>
    <w:rsid w:val="001204B3"/>
    <w:rsid w:val="0012059F"/>
    <w:rsid w:val="0012064A"/>
    <w:rsid w:val="0012066A"/>
    <w:rsid w:val="00120728"/>
    <w:rsid w:val="001207E1"/>
    <w:rsid w:val="001208C3"/>
    <w:rsid w:val="00120932"/>
    <w:rsid w:val="00120946"/>
    <w:rsid w:val="001209D3"/>
    <w:rsid w:val="00120A9C"/>
    <w:rsid w:val="00120D26"/>
    <w:rsid w:val="00120D37"/>
    <w:rsid w:val="00120D66"/>
    <w:rsid w:val="00120EEB"/>
    <w:rsid w:val="00121008"/>
    <w:rsid w:val="00121063"/>
    <w:rsid w:val="00121083"/>
    <w:rsid w:val="0012108E"/>
    <w:rsid w:val="0012108F"/>
    <w:rsid w:val="001211AE"/>
    <w:rsid w:val="001211B0"/>
    <w:rsid w:val="00121276"/>
    <w:rsid w:val="001213A2"/>
    <w:rsid w:val="001213A5"/>
    <w:rsid w:val="00121623"/>
    <w:rsid w:val="001216F2"/>
    <w:rsid w:val="0012171A"/>
    <w:rsid w:val="00121750"/>
    <w:rsid w:val="0012175B"/>
    <w:rsid w:val="0012195B"/>
    <w:rsid w:val="001219AF"/>
    <w:rsid w:val="001219CC"/>
    <w:rsid w:val="001219F4"/>
    <w:rsid w:val="00121A1B"/>
    <w:rsid w:val="00121A97"/>
    <w:rsid w:val="00121B08"/>
    <w:rsid w:val="00121B48"/>
    <w:rsid w:val="00121B91"/>
    <w:rsid w:val="00121BCE"/>
    <w:rsid w:val="00121C49"/>
    <w:rsid w:val="00121CF5"/>
    <w:rsid w:val="00121D1C"/>
    <w:rsid w:val="00121D29"/>
    <w:rsid w:val="00121D85"/>
    <w:rsid w:val="00121DCD"/>
    <w:rsid w:val="00121F01"/>
    <w:rsid w:val="001220E6"/>
    <w:rsid w:val="001223ED"/>
    <w:rsid w:val="001224B3"/>
    <w:rsid w:val="0012269C"/>
    <w:rsid w:val="001226F7"/>
    <w:rsid w:val="00122728"/>
    <w:rsid w:val="0012272B"/>
    <w:rsid w:val="001227B5"/>
    <w:rsid w:val="00122854"/>
    <w:rsid w:val="0012286F"/>
    <w:rsid w:val="00122A2E"/>
    <w:rsid w:val="00122A39"/>
    <w:rsid w:val="00122A3E"/>
    <w:rsid w:val="00122B8D"/>
    <w:rsid w:val="00122BD0"/>
    <w:rsid w:val="00122C8E"/>
    <w:rsid w:val="00122CC4"/>
    <w:rsid w:val="00122D0A"/>
    <w:rsid w:val="00122D3A"/>
    <w:rsid w:val="00122E17"/>
    <w:rsid w:val="00122E7F"/>
    <w:rsid w:val="00122EB6"/>
    <w:rsid w:val="00122ECB"/>
    <w:rsid w:val="00123055"/>
    <w:rsid w:val="0012311C"/>
    <w:rsid w:val="001232E3"/>
    <w:rsid w:val="001232E5"/>
    <w:rsid w:val="0012333F"/>
    <w:rsid w:val="00123484"/>
    <w:rsid w:val="00123526"/>
    <w:rsid w:val="00123732"/>
    <w:rsid w:val="0012377E"/>
    <w:rsid w:val="0012380C"/>
    <w:rsid w:val="00123892"/>
    <w:rsid w:val="00123AC2"/>
    <w:rsid w:val="00123B63"/>
    <w:rsid w:val="00123B72"/>
    <w:rsid w:val="00123BDF"/>
    <w:rsid w:val="00123C4F"/>
    <w:rsid w:val="00123F57"/>
    <w:rsid w:val="00123FEB"/>
    <w:rsid w:val="00124086"/>
    <w:rsid w:val="0012425C"/>
    <w:rsid w:val="001242B4"/>
    <w:rsid w:val="0012432A"/>
    <w:rsid w:val="001243A9"/>
    <w:rsid w:val="001243DD"/>
    <w:rsid w:val="001245E7"/>
    <w:rsid w:val="001246C0"/>
    <w:rsid w:val="001246C9"/>
    <w:rsid w:val="001246FF"/>
    <w:rsid w:val="0012474D"/>
    <w:rsid w:val="001247AD"/>
    <w:rsid w:val="00124814"/>
    <w:rsid w:val="0012481A"/>
    <w:rsid w:val="001248A9"/>
    <w:rsid w:val="001248AA"/>
    <w:rsid w:val="0012497C"/>
    <w:rsid w:val="0012499E"/>
    <w:rsid w:val="00124AA8"/>
    <w:rsid w:val="00124AF4"/>
    <w:rsid w:val="00124B04"/>
    <w:rsid w:val="00124B80"/>
    <w:rsid w:val="00124D25"/>
    <w:rsid w:val="00124E6A"/>
    <w:rsid w:val="001250F5"/>
    <w:rsid w:val="001251DC"/>
    <w:rsid w:val="00125201"/>
    <w:rsid w:val="0012525B"/>
    <w:rsid w:val="001252AA"/>
    <w:rsid w:val="001253FA"/>
    <w:rsid w:val="00125442"/>
    <w:rsid w:val="0012566C"/>
    <w:rsid w:val="00125682"/>
    <w:rsid w:val="001256BE"/>
    <w:rsid w:val="001256DF"/>
    <w:rsid w:val="00125991"/>
    <w:rsid w:val="00125AFB"/>
    <w:rsid w:val="00125B35"/>
    <w:rsid w:val="00125BD1"/>
    <w:rsid w:val="00125DD0"/>
    <w:rsid w:val="00125E17"/>
    <w:rsid w:val="00125F1C"/>
    <w:rsid w:val="00125FBB"/>
    <w:rsid w:val="00125FF1"/>
    <w:rsid w:val="001260AB"/>
    <w:rsid w:val="00126105"/>
    <w:rsid w:val="00126235"/>
    <w:rsid w:val="00126324"/>
    <w:rsid w:val="001264AA"/>
    <w:rsid w:val="00126507"/>
    <w:rsid w:val="001268B1"/>
    <w:rsid w:val="00126905"/>
    <w:rsid w:val="001269DD"/>
    <w:rsid w:val="00126A1B"/>
    <w:rsid w:val="00126AFB"/>
    <w:rsid w:val="00126B65"/>
    <w:rsid w:val="00126B74"/>
    <w:rsid w:val="00126C21"/>
    <w:rsid w:val="00126CA2"/>
    <w:rsid w:val="00126CBE"/>
    <w:rsid w:val="00126CC7"/>
    <w:rsid w:val="00126E97"/>
    <w:rsid w:val="00126EF5"/>
    <w:rsid w:val="00126F11"/>
    <w:rsid w:val="00126F26"/>
    <w:rsid w:val="00126F54"/>
    <w:rsid w:val="00126F62"/>
    <w:rsid w:val="00126FE2"/>
    <w:rsid w:val="00127120"/>
    <w:rsid w:val="00127159"/>
    <w:rsid w:val="00127203"/>
    <w:rsid w:val="00127566"/>
    <w:rsid w:val="00127638"/>
    <w:rsid w:val="00127688"/>
    <w:rsid w:val="001276D9"/>
    <w:rsid w:val="0012777B"/>
    <w:rsid w:val="00127966"/>
    <w:rsid w:val="001279B3"/>
    <w:rsid w:val="00127B47"/>
    <w:rsid w:val="00127D6A"/>
    <w:rsid w:val="00127D8D"/>
    <w:rsid w:val="00127DC2"/>
    <w:rsid w:val="00127DF3"/>
    <w:rsid w:val="00127ECE"/>
    <w:rsid w:val="00127F3F"/>
    <w:rsid w:val="00127F93"/>
    <w:rsid w:val="00127FFE"/>
    <w:rsid w:val="001300CD"/>
    <w:rsid w:val="0013010B"/>
    <w:rsid w:val="00130357"/>
    <w:rsid w:val="001303E9"/>
    <w:rsid w:val="00130443"/>
    <w:rsid w:val="001304FD"/>
    <w:rsid w:val="00130544"/>
    <w:rsid w:val="00130563"/>
    <w:rsid w:val="00130658"/>
    <w:rsid w:val="001308D2"/>
    <w:rsid w:val="001308DE"/>
    <w:rsid w:val="0013097D"/>
    <w:rsid w:val="00130B01"/>
    <w:rsid w:val="00130C1B"/>
    <w:rsid w:val="00130C3B"/>
    <w:rsid w:val="00130D27"/>
    <w:rsid w:val="00130D33"/>
    <w:rsid w:val="00130E71"/>
    <w:rsid w:val="00130E96"/>
    <w:rsid w:val="00130EC5"/>
    <w:rsid w:val="00130F3F"/>
    <w:rsid w:val="00131073"/>
    <w:rsid w:val="001310CF"/>
    <w:rsid w:val="0013135C"/>
    <w:rsid w:val="00131398"/>
    <w:rsid w:val="001313F4"/>
    <w:rsid w:val="001314B3"/>
    <w:rsid w:val="00131513"/>
    <w:rsid w:val="00131580"/>
    <w:rsid w:val="001315E9"/>
    <w:rsid w:val="001318B0"/>
    <w:rsid w:val="001319E4"/>
    <w:rsid w:val="00131A4D"/>
    <w:rsid w:val="00131B40"/>
    <w:rsid w:val="00131B98"/>
    <w:rsid w:val="00131C3D"/>
    <w:rsid w:val="00131E46"/>
    <w:rsid w:val="00131F1D"/>
    <w:rsid w:val="00131F3F"/>
    <w:rsid w:val="0013212C"/>
    <w:rsid w:val="00132146"/>
    <w:rsid w:val="0013228D"/>
    <w:rsid w:val="00132634"/>
    <w:rsid w:val="0013269F"/>
    <w:rsid w:val="00132734"/>
    <w:rsid w:val="00132770"/>
    <w:rsid w:val="001327E0"/>
    <w:rsid w:val="00132933"/>
    <w:rsid w:val="001329CD"/>
    <w:rsid w:val="001329D2"/>
    <w:rsid w:val="00132A21"/>
    <w:rsid w:val="00132AE2"/>
    <w:rsid w:val="00132B41"/>
    <w:rsid w:val="00132FA8"/>
    <w:rsid w:val="001330E4"/>
    <w:rsid w:val="001330F5"/>
    <w:rsid w:val="00133184"/>
    <w:rsid w:val="00133224"/>
    <w:rsid w:val="001333F2"/>
    <w:rsid w:val="00133411"/>
    <w:rsid w:val="00133563"/>
    <w:rsid w:val="001336FF"/>
    <w:rsid w:val="00133811"/>
    <w:rsid w:val="00133883"/>
    <w:rsid w:val="001338F9"/>
    <w:rsid w:val="0013393C"/>
    <w:rsid w:val="0013396D"/>
    <w:rsid w:val="001339A5"/>
    <w:rsid w:val="00133A2E"/>
    <w:rsid w:val="00133B39"/>
    <w:rsid w:val="00133B6F"/>
    <w:rsid w:val="00133D8C"/>
    <w:rsid w:val="00133DC1"/>
    <w:rsid w:val="00133F62"/>
    <w:rsid w:val="00134071"/>
    <w:rsid w:val="00134209"/>
    <w:rsid w:val="0013420C"/>
    <w:rsid w:val="0013420D"/>
    <w:rsid w:val="00134338"/>
    <w:rsid w:val="001343F4"/>
    <w:rsid w:val="0013440E"/>
    <w:rsid w:val="00134410"/>
    <w:rsid w:val="00134531"/>
    <w:rsid w:val="00134626"/>
    <w:rsid w:val="0013468C"/>
    <w:rsid w:val="00134770"/>
    <w:rsid w:val="00134893"/>
    <w:rsid w:val="001349E0"/>
    <w:rsid w:val="001349F4"/>
    <w:rsid w:val="00134A38"/>
    <w:rsid w:val="00134B5A"/>
    <w:rsid w:val="00134BF5"/>
    <w:rsid w:val="00134C0C"/>
    <w:rsid w:val="00134D86"/>
    <w:rsid w:val="00134E86"/>
    <w:rsid w:val="00134F64"/>
    <w:rsid w:val="00135015"/>
    <w:rsid w:val="00135065"/>
    <w:rsid w:val="00135146"/>
    <w:rsid w:val="00135182"/>
    <w:rsid w:val="00135195"/>
    <w:rsid w:val="0013519D"/>
    <w:rsid w:val="001351E3"/>
    <w:rsid w:val="00135367"/>
    <w:rsid w:val="001354B4"/>
    <w:rsid w:val="0013552D"/>
    <w:rsid w:val="00135581"/>
    <w:rsid w:val="00135755"/>
    <w:rsid w:val="00135764"/>
    <w:rsid w:val="001357A9"/>
    <w:rsid w:val="001357F4"/>
    <w:rsid w:val="00135841"/>
    <w:rsid w:val="0013585F"/>
    <w:rsid w:val="0013587A"/>
    <w:rsid w:val="001358CD"/>
    <w:rsid w:val="0013598F"/>
    <w:rsid w:val="001359CE"/>
    <w:rsid w:val="00135B3E"/>
    <w:rsid w:val="00135BBC"/>
    <w:rsid w:val="00135BDC"/>
    <w:rsid w:val="00135C28"/>
    <w:rsid w:val="00135C69"/>
    <w:rsid w:val="00135C7A"/>
    <w:rsid w:val="00135C90"/>
    <w:rsid w:val="00135C97"/>
    <w:rsid w:val="00135D3F"/>
    <w:rsid w:val="00135DC8"/>
    <w:rsid w:val="00135ED3"/>
    <w:rsid w:val="00135F14"/>
    <w:rsid w:val="00135FC9"/>
    <w:rsid w:val="00136062"/>
    <w:rsid w:val="00136174"/>
    <w:rsid w:val="0013619F"/>
    <w:rsid w:val="00136268"/>
    <w:rsid w:val="001362AE"/>
    <w:rsid w:val="00136515"/>
    <w:rsid w:val="0013667E"/>
    <w:rsid w:val="0013673C"/>
    <w:rsid w:val="00136773"/>
    <w:rsid w:val="0013679F"/>
    <w:rsid w:val="001367FE"/>
    <w:rsid w:val="00136823"/>
    <w:rsid w:val="001368E1"/>
    <w:rsid w:val="00136949"/>
    <w:rsid w:val="00136AE1"/>
    <w:rsid w:val="00136D1B"/>
    <w:rsid w:val="00136D24"/>
    <w:rsid w:val="00136D69"/>
    <w:rsid w:val="00136D82"/>
    <w:rsid w:val="00136DD7"/>
    <w:rsid w:val="00136E2A"/>
    <w:rsid w:val="00136E71"/>
    <w:rsid w:val="00136FCB"/>
    <w:rsid w:val="001370B2"/>
    <w:rsid w:val="0013710C"/>
    <w:rsid w:val="00137115"/>
    <w:rsid w:val="00137286"/>
    <w:rsid w:val="0013732A"/>
    <w:rsid w:val="001373DE"/>
    <w:rsid w:val="00137403"/>
    <w:rsid w:val="00137471"/>
    <w:rsid w:val="0013755A"/>
    <w:rsid w:val="00137587"/>
    <w:rsid w:val="0013761F"/>
    <w:rsid w:val="00137659"/>
    <w:rsid w:val="001376CD"/>
    <w:rsid w:val="001377C6"/>
    <w:rsid w:val="00137802"/>
    <w:rsid w:val="001378D6"/>
    <w:rsid w:val="001379FA"/>
    <w:rsid w:val="00137C84"/>
    <w:rsid w:val="00137CA6"/>
    <w:rsid w:val="00137D57"/>
    <w:rsid w:val="00137E3A"/>
    <w:rsid w:val="00137E3F"/>
    <w:rsid w:val="00137F46"/>
    <w:rsid w:val="00140067"/>
    <w:rsid w:val="00140076"/>
    <w:rsid w:val="001400BE"/>
    <w:rsid w:val="001400C5"/>
    <w:rsid w:val="00140162"/>
    <w:rsid w:val="001401B2"/>
    <w:rsid w:val="001401B4"/>
    <w:rsid w:val="00140254"/>
    <w:rsid w:val="001403C0"/>
    <w:rsid w:val="001403C9"/>
    <w:rsid w:val="001404AC"/>
    <w:rsid w:val="001404F4"/>
    <w:rsid w:val="00140516"/>
    <w:rsid w:val="0014056C"/>
    <w:rsid w:val="00140696"/>
    <w:rsid w:val="001406B8"/>
    <w:rsid w:val="001408AE"/>
    <w:rsid w:val="001408D3"/>
    <w:rsid w:val="00140B6D"/>
    <w:rsid w:val="00140B90"/>
    <w:rsid w:val="00140BF6"/>
    <w:rsid w:val="00140C0E"/>
    <w:rsid w:val="00140C29"/>
    <w:rsid w:val="00140C76"/>
    <w:rsid w:val="00140D70"/>
    <w:rsid w:val="00140EF4"/>
    <w:rsid w:val="00140F21"/>
    <w:rsid w:val="001410CB"/>
    <w:rsid w:val="0014119E"/>
    <w:rsid w:val="001411AB"/>
    <w:rsid w:val="00141245"/>
    <w:rsid w:val="00141264"/>
    <w:rsid w:val="00141295"/>
    <w:rsid w:val="001412CB"/>
    <w:rsid w:val="001412DB"/>
    <w:rsid w:val="00141366"/>
    <w:rsid w:val="001413A3"/>
    <w:rsid w:val="00141482"/>
    <w:rsid w:val="001414B7"/>
    <w:rsid w:val="00141586"/>
    <w:rsid w:val="001415DD"/>
    <w:rsid w:val="001416B7"/>
    <w:rsid w:val="001416C0"/>
    <w:rsid w:val="0014170D"/>
    <w:rsid w:val="0014175C"/>
    <w:rsid w:val="00141948"/>
    <w:rsid w:val="001419C2"/>
    <w:rsid w:val="001419F3"/>
    <w:rsid w:val="00141A78"/>
    <w:rsid w:val="00141B24"/>
    <w:rsid w:val="00141B9A"/>
    <w:rsid w:val="00141B9E"/>
    <w:rsid w:val="00141BD4"/>
    <w:rsid w:val="00141BF9"/>
    <w:rsid w:val="00141C32"/>
    <w:rsid w:val="00141D13"/>
    <w:rsid w:val="00141F6D"/>
    <w:rsid w:val="001420A1"/>
    <w:rsid w:val="00142136"/>
    <w:rsid w:val="001421A2"/>
    <w:rsid w:val="00142299"/>
    <w:rsid w:val="001422A6"/>
    <w:rsid w:val="00142345"/>
    <w:rsid w:val="00142400"/>
    <w:rsid w:val="001424F1"/>
    <w:rsid w:val="001425A8"/>
    <w:rsid w:val="00142607"/>
    <w:rsid w:val="001426C4"/>
    <w:rsid w:val="0014276C"/>
    <w:rsid w:val="0014285C"/>
    <w:rsid w:val="001428AB"/>
    <w:rsid w:val="001428BE"/>
    <w:rsid w:val="0014296E"/>
    <w:rsid w:val="001429B4"/>
    <w:rsid w:val="00142A57"/>
    <w:rsid w:val="00142AD5"/>
    <w:rsid w:val="00142BAC"/>
    <w:rsid w:val="00142BCB"/>
    <w:rsid w:val="00142CEF"/>
    <w:rsid w:val="00142DA0"/>
    <w:rsid w:val="00142F41"/>
    <w:rsid w:val="00142F63"/>
    <w:rsid w:val="00142FC1"/>
    <w:rsid w:val="00142FDF"/>
    <w:rsid w:val="00143050"/>
    <w:rsid w:val="00143107"/>
    <w:rsid w:val="00143258"/>
    <w:rsid w:val="001433CD"/>
    <w:rsid w:val="001433DC"/>
    <w:rsid w:val="0014350F"/>
    <w:rsid w:val="00143563"/>
    <w:rsid w:val="001435CE"/>
    <w:rsid w:val="0014360C"/>
    <w:rsid w:val="00143832"/>
    <w:rsid w:val="00143850"/>
    <w:rsid w:val="0014388D"/>
    <w:rsid w:val="00143921"/>
    <w:rsid w:val="00143A06"/>
    <w:rsid w:val="00143AA4"/>
    <w:rsid w:val="00143AE3"/>
    <w:rsid w:val="00143C9C"/>
    <w:rsid w:val="00143CBA"/>
    <w:rsid w:val="00143E2B"/>
    <w:rsid w:val="00143E8D"/>
    <w:rsid w:val="00143EB1"/>
    <w:rsid w:val="00143F58"/>
    <w:rsid w:val="001440BD"/>
    <w:rsid w:val="001441F1"/>
    <w:rsid w:val="001443B3"/>
    <w:rsid w:val="0014441E"/>
    <w:rsid w:val="001444D9"/>
    <w:rsid w:val="001445E9"/>
    <w:rsid w:val="001445FF"/>
    <w:rsid w:val="001446FE"/>
    <w:rsid w:val="00144789"/>
    <w:rsid w:val="001447F9"/>
    <w:rsid w:val="00144800"/>
    <w:rsid w:val="00144841"/>
    <w:rsid w:val="0014484E"/>
    <w:rsid w:val="00144A72"/>
    <w:rsid w:val="00144A88"/>
    <w:rsid w:val="00144A96"/>
    <w:rsid w:val="00144B68"/>
    <w:rsid w:val="00144CB1"/>
    <w:rsid w:val="00144D96"/>
    <w:rsid w:val="00144E1C"/>
    <w:rsid w:val="00144EEF"/>
    <w:rsid w:val="00144F55"/>
    <w:rsid w:val="00144FCA"/>
    <w:rsid w:val="00145060"/>
    <w:rsid w:val="00145073"/>
    <w:rsid w:val="0014516E"/>
    <w:rsid w:val="001451A0"/>
    <w:rsid w:val="001451B1"/>
    <w:rsid w:val="0014528F"/>
    <w:rsid w:val="001453F6"/>
    <w:rsid w:val="00145612"/>
    <w:rsid w:val="00145930"/>
    <w:rsid w:val="00145935"/>
    <w:rsid w:val="001459D0"/>
    <w:rsid w:val="00145A14"/>
    <w:rsid w:val="00145A55"/>
    <w:rsid w:val="00145B03"/>
    <w:rsid w:val="00145B65"/>
    <w:rsid w:val="00145B9F"/>
    <w:rsid w:val="00145BD0"/>
    <w:rsid w:val="00145BF1"/>
    <w:rsid w:val="00145C5D"/>
    <w:rsid w:val="00145E33"/>
    <w:rsid w:val="00145F0B"/>
    <w:rsid w:val="001460B7"/>
    <w:rsid w:val="00146251"/>
    <w:rsid w:val="0014636E"/>
    <w:rsid w:val="00146377"/>
    <w:rsid w:val="001463C5"/>
    <w:rsid w:val="001465EF"/>
    <w:rsid w:val="0014666B"/>
    <w:rsid w:val="001466DD"/>
    <w:rsid w:val="001466FF"/>
    <w:rsid w:val="00146739"/>
    <w:rsid w:val="00146779"/>
    <w:rsid w:val="001468AF"/>
    <w:rsid w:val="0014690C"/>
    <w:rsid w:val="00146984"/>
    <w:rsid w:val="001469AB"/>
    <w:rsid w:val="00146B2F"/>
    <w:rsid w:val="00146DD1"/>
    <w:rsid w:val="00146DD5"/>
    <w:rsid w:val="00146DF5"/>
    <w:rsid w:val="00146E5B"/>
    <w:rsid w:val="001470EE"/>
    <w:rsid w:val="001471E9"/>
    <w:rsid w:val="00147369"/>
    <w:rsid w:val="001473FA"/>
    <w:rsid w:val="00147476"/>
    <w:rsid w:val="001474BB"/>
    <w:rsid w:val="001474D6"/>
    <w:rsid w:val="0014758F"/>
    <w:rsid w:val="00147674"/>
    <w:rsid w:val="0014769D"/>
    <w:rsid w:val="001476EF"/>
    <w:rsid w:val="00147744"/>
    <w:rsid w:val="0014779D"/>
    <w:rsid w:val="001478F0"/>
    <w:rsid w:val="001479D6"/>
    <w:rsid w:val="00147AFB"/>
    <w:rsid w:val="00147BA8"/>
    <w:rsid w:val="00147BDA"/>
    <w:rsid w:val="00147D9B"/>
    <w:rsid w:val="00147E06"/>
    <w:rsid w:val="00147E6F"/>
    <w:rsid w:val="00147E93"/>
    <w:rsid w:val="00147F02"/>
    <w:rsid w:val="00147F2A"/>
    <w:rsid w:val="00147F83"/>
    <w:rsid w:val="0015002F"/>
    <w:rsid w:val="00150067"/>
    <w:rsid w:val="00150155"/>
    <w:rsid w:val="001501BD"/>
    <w:rsid w:val="00150472"/>
    <w:rsid w:val="001506AE"/>
    <w:rsid w:val="0015088D"/>
    <w:rsid w:val="001508BA"/>
    <w:rsid w:val="0015097B"/>
    <w:rsid w:val="001509A6"/>
    <w:rsid w:val="00150CAD"/>
    <w:rsid w:val="00150F5C"/>
    <w:rsid w:val="00150FE7"/>
    <w:rsid w:val="00151055"/>
    <w:rsid w:val="00151057"/>
    <w:rsid w:val="001510FE"/>
    <w:rsid w:val="00151136"/>
    <w:rsid w:val="00151278"/>
    <w:rsid w:val="00151321"/>
    <w:rsid w:val="0015137F"/>
    <w:rsid w:val="00151422"/>
    <w:rsid w:val="00151611"/>
    <w:rsid w:val="00151688"/>
    <w:rsid w:val="001516C9"/>
    <w:rsid w:val="00151700"/>
    <w:rsid w:val="00151790"/>
    <w:rsid w:val="001517A9"/>
    <w:rsid w:val="00151904"/>
    <w:rsid w:val="00151983"/>
    <w:rsid w:val="00151A9E"/>
    <w:rsid w:val="00151C1E"/>
    <w:rsid w:val="00151C83"/>
    <w:rsid w:val="00151CDD"/>
    <w:rsid w:val="00151E8F"/>
    <w:rsid w:val="0015208E"/>
    <w:rsid w:val="00152273"/>
    <w:rsid w:val="001522AC"/>
    <w:rsid w:val="00152359"/>
    <w:rsid w:val="001523A7"/>
    <w:rsid w:val="001523FB"/>
    <w:rsid w:val="001524CB"/>
    <w:rsid w:val="001524FF"/>
    <w:rsid w:val="00152561"/>
    <w:rsid w:val="00152572"/>
    <w:rsid w:val="001526E9"/>
    <w:rsid w:val="00152762"/>
    <w:rsid w:val="0015285C"/>
    <w:rsid w:val="001528A9"/>
    <w:rsid w:val="0015290B"/>
    <w:rsid w:val="00152956"/>
    <w:rsid w:val="001529AC"/>
    <w:rsid w:val="00152B22"/>
    <w:rsid w:val="00152B91"/>
    <w:rsid w:val="00152BB2"/>
    <w:rsid w:val="00152C11"/>
    <w:rsid w:val="00152C13"/>
    <w:rsid w:val="00152D5B"/>
    <w:rsid w:val="00152D7F"/>
    <w:rsid w:val="00152EAD"/>
    <w:rsid w:val="00152FED"/>
    <w:rsid w:val="0015300B"/>
    <w:rsid w:val="00153024"/>
    <w:rsid w:val="00153205"/>
    <w:rsid w:val="0015325C"/>
    <w:rsid w:val="00153344"/>
    <w:rsid w:val="001533CC"/>
    <w:rsid w:val="00153429"/>
    <w:rsid w:val="0015349D"/>
    <w:rsid w:val="0015353B"/>
    <w:rsid w:val="0015356A"/>
    <w:rsid w:val="00153599"/>
    <w:rsid w:val="001535AB"/>
    <w:rsid w:val="001536BD"/>
    <w:rsid w:val="0015376D"/>
    <w:rsid w:val="001537EA"/>
    <w:rsid w:val="0015390F"/>
    <w:rsid w:val="00153932"/>
    <w:rsid w:val="001539D3"/>
    <w:rsid w:val="00153A45"/>
    <w:rsid w:val="00153A50"/>
    <w:rsid w:val="00153D97"/>
    <w:rsid w:val="00153DEC"/>
    <w:rsid w:val="00153DF5"/>
    <w:rsid w:val="00153E6F"/>
    <w:rsid w:val="00153E8A"/>
    <w:rsid w:val="00153EB3"/>
    <w:rsid w:val="00153F30"/>
    <w:rsid w:val="00153F6F"/>
    <w:rsid w:val="00153FA7"/>
    <w:rsid w:val="00154004"/>
    <w:rsid w:val="00154028"/>
    <w:rsid w:val="00154180"/>
    <w:rsid w:val="001541AE"/>
    <w:rsid w:val="001542C1"/>
    <w:rsid w:val="0015458B"/>
    <w:rsid w:val="001545E2"/>
    <w:rsid w:val="00154657"/>
    <w:rsid w:val="001546B4"/>
    <w:rsid w:val="001546ED"/>
    <w:rsid w:val="001548F0"/>
    <w:rsid w:val="00154902"/>
    <w:rsid w:val="00154914"/>
    <w:rsid w:val="00154A05"/>
    <w:rsid w:val="00154A17"/>
    <w:rsid w:val="00154A80"/>
    <w:rsid w:val="00154AB8"/>
    <w:rsid w:val="00154B21"/>
    <w:rsid w:val="00154B47"/>
    <w:rsid w:val="00154B5F"/>
    <w:rsid w:val="00154C11"/>
    <w:rsid w:val="00154C99"/>
    <w:rsid w:val="00154EAB"/>
    <w:rsid w:val="00154ED6"/>
    <w:rsid w:val="00154FB2"/>
    <w:rsid w:val="00154FD3"/>
    <w:rsid w:val="0015513C"/>
    <w:rsid w:val="00155167"/>
    <w:rsid w:val="001551D7"/>
    <w:rsid w:val="00155214"/>
    <w:rsid w:val="00155216"/>
    <w:rsid w:val="0015522F"/>
    <w:rsid w:val="00155245"/>
    <w:rsid w:val="001553DF"/>
    <w:rsid w:val="00155494"/>
    <w:rsid w:val="001555E6"/>
    <w:rsid w:val="00155647"/>
    <w:rsid w:val="00155773"/>
    <w:rsid w:val="00155894"/>
    <w:rsid w:val="001558AE"/>
    <w:rsid w:val="001558D6"/>
    <w:rsid w:val="00155956"/>
    <w:rsid w:val="0015599D"/>
    <w:rsid w:val="00155A8F"/>
    <w:rsid w:val="00155AD8"/>
    <w:rsid w:val="00155D30"/>
    <w:rsid w:val="00155DE1"/>
    <w:rsid w:val="00155E01"/>
    <w:rsid w:val="00155F16"/>
    <w:rsid w:val="00155FA0"/>
    <w:rsid w:val="0015606F"/>
    <w:rsid w:val="001561CA"/>
    <w:rsid w:val="00156300"/>
    <w:rsid w:val="00156357"/>
    <w:rsid w:val="0015636B"/>
    <w:rsid w:val="001564A6"/>
    <w:rsid w:val="00156664"/>
    <w:rsid w:val="001566AA"/>
    <w:rsid w:val="001566B8"/>
    <w:rsid w:val="00156752"/>
    <w:rsid w:val="001567BF"/>
    <w:rsid w:val="00156927"/>
    <w:rsid w:val="001569CC"/>
    <w:rsid w:val="001569FA"/>
    <w:rsid w:val="00156AA6"/>
    <w:rsid w:val="00156AC5"/>
    <w:rsid w:val="00156C1D"/>
    <w:rsid w:val="00156C80"/>
    <w:rsid w:val="00156CE5"/>
    <w:rsid w:val="00156D56"/>
    <w:rsid w:val="00156E6F"/>
    <w:rsid w:val="00156E92"/>
    <w:rsid w:val="00157068"/>
    <w:rsid w:val="00157304"/>
    <w:rsid w:val="00157388"/>
    <w:rsid w:val="00157425"/>
    <w:rsid w:val="00157600"/>
    <w:rsid w:val="00157637"/>
    <w:rsid w:val="0015777E"/>
    <w:rsid w:val="00157949"/>
    <w:rsid w:val="001579CC"/>
    <w:rsid w:val="00157BF3"/>
    <w:rsid w:val="00157CCB"/>
    <w:rsid w:val="00157CEB"/>
    <w:rsid w:val="00157D05"/>
    <w:rsid w:val="00157EBC"/>
    <w:rsid w:val="00157F05"/>
    <w:rsid w:val="00157FCF"/>
    <w:rsid w:val="00160331"/>
    <w:rsid w:val="00160364"/>
    <w:rsid w:val="001603F6"/>
    <w:rsid w:val="00160404"/>
    <w:rsid w:val="0016049A"/>
    <w:rsid w:val="001604B9"/>
    <w:rsid w:val="00160529"/>
    <w:rsid w:val="001605AE"/>
    <w:rsid w:val="001606B7"/>
    <w:rsid w:val="00160742"/>
    <w:rsid w:val="0016098C"/>
    <w:rsid w:val="00160BAD"/>
    <w:rsid w:val="00160CAA"/>
    <w:rsid w:val="00160CFF"/>
    <w:rsid w:val="00160E13"/>
    <w:rsid w:val="00160E3B"/>
    <w:rsid w:val="00160EC5"/>
    <w:rsid w:val="00161270"/>
    <w:rsid w:val="001613DD"/>
    <w:rsid w:val="0016143E"/>
    <w:rsid w:val="00161453"/>
    <w:rsid w:val="0016155E"/>
    <w:rsid w:val="00161589"/>
    <w:rsid w:val="00161690"/>
    <w:rsid w:val="00161725"/>
    <w:rsid w:val="00161762"/>
    <w:rsid w:val="001617FB"/>
    <w:rsid w:val="00161A2A"/>
    <w:rsid w:val="00161A3B"/>
    <w:rsid w:val="00161AD6"/>
    <w:rsid w:val="00161B41"/>
    <w:rsid w:val="00161B4B"/>
    <w:rsid w:val="00161BA0"/>
    <w:rsid w:val="00161BB7"/>
    <w:rsid w:val="00161D79"/>
    <w:rsid w:val="00161EB9"/>
    <w:rsid w:val="00161F04"/>
    <w:rsid w:val="00162024"/>
    <w:rsid w:val="001622C2"/>
    <w:rsid w:val="0016255B"/>
    <w:rsid w:val="001625D3"/>
    <w:rsid w:val="001626CE"/>
    <w:rsid w:val="001626D2"/>
    <w:rsid w:val="00162835"/>
    <w:rsid w:val="00162852"/>
    <w:rsid w:val="001628B0"/>
    <w:rsid w:val="00162995"/>
    <w:rsid w:val="00162C3E"/>
    <w:rsid w:val="00162D14"/>
    <w:rsid w:val="00162DA4"/>
    <w:rsid w:val="00162DB9"/>
    <w:rsid w:val="00162E8C"/>
    <w:rsid w:val="0016300C"/>
    <w:rsid w:val="001630A9"/>
    <w:rsid w:val="001630B3"/>
    <w:rsid w:val="00163291"/>
    <w:rsid w:val="001632F2"/>
    <w:rsid w:val="00163644"/>
    <w:rsid w:val="00163666"/>
    <w:rsid w:val="001636BF"/>
    <w:rsid w:val="0016380E"/>
    <w:rsid w:val="0016385A"/>
    <w:rsid w:val="001638F5"/>
    <w:rsid w:val="0016399F"/>
    <w:rsid w:val="001639A3"/>
    <w:rsid w:val="00163C1E"/>
    <w:rsid w:val="00163C9D"/>
    <w:rsid w:val="00163CAD"/>
    <w:rsid w:val="00163D30"/>
    <w:rsid w:val="00163E1F"/>
    <w:rsid w:val="00164074"/>
    <w:rsid w:val="001641B0"/>
    <w:rsid w:val="001643B8"/>
    <w:rsid w:val="001643EF"/>
    <w:rsid w:val="00164484"/>
    <w:rsid w:val="00164493"/>
    <w:rsid w:val="00164514"/>
    <w:rsid w:val="0016457C"/>
    <w:rsid w:val="00164598"/>
    <w:rsid w:val="001645B9"/>
    <w:rsid w:val="001645C2"/>
    <w:rsid w:val="001645C7"/>
    <w:rsid w:val="00164626"/>
    <w:rsid w:val="00164672"/>
    <w:rsid w:val="00164774"/>
    <w:rsid w:val="00164824"/>
    <w:rsid w:val="001648C9"/>
    <w:rsid w:val="00164920"/>
    <w:rsid w:val="00164943"/>
    <w:rsid w:val="00164AC6"/>
    <w:rsid w:val="00164D4D"/>
    <w:rsid w:val="00164DD0"/>
    <w:rsid w:val="00165033"/>
    <w:rsid w:val="00165088"/>
    <w:rsid w:val="00165089"/>
    <w:rsid w:val="0016508F"/>
    <w:rsid w:val="00165125"/>
    <w:rsid w:val="0016514A"/>
    <w:rsid w:val="00165215"/>
    <w:rsid w:val="001653E9"/>
    <w:rsid w:val="00165409"/>
    <w:rsid w:val="00165463"/>
    <w:rsid w:val="001654C1"/>
    <w:rsid w:val="00165526"/>
    <w:rsid w:val="0016554E"/>
    <w:rsid w:val="00165564"/>
    <w:rsid w:val="0016558E"/>
    <w:rsid w:val="001655A0"/>
    <w:rsid w:val="001655B9"/>
    <w:rsid w:val="0016565D"/>
    <w:rsid w:val="00165751"/>
    <w:rsid w:val="0016576C"/>
    <w:rsid w:val="00165888"/>
    <w:rsid w:val="0016589F"/>
    <w:rsid w:val="001658CA"/>
    <w:rsid w:val="001658D4"/>
    <w:rsid w:val="0016598E"/>
    <w:rsid w:val="00165A1D"/>
    <w:rsid w:val="00165C7D"/>
    <w:rsid w:val="00165C96"/>
    <w:rsid w:val="00165CA4"/>
    <w:rsid w:val="00165E60"/>
    <w:rsid w:val="00165E7F"/>
    <w:rsid w:val="00165F07"/>
    <w:rsid w:val="00165F76"/>
    <w:rsid w:val="00165FB8"/>
    <w:rsid w:val="0016601E"/>
    <w:rsid w:val="0016619D"/>
    <w:rsid w:val="001661A6"/>
    <w:rsid w:val="0016621C"/>
    <w:rsid w:val="00166373"/>
    <w:rsid w:val="001663C0"/>
    <w:rsid w:val="001664C9"/>
    <w:rsid w:val="00166530"/>
    <w:rsid w:val="00166565"/>
    <w:rsid w:val="00166588"/>
    <w:rsid w:val="001665AC"/>
    <w:rsid w:val="001667C7"/>
    <w:rsid w:val="001667EA"/>
    <w:rsid w:val="00166865"/>
    <w:rsid w:val="00166914"/>
    <w:rsid w:val="00166932"/>
    <w:rsid w:val="00166A72"/>
    <w:rsid w:val="00166A87"/>
    <w:rsid w:val="00166BE3"/>
    <w:rsid w:val="00166CB2"/>
    <w:rsid w:val="00166CCE"/>
    <w:rsid w:val="00166CEE"/>
    <w:rsid w:val="00166DB9"/>
    <w:rsid w:val="001670BB"/>
    <w:rsid w:val="0016710D"/>
    <w:rsid w:val="00167195"/>
    <w:rsid w:val="001672CD"/>
    <w:rsid w:val="001672DF"/>
    <w:rsid w:val="00167359"/>
    <w:rsid w:val="00167419"/>
    <w:rsid w:val="0016742A"/>
    <w:rsid w:val="001674F9"/>
    <w:rsid w:val="001676AB"/>
    <w:rsid w:val="0016771A"/>
    <w:rsid w:val="0016776C"/>
    <w:rsid w:val="00167809"/>
    <w:rsid w:val="00167814"/>
    <w:rsid w:val="00167825"/>
    <w:rsid w:val="001678CC"/>
    <w:rsid w:val="0016791E"/>
    <w:rsid w:val="001679A5"/>
    <w:rsid w:val="001679BB"/>
    <w:rsid w:val="00167B87"/>
    <w:rsid w:val="00167C32"/>
    <w:rsid w:val="00167C82"/>
    <w:rsid w:val="00167C84"/>
    <w:rsid w:val="00167CEF"/>
    <w:rsid w:val="00167E0E"/>
    <w:rsid w:val="00167E35"/>
    <w:rsid w:val="00167E92"/>
    <w:rsid w:val="00167F72"/>
    <w:rsid w:val="00170021"/>
    <w:rsid w:val="00170076"/>
    <w:rsid w:val="001702C0"/>
    <w:rsid w:val="00170304"/>
    <w:rsid w:val="001703DE"/>
    <w:rsid w:val="00170410"/>
    <w:rsid w:val="0017053A"/>
    <w:rsid w:val="001705B4"/>
    <w:rsid w:val="001705BB"/>
    <w:rsid w:val="001705F7"/>
    <w:rsid w:val="00170625"/>
    <w:rsid w:val="001706F6"/>
    <w:rsid w:val="00170898"/>
    <w:rsid w:val="00170900"/>
    <w:rsid w:val="00170904"/>
    <w:rsid w:val="0017095F"/>
    <w:rsid w:val="0017097E"/>
    <w:rsid w:val="00170A6F"/>
    <w:rsid w:val="00170AD6"/>
    <w:rsid w:val="00170C07"/>
    <w:rsid w:val="00170D72"/>
    <w:rsid w:val="00170E2C"/>
    <w:rsid w:val="00170EAC"/>
    <w:rsid w:val="00171066"/>
    <w:rsid w:val="001710D3"/>
    <w:rsid w:val="0017125D"/>
    <w:rsid w:val="001712B5"/>
    <w:rsid w:val="0017137B"/>
    <w:rsid w:val="001713A7"/>
    <w:rsid w:val="0017158D"/>
    <w:rsid w:val="001715A7"/>
    <w:rsid w:val="00171666"/>
    <w:rsid w:val="001716D8"/>
    <w:rsid w:val="0017174C"/>
    <w:rsid w:val="00171A8C"/>
    <w:rsid w:val="00171B72"/>
    <w:rsid w:val="00171B78"/>
    <w:rsid w:val="00171BC0"/>
    <w:rsid w:val="00171C08"/>
    <w:rsid w:val="00171C0C"/>
    <w:rsid w:val="00171CC8"/>
    <w:rsid w:val="00171DDB"/>
    <w:rsid w:val="00171FAA"/>
    <w:rsid w:val="00171FF0"/>
    <w:rsid w:val="0017200B"/>
    <w:rsid w:val="0017208C"/>
    <w:rsid w:val="0017217A"/>
    <w:rsid w:val="001721EB"/>
    <w:rsid w:val="00172458"/>
    <w:rsid w:val="0017247D"/>
    <w:rsid w:val="00172496"/>
    <w:rsid w:val="001725E1"/>
    <w:rsid w:val="0017260F"/>
    <w:rsid w:val="00172715"/>
    <w:rsid w:val="0017280C"/>
    <w:rsid w:val="001729CB"/>
    <w:rsid w:val="00172A23"/>
    <w:rsid w:val="00172A7B"/>
    <w:rsid w:val="00172B99"/>
    <w:rsid w:val="00172C89"/>
    <w:rsid w:val="00172E4F"/>
    <w:rsid w:val="00172E77"/>
    <w:rsid w:val="00172F32"/>
    <w:rsid w:val="00172F3E"/>
    <w:rsid w:val="001730A9"/>
    <w:rsid w:val="00173116"/>
    <w:rsid w:val="0017315E"/>
    <w:rsid w:val="00173194"/>
    <w:rsid w:val="001731A9"/>
    <w:rsid w:val="00173287"/>
    <w:rsid w:val="00173340"/>
    <w:rsid w:val="0017337F"/>
    <w:rsid w:val="001733A7"/>
    <w:rsid w:val="00173453"/>
    <w:rsid w:val="00173476"/>
    <w:rsid w:val="001734D8"/>
    <w:rsid w:val="001735DC"/>
    <w:rsid w:val="00173694"/>
    <w:rsid w:val="0017375F"/>
    <w:rsid w:val="0017377E"/>
    <w:rsid w:val="001737DB"/>
    <w:rsid w:val="00173810"/>
    <w:rsid w:val="00173811"/>
    <w:rsid w:val="0017383E"/>
    <w:rsid w:val="0017385E"/>
    <w:rsid w:val="001738DA"/>
    <w:rsid w:val="001738DD"/>
    <w:rsid w:val="00173931"/>
    <w:rsid w:val="00173960"/>
    <w:rsid w:val="00173A30"/>
    <w:rsid w:val="00173A64"/>
    <w:rsid w:val="00173BD5"/>
    <w:rsid w:val="00173C8B"/>
    <w:rsid w:val="00173CEA"/>
    <w:rsid w:val="00173D8D"/>
    <w:rsid w:val="00173E77"/>
    <w:rsid w:val="00173FEB"/>
    <w:rsid w:val="0017405B"/>
    <w:rsid w:val="00174090"/>
    <w:rsid w:val="001740C5"/>
    <w:rsid w:val="001740F1"/>
    <w:rsid w:val="0017414E"/>
    <w:rsid w:val="00174204"/>
    <w:rsid w:val="00174284"/>
    <w:rsid w:val="00174391"/>
    <w:rsid w:val="001743E4"/>
    <w:rsid w:val="00174492"/>
    <w:rsid w:val="0017458E"/>
    <w:rsid w:val="0017483E"/>
    <w:rsid w:val="00174907"/>
    <w:rsid w:val="00174935"/>
    <w:rsid w:val="001749FD"/>
    <w:rsid w:val="00174A0A"/>
    <w:rsid w:val="00174AF1"/>
    <w:rsid w:val="00174C99"/>
    <w:rsid w:val="00174E5A"/>
    <w:rsid w:val="00174F4A"/>
    <w:rsid w:val="00174F7C"/>
    <w:rsid w:val="0017507B"/>
    <w:rsid w:val="001750B2"/>
    <w:rsid w:val="0017514D"/>
    <w:rsid w:val="00175178"/>
    <w:rsid w:val="001751D1"/>
    <w:rsid w:val="0017521F"/>
    <w:rsid w:val="00175222"/>
    <w:rsid w:val="00175359"/>
    <w:rsid w:val="001753DA"/>
    <w:rsid w:val="00175496"/>
    <w:rsid w:val="00175575"/>
    <w:rsid w:val="0017559D"/>
    <w:rsid w:val="00175610"/>
    <w:rsid w:val="001758A6"/>
    <w:rsid w:val="001759A0"/>
    <w:rsid w:val="001759B2"/>
    <w:rsid w:val="00175A65"/>
    <w:rsid w:val="00175B82"/>
    <w:rsid w:val="00175BB2"/>
    <w:rsid w:val="00175D0A"/>
    <w:rsid w:val="00175DF4"/>
    <w:rsid w:val="00176127"/>
    <w:rsid w:val="00176317"/>
    <w:rsid w:val="0017648A"/>
    <w:rsid w:val="001765A1"/>
    <w:rsid w:val="00176607"/>
    <w:rsid w:val="0017667B"/>
    <w:rsid w:val="0017693A"/>
    <w:rsid w:val="001769BA"/>
    <w:rsid w:val="001769DB"/>
    <w:rsid w:val="00176AA3"/>
    <w:rsid w:val="00176AD5"/>
    <w:rsid w:val="00176BDE"/>
    <w:rsid w:val="00176C24"/>
    <w:rsid w:val="00176CFC"/>
    <w:rsid w:val="00176F98"/>
    <w:rsid w:val="00176FF8"/>
    <w:rsid w:val="00177010"/>
    <w:rsid w:val="001770A2"/>
    <w:rsid w:val="0017720D"/>
    <w:rsid w:val="00177258"/>
    <w:rsid w:val="001772A2"/>
    <w:rsid w:val="001772B4"/>
    <w:rsid w:val="00177327"/>
    <w:rsid w:val="001773B6"/>
    <w:rsid w:val="001773D8"/>
    <w:rsid w:val="001774C2"/>
    <w:rsid w:val="0017752E"/>
    <w:rsid w:val="00177594"/>
    <w:rsid w:val="001776D8"/>
    <w:rsid w:val="00177778"/>
    <w:rsid w:val="00177885"/>
    <w:rsid w:val="001779D0"/>
    <w:rsid w:val="00177A13"/>
    <w:rsid w:val="00177AB7"/>
    <w:rsid w:val="00177BB1"/>
    <w:rsid w:val="00177BC7"/>
    <w:rsid w:val="00177C07"/>
    <w:rsid w:val="00177C99"/>
    <w:rsid w:val="00177D6F"/>
    <w:rsid w:val="00177DD6"/>
    <w:rsid w:val="00177FA5"/>
    <w:rsid w:val="00177FEC"/>
    <w:rsid w:val="00180027"/>
    <w:rsid w:val="0018004C"/>
    <w:rsid w:val="001800B9"/>
    <w:rsid w:val="001801F5"/>
    <w:rsid w:val="001804A0"/>
    <w:rsid w:val="0018072E"/>
    <w:rsid w:val="0018079C"/>
    <w:rsid w:val="001807CD"/>
    <w:rsid w:val="001807F1"/>
    <w:rsid w:val="00180989"/>
    <w:rsid w:val="001809A8"/>
    <w:rsid w:val="00180CE8"/>
    <w:rsid w:val="00180D83"/>
    <w:rsid w:val="00180D8E"/>
    <w:rsid w:val="00180DD9"/>
    <w:rsid w:val="00180E3C"/>
    <w:rsid w:val="00180E54"/>
    <w:rsid w:val="00181039"/>
    <w:rsid w:val="0018128D"/>
    <w:rsid w:val="00181407"/>
    <w:rsid w:val="0018147C"/>
    <w:rsid w:val="001814BF"/>
    <w:rsid w:val="00181525"/>
    <w:rsid w:val="00181696"/>
    <w:rsid w:val="00181838"/>
    <w:rsid w:val="001818F0"/>
    <w:rsid w:val="00181A14"/>
    <w:rsid w:val="00181A22"/>
    <w:rsid w:val="00181A66"/>
    <w:rsid w:val="00181AC8"/>
    <w:rsid w:val="00181B0C"/>
    <w:rsid w:val="00181BD2"/>
    <w:rsid w:val="00181C46"/>
    <w:rsid w:val="00181EA4"/>
    <w:rsid w:val="00181EAA"/>
    <w:rsid w:val="00181F20"/>
    <w:rsid w:val="00181F4D"/>
    <w:rsid w:val="00181F72"/>
    <w:rsid w:val="00181F81"/>
    <w:rsid w:val="00182097"/>
    <w:rsid w:val="00182214"/>
    <w:rsid w:val="00182308"/>
    <w:rsid w:val="00182594"/>
    <w:rsid w:val="00182733"/>
    <w:rsid w:val="00182833"/>
    <w:rsid w:val="0018286C"/>
    <w:rsid w:val="001828B9"/>
    <w:rsid w:val="001828E3"/>
    <w:rsid w:val="0018298F"/>
    <w:rsid w:val="00182A20"/>
    <w:rsid w:val="00182AFF"/>
    <w:rsid w:val="00182C61"/>
    <w:rsid w:val="00182C6A"/>
    <w:rsid w:val="00182CBF"/>
    <w:rsid w:val="00182CD0"/>
    <w:rsid w:val="00182CDD"/>
    <w:rsid w:val="00182CE3"/>
    <w:rsid w:val="00182D9B"/>
    <w:rsid w:val="00182DBC"/>
    <w:rsid w:val="00182DDF"/>
    <w:rsid w:val="00182E5D"/>
    <w:rsid w:val="00182ED3"/>
    <w:rsid w:val="00182F73"/>
    <w:rsid w:val="00183098"/>
    <w:rsid w:val="0018310A"/>
    <w:rsid w:val="0018318A"/>
    <w:rsid w:val="001831F1"/>
    <w:rsid w:val="00183208"/>
    <w:rsid w:val="00183217"/>
    <w:rsid w:val="00183279"/>
    <w:rsid w:val="00183312"/>
    <w:rsid w:val="0018337D"/>
    <w:rsid w:val="00183492"/>
    <w:rsid w:val="001834BA"/>
    <w:rsid w:val="00183618"/>
    <w:rsid w:val="0018362B"/>
    <w:rsid w:val="0018362E"/>
    <w:rsid w:val="0018392E"/>
    <w:rsid w:val="00183972"/>
    <w:rsid w:val="00183B08"/>
    <w:rsid w:val="00183B8D"/>
    <w:rsid w:val="00183BF0"/>
    <w:rsid w:val="00183C3F"/>
    <w:rsid w:val="00183DC0"/>
    <w:rsid w:val="00183E7F"/>
    <w:rsid w:val="00183FC8"/>
    <w:rsid w:val="00183FED"/>
    <w:rsid w:val="00184005"/>
    <w:rsid w:val="00184070"/>
    <w:rsid w:val="0018407F"/>
    <w:rsid w:val="001840D1"/>
    <w:rsid w:val="00184120"/>
    <w:rsid w:val="001842B1"/>
    <w:rsid w:val="001842B5"/>
    <w:rsid w:val="001843B8"/>
    <w:rsid w:val="00184454"/>
    <w:rsid w:val="00184465"/>
    <w:rsid w:val="00184476"/>
    <w:rsid w:val="00184696"/>
    <w:rsid w:val="00184781"/>
    <w:rsid w:val="001847A0"/>
    <w:rsid w:val="001848ED"/>
    <w:rsid w:val="001849B0"/>
    <w:rsid w:val="001849CA"/>
    <w:rsid w:val="00184A0C"/>
    <w:rsid w:val="00184ADC"/>
    <w:rsid w:val="00184B01"/>
    <w:rsid w:val="00184B1E"/>
    <w:rsid w:val="00184B40"/>
    <w:rsid w:val="00184BC3"/>
    <w:rsid w:val="00184BC6"/>
    <w:rsid w:val="00184D2A"/>
    <w:rsid w:val="00184D7E"/>
    <w:rsid w:val="00184DC4"/>
    <w:rsid w:val="00184E20"/>
    <w:rsid w:val="00184E45"/>
    <w:rsid w:val="00184E6F"/>
    <w:rsid w:val="00184E9B"/>
    <w:rsid w:val="00184F24"/>
    <w:rsid w:val="00184F47"/>
    <w:rsid w:val="00184FB4"/>
    <w:rsid w:val="00185073"/>
    <w:rsid w:val="00185088"/>
    <w:rsid w:val="00185257"/>
    <w:rsid w:val="001852F0"/>
    <w:rsid w:val="001855CF"/>
    <w:rsid w:val="00185645"/>
    <w:rsid w:val="00185833"/>
    <w:rsid w:val="00185888"/>
    <w:rsid w:val="00185922"/>
    <w:rsid w:val="00185AE3"/>
    <w:rsid w:val="00185B2A"/>
    <w:rsid w:val="00185BE7"/>
    <w:rsid w:val="00185C7B"/>
    <w:rsid w:val="00185DBA"/>
    <w:rsid w:val="00185F9E"/>
    <w:rsid w:val="00185FB0"/>
    <w:rsid w:val="00186030"/>
    <w:rsid w:val="001860BA"/>
    <w:rsid w:val="0018624D"/>
    <w:rsid w:val="001863A3"/>
    <w:rsid w:val="001863AC"/>
    <w:rsid w:val="001866A4"/>
    <w:rsid w:val="001869F0"/>
    <w:rsid w:val="00186AAF"/>
    <w:rsid w:val="00186AE9"/>
    <w:rsid w:val="00186AFC"/>
    <w:rsid w:val="00186B77"/>
    <w:rsid w:val="00186BFF"/>
    <w:rsid w:val="00186CD0"/>
    <w:rsid w:val="00186CDC"/>
    <w:rsid w:val="00186DC2"/>
    <w:rsid w:val="00186F97"/>
    <w:rsid w:val="0018706D"/>
    <w:rsid w:val="00187131"/>
    <w:rsid w:val="001871A7"/>
    <w:rsid w:val="00187335"/>
    <w:rsid w:val="00187444"/>
    <w:rsid w:val="00187474"/>
    <w:rsid w:val="00187547"/>
    <w:rsid w:val="001875E9"/>
    <w:rsid w:val="0018763B"/>
    <w:rsid w:val="0018773C"/>
    <w:rsid w:val="001878EB"/>
    <w:rsid w:val="00187ABB"/>
    <w:rsid w:val="00187C59"/>
    <w:rsid w:val="00187D13"/>
    <w:rsid w:val="00187E5C"/>
    <w:rsid w:val="00187E66"/>
    <w:rsid w:val="00187EC5"/>
    <w:rsid w:val="00187FF9"/>
    <w:rsid w:val="00190061"/>
    <w:rsid w:val="001900D5"/>
    <w:rsid w:val="001901BD"/>
    <w:rsid w:val="001901BE"/>
    <w:rsid w:val="001904FC"/>
    <w:rsid w:val="0019051A"/>
    <w:rsid w:val="001905F0"/>
    <w:rsid w:val="00190633"/>
    <w:rsid w:val="001906E5"/>
    <w:rsid w:val="00190743"/>
    <w:rsid w:val="001907BA"/>
    <w:rsid w:val="0019081A"/>
    <w:rsid w:val="0019091A"/>
    <w:rsid w:val="00190940"/>
    <w:rsid w:val="00190974"/>
    <w:rsid w:val="00190A29"/>
    <w:rsid w:val="00190A3C"/>
    <w:rsid w:val="00190B34"/>
    <w:rsid w:val="00190BE8"/>
    <w:rsid w:val="00190C0C"/>
    <w:rsid w:val="00190D6C"/>
    <w:rsid w:val="00190D8B"/>
    <w:rsid w:val="00190DBF"/>
    <w:rsid w:val="00190E7B"/>
    <w:rsid w:val="00190EB6"/>
    <w:rsid w:val="00190F49"/>
    <w:rsid w:val="00191054"/>
    <w:rsid w:val="00191263"/>
    <w:rsid w:val="00191483"/>
    <w:rsid w:val="001914C3"/>
    <w:rsid w:val="00191538"/>
    <w:rsid w:val="001915A3"/>
    <w:rsid w:val="00191643"/>
    <w:rsid w:val="0019179B"/>
    <w:rsid w:val="001917BB"/>
    <w:rsid w:val="0019189A"/>
    <w:rsid w:val="00191940"/>
    <w:rsid w:val="00191B54"/>
    <w:rsid w:val="00191B9A"/>
    <w:rsid w:val="00191C9E"/>
    <w:rsid w:val="00191D72"/>
    <w:rsid w:val="00191D96"/>
    <w:rsid w:val="00191EBF"/>
    <w:rsid w:val="00191F18"/>
    <w:rsid w:val="00191F77"/>
    <w:rsid w:val="00191FF8"/>
    <w:rsid w:val="00192066"/>
    <w:rsid w:val="001920C0"/>
    <w:rsid w:val="0019221C"/>
    <w:rsid w:val="00192300"/>
    <w:rsid w:val="001923DD"/>
    <w:rsid w:val="001924DF"/>
    <w:rsid w:val="001925A3"/>
    <w:rsid w:val="001925D9"/>
    <w:rsid w:val="00192605"/>
    <w:rsid w:val="00192686"/>
    <w:rsid w:val="001927A5"/>
    <w:rsid w:val="00192811"/>
    <w:rsid w:val="00192825"/>
    <w:rsid w:val="001928CA"/>
    <w:rsid w:val="00192ADB"/>
    <w:rsid w:val="00192C34"/>
    <w:rsid w:val="00192C36"/>
    <w:rsid w:val="00192C70"/>
    <w:rsid w:val="00192CE4"/>
    <w:rsid w:val="00192D16"/>
    <w:rsid w:val="00192D32"/>
    <w:rsid w:val="00192EB1"/>
    <w:rsid w:val="00192FC5"/>
    <w:rsid w:val="00193056"/>
    <w:rsid w:val="00193090"/>
    <w:rsid w:val="00193124"/>
    <w:rsid w:val="00193187"/>
    <w:rsid w:val="001931EC"/>
    <w:rsid w:val="0019324D"/>
    <w:rsid w:val="001932B8"/>
    <w:rsid w:val="0019345D"/>
    <w:rsid w:val="001934AD"/>
    <w:rsid w:val="001935C2"/>
    <w:rsid w:val="0019364A"/>
    <w:rsid w:val="001937B7"/>
    <w:rsid w:val="001937D6"/>
    <w:rsid w:val="00193A60"/>
    <w:rsid w:val="00193AF7"/>
    <w:rsid w:val="00193C8C"/>
    <w:rsid w:val="00193CBF"/>
    <w:rsid w:val="00193DD0"/>
    <w:rsid w:val="00193F60"/>
    <w:rsid w:val="00193F88"/>
    <w:rsid w:val="00194017"/>
    <w:rsid w:val="00194106"/>
    <w:rsid w:val="00194126"/>
    <w:rsid w:val="0019416D"/>
    <w:rsid w:val="001942A3"/>
    <w:rsid w:val="00194371"/>
    <w:rsid w:val="00194394"/>
    <w:rsid w:val="001943C5"/>
    <w:rsid w:val="0019441F"/>
    <w:rsid w:val="0019450E"/>
    <w:rsid w:val="00194684"/>
    <w:rsid w:val="00194831"/>
    <w:rsid w:val="00194991"/>
    <w:rsid w:val="00194A1E"/>
    <w:rsid w:val="00194A2B"/>
    <w:rsid w:val="00194A46"/>
    <w:rsid w:val="00194A67"/>
    <w:rsid w:val="00194B4E"/>
    <w:rsid w:val="00194B64"/>
    <w:rsid w:val="00194C28"/>
    <w:rsid w:val="00194D15"/>
    <w:rsid w:val="00194D6D"/>
    <w:rsid w:val="00194E23"/>
    <w:rsid w:val="00194E8B"/>
    <w:rsid w:val="00194F6C"/>
    <w:rsid w:val="00194FCF"/>
    <w:rsid w:val="00194FE7"/>
    <w:rsid w:val="00194FFB"/>
    <w:rsid w:val="00195076"/>
    <w:rsid w:val="00195126"/>
    <w:rsid w:val="001951AD"/>
    <w:rsid w:val="0019525F"/>
    <w:rsid w:val="001952A4"/>
    <w:rsid w:val="001952A7"/>
    <w:rsid w:val="0019536E"/>
    <w:rsid w:val="00195381"/>
    <w:rsid w:val="0019558E"/>
    <w:rsid w:val="00195674"/>
    <w:rsid w:val="0019569B"/>
    <w:rsid w:val="001957BD"/>
    <w:rsid w:val="001957D4"/>
    <w:rsid w:val="001958D1"/>
    <w:rsid w:val="00195947"/>
    <w:rsid w:val="001959B4"/>
    <w:rsid w:val="00195A4A"/>
    <w:rsid w:val="00195BE4"/>
    <w:rsid w:val="00196148"/>
    <w:rsid w:val="0019618A"/>
    <w:rsid w:val="0019621E"/>
    <w:rsid w:val="00196373"/>
    <w:rsid w:val="0019637C"/>
    <w:rsid w:val="001963CF"/>
    <w:rsid w:val="001964FA"/>
    <w:rsid w:val="00196526"/>
    <w:rsid w:val="001965DA"/>
    <w:rsid w:val="00196614"/>
    <w:rsid w:val="001966B1"/>
    <w:rsid w:val="00196779"/>
    <w:rsid w:val="001967E2"/>
    <w:rsid w:val="00196853"/>
    <w:rsid w:val="0019685C"/>
    <w:rsid w:val="00196A86"/>
    <w:rsid w:val="00196C72"/>
    <w:rsid w:val="00196CA2"/>
    <w:rsid w:val="00196D41"/>
    <w:rsid w:val="00196DA7"/>
    <w:rsid w:val="00196F95"/>
    <w:rsid w:val="00196FE0"/>
    <w:rsid w:val="00196FFD"/>
    <w:rsid w:val="0019710D"/>
    <w:rsid w:val="001971EA"/>
    <w:rsid w:val="001972AC"/>
    <w:rsid w:val="00197413"/>
    <w:rsid w:val="00197435"/>
    <w:rsid w:val="001974A3"/>
    <w:rsid w:val="001974C3"/>
    <w:rsid w:val="001974E4"/>
    <w:rsid w:val="00197527"/>
    <w:rsid w:val="00197776"/>
    <w:rsid w:val="00197810"/>
    <w:rsid w:val="00197898"/>
    <w:rsid w:val="001979DF"/>
    <w:rsid w:val="00197A41"/>
    <w:rsid w:val="00197A49"/>
    <w:rsid w:val="00197A74"/>
    <w:rsid w:val="00197BEE"/>
    <w:rsid w:val="00197BF7"/>
    <w:rsid w:val="00197CD5"/>
    <w:rsid w:val="00197D8F"/>
    <w:rsid w:val="00197DB4"/>
    <w:rsid w:val="00197DD6"/>
    <w:rsid w:val="00197EF6"/>
    <w:rsid w:val="001A0085"/>
    <w:rsid w:val="001A0110"/>
    <w:rsid w:val="001A03B0"/>
    <w:rsid w:val="001A04BF"/>
    <w:rsid w:val="001A0505"/>
    <w:rsid w:val="001A0740"/>
    <w:rsid w:val="001A080F"/>
    <w:rsid w:val="001A087C"/>
    <w:rsid w:val="001A0888"/>
    <w:rsid w:val="001A08D7"/>
    <w:rsid w:val="001A0930"/>
    <w:rsid w:val="001A09F7"/>
    <w:rsid w:val="001A0AA0"/>
    <w:rsid w:val="001A0AA5"/>
    <w:rsid w:val="001A0B76"/>
    <w:rsid w:val="001A0C0E"/>
    <w:rsid w:val="001A0C84"/>
    <w:rsid w:val="001A0CCF"/>
    <w:rsid w:val="001A0D43"/>
    <w:rsid w:val="001A0EFE"/>
    <w:rsid w:val="001A0F3B"/>
    <w:rsid w:val="001A0FF0"/>
    <w:rsid w:val="001A100F"/>
    <w:rsid w:val="001A11E4"/>
    <w:rsid w:val="001A12D0"/>
    <w:rsid w:val="001A1334"/>
    <w:rsid w:val="001A1368"/>
    <w:rsid w:val="001A1435"/>
    <w:rsid w:val="001A14E1"/>
    <w:rsid w:val="001A1559"/>
    <w:rsid w:val="001A15AF"/>
    <w:rsid w:val="001A1685"/>
    <w:rsid w:val="001A16A3"/>
    <w:rsid w:val="001A16DA"/>
    <w:rsid w:val="001A1766"/>
    <w:rsid w:val="001A1888"/>
    <w:rsid w:val="001A1941"/>
    <w:rsid w:val="001A1AAA"/>
    <w:rsid w:val="001A1B41"/>
    <w:rsid w:val="001A1C6B"/>
    <w:rsid w:val="001A1CA6"/>
    <w:rsid w:val="001A1D91"/>
    <w:rsid w:val="001A1DD8"/>
    <w:rsid w:val="001A1DDF"/>
    <w:rsid w:val="001A1DE4"/>
    <w:rsid w:val="001A1F10"/>
    <w:rsid w:val="001A200D"/>
    <w:rsid w:val="001A208F"/>
    <w:rsid w:val="001A2143"/>
    <w:rsid w:val="001A21FE"/>
    <w:rsid w:val="001A2239"/>
    <w:rsid w:val="001A2264"/>
    <w:rsid w:val="001A2349"/>
    <w:rsid w:val="001A2410"/>
    <w:rsid w:val="001A252E"/>
    <w:rsid w:val="001A277F"/>
    <w:rsid w:val="001A2818"/>
    <w:rsid w:val="001A2902"/>
    <w:rsid w:val="001A29BF"/>
    <w:rsid w:val="001A2A21"/>
    <w:rsid w:val="001A2A34"/>
    <w:rsid w:val="001A2AAC"/>
    <w:rsid w:val="001A2AF8"/>
    <w:rsid w:val="001A2B2B"/>
    <w:rsid w:val="001A2BAC"/>
    <w:rsid w:val="001A2BCE"/>
    <w:rsid w:val="001A2D8E"/>
    <w:rsid w:val="001A2E73"/>
    <w:rsid w:val="001A2FFA"/>
    <w:rsid w:val="001A30B1"/>
    <w:rsid w:val="001A30CD"/>
    <w:rsid w:val="001A31B2"/>
    <w:rsid w:val="001A31B8"/>
    <w:rsid w:val="001A3270"/>
    <w:rsid w:val="001A32A3"/>
    <w:rsid w:val="001A3307"/>
    <w:rsid w:val="001A3450"/>
    <w:rsid w:val="001A34E4"/>
    <w:rsid w:val="001A34F4"/>
    <w:rsid w:val="001A350D"/>
    <w:rsid w:val="001A35DA"/>
    <w:rsid w:val="001A36E0"/>
    <w:rsid w:val="001A37BF"/>
    <w:rsid w:val="001A37C4"/>
    <w:rsid w:val="001A3837"/>
    <w:rsid w:val="001A38C2"/>
    <w:rsid w:val="001A38C4"/>
    <w:rsid w:val="001A392F"/>
    <w:rsid w:val="001A397F"/>
    <w:rsid w:val="001A3990"/>
    <w:rsid w:val="001A39BC"/>
    <w:rsid w:val="001A3C2E"/>
    <w:rsid w:val="001A3D0F"/>
    <w:rsid w:val="001A3D67"/>
    <w:rsid w:val="001A3E71"/>
    <w:rsid w:val="001A3F27"/>
    <w:rsid w:val="001A3F47"/>
    <w:rsid w:val="001A3FC3"/>
    <w:rsid w:val="001A3FFA"/>
    <w:rsid w:val="001A416F"/>
    <w:rsid w:val="001A4195"/>
    <w:rsid w:val="001A420D"/>
    <w:rsid w:val="001A4229"/>
    <w:rsid w:val="001A425E"/>
    <w:rsid w:val="001A43BA"/>
    <w:rsid w:val="001A4458"/>
    <w:rsid w:val="001A446C"/>
    <w:rsid w:val="001A4584"/>
    <w:rsid w:val="001A4604"/>
    <w:rsid w:val="001A4899"/>
    <w:rsid w:val="001A4A88"/>
    <w:rsid w:val="001A4A8A"/>
    <w:rsid w:val="001A4B2B"/>
    <w:rsid w:val="001A4B2D"/>
    <w:rsid w:val="001A4BCD"/>
    <w:rsid w:val="001A4D01"/>
    <w:rsid w:val="001A4D07"/>
    <w:rsid w:val="001A4E14"/>
    <w:rsid w:val="001A4EA3"/>
    <w:rsid w:val="001A4F06"/>
    <w:rsid w:val="001A4FCA"/>
    <w:rsid w:val="001A5052"/>
    <w:rsid w:val="001A50DB"/>
    <w:rsid w:val="001A516D"/>
    <w:rsid w:val="001A5191"/>
    <w:rsid w:val="001A5298"/>
    <w:rsid w:val="001A52EA"/>
    <w:rsid w:val="001A5335"/>
    <w:rsid w:val="001A54D5"/>
    <w:rsid w:val="001A569B"/>
    <w:rsid w:val="001A56D0"/>
    <w:rsid w:val="001A56FD"/>
    <w:rsid w:val="001A57AC"/>
    <w:rsid w:val="001A5AEE"/>
    <w:rsid w:val="001A5D3D"/>
    <w:rsid w:val="001A5EEF"/>
    <w:rsid w:val="001A617D"/>
    <w:rsid w:val="001A6182"/>
    <w:rsid w:val="001A6194"/>
    <w:rsid w:val="001A6295"/>
    <w:rsid w:val="001A63A6"/>
    <w:rsid w:val="001A63B6"/>
    <w:rsid w:val="001A648A"/>
    <w:rsid w:val="001A6546"/>
    <w:rsid w:val="001A6652"/>
    <w:rsid w:val="001A676C"/>
    <w:rsid w:val="001A6895"/>
    <w:rsid w:val="001A698E"/>
    <w:rsid w:val="001A6B6F"/>
    <w:rsid w:val="001A6BC9"/>
    <w:rsid w:val="001A6C24"/>
    <w:rsid w:val="001A6CD8"/>
    <w:rsid w:val="001A6E29"/>
    <w:rsid w:val="001A6EE9"/>
    <w:rsid w:val="001A6F60"/>
    <w:rsid w:val="001A6FFF"/>
    <w:rsid w:val="001A7041"/>
    <w:rsid w:val="001A7628"/>
    <w:rsid w:val="001A76CE"/>
    <w:rsid w:val="001A7773"/>
    <w:rsid w:val="001A77A4"/>
    <w:rsid w:val="001A7814"/>
    <w:rsid w:val="001A798C"/>
    <w:rsid w:val="001A7A75"/>
    <w:rsid w:val="001A7A85"/>
    <w:rsid w:val="001A7AD6"/>
    <w:rsid w:val="001A7B09"/>
    <w:rsid w:val="001A7BFF"/>
    <w:rsid w:val="001A7CAC"/>
    <w:rsid w:val="001A7D51"/>
    <w:rsid w:val="001A7F48"/>
    <w:rsid w:val="001A7F5A"/>
    <w:rsid w:val="001A7FCA"/>
    <w:rsid w:val="001A7FE8"/>
    <w:rsid w:val="001B0011"/>
    <w:rsid w:val="001B0110"/>
    <w:rsid w:val="001B0196"/>
    <w:rsid w:val="001B028B"/>
    <w:rsid w:val="001B02D5"/>
    <w:rsid w:val="001B03D4"/>
    <w:rsid w:val="001B0412"/>
    <w:rsid w:val="001B0527"/>
    <w:rsid w:val="001B054E"/>
    <w:rsid w:val="001B0566"/>
    <w:rsid w:val="001B057D"/>
    <w:rsid w:val="001B0690"/>
    <w:rsid w:val="001B071F"/>
    <w:rsid w:val="001B083A"/>
    <w:rsid w:val="001B08F7"/>
    <w:rsid w:val="001B091A"/>
    <w:rsid w:val="001B0958"/>
    <w:rsid w:val="001B0B09"/>
    <w:rsid w:val="001B0BCE"/>
    <w:rsid w:val="001B0CAE"/>
    <w:rsid w:val="001B0CE9"/>
    <w:rsid w:val="001B0F22"/>
    <w:rsid w:val="001B0F55"/>
    <w:rsid w:val="001B10D1"/>
    <w:rsid w:val="001B1117"/>
    <w:rsid w:val="001B1237"/>
    <w:rsid w:val="001B1307"/>
    <w:rsid w:val="001B1363"/>
    <w:rsid w:val="001B14E9"/>
    <w:rsid w:val="001B1566"/>
    <w:rsid w:val="001B15C5"/>
    <w:rsid w:val="001B1640"/>
    <w:rsid w:val="001B166C"/>
    <w:rsid w:val="001B1670"/>
    <w:rsid w:val="001B16BB"/>
    <w:rsid w:val="001B17BA"/>
    <w:rsid w:val="001B1894"/>
    <w:rsid w:val="001B18C8"/>
    <w:rsid w:val="001B18F2"/>
    <w:rsid w:val="001B1991"/>
    <w:rsid w:val="001B1B2A"/>
    <w:rsid w:val="001B1BBA"/>
    <w:rsid w:val="001B1BDD"/>
    <w:rsid w:val="001B1C03"/>
    <w:rsid w:val="001B1C1C"/>
    <w:rsid w:val="001B1D4C"/>
    <w:rsid w:val="001B1DAA"/>
    <w:rsid w:val="001B1DF8"/>
    <w:rsid w:val="001B1E75"/>
    <w:rsid w:val="001B20AB"/>
    <w:rsid w:val="001B20D9"/>
    <w:rsid w:val="001B2181"/>
    <w:rsid w:val="001B223C"/>
    <w:rsid w:val="001B2314"/>
    <w:rsid w:val="001B24B4"/>
    <w:rsid w:val="001B25DB"/>
    <w:rsid w:val="001B25F3"/>
    <w:rsid w:val="001B26BC"/>
    <w:rsid w:val="001B2768"/>
    <w:rsid w:val="001B282B"/>
    <w:rsid w:val="001B2B04"/>
    <w:rsid w:val="001B2BBF"/>
    <w:rsid w:val="001B2BF6"/>
    <w:rsid w:val="001B2CFD"/>
    <w:rsid w:val="001B2D56"/>
    <w:rsid w:val="001B2D74"/>
    <w:rsid w:val="001B2D85"/>
    <w:rsid w:val="001B2DEB"/>
    <w:rsid w:val="001B2E8F"/>
    <w:rsid w:val="001B2FE3"/>
    <w:rsid w:val="001B3059"/>
    <w:rsid w:val="001B3076"/>
    <w:rsid w:val="001B3096"/>
    <w:rsid w:val="001B30C7"/>
    <w:rsid w:val="001B313C"/>
    <w:rsid w:val="001B31C5"/>
    <w:rsid w:val="001B337A"/>
    <w:rsid w:val="001B3494"/>
    <w:rsid w:val="001B358F"/>
    <w:rsid w:val="001B35A4"/>
    <w:rsid w:val="001B35D7"/>
    <w:rsid w:val="001B35DE"/>
    <w:rsid w:val="001B3609"/>
    <w:rsid w:val="001B36DF"/>
    <w:rsid w:val="001B379B"/>
    <w:rsid w:val="001B39B6"/>
    <w:rsid w:val="001B3A73"/>
    <w:rsid w:val="001B3B19"/>
    <w:rsid w:val="001B3B89"/>
    <w:rsid w:val="001B3C42"/>
    <w:rsid w:val="001B3C78"/>
    <w:rsid w:val="001B3CC5"/>
    <w:rsid w:val="001B3DDB"/>
    <w:rsid w:val="001B3DE4"/>
    <w:rsid w:val="001B3E29"/>
    <w:rsid w:val="001B3E43"/>
    <w:rsid w:val="001B3EAC"/>
    <w:rsid w:val="001B3EB8"/>
    <w:rsid w:val="001B3F42"/>
    <w:rsid w:val="001B3F66"/>
    <w:rsid w:val="001B3F9B"/>
    <w:rsid w:val="001B4000"/>
    <w:rsid w:val="001B407A"/>
    <w:rsid w:val="001B4099"/>
    <w:rsid w:val="001B40D1"/>
    <w:rsid w:val="001B412C"/>
    <w:rsid w:val="001B4135"/>
    <w:rsid w:val="001B4293"/>
    <w:rsid w:val="001B42E7"/>
    <w:rsid w:val="001B440F"/>
    <w:rsid w:val="001B4573"/>
    <w:rsid w:val="001B45DE"/>
    <w:rsid w:val="001B46D1"/>
    <w:rsid w:val="001B47FB"/>
    <w:rsid w:val="001B4895"/>
    <w:rsid w:val="001B4945"/>
    <w:rsid w:val="001B49DC"/>
    <w:rsid w:val="001B4B44"/>
    <w:rsid w:val="001B4BE0"/>
    <w:rsid w:val="001B4C4A"/>
    <w:rsid w:val="001B4D7B"/>
    <w:rsid w:val="001B4D7F"/>
    <w:rsid w:val="001B4DDE"/>
    <w:rsid w:val="001B4EA3"/>
    <w:rsid w:val="001B4FB4"/>
    <w:rsid w:val="001B50A1"/>
    <w:rsid w:val="001B50CE"/>
    <w:rsid w:val="001B5238"/>
    <w:rsid w:val="001B524A"/>
    <w:rsid w:val="001B528E"/>
    <w:rsid w:val="001B538B"/>
    <w:rsid w:val="001B53B6"/>
    <w:rsid w:val="001B5409"/>
    <w:rsid w:val="001B5475"/>
    <w:rsid w:val="001B5569"/>
    <w:rsid w:val="001B556B"/>
    <w:rsid w:val="001B5614"/>
    <w:rsid w:val="001B5634"/>
    <w:rsid w:val="001B56F5"/>
    <w:rsid w:val="001B5734"/>
    <w:rsid w:val="001B5749"/>
    <w:rsid w:val="001B5765"/>
    <w:rsid w:val="001B576D"/>
    <w:rsid w:val="001B57E3"/>
    <w:rsid w:val="001B584E"/>
    <w:rsid w:val="001B589C"/>
    <w:rsid w:val="001B58BA"/>
    <w:rsid w:val="001B594B"/>
    <w:rsid w:val="001B595E"/>
    <w:rsid w:val="001B596E"/>
    <w:rsid w:val="001B599F"/>
    <w:rsid w:val="001B59A8"/>
    <w:rsid w:val="001B59C3"/>
    <w:rsid w:val="001B5B1D"/>
    <w:rsid w:val="001B5B7F"/>
    <w:rsid w:val="001B5C4B"/>
    <w:rsid w:val="001B5D07"/>
    <w:rsid w:val="001B5FEE"/>
    <w:rsid w:val="001B6006"/>
    <w:rsid w:val="001B60CA"/>
    <w:rsid w:val="001B6140"/>
    <w:rsid w:val="001B6249"/>
    <w:rsid w:val="001B624B"/>
    <w:rsid w:val="001B63BA"/>
    <w:rsid w:val="001B66BA"/>
    <w:rsid w:val="001B66DC"/>
    <w:rsid w:val="001B6767"/>
    <w:rsid w:val="001B6771"/>
    <w:rsid w:val="001B67EA"/>
    <w:rsid w:val="001B67F2"/>
    <w:rsid w:val="001B683B"/>
    <w:rsid w:val="001B6876"/>
    <w:rsid w:val="001B699E"/>
    <w:rsid w:val="001B69C4"/>
    <w:rsid w:val="001B6AE2"/>
    <w:rsid w:val="001B6B37"/>
    <w:rsid w:val="001B6BBE"/>
    <w:rsid w:val="001B6C3F"/>
    <w:rsid w:val="001B6C80"/>
    <w:rsid w:val="001B6DE0"/>
    <w:rsid w:val="001B6DFD"/>
    <w:rsid w:val="001B6ED7"/>
    <w:rsid w:val="001B6F04"/>
    <w:rsid w:val="001B6FF2"/>
    <w:rsid w:val="001B7091"/>
    <w:rsid w:val="001B7159"/>
    <w:rsid w:val="001B720D"/>
    <w:rsid w:val="001B731E"/>
    <w:rsid w:val="001B743D"/>
    <w:rsid w:val="001B7520"/>
    <w:rsid w:val="001B7574"/>
    <w:rsid w:val="001B75BA"/>
    <w:rsid w:val="001B75D2"/>
    <w:rsid w:val="001B763B"/>
    <w:rsid w:val="001B79DC"/>
    <w:rsid w:val="001B7A4C"/>
    <w:rsid w:val="001B7B19"/>
    <w:rsid w:val="001B7BF8"/>
    <w:rsid w:val="001B7DC2"/>
    <w:rsid w:val="001B7E1D"/>
    <w:rsid w:val="001B7F26"/>
    <w:rsid w:val="001C0065"/>
    <w:rsid w:val="001C00F6"/>
    <w:rsid w:val="001C01A8"/>
    <w:rsid w:val="001C01D1"/>
    <w:rsid w:val="001C01EB"/>
    <w:rsid w:val="001C02BA"/>
    <w:rsid w:val="001C0354"/>
    <w:rsid w:val="001C0407"/>
    <w:rsid w:val="001C047D"/>
    <w:rsid w:val="001C0490"/>
    <w:rsid w:val="001C0541"/>
    <w:rsid w:val="001C05EF"/>
    <w:rsid w:val="001C0620"/>
    <w:rsid w:val="001C0811"/>
    <w:rsid w:val="001C0819"/>
    <w:rsid w:val="001C08DE"/>
    <w:rsid w:val="001C0932"/>
    <w:rsid w:val="001C094F"/>
    <w:rsid w:val="001C0A6F"/>
    <w:rsid w:val="001C0B11"/>
    <w:rsid w:val="001C0CAC"/>
    <w:rsid w:val="001C0D5F"/>
    <w:rsid w:val="001C0DC9"/>
    <w:rsid w:val="001C0FEC"/>
    <w:rsid w:val="001C11BD"/>
    <w:rsid w:val="001C120A"/>
    <w:rsid w:val="001C127C"/>
    <w:rsid w:val="001C1380"/>
    <w:rsid w:val="001C1556"/>
    <w:rsid w:val="001C15C9"/>
    <w:rsid w:val="001C16A6"/>
    <w:rsid w:val="001C1736"/>
    <w:rsid w:val="001C1867"/>
    <w:rsid w:val="001C1B54"/>
    <w:rsid w:val="001C1BD5"/>
    <w:rsid w:val="001C1C4F"/>
    <w:rsid w:val="001C1C72"/>
    <w:rsid w:val="001C1CC2"/>
    <w:rsid w:val="001C1D38"/>
    <w:rsid w:val="001C1E1D"/>
    <w:rsid w:val="001C1E71"/>
    <w:rsid w:val="001C1F73"/>
    <w:rsid w:val="001C208C"/>
    <w:rsid w:val="001C20E5"/>
    <w:rsid w:val="001C2144"/>
    <w:rsid w:val="001C22C4"/>
    <w:rsid w:val="001C2313"/>
    <w:rsid w:val="001C23D2"/>
    <w:rsid w:val="001C24A0"/>
    <w:rsid w:val="001C24EC"/>
    <w:rsid w:val="001C2531"/>
    <w:rsid w:val="001C25E5"/>
    <w:rsid w:val="001C2683"/>
    <w:rsid w:val="001C2695"/>
    <w:rsid w:val="001C28B7"/>
    <w:rsid w:val="001C293B"/>
    <w:rsid w:val="001C2A2B"/>
    <w:rsid w:val="001C2A75"/>
    <w:rsid w:val="001C2BB0"/>
    <w:rsid w:val="001C2CC1"/>
    <w:rsid w:val="001C2DF2"/>
    <w:rsid w:val="001C2EC6"/>
    <w:rsid w:val="001C2F4F"/>
    <w:rsid w:val="001C304A"/>
    <w:rsid w:val="001C30C0"/>
    <w:rsid w:val="001C3398"/>
    <w:rsid w:val="001C34D8"/>
    <w:rsid w:val="001C3520"/>
    <w:rsid w:val="001C35BF"/>
    <w:rsid w:val="001C361F"/>
    <w:rsid w:val="001C36AF"/>
    <w:rsid w:val="001C3839"/>
    <w:rsid w:val="001C38BB"/>
    <w:rsid w:val="001C38C8"/>
    <w:rsid w:val="001C393A"/>
    <w:rsid w:val="001C3994"/>
    <w:rsid w:val="001C39BC"/>
    <w:rsid w:val="001C39D1"/>
    <w:rsid w:val="001C3C49"/>
    <w:rsid w:val="001C3DFC"/>
    <w:rsid w:val="001C3E00"/>
    <w:rsid w:val="001C3FA3"/>
    <w:rsid w:val="001C3FD5"/>
    <w:rsid w:val="001C4396"/>
    <w:rsid w:val="001C4492"/>
    <w:rsid w:val="001C44ED"/>
    <w:rsid w:val="001C46A8"/>
    <w:rsid w:val="001C4896"/>
    <w:rsid w:val="001C4A9C"/>
    <w:rsid w:val="001C4B6D"/>
    <w:rsid w:val="001C4BEB"/>
    <w:rsid w:val="001C4CA9"/>
    <w:rsid w:val="001C4CBE"/>
    <w:rsid w:val="001C4D6B"/>
    <w:rsid w:val="001C4E5C"/>
    <w:rsid w:val="001C4F13"/>
    <w:rsid w:val="001C4FAA"/>
    <w:rsid w:val="001C5018"/>
    <w:rsid w:val="001C502F"/>
    <w:rsid w:val="001C50EB"/>
    <w:rsid w:val="001C50FB"/>
    <w:rsid w:val="001C5134"/>
    <w:rsid w:val="001C52C2"/>
    <w:rsid w:val="001C52ED"/>
    <w:rsid w:val="001C5301"/>
    <w:rsid w:val="001C538B"/>
    <w:rsid w:val="001C543D"/>
    <w:rsid w:val="001C550D"/>
    <w:rsid w:val="001C59A2"/>
    <w:rsid w:val="001C5A4E"/>
    <w:rsid w:val="001C5A7E"/>
    <w:rsid w:val="001C5B0F"/>
    <w:rsid w:val="001C5B91"/>
    <w:rsid w:val="001C5C72"/>
    <w:rsid w:val="001C5D15"/>
    <w:rsid w:val="001C5D4A"/>
    <w:rsid w:val="001C5D72"/>
    <w:rsid w:val="001C5DEA"/>
    <w:rsid w:val="001C5E5E"/>
    <w:rsid w:val="001C5F73"/>
    <w:rsid w:val="001C602E"/>
    <w:rsid w:val="001C6132"/>
    <w:rsid w:val="001C6152"/>
    <w:rsid w:val="001C616C"/>
    <w:rsid w:val="001C61D3"/>
    <w:rsid w:val="001C61F7"/>
    <w:rsid w:val="001C6231"/>
    <w:rsid w:val="001C63D2"/>
    <w:rsid w:val="001C640C"/>
    <w:rsid w:val="001C6569"/>
    <w:rsid w:val="001C65C6"/>
    <w:rsid w:val="001C666E"/>
    <w:rsid w:val="001C667F"/>
    <w:rsid w:val="001C66BF"/>
    <w:rsid w:val="001C66E4"/>
    <w:rsid w:val="001C685E"/>
    <w:rsid w:val="001C6BB6"/>
    <w:rsid w:val="001C6C7A"/>
    <w:rsid w:val="001C6CA6"/>
    <w:rsid w:val="001C6CE2"/>
    <w:rsid w:val="001C6D16"/>
    <w:rsid w:val="001C6DA3"/>
    <w:rsid w:val="001C728A"/>
    <w:rsid w:val="001C7290"/>
    <w:rsid w:val="001C7308"/>
    <w:rsid w:val="001C7338"/>
    <w:rsid w:val="001C73DC"/>
    <w:rsid w:val="001C741E"/>
    <w:rsid w:val="001C742B"/>
    <w:rsid w:val="001C74BC"/>
    <w:rsid w:val="001C74C1"/>
    <w:rsid w:val="001C74FB"/>
    <w:rsid w:val="001C7581"/>
    <w:rsid w:val="001C7692"/>
    <w:rsid w:val="001C76B8"/>
    <w:rsid w:val="001C76CD"/>
    <w:rsid w:val="001C772B"/>
    <w:rsid w:val="001C77A6"/>
    <w:rsid w:val="001C7877"/>
    <w:rsid w:val="001C78A7"/>
    <w:rsid w:val="001C7A20"/>
    <w:rsid w:val="001C7DA9"/>
    <w:rsid w:val="001C7DB0"/>
    <w:rsid w:val="001C7DD0"/>
    <w:rsid w:val="001C7F0F"/>
    <w:rsid w:val="001C7FD9"/>
    <w:rsid w:val="001D0011"/>
    <w:rsid w:val="001D005C"/>
    <w:rsid w:val="001D016F"/>
    <w:rsid w:val="001D02AB"/>
    <w:rsid w:val="001D0314"/>
    <w:rsid w:val="001D036E"/>
    <w:rsid w:val="001D0377"/>
    <w:rsid w:val="001D041B"/>
    <w:rsid w:val="001D0482"/>
    <w:rsid w:val="001D0484"/>
    <w:rsid w:val="001D052A"/>
    <w:rsid w:val="001D05AB"/>
    <w:rsid w:val="001D061C"/>
    <w:rsid w:val="001D0715"/>
    <w:rsid w:val="001D0761"/>
    <w:rsid w:val="001D07B9"/>
    <w:rsid w:val="001D0986"/>
    <w:rsid w:val="001D0BAE"/>
    <w:rsid w:val="001D0BD1"/>
    <w:rsid w:val="001D0D5B"/>
    <w:rsid w:val="001D0D9B"/>
    <w:rsid w:val="001D0E1F"/>
    <w:rsid w:val="001D0E2A"/>
    <w:rsid w:val="001D0E75"/>
    <w:rsid w:val="001D0EE4"/>
    <w:rsid w:val="001D0FD7"/>
    <w:rsid w:val="001D1246"/>
    <w:rsid w:val="001D1378"/>
    <w:rsid w:val="001D1387"/>
    <w:rsid w:val="001D1510"/>
    <w:rsid w:val="001D15BC"/>
    <w:rsid w:val="001D15CF"/>
    <w:rsid w:val="001D1618"/>
    <w:rsid w:val="001D16C2"/>
    <w:rsid w:val="001D16DD"/>
    <w:rsid w:val="001D176F"/>
    <w:rsid w:val="001D18DC"/>
    <w:rsid w:val="001D1AB4"/>
    <w:rsid w:val="001D1BA3"/>
    <w:rsid w:val="001D1BE6"/>
    <w:rsid w:val="001D1C26"/>
    <w:rsid w:val="001D1CBA"/>
    <w:rsid w:val="001D1D39"/>
    <w:rsid w:val="001D1EC5"/>
    <w:rsid w:val="001D1EE2"/>
    <w:rsid w:val="001D2138"/>
    <w:rsid w:val="001D2169"/>
    <w:rsid w:val="001D21A7"/>
    <w:rsid w:val="001D21AE"/>
    <w:rsid w:val="001D2343"/>
    <w:rsid w:val="001D2373"/>
    <w:rsid w:val="001D23F2"/>
    <w:rsid w:val="001D2409"/>
    <w:rsid w:val="001D247C"/>
    <w:rsid w:val="001D25F7"/>
    <w:rsid w:val="001D27B6"/>
    <w:rsid w:val="001D28C2"/>
    <w:rsid w:val="001D2AAB"/>
    <w:rsid w:val="001D2B3F"/>
    <w:rsid w:val="001D2C06"/>
    <w:rsid w:val="001D2C1E"/>
    <w:rsid w:val="001D2C64"/>
    <w:rsid w:val="001D2C94"/>
    <w:rsid w:val="001D2CB9"/>
    <w:rsid w:val="001D2CCA"/>
    <w:rsid w:val="001D2D48"/>
    <w:rsid w:val="001D2E08"/>
    <w:rsid w:val="001D2E0F"/>
    <w:rsid w:val="001D2E6B"/>
    <w:rsid w:val="001D2F2A"/>
    <w:rsid w:val="001D3004"/>
    <w:rsid w:val="001D30FB"/>
    <w:rsid w:val="001D312C"/>
    <w:rsid w:val="001D316C"/>
    <w:rsid w:val="001D3193"/>
    <w:rsid w:val="001D3485"/>
    <w:rsid w:val="001D348A"/>
    <w:rsid w:val="001D34EE"/>
    <w:rsid w:val="001D358A"/>
    <w:rsid w:val="001D35A4"/>
    <w:rsid w:val="001D3817"/>
    <w:rsid w:val="001D3824"/>
    <w:rsid w:val="001D38AB"/>
    <w:rsid w:val="001D38EF"/>
    <w:rsid w:val="001D3951"/>
    <w:rsid w:val="001D3A18"/>
    <w:rsid w:val="001D3BB1"/>
    <w:rsid w:val="001D3D25"/>
    <w:rsid w:val="001D3E0D"/>
    <w:rsid w:val="001D3E5C"/>
    <w:rsid w:val="001D3F26"/>
    <w:rsid w:val="001D3F55"/>
    <w:rsid w:val="001D3F65"/>
    <w:rsid w:val="001D3FE4"/>
    <w:rsid w:val="001D4088"/>
    <w:rsid w:val="001D40FA"/>
    <w:rsid w:val="001D41FA"/>
    <w:rsid w:val="001D4313"/>
    <w:rsid w:val="001D4326"/>
    <w:rsid w:val="001D44B8"/>
    <w:rsid w:val="001D4571"/>
    <w:rsid w:val="001D462C"/>
    <w:rsid w:val="001D464F"/>
    <w:rsid w:val="001D465D"/>
    <w:rsid w:val="001D4754"/>
    <w:rsid w:val="001D4809"/>
    <w:rsid w:val="001D49BB"/>
    <w:rsid w:val="001D4A95"/>
    <w:rsid w:val="001D4B5E"/>
    <w:rsid w:val="001D4B85"/>
    <w:rsid w:val="001D4BC6"/>
    <w:rsid w:val="001D4D57"/>
    <w:rsid w:val="001D4FFA"/>
    <w:rsid w:val="001D50AC"/>
    <w:rsid w:val="001D50C1"/>
    <w:rsid w:val="001D5168"/>
    <w:rsid w:val="001D5332"/>
    <w:rsid w:val="001D538C"/>
    <w:rsid w:val="001D564F"/>
    <w:rsid w:val="001D5654"/>
    <w:rsid w:val="001D56BD"/>
    <w:rsid w:val="001D5733"/>
    <w:rsid w:val="001D57A9"/>
    <w:rsid w:val="001D57BD"/>
    <w:rsid w:val="001D57C4"/>
    <w:rsid w:val="001D5868"/>
    <w:rsid w:val="001D58E3"/>
    <w:rsid w:val="001D59A5"/>
    <w:rsid w:val="001D59C4"/>
    <w:rsid w:val="001D5B28"/>
    <w:rsid w:val="001D5BBD"/>
    <w:rsid w:val="001D5BD1"/>
    <w:rsid w:val="001D5C6E"/>
    <w:rsid w:val="001D5D1F"/>
    <w:rsid w:val="001D5D40"/>
    <w:rsid w:val="001D5E96"/>
    <w:rsid w:val="001D5F56"/>
    <w:rsid w:val="001D5FE4"/>
    <w:rsid w:val="001D5FEF"/>
    <w:rsid w:val="001D6233"/>
    <w:rsid w:val="001D6428"/>
    <w:rsid w:val="001D64B5"/>
    <w:rsid w:val="001D6557"/>
    <w:rsid w:val="001D6568"/>
    <w:rsid w:val="001D65FF"/>
    <w:rsid w:val="001D666B"/>
    <w:rsid w:val="001D6678"/>
    <w:rsid w:val="001D6683"/>
    <w:rsid w:val="001D669F"/>
    <w:rsid w:val="001D66EA"/>
    <w:rsid w:val="001D6762"/>
    <w:rsid w:val="001D68C6"/>
    <w:rsid w:val="001D69D0"/>
    <w:rsid w:val="001D6A5D"/>
    <w:rsid w:val="001D6A72"/>
    <w:rsid w:val="001D6AF1"/>
    <w:rsid w:val="001D6BDE"/>
    <w:rsid w:val="001D6C7D"/>
    <w:rsid w:val="001D6DD8"/>
    <w:rsid w:val="001D6EAB"/>
    <w:rsid w:val="001D6F29"/>
    <w:rsid w:val="001D70BD"/>
    <w:rsid w:val="001D71D9"/>
    <w:rsid w:val="001D73CF"/>
    <w:rsid w:val="001D7413"/>
    <w:rsid w:val="001D74F0"/>
    <w:rsid w:val="001D7776"/>
    <w:rsid w:val="001D789D"/>
    <w:rsid w:val="001D78F3"/>
    <w:rsid w:val="001D7B05"/>
    <w:rsid w:val="001D7B9D"/>
    <w:rsid w:val="001D7BD0"/>
    <w:rsid w:val="001D7BE3"/>
    <w:rsid w:val="001D7BEB"/>
    <w:rsid w:val="001D7EA8"/>
    <w:rsid w:val="001E00E4"/>
    <w:rsid w:val="001E01B3"/>
    <w:rsid w:val="001E0219"/>
    <w:rsid w:val="001E0225"/>
    <w:rsid w:val="001E02C6"/>
    <w:rsid w:val="001E036C"/>
    <w:rsid w:val="001E0411"/>
    <w:rsid w:val="001E0527"/>
    <w:rsid w:val="001E0682"/>
    <w:rsid w:val="001E06FB"/>
    <w:rsid w:val="001E0812"/>
    <w:rsid w:val="001E0868"/>
    <w:rsid w:val="001E0911"/>
    <w:rsid w:val="001E0992"/>
    <w:rsid w:val="001E0B33"/>
    <w:rsid w:val="001E0B43"/>
    <w:rsid w:val="001E0B6D"/>
    <w:rsid w:val="001E0CD9"/>
    <w:rsid w:val="001E0D5B"/>
    <w:rsid w:val="001E0D95"/>
    <w:rsid w:val="001E0E84"/>
    <w:rsid w:val="001E1001"/>
    <w:rsid w:val="001E1296"/>
    <w:rsid w:val="001E130B"/>
    <w:rsid w:val="001E1356"/>
    <w:rsid w:val="001E1383"/>
    <w:rsid w:val="001E14D3"/>
    <w:rsid w:val="001E15A7"/>
    <w:rsid w:val="001E1669"/>
    <w:rsid w:val="001E1791"/>
    <w:rsid w:val="001E1860"/>
    <w:rsid w:val="001E18A3"/>
    <w:rsid w:val="001E18F9"/>
    <w:rsid w:val="001E1979"/>
    <w:rsid w:val="001E1A76"/>
    <w:rsid w:val="001E1BCD"/>
    <w:rsid w:val="001E1CD9"/>
    <w:rsid w:val="001E1E08"/>
    <w:rsid w:val="001E1E7E"/>
    <w:rsid w:val="001E1EE1"/>
    <w:rsid w:val="001E1F6B"/>
    <w:rsid w:val="001E206A"/>
    <w:rsid w:val="001E20AE"/>
    <w:rsid w:val="001E2112"/>
    <w:rsid w:val="001E221C"/>
    <w:rsid w:val="001E222A"/>
    <w:rsid w:val="001E2235"/>
    <w:rsid w:val="001E22D0"/>
    <w:rsid w:val="001E232C"/>
    <w:rsid w:val="001E2374"/>
    <w:rsid w:val="001E23AA"/>
    <w:rsid w:val="001E2411"/>
    <w:rsid w:val="001E247C"/>
    <w:rsid w:val="001E2545"/>
    <w:rsid w:val="001E25DC"/>
    <w:rsid w:val="001E25F8"/>
    <w:rsid w:val="001E2601"/>
    <w:rsid w:val="001E2765"/>
    <w:rsid w:val="001E27A1"/>
    <w:rsid w:val="001E27A2"/>
    <w:rsid w:val="001E27F6"/>
    <w:rsid w:val="001E28DC"/>
    <w:rsid w:val="001E2921"/>
    <w:rsid w:val="001E2A2A"/>
    <w:rsid w:val="001E2B18"/>
    <w:rsid w:val="001E2BBE"/>
    <w:rsid w:val="001E2C03"/>
    <w:rsid w:val="001E2D1B"/>
    <w:rsid w:val="001E2D9E"/>
    <w:rsid w:val="001E2E19"/>
    <w:rsid w:val="001E2F72"/>
    <w:rsid w:val="001E2FA7"/>
    <w:rsid w:val="001E304A"/>
    <w:rsid w:val="001E3052"/>
    <w:rsid w:val="001E30C7"/>
    <w:rsid w:val="001E3149"/>
    <w:rsid w:val="001E330C"/>
    <w:rsid w:val="001E348E"/>
    <w:rsid w:val="001E352F"/>
    <w:rsid w:val="001E3680"/>
    <w:rsid w:val="001E36F1"/>
    <w:rsid w:val="001E387C"/>
    <w:rsid w:val="001E38EF"/>
    <w:rsid w:val="001E3921"/>
    <w:rsid w:val="001E39E1"/>
    <w:rsid w:val="001E3A6F"/>
    <w:rsid w:val="001E3AE1"/>
    <w:rsid w:val="001E3CB8"/>
    <w:rsid w:val="001E3F59"/>
    <w:rsid w:val="001E3FBF"/>
    <w:rsid w:val="001E406C"/>
    <w:rsid w:val="001E438C"/>
    <w:rsid w:val="001E4405"/>
    <w:rsid w:val="001E45CD"/>
    <w:rsid w:val="001E4654"/>
    <w:rsid w:val="001E4743"/>
    <w:rsid w:val="001E499D"/>
    <w:rsid w:val="001E49A5"/>
    <w:rsid w:val="001E4A2A"/>
    <w:rsid w:val="001E4C16"/>
    <w:rsid w:val="001E4C73"/>
    <w:rsid w:val="001E4D38"/>
    <w:rsid w:val="001E4E74"/>
    <w:rsid w:val="001E4F16"/>
    <w:rsid w:val="001E4F30"/>
    <w:rsid w:val="001E50E8"/>
    <w:rsid w:val="001E50FD"/>
    <w:rsid w:val="001E51A6"/>
    <w:rsid w:val="001E524E"/>
    <w:rsid w:val="001E524F"/>
    <w:rsid w:val="001E556A"/>
    <w:rsid w:val="001E5572"/>
    <w:rsid w:val="001E564A"/>
    <w:rsid w:val="001E56C0"/>
    <w:rsid w:val="001E59B2"/>
    <w:rsid w:val="001E59B4"/>
    <w:rsid w:val="001E5A42"/>
    <w:rsid w:val="001E5A4B"/>
    <w:rsid w:val="001E5B52"/>
    <w:rsid w:val="001E5C6F"/>
    <w:rsid w:val="001E5CA7"/>
    <w:rsid w:val="001E5CA8"/>
    <w:rsid w:val="001E5CAA"/>
    <w:rsid w:val="001E5CF2"/>
    <w:rsid w:val="001E5D9B"/>
    <w:rsid w:val="001E5DF2"/>
    <w:rsid w:val="001E5EC4"/>
    <w:rsid w:val="001E6013"/>
    <w:rsid w:val="001E6103"/>
    <w:rsid w:val="001E61D7"/>
    <w:rsid w:val="001E634B"/>
    <w:rsid w:val="001E6394"/>
    <w:rsid w:val="001E639B"/>
    <w:rsid w:val="001E6526"/>
    <w:rsid w:val="001E6837"/>
    <w:rsid w:val="001E6869"/>
    <w:rsid w:val="001E6939"/>
    <w:rsid w:val="001E6B9D"/>
    <w:rsid w:val="001E6BCF"/>
    <w:rsid w:val="001E6BD7"/>
    <w:rsid w:val="001E6BFA"/>
    <w:rsid w:val="001E6C62"/>
    <w:rsid w:val="001E6C77"/>
    <w:rsid w:val="001E6CB9"/>
    <w:rsid w:val="001E6DA3"/>
    <w:rsid w:val="001E6E39"/>
    <w:rsid w:val="001E6E9B"/>
    <w:rsid w:val="001E6EC1"/>
    <w:rsid w:val="001E70C4"/>
    <w:rsid w:val="001E714B"/>
    <w:rsid w:val="001E7262"/>
    <w:rsid w:val="001E72D0"/>
    <w:rsid w:val="001E7331"/>
    <w:rsid w:val="001E7389"/>
    <w:rsid w:val="001E738F"/>
    <w:rsid w:val="001E7560"/>
    <w:rsid w:val="001E7623"/>
    <w:rsid w:val="001E7691"/>
    <w:rsid w:val="001E76D7"/>
    <w:rsid w:val="001E778B"/>
    <w:rsid w:val="001E77D5"/>
    <w:rsid w:val="001E7871"/>
    <w:rsid w:val="001E7943"/>
    <w:rsid w:val="001E79F9"/>
    <w:rsid w:val="001E7A40"/>
    <w:rsid w:val="001E7CA6"/>
    <w:rsid w:val="001E7E33"/>
    <w:rsid w:val="001E7EDB"/>
    <w:rsid w:val="001E7F53"/>
    <w:rsid w:val="001E7F97"/>
    <w:rsid w:val="001F01FE"/>
    <w:rsid w:val="001F021C"/>
    <w:rsid w:val="001F03A6"/>
    <w:rsid w:val="001F0426"/>
    <w:rsid w:val="001F0461"/>
    <w:rsid w:val="001F0484"/>
    <w:rsid w:val="001F0568"/>
    <w:rsid w:val="001F0642"/>
    <w:rsid w:val="001F0831"/>
    <w:rsid w:val="001F087A"/>
    <w:rsid w:val="001F08AE"/>
    <w:rsid w:val="001F09CC"/>
    <w:rsid w:val="001F0A57"/>
    <w:rsid w:val="001F0B6B"/>
    <w:rsid w:val="001F0BDC"/>
    <w:rsid w:val="001F0BFD"/>
    <w:rsid w:val="001F0D65"/>
    <w:rsid w:val="001F0E14"/>
    <w:rsid w:val="001F0EBC"/>
    <w:rsid w:val="001F0EEE"/>
    <w:rsid w:val="001F0EF8"/>
    <w:rsid w:val="001F0F9D"/>
    <w:rsid w:val="001F0FB2"/>
    <w:rsid w:val="001F1188"/>
    <w:rsid w:val="001F12AC"/>
    <w:rsid w:val="001F12B6"/>
    <w:rsid w:val="001F1336"/>
    <w:rsid w:val="001F13D2"/>
    <w:rsid w:val="001F1470"/>
    <w:rsid w:val="001F14B2"/>
    <w:rsid w:val="001F14B9"/>
    <w:rsid w:val="001F15DD"/>
    <w:rsid w:val="001F1643"/>
    <w:rsid w:val="001F179B"/>
    <w:rsid w:val="001F17DE"/>
    <w:rsid w:val="001F199E"/>
    <w:rsid w:val="001F1B19"/>
    <w:rsid w:val="001F1BC4"/>
    <w:rsid w:val="001F1BE3"/>
    <w:rsid w:val="001F1BE8"/>
    <w:rsid w:val="001F1D78"/>
    <w:rsid w:val="001F1EDB"/>
    <w:rsid w:val="001F1F11"/>
    <w:rsid w:val="001F1F69"/>
    <w:rsid w:val="001F1F72"/>
    <w:rsid w:val="001F1FFA"/>
    <w:rsid w:val="001F2021"/>
    <w:rsid w:val="001F20E5"/>
    <w:rsid w:val="001F21E0"/>
    <w:rsid w:val="001F2279"/>
    <w:rsid w:val="001F2471"/>
    <w:rsid w:val="001F24E4"/>
    <w:rsid w:val="001F257E"/>
    <w:rsid w:val="001F269F"/>
    <w:rsid w:val="001F2793"/>
    <w:rsid w:val="001F2925"/>
    <w:rsid w:val="001F297C"/>
    <w:rsid w:val="001F2A27"/>
    <w:rsid w:val="001F2B66"/>
    <w:rsid w:val="001F2B6B"/>
    <w:rsid w:val="001F2C76"/>
    <w:rsid w:val="001F2E61"/>
    <w:rsid w:val="001F3007"/>
    <w:rsid w:val="001F3104"/>
    <w:rsid w:val="001F3157"/>
    <w:rsid w:val="001F3208"/>
    <w:rsid w:val="001F3230"/>
    <w:rsid w:val="001F3381"/>
    <w:rsid w:val="001F33DB"/>
    <w:rsid w:val="001F33F8"/>
    <w:rsid w:val="001F341B"/>
    <w:rsid w:val="001F34BF"/>
    <w:rsid w:val="001F3584"/>
    <w:rsid w:val="001F3587"/>
    <w:rsid w:val="001F36AB"/>
    <w:rsid w:val="001F37AF"/>
    <w:rsid w:val="001F3A7A"/>
    <w:rsid w:val="001F3AF4"/>
    <w:rsid w:val="001F3B9A"/>
    <w:rsid w:val="001F3BDA"/>
    <w:rsid w:val="001F3D74"/>
    <w:rsid w:val="001F3FCE"/>
    <w:rsid w:val="001F40A7"/>
    <w:rsid w:val="001F4165"/>
    <w:rsid w:val="001F4167"/>
    <w:rsid w:val="001F4301"/>
    <w:rsid w:val="001F43C6"/>
    <w:rsid w:val="001F43FF"/>
    <w:rsid w:val="001F44A7"/>
    <w:rsid w:val="001F46AB"/>
    <w:rsid w:val="001F4708"/>
    <w:rsid w:val="001F4754"/>
    <w:rsid w:val="001F47BB"/>
    <w:rsid w:val="001F4909"/>
    <w:rsid w:val="001F49B4"/>
    <w:rsid w:val="001F4AA8"/>
    <w:rsid w:val="001F4AEE"/>
    <w:rsid w:val="001F4BBB"/>
    <w:rsid w:val="001F4C56"/>
    <w:rsid w:val="001F4E16"/>
    <w:rsid w:val="001F4EE7"/>
    <w:rsid w:val="001F4F26"/>
    <w:rsid w:val="001F4FD2"/>
    <w:rsid w:val="001F504C"/>
    <w:rsid w:val="001F5091"/>
    <w:rsid w:val="001F50F0"/>
    <w:rsid w:val="001F50FA"/>
    <w:rsid w:val="001F5234"/>
    <w:rsid w:val="001F524B"/>
    <w:rsid w:val="001F5357"/>
    <w:rsid w:val="001F5361"/>
    <w:rsid w:val="001F5482"/>
    <w:rsid w:val="001F5514"/>
    <w:rsid w:val="001F5567"/>
    <w:rsid w:val="001F562E"/>
    <w:rsid w:val="001F563F"/>
    <w:rsid w:val="001F5677"/>
    <w:rsid w:val="001F5740"/>
    <w:rsid w:val="001F57A9"/>
    <w:rsid w:val="001F57E7"/>
    <w:rsid w:val="001F5866"/>
    <w:rsid w:val="001F58EC"/>
    <w:rsid w:val="001F59A5"/>
    <w:rsid w:val="001F59C5"/>
    <w:rsid w:val="001F5A27"/>
    <w:rsid w:val="001F5A2A"/>
    <w:rsid w:val="001F5AD4"/>
    <w:rsid w:val="001F5AD6"/>
    <w:rsid w:val="001F5B7E"/>
    <w:rsid w:val="001F5CC9"/>
    <w:rsid w:val="001F5CEF"/>
    <w:rsid w:val="001F5D52"/>
    <w:rsid w:val="001F5EA7"/>
    <w:rsid w:val="001F5EB2"/>
    <w:rsid w:val="001F5F10"/>
    <w:rsid w:val="001F5F4A"/>
    <w:rsid w:val="001F5F72"/>
    <w:rsid w:val="001F60F5"/>
    <w:rsid w:val="001F6108"/>
    <w:rsid w:val="001F61F8"/>
    <w:rsid w:val="001F6224"/>
    <w:rsid w:val="001F62D0"/>
    <w:rsid w:val="001F6615"/>
    <w:rsid w:val="001F6693"/>
    <w:rsid w:val="001F66AA"/>
    <w:rsid w:val="001F66F9"/>
    <w:rsid w:val="001F6825"/>
    <w:rsid w:val="001F6874"/>
    <w:rsid w:val="001F69BF"/>
    <w:rsid w:val="001F69D1"/>
    <w:rsid w:val="001F69ED"/>
    <w:rsid w:val="001F6A1E"/>
    <w:rsid w:val="001F6A28"/>
    <w:rsid w:val="001F6AD7"/>
    <w:rsid w:val="001F6BCF"/>
    <w:rsid w:val="001F6CD8"/>
    <w:rsid w:val="001F6D26"/>
    <w:rsid w:val="001F6D61"/>
    <w:rsid w:val="001F6EBA"/>
    <w:rsid w:val="001F6FF8"/>
    <w:rsid w:val="001F7081"/>
    <w:rsid w:val="001F70D9"/>
    <w:rsid w:val="001F70FF"/>
    <w:rsid w:val="001F710D"/>
    <w:rsid w:val="001F720B"/>
    <w:rsid w:val="001F72BB"/>
    <w:rsid w:val="001F73FB"/>
    <w:rsid w:val="001F7665"/>
    <w:rsid w:val="001F766E"/>
    <w:rsid w:val="001F77A1"/>
    <w:rsid w:val="001F78E7"/>
    <w:rsid w:val="001F7949"/>
    <w:rsid w:val="001F79D8"/>
    <w:rsid w:val="001F7A03"/>
    <w:rsid w:val="001F7BFF"/>
    <w:rsid w:val="001F7CFC"/>
    <w:rsid w:val="001F7DF8"/>
    <w:rsid w:val="001F7E77"/>
    <w:rsid w:val="001F7E8B"/>
    <w:rsid w:val="00200078"/>
    <w:rsid w:val="0020007E"/>
    <w:rsid w:val="00200119"/>
    <w:rsid w:val="002001F7"/>
    <w:rsid w:val="0020024F"/>
    <w:rsid w:val="00200315"/>
    <w:rsid w:val="0020035B"/>
    <w:rsid w:val="0020051A"/>
    <w:rsid w:val="0020054E"/>
    <w:rsid w:val="0020057C"/>
    <w:rsid w:val="002005B4"/>
    <w:rsid w:val="002005D2"/>
    <w:rsid w:val="002005E1"/>
    <w:rsid w:val="00200614"/>
    <w:rsid w:val="002006F2"/>
    <w:rsid w:val="002006FB"/>
    <w:rsid w:val="0020071B"/>
    <w:rsid w:val="00200722"/>
    <w:rsid w:val="002007C7"/>
    <w:rsid w:val="00200833"/>
    <w:rsid w:val="002008B8"/>
    <w:rsid w:val="002008D9"/>
    <w:rsid w:val="0020094A"/>
    <w:rsid w:val="00200B04"/>
    <w:rsid w:val="00200B37"/>
    <w:rsid w:val="00200B69"/>
    <w:rsid w:val="00200B8F"/>
    <w:rsid w:val="00200BBE"/>
    <w:rsid w:val="00200C52"/>
    <w:rsid w:val="00200D9B"/>
    <w:rsid w:val="00200FB6"/>
    <w:rsid w:val="00201003"/>
    <w:rsid w:val="002010C1"/>
    <w:rsid w:val="00201387"/>
    <w:rsid w:val="002013DF"/>
    <w:rsid w:val="00201403"/>
    <w:rsid w:val="0020146A"/>
    <w:rsid w:val="00201552"/>
    <w:rsid w:val="002015FF"/>
    <w:rsid w:val="002016B4"/>
    <w:rsid w:val="00201706"/>
    <w:rsid w:val="00201875"/>
    <w:rsid w:val="002018F3"/>
    <w:rsid w:val="002019F4"/>
    <w:rsid w:val="00201AE5"/>
    <w:rsid w:val="00201B79"/>
    <w:rsid w:val="00201D40"/>
    <w:rsid w:val="00201D44"/>
    <w:rsid w:val="002020C4"/>
    <w:rsid w:val="002020D7"/>
    <w:rsid w:val="00202157"/>
    <w:rsid w:val="002021CF"/>
    <w:rsid w:val="00202207"/>
    <w:rsid w:val="002023DE"/>
    <w:rsid w:val="002024A5"/>
    <w:rsid w:val="00202521"/>
    <w:rsid w:val="0020257D"/>
    <w:rsid w:val="002025BF"/>
    <w:rsid w:val="002025D6"/>
    <w:rsid w:val="00202751"/>
    <w:rsid w:val="0020276B"/>
    <w:rsid w:val="002027F7"/>
    <w:rsid w:val="00202A2B"/>
    <w:rsid w:val="00202BA6"/>
    <w:rsid w:val="00202BF6"/>
    <w:rsid w:val="00202E68"/>
    <w:rsid w:val="00202EE8"/>
    <w:rsid w:val="00202FCA"/>
    <w:rsid w:val="00203080"/>
    <w:rsid w:val="002030B3"/>
    <w:rsid w:val="002031D0"/>
    <w:rsid w:val="002031FE"/>
    <w:rsid w:val="00203232"/>
    <w:rsid w:val="0020326E"/>
    <w:rsid w:val="0020329B"/>
    <w:rsid w:val="0020333A"/>
    <w:rsid w:val="002034FF"/>
    <w:rsid w:val="00203530"/>
    <w:rsid w:val="00203586"/>
    <w:rsid w:val="0020363C"/>
    <w:rsid w:val="002036DB"/>
    <w:rsid w:val="00203940"/>
    <w:rsid w:val="002039E5"/>
    <w:rsid w:val="002039EA"/>
    <w:rsid w:val="00203A14"/>
    <w:rsid w:val="00203AEC"/>
    <w:rsid w:val="00203CB9"/>
    <w:rsid w:val="00203D26"/>
    <w:rsid w:val="00203D5A"/>
    <w:rsid w:val="00203EA1"/>
    <w:rsid w:val="00203EE7"/>
    <w:rsid w:val="00203FC9"/>
    <w:rsid w:val="002040C3"/>
    <w:rsid w:val="0020413C"/>
    <w:rsid w:val="00204187"/>
    <w:rsid w:val="00204249"/>
    <w:rsid w:val="00204353"/>
    <w:rsid w:val="00204398"/>
    <w:rsid w:val="002043EA"/>
    <w:rsid w:val="00204483"/>
    <w:rsid w:val="0020469F"/>
    <w:rsid w:val="00204791"/>
    <w:rsid w:val="00204890"/>
    <w:rsid w:val="00204B5C"/>
    <w:rsid w:val="00204DDC"/>
    <w:rsid w:val="0020504D"/>
    <w:rsid w:val="00205060"/>
    <w:rsid w:val="002050B6"/>
    <w:rsid w:val="002050ED"/>
    <w:rsid w:val="00205159"/>
    <w:rsid w:val="0020518A"/>
    <w:rsid w:val="002052D4"/>
    <w:rsid w:val="00205371"/>
    <w:rsid w:val="0020545A"/>
    <w:rsid w:val="00205569"/>
    <w:rsid w:val="002055BB"/>
    <w:rsid w:val="00205602"/>
    <w:rsid w:val="0020585A"/>
    <w:rsid w:val="002058AE"/>
    <w:rsid w:val="002059F3"/>
    <w:rsid w:val="00205B87"/>
    <w:rsid w:val="00205C54"/>
    <w:rsid w:val="00205C5F"/>
    <w:rsid w:val="00205C63"/>
    <w:rsid w:val="00205C90"/>
    <w:rsid w:val="00205CEF"/>
    <w:rsid w:val="00205D84"/>
    <w:rsid w:val="00205EEE"/>
    <w:rsid w:val="00205F9C"/>
    <w:rsid w:val="002060BF"/>
    <w:rsid w:val="00206263"/>
    <w:rsid w:val="00206397"/>
    <w:rsid w:val="002063C9"/>
    <w:rsid w:val="0020648F"/>
    <w:rsid w:val="00206548"/>
    <w:rsid w:val="00206709"/>
    <w:rsid w:val="00206739"/>
    <w:rsid w:val="00206873"/>
    <w:rsid w:val="002068D0"/>
    <w:rsid w:val="0020694A"/>
    <w:rsid w:val="00206961"/>
    <w:rsid w:val="002069CB"/>
    <w:rsid w:val="002069D5"/>
    <w:rsid w:val="002069E5"/>
    <w:rsid w:val="002069EC"/>
    <w:rsid w:val="00206A04"/>
    <w:rsid w:val="00206A1F"/>
    <w:rsid w:val="00206A67"/>
    <w:rsid w:val="00206A96"/>
    <w:rsid w:val="00206D93"/>
    <w:rsid w:val="00206DED"/>
    <w:rsid w:val="00206ECA"/>
    <w:rsid w:val="00207012"/>
    <w:rsid w:val="0020701A"/>
    <w:rsid w:val="00207076"/>
    <w:rsid w:val="0020717D"/>
    <w:rsid w:val="002071C5"/>
    <w:rsid w:val="002071CF"/>
    <w:rsid w:val="00207378"/>
    <w:rsid w:val="002074E8"/>
    <w:rsid w:val="00207547"/>
    <w:rsid w:val="0020755C"/>
    <w:rsid w:val="002077AD"/>
    <w:rsid w:val="002077EF"/>
    <w:rsid w:val="002078DE"/>
    <w:rsid w:val="00207AE6"/>
    <w:rsid w:val="00207E48"/>
    <w:rsid w:val="00207EB7"/>
    <w:rsid w:val="00207F9A"/>
    <w:rsid w:val="00207F9F"/>
    <w:rsid w:val="0021004D"/>
    <w:rsid w:val="00210055"/>
    <w:rsid w:val="002100CE"/>
    <w:rsid w:val="00210294"/>
    <w:rsid w:val="002102F7"/>
    <w:rsid w:val="00210334"/>
    <w:rsid w:val="002105D5"/>
    <w:rsid w:val="002105DF"/>
    <w:rsid w:val="002106A1"/>
    <w:rsid w:val="002106C4"/>
    <w:rsid w:val="002107BD"/>
    <w:rsid w:val="0021081A"/>
    <w:rsid w:val="0021081D"/>
    <w:rsid w:val="00210822"/>
    <w:rsid w:val="00210862"/>
    <w:rsid w:val="00210921"/>
    <w:rsid w:val="00210A86"/>
    <w:rsid w:val="00210A8D"/>
    <w:rsid w:val="00210AD7"/>
    <w:rsid w:val="00210B0D"/>
    <w:rsid w:val="00210C15"/>
    <w:rsid w:val="00210C4F"/>
    <w:rsid w:val="00210C7C"/>
    <w:rsid w:val="00210C91"/>
    <w:rsid w:val="00210FD7"/>
    <w:rsid w:val="00210FF9"/>
    <w:rsid w:val="0021101A"/>
    <w:rsid w:val="002111CA"/>
    <w:rsid w:val="002111EB"/>
    <w:rsid w:val="0021121F"/>
    <w:rsid w:val="0021133F"/>
    <w:rsid w:val="002113E4"/>
    <w:rsid w:val="0021146F"/>
    <w:rsid w:val="00211608"/>
    <w:rsid w:val="00211613"/>
    <w:rsid w:val="00211672"/>
    <w:rsid w:val="002117AC"/>
    <w:rsid w:val="00211989"/>
    <w:rsid w:val="00211A0A"/>
    <w:rsid w:val="00211AC7"/>
    <w:rsid w:val="00211C10"/>
    <w:rsid w:val="00211D51"/>
    <w:rsid w:val="00211DC5"/>
    <w:rsid w:val="00211E7F"/>
    <w:rsid w:val="00211EF1"/>
    <w:rsid w:val="002120A0"/>
    <w:rsid w:val="002120E6"/>
    <w:rsid w:val="00212106"/>
    <w:rsid w:val="00212147"/>
    <w:rsid w:val="0021241D"/>
    <w:rsid w:val="00212501"/>
    <w:rsid w:val="00212623"/>
    <w:rsid w:val="002126C5"/>
    <w:rsid w:val="002126D4"/>
    <w:rsid w:val="00212731"/>
    <w:rsid w:val="0021274E"/>
    <w:rsid w:val="002127AD"/>
    <w:rsid w:val="00212908"/>
    <w:rsid w:val="00212954"/>
    <w:rsid w:val="00212991"/>
    <w:rsid w:val="00212A48"/>
    <w:rsid w:val="00212AE3"/>
    <w:rsid w:val="00212B74"/>
    <w:rsid w:val="00212BD0"/>
    <w:rsid w:val="00212C79"/>
    <w:rsid w:val="00212CD0"/>
    <w:rsid w:val="00212F8F"/>
    <w:rsid w:val="0021308E"/>
    <w:rsid w:val="00213146"/>
    <w:rsid w:val="00213160"/>
    <w:rsid w:val="00213294"/>
    <w:rsid w:val="0021338C"/>
    <w:rsid w:val="002133D3"/>
    <w:rsid w:val="0021359F"/>
    <w:rsid w:val="00213658"/>
    <w:rsid w:val="00213703"/>
    <w:rsid w:val="00213713"/>
    <w:rsid w:val="002137FD"/>
    <w:rsid w:val="002138FD"/>
    <w:rsid w:val="0021390B"/>
    <w:rsid w:val="00213CD1"/>
    <w:rsid w:val="00213E00"/>
    <w:rsid w:val="00213E12"/>
    <w:rsid w:val="00213EBB"/>
    <w:rsid w:val="00213EC9"/>
    <w:rsid w:val="00213FDC"/>
    <w:rsid w:val="00214003"/>
    <w:rsid w:val="002144E6"/>
    <w:rsid w:val="002145DC"/>
    <w:rsid w:val="00214687"/>
    <w:rsid w:val="002146DA"/>
    <w:rsid w:val="00214844"/>
    <w:rsid w:val="00214938"/>
    <w:rsid w:val="002149A7"/>
    <w:rsid w:val="00214A7D"/>
    <w:rsid w:val="00214C1A"/>
    <w:rsid w:val="00214C75"/>
    <w:rsid w:val="00214C9F"/>
    <w:rsid w:val="00214CC3"/>
    <w:rsid w:val="00214CF9"/>
    <w:rsid w:val="00214D02"/>
    <w:rsid w:val="00214D5D"/>
    <w:rsid w:val="00214F82"/>
    <w:rsid w:val="00214FA8"/>
    <w:rsid w:val="002151D7"/>
    <w:rsid w:val="002151F9"/>
    <w:rsid w:val="00215206"/>
    <w:rsid w:val="002152D2"/>
    <w:rsid w:val="0021551B"/>
    <w:rsid w:val="00215535"/>
    <w:rsid w:val="00215602"/>
    <w:rsid w:val="0021565F"/>
    <w:rsid w:val="002157C4"/>
    <w:rsid w:val="002157FA"/>
    <w:rsid w:val="002158D6"/>
    <w:rsid w:val="00215935"/>
    <w:rsid w:val="00215938"/>
    <w:rsid w:val="00215966"/>
    <w:rsid w:val="00215968"/>
    <w:rsid w:val="00215A8F"/>
    <w:rsid w:val="00215BCE"/>
    <w:rsid w:val="00215C23"/>
    <w:rsid w:val="00215C91"/>
    <w:rsid w:val="00215E10"/>
    <w:rsid w:val="00215EC8"/>
    <w:rsid w:val="0021608A"/>
    <w:rsid w:val="00216175"/>
    <w:rsid w:val="00216250"/>
    <w:rsid w:val="002162A1"/>
    <w:rsid w:val="00216595"/>
    <w:rsid w:val="002166A9"/>
    <w:rsid w:val="002167A6"/>
    <w:rsid w:val="00216868"/>
    <w:rsid w:val="002168F1"/>
    <w:rsid w:val="00216B4C"/>
    <w:rsid w:val="00216C51"/>
    <w:rsid w:val="00216CF9"/>
    <w:rsid w:val="00216E52"/>
    <w:rsid w:val="00216E93"/>
    <w:rsid w:val="002171C6"/>
    <w:rsid w:val="0021724C"/>
    <w:rsid w:val="002172B7"/>
    <w:rsid w:val="002172D6"/>
    <w:rsid w:val="00217378"/>
    <w:rsid w:val="002173E0"/>
    <w:rsid w:val="00217402"/>
    <w:rsid w:val="00217529"/>
    <w:rsid w:val="0021753C"/>
    <w:rsid w:val="002175B6"/>
    <w:rsid w:val="002176AF"/>
    <w:rsid w:val="00217702"/>
    <w:rsid w:val="00217714"/>
    <w:rsid w:val="00217763"/>
    <w:rsid w:val="002177D1"/>
    <w:rsid w:val="0021783F"/>
    <w:rsid w:val="00217BF4"/>
    <w:rsid w:val="00217CC4"/>
    <w:rsid w:val="00217D85"/>
    <w:rsid w:val="00217E1B"/>
    <w:rsid w:val="00220057"/>
    <w:rsid w:val="00220061"/>
    <w:rsid w:val="00220078"/>
    <w:rsid w:val="002200DE"/>
    <w:rsid w:val="0022010A"/>
    <w:rsid w:val="0022012E"/>
    <w:rsid w:val="00220134"/>
    <w:rsid w:val="00220209"/>
    <w:rsid w:val="00220258"/>
    <w:rsid w:val="00220515"/>
    <w:rsid w:val="00220522"/>
    <w:rsid w:val="002205B6"/>
    <w:rsid w:val="0022061D"/>
    <w:rsid w:val="0022074A"/>
    <w:rsid w:val="002207A1"/>
    <w:rsid w:val="00220848"/>
    <w:rsid w:val="00220A22"/>
    <w:rsid w:val="00220B12"/>
    <w:rsid w:val="00220B69"/>
    <w:rsid w:val="00220C2C"/>
    <w:rsid w:val="00220D0B"/>
    <w:rsid w:val="00220D13"/>
    <w:rsid w:val="00220F3C"/>
    <w:rsid w:val="00220F41"/>
    <w:rsid w:val="00220FF2"/>
    <w:rsid w:val="002210DC"/>
    <w:rsid w:val="0022120B"/>
    <w:rsid w:val="00221234"/>
    <w:rsid w:val="00221294"/>
    <w:rsid w:val="00221340"/>
    <w:rsid w:val="0022135C"/>
    <w:rsid w:val="00221373"/>
    <w:rsid w:val="0022141A"/>
    <w:rsid w:val="0022146A"/>
    <w:rsid w:val="002216E9"/>
    <w:rsid w:val="0022172C"/>
    <w:rsid w:val="002218EB"/>
    <w:rsid w:val="00221DB0"/>
    <w:rsid w:val="00221DB2"/>
    <w:rsid w:val="00221E7F"/>
    <w:rsid w:val="00221EC4"/>
    <w:rsid w:val="00221ED2"/>
    <w:rsid w:val="00221EE5"/>
    <w:rsid w:val="00221FFC"/>
    <w:rsid w:val="002220C2"/>
    <w:rsid w:val="00222282"/>
    <w:rsid w:val="0022245B"/>
    <w:rsid w:val="002224CF"/>
    <w:rsid w:val="002224F9"/>
    <w:rsid w:val="002225BF"/>
    <w:rsid w:val="0022264B"/>
    <w:rsid w:val="00222806"/>
    <w:rsid w:val="00222872"/>
    <w:rsid w:val="00222893"/>
    <w:rsid w:val="0022289D"/>
    <w:rsid w:val="002228D7"/>
    <w:rsid w:val="002228D8"/>
    <w:rsid w:val="00222A00"/>
    <w:rsid w:val="00222B96"/>
    <w:rsid w:val="00222ECC"/>
    <w:rsid w:val="00222EF3"/>
    <w:rsid w:val="00222FF4"/>
    <w:rsid w:val="00223077"/>
    <w:rsid w:val="0022309B"/>
    <w:rsid w:val="002230BD"/>
    <w:rsid w:val="0022311E"/>
    <w:rsid w:val="00223186"/>
    <w:rsid w:val="002231C6"/>
    <w:rsid w:val="0022322E"/>
    <w:rsid w:val="00223265"/>
    <w:rsid w:val="002232F1"/>
    <w:rsid w:val="0022331F"/>
    <w:rsid w:val="00223479"/>
    <w:rsid w:val="0022348D"/>
    <w:rsid w:val="002234CB"/>
    <w:rsid w:val="002234CC"/>
    <w:rsid w:val="0022355E"/>
    <w:rsid w:val="0022356D"/>
    <w:rsid w:val="0022359F"/>
    <w:rsid w:val="002237D7"/>
    <w:rsid w:val="0022381A"/>
    <w:rsid w:val="002239E5"/>
    <w:rsid w:val="00223AA0"/>
    <w:rsid w:val="00223B84"/>
    <w:rsid w:val="00223BAC"/>
    <w:rsid w:val="00223C00"/>
    <w:rsid w:val="00223C01"/>
    <w:rsid w:val="00223C1A"/>
    <w:rsid w:val="00223C43"/>
    <w:rsid w:val="00223E4E"/>
    <w:rsid w:val="00223F19"/>
    <w:rsid w:val="002240B6"/>
    <w:rsid w:val="002241F1"/>
    <w:rsid w:val="002241F4"/>
    <w:rsid w:val="0022421A"/>
    <w:rsid w:val="002242C6"/>
    <w:rsid w:val="00224306"/>
    <w:rsid w:val="00224351"/>
    <w:rsid w:val="002243CB"/>
    <w:rsid w:val="00224739"/>
    <w:rsid w:val="00224830"/>
    <w:rsid w:val="0022494C"/>
    <w:rsid w:val="00224A25"/>
    <w:rsid w:val="00224A46"/>
    <w:rsid w:val="00224A51"/>
    <w:rsid w:val="00224C97"/>
    <w:rsid w:val="00224D06"/>
    <w:rsid w:val="00224D33"/>
    <w:rsid w:val="00224DA8"/>
    <w:rsid w:val="00224EED"/>
    <w:rsid w:val="0022516B"/>
    <w:rsid w:val="002251CE"/>
    <w:rsid w:val="0022522F"/>
    <w:rsid w:val="00225260"/>
    <w:rsid w:val="002252B3"/>
    <w:rsid w:val="002253D5"/>
    <w:rsid w:val="0022540B"/>
    <w:rsid w:val="0022556F"/>
    <w:rsid w:val="0022560B"/>
    <w:rsid w:val="00225617"/>
    <w:rsid w:val="00225712"/>
    <w:rsid w:val="00225717"/>
    <w:rsid w:val="002257AC"/>
    <w:rsid w:val="002257E2"/>
    <w:rsid w:val="002259F8"/>
    <w:rsid w:val="00225A40"/>
    <w:rsid w:val="00225B9D"/>
    <w:rsid w:val="00225D6A"/>
    <w:rsid w:val="00225DD1"/>
    <w:rsid w:val="00225DF7"/>
    <w:rsid w:val="00225E3E"/>
    <w:rsid w:val="00225EA8"/>
    <w:rsid w:val="00225F5D"/>
    <w:rsid w:val="00225FBA"/>
    <w:rsid w:val="00225FE2"/>
    <w:rsid w:val="00226051"/>
    <w:rsid w:val="0022609E"/>
    <w:rsid w:val="002260FE"/>
    <w:rsid w:val="002261B4"/>
    <w:rsid w:val="00226284"/>
    <w:rsid w:val="002263A0"/>
    <w:rsid w:val="002263D1"/>
    <w:rsid w:val="00226555"/>
    <w:rsid w:val="0022657C"/>
    <w:rsid w:val="0022661A"/>
    <w:rsid w:val="00226633"/>
    <w:rsid w:val="00226697"/>
    <w:rsid w:val="00226772"/>
    <w:rsid w:val="0022678B"/>
    <w:rsid w:val="00226794"/>
    <w:rsid w:val="002267CD"/>
    <w:rsid w:val="0022683E"/>
    <w:rsid w:val="00226897"/>
    <w:rsid w:val="0022689D"/>
    <w:rsid w:val="00226A07"/>
    <w:rsid w:val="00226A7B"/>
    <w:rsid w:val="00226A8E"/>
    <w:rsid w:val="00226AFC"/>
    <w:rsid w:val="00226B43"/>
    <w:rsid w:val="00226C4A"/>
    <w:rsid w:val="00226E13"/>
    <w:rsid w:val="00226FBB"/>
    <w:rsid w:val="00227037"/>
    <w:rsid w:val="0022708C"/>
    <w:rsid w:val="0022714E"/>
    <w:rsid w:val="00227179"/>
    <w:rsid w:val="00227234"/>
    <w:rsid w:val="00227332"/>
    <w:rsid w:val="002273D5"/>
    <w:rsid w:val="00227417"/>
    <w:rsid w:val="00227470"/>
    <w:rsid w:val="0022762D"/>
    <w:rsid w:val="00227645"/>
    <w:rsid w:val="00227699"/>
    <w:rsid w:val="002276A5"/>
    <w:rsid w:val="002277B0"/>
    <w:rsid w:val="002277D1"/>
    <w:rsid w:val="002277FA"/>
    <w:rsid w:val="00227882"/>
    <w:rsid w:val="002278A0"/>
    <w:rsid w:val="00227951"/>
    <w:rsid w:val="00227960"/>
    <w:rsid w:val="002279CE"/>
    <w:rsid w:val="002279E6"/>
    <w:rsid w:val="00227AD1"/>
    <w:rsid w:val="00227BA8"/>
    <w:rsid w:val="00227C34"/>
    <w:rsid w:val="00227C97"/>
    <w:rsid w:val="00227CCA"/>
    <w:rsid w:val="00227EBC"/>
    <w:rsid w:val="00230152"/>
    <w:rsid w:val="002303E1"/>
    <w:rsid w:val="002304A5"/>
    <w:rsid w:val="00230850"/>
    <w:rsid w:val="002308E5"/>
    <w:rsid w:val="00230998"/>
    <w:rsid w:val="00230C72"/>
    <w:rsid w:val="00230C86"/>
    <w:rsid w:val="00230CAD"/>
    <w:rsid w:val="00230D28"/>
    <w:rsid w:val="00230DE6"/>
    <w:rsid w:val="00230E88"/>
    <w:rsid w:val="00230E8E"/>
    <w:rsid w:val="00230ED8"/>
    <w:rsid w:val="00230FB4"/>
    <w:rsid w:val="00230FBC"/>
    <w:rsid w:val="00230FEB"/>
    <w:rsid w:val="00231110"/>
    <w:rsid w:val="0023113F"/>
    <w:rsid w:val="0023114B"/>
    <w:rsid w:val="002312FD"/>
    <w:rsid w:val="0023153A"/>
    <w:rsid w:val="002315CA"/>
    <w:rsid w:val="00231842"/>
    <w:rsid w:val="002318AE"/>
    <w:rsid w:val="00231916"/>
    <w:rsid w:val="00231C12"/>
    <w:rsid w:val="00231D27"/>
    <w:rsid w:val="00231DD6"/>
    <w:rsid w:val="00231EE9"/>
    <w:rsid w:val="00231F07"/>
    <w:rsid w:val="00231FC2"/>
    <w:rsid w:val="00231FCC"/>
    <w:rsid w:val="00232032"/>
    <w:rsid w:val="002320DF"/>
    <w:rsid w:val="0023219B"/>
    <w:rsid w:val="0023228D"/>
    <w:rsid w:val="002323E3"/>
    <w:rsid w:val="00232499"/>
    <w:rsid w:val="002324E4"/>
    <w:rsid w:val="00232537"/>
    <w:rsid w:val="00232627"/>
    <w:rsid w:val="0023262D"/>
    <w:rsid w:val="0023267E"/>
    <w:rsid w:val="00232702"/>
    <w:rsid w:val="00232734"/>
    <w:rsid w:val="002327B5"/>
    <w:rsid w:val="00232A4A"/>
    <w:rsid w:val="00232A90"/>
    <w:rsid w:val="00232AAD"/>
    <w:rsid w:val="00232B86"/>
    <w:rsid w:val="00232C4B"/>
    <w:rsid w:val="00232CD1"/>
    <w:rsid w:val="00232CF0"/>
    <w:rsid w:val="002335A9"/>
    <w:rsid w:val="002335DB"/>
    <w:rsid w:val="00233675"/>
    <w:rsid w:val="0023381D"/>
    <w:rsid w:val="00233880"/>
    <w:rsid w:val="00233910"/>
    <w:rsid w:val="0023398F"/>
    <w:rsid w:val="002339BE"/>
    <w:rsid w:val="00233A00"/>
    <w:rsid w:val="00233A63"/>
    <w:rsid w:val="00233A7F"/>
    <w:rsid w:val="00233AB9"/>
    <w:rsid w:val="00233BE6"/>
    <w:rsid w:val="00233C06"/>
    <w:rsid w:val="00233CF6"/>
    <w:rsid w:val="00233D6B"/>
    <w:rsid w:val="00233E2F"/>
    <w:rsid w:val="00233ECF"/>
    <w:rsid w:val="00233F78"/>
    <w:rsid w:val="0023420B"/>
    <w:rsid w:val="00234252"/>
    <w:rsid w:val="00234317"/>
    <w:rsid w:val="00234403"/>
    <w:rsid w:val="0023441D"/>
    <w:rsid w:val="00234575"/>
    <w:rsid w:val="0023458B"/>
    <w:rsid w:val="002347AA"/>
    <w:rsid w:val="00234834"/>
    <w:rsid w:val="0023491E"/>
    <w:rsid w:val="00234AF3"/>
    <w:rsid w:val="00234C3C"/>
    <w:rsid w:val="00234D93"/>
    <w:rsid w:val="00234F2F"/>
    <w:rsid w:val="00234FA4"/>
    <w:rsid w:val="00235145"/>
    <w:rsid w:val="002351DE"/>
    <w:rsid w:val="0023537D"/>
    <w:rsid w:val="002354EF"/>
    <w:rsid w:val="002355BC"/>
    <w:rsid w:val="00235602"/>
    <w:rsid w:val="0023565F"/>
    <w:rsid w:val="002356E0"/>
    <w:rsid w:val="002357ED"/>
    <w:rsid w:val="00235845"/>
    <w:rsid w:val="002358EC"/>
    <w:rsid w:val="00235906"/>
    <w:rsid w:val="00235B75"/>
    <w:rsid w:val="00235C7F"/>
    <w:rsid w:val="00235E00"/>
    <w:rsid w:val="00235ECA"/>
    <w:rsid w:val="00235EFE"/>
    <w:rsid w:val="00235F27"/>
    <w:rsid w:val="00235F42"/>
    <w:rsid w:val="00235F9E"/>
    <w:rsid w:val="00235FAF"/>
    <w:rsid w:val="00235FFD"/>
    <w:rsid w:val="00235FFE"/>
    <w:rsid w:val="00236007"/>
    <w:rsid w:val="002361C4"/>
    <w:rsid w:val="002361C8"/>
    <w:rsid w:val="0023630E"/>
    <w:rsid w:val="002363C8"/>
    <w:rsid w:val="002363E4"/>
    <w:rsid w:val="0023647A"/>
    <w:rsid w:val="00236547"/>
    <w:rsid w:val="00236550"/>
    <w:rsid w:val="002365CC"/>
    <w:rsid w:val="002366AB"/>
    <w:rsid w:val="002367C1"/>
    <w:rsid w:val="00236856"/>
    <w:rsid w:val="0023687C"/>
    <w:rsid w:val="002368AF"/>
    <w:rsid w:val="00236914"/>
    <w:rsid w:val="00236957"/>
    <w:rsid w:val="00236A89"/>
    <w:rsid w:val="00236B2A"/>
    <w:rsid w:val="00237044"/>
    <w:rsid w:val="002370A4"/>
    <w:rsid w:val="002370F9"/>
    <w:rsid w:val="002372B8"/>
    <w:rsid w:val="002373D6"/>
    <w:rsid w:val="002374B8"/>
    <w:rsid w:val="00237546"/>
    <w:rsid w:val="0023755E"/>
    <w:rsid w:val="0023768B"/>
    <w:rsid w:val="002377A0"/>
    <w:rsid w:val="00237809"/>
    <w:rsid w:val="0023782E"/>
    <w:rsid w:val="002378D1"/>
    <w:rsid w:val="002378FD"/>
    <w:rsid w:val="00237C08"/>
    <w:rsid w:val="00237C16"/>
    <w:rsid w:val="00237D22"/>
    <w:rsid w:val="00237D2F"/>
    <w:rsid w:val="00237D9E"/>
    <w:rsid w:val="00237E1D"/>
    <w:rsid w:val="00237F41"/>
    <w:rsid w:val="00240070"/>
    <w:rsid w:val="002400F2"/>
    <w:rsid w:val="00240297"/>
    <w:rsid w:val="002402D7"/>
    <w:rsid w:val="00240357"/>
    <w:rsid w:val="002403B5"/>
    <w:rsid w:val="002404E9"/>
    <w:rsid w:val="002405D6"/>
    <w:rsid w:val="002405DE"/>
    <w:rsid w:val="0024064E"/>
    <w:rsid w:val="00240703"/>
    <w:rsid w:val="00240730"/>
    <w:rsid w:val="00240795"/>
    <w:rsid w:val="002407C9"/>
    <w:rsid w:val="002407D3"/>
    <w:rsid w:val="00240918"/>
    <w:rsid w:val="00240926"/>
    <w:rsid w:val="00240A6D"/>
    <w:rsid w:val="00240B2B"/>
    <w:rsid w:val="00240C0C"/>
    <w:rsid w:val="00240DCE"/>
    <w:rsid w:val="00240E86"/>
    <w:rsid w:val="0024127D"/>
    <w:rsid w:val="002412A9"/>
    <w:rsid w:val="002412E1"/>
    <w:rsid w:val="0024136D"/>
    <w:rsid w:val="0024139A"/>
    <w:rsid w:val="002413EA"/>
    <w:rsid w:val="0024140D"/>
    <w:rsid w:val="002414A8"/>
    <w:rsid w:val="002414E2"/>
    <w:rsid w:val="0024150C"/>
    <w:rsid w:val="00241549"/>
    <w:rsid w:val="002415A2"/>
    <w:rsid w:val="00241637"/>
    <w:rsid w:val="002416A8"/>
    <w:rsid w:val="00241881"/>
    <w:rsid w:val="002418B6"/>
    <w:rsid w:val="002418FC"/>
    <w:rsid w:val="00241971"/>
    <w:rsid w:val="002419B0"/>
    <w:rsid w:val="00241BD3"/>
    <w:rsid w:val="00241C43"/>
    <w:rsid w:val="00241CBD"/>
    <w:rsid w:val="00241D69"/>
    <w:rsid w:val="00241E59"/>
    <w:rsid w:val="00241E69"/>
    <w:rsid w:val="00241EEB"/>
    <w:rsid w:val="00242079"/>
    <w:rsid w:val="0024217E"/>
    <w:rsid w:val="00242184"/>
    <w:rsid w:val="002421BD"/>
    <w:rsid w:val="00242208"/>
    <w:rsid w:val="00242248"/>
    <w:rsid w:val="00242255"/>
    <w:rsid w:val="0024228B"/>
    <w:rsid w:val="002422AA"/>
    <w:rsid w:val="002422F5"/>
    <w:rsid w:val="00242338"/>
    <w:rsid w:val="00242382"/>
    <w:rsid w:val="002423E0"/>
    <w:rsid w:val="0024241E"/>
    <w:rsid w:val="002424E2"/>
    <w:rsid w:val="00242527"/>
    <w:rsid w:val="0024253A"/>
    <w:rsid w:val="002425AB"/>
    <w:rsid w:val="00242640"/>
    <w:rsid w:val="002426E1"/>
    <w:rsid w:val="002426FE"/>
    <w:rsid w:val="0024289B"/>
    <w:rsid w:val="00242B42"/>
    <w:rsid w:val="00242CA6"/>
    <w:rsid w:val="00242CCD"/>
    <w:rsid w:val="00242D33"/>
    <w:rsid w:val="00242DB6"/>
    <w:rsid w:val="00242E2F"/>
    <w:rsid w:val="00242E4D"/>
    <w:rsid w:val="00242F8F"/>
    <w:rsid w:val="00242FE1"/>
    <w:rsid w:val="0024307A"/>
    <w:rsid w:val="0024307C"/>
    <w:rsid w:val="00243227"/>
    <w:rsid w:val="00243258"/>
    <w:rsid w:val="00243329"/>
    <w:rsid w:val="00243335"/>
    <w:rsid w:val="00243382"/>
    <w:rsid w:val="0024339F"/>
    <w:rsid w:val="002433B4"/>
    <w:rsid w:val="0024344A"/>
    <w:rsid w:val="002435AC"/>
    <w:rsid w:val="0024379A"/>
    <w:rsid w:val="0024381B"/>
    <w:rsid w:val="00243848"/>
    <w:rsid w:val="002438B4"/>
    <w:rsid w:val="00243969"/>
    <w:rsid w:val="0024399C"/>
    <w:rsid w:val="002439C1"/>
    <w:rsid w:val="00243AA3"/>
    <w:rsid w:val="00243B8A"/>
    <w:rsid w:val="00243C66"/>
    <w:rsid w:val="00243CC5"/>
    <w:rsid w:val="00243D1B"/>
    <w:rsid w:val="00243D34"/>
    <w:rsid w:val="00243E42"/>
    <w:rsid w:val="00244022"/>
    <w:rsid w:val="002440DD"/>
    <w:rsid w:val="00244183"/>
    <w:rsid w:val="0024418F"/>
    <w:rsid w:val="002443DD"/>
    <w:rsid w:val="00244526"/>
    <w:rsid w:val="002445E2"/>
    <w:rsid w:val="00244615"/>
    <w:rsid w:val="0024466B"/>
    <w:rsid w:val="002446BD"/>
    <w:rsid w:val="002447CF"/>
    <w:rsid w:val="00244819"/>
    <w:rsid w:val="0024485A"/>
    <w:rsid w:val="002448F2"/>
    <w:rsid w:val="00244A82"/>
    <w:rsid w:val="00244AC5"/>
    <w:rsid w:val="00244AF5"/>
    <w:rsid w:val="00244B77"/>
    <w:rsid w:val="00244BA0"/>
    <w:rsid w:val="00244CC5"/>
    <w:rsid w:val="00244E10"/>
    <w:rsid w:val="00244E4E"/>
    <w:rsid w:val="00244E55"/>
    <w:rsid w:val="00244F2F"/>
    <w:rsid w:val="0024503C"/>
    <w:rsid w:val="0024505E"/>
    <w:rsid w:val="00245135"/>
    <w:rsid w:val="0024514A"/>
    <w:rsid w:val="00245226"/>
    <w:rsid w:val="002453B5"/>
    <w:rsid w:val="0024552E"/>
    <w:rsid w:val="00245553"/>
    <w:rsid w:val="002455C1"/>
    <w:rsid w:val="002455EA"/>
    <w:rsid w:val="0024569F"/>
    <w:rsid w:val="002456EA"/>
    <w:rsid w:val="002457FB"/>
    <w:rsid w:val="0024580B"/>
    <w:rsid w:val="00245856"/>
    <w:rsid w:val="002458AB"/>
    <w:rsid w:val="00245933"/>
    <w:rsid w:val="00245B7A"/>
    <w:rsid w:val="00245D10"/>
    <w:rsid w:val="00245E62"/>
    <w:rsid w:val="00245F7B"/>
    <w:rsid w:val="00246092"/>
    <w:rsid w:val="00246162"/>
    <w:rsid w:val="00246187"/>
    <w:rsid w:val="00246193"/>
    <w:rsid w:val="002461B2"/>
    <w:rsid w:val="00246269"/>
    <w:rsid w:val="00246309"/>
    <w:rsid w:val="00246397"/>
    <w:rsid w:val="002465AC"/>
    <w:rsid w:val="0024660B"/>
    <w:rsid w:val="0024662C"/>
    <w:rsid w:val="002466B7"/>
    <w:rsid w:val="002466F5"/>
    <w:rsid w:val="00246A1B"/>
    <w:rsid w:val="00246B56"/>
    <w:rsid w:val="00246B83"/>
    <w:rsid w:val="00246C48"/>
    <w:rsid w:val="00246D41"/>
    <w:rsid w:val="00246F42"/>
    <w:rsid w:val="00246F91"/>
    <w:rsid w:val="0024702D"/>
    <w:rsid w:val="00247077"/>
    <w:rsid w:val="002470C6"/>
    <w:rsid w:val="00247324"/>
    <w:rsid w:val="0024738E"/>
    <w:rsid w:val="002474F9"/>
    <w:rsid w:val="0024763F"/>
    <w:rsid w:val="00247650"/>
    <w:rsid w:val="00247681"/>
    <w:rsid w:val="00247824"/>
    <w:rsid w:val="00247892"/>
    <w:rsid w:val="002478D2"/>
    <w:rsid w:val="002478E8"/>
    <w:rsid w:val="0024799B"/>
    <w:rsid w:val="002479B3"/>
    <w:rsid w:val="002479CF"/>
    <w:rsid w:val="00247A1A"/>
    <w:rsid w:val="00247A98"/>
    <w:rsid w:val="00247B39"/>
    <w:rsid w:val="00247B3A"/>
    <w:rsid w:val="00247B3C"/>
    <w:rsid w:val="00247D6F"/>
    <w:rsid w:val="00247E0F"/>
    <w:rsid w:val="00247F72"/>
    <w:rsid w:val="0024BF32"/>
    <w:rsid w:val="0025002F"/>
    <w:rsid w:val="0025005B"/>
    <w:rsid w:val="002500C5"/>
    <w:rsid w:val="002503F8"/>
    <w:rsid w:val="00250411"/>
    <w:rsid w:val="0025043F"/>
    <w:rsid w:val="00250481"/>
    <w:rsid w:val="00250503"/>
    <w:rsid w:val="0025064C"/>
    <w:rsid w:val="002506CC"/>
    <w:rsid w:val="0025072F"/>
    <w:rsid w:val="002507B0"/>
    <w:rsid w:val="002507FF"/>
    <w:rsid w:val="00250A1E"/>
    <w:rsid w:val="00250B08"/>
    <w:rsid w:val="00250B58"/>
    <w:rsid w:val="00250DAD"/>
    <w:rsid w:val="00250DE1"/>
    <w:rsid w:val="00250DF8"/>
    <w:rsid w:val="00250E3F"/>
    <w:rsid w:val="00250EE5"/>
    <w:rsid w:val="00250F21"/>
    <w:rsid w:val="00251012"/>
    <w:rsid w:val="002511A3"/>
    <w:rsid w:val="002512B0"/>
    <w:rsid w:val="002512CE"/>
    <w:rsid w:val="00251366"/>
    <w:rsid w:val="00251491"/>
    <w:rsid w:val="00251499"/>
    <w:rsid w:val="002515AA"/>
    <w:rsid w:val="002515CD"/>
    <w:rsid w:val="00251721"/>
    <w:rsid w:val="00251735"/>
    <w:rsid w:val="00251742"/>
    <w:rsid w:val="002517B7"/>
    <w:rsid w:val="002517D4"/>
    <w:rsid w:val="002517EB"/>
    <w:rsid w:val="002518DE"/>
    <w:rsid w:val="00251918"/>
    <w:rsid w:val="00251960"/>
    <w:rsid w:val="00251A1C"/>
    <w:rsid w:val="00251AFD"/>
    <w:rsid w:val="00251B51"/>
    <w:rsid w:val="00251BFC"/>
    <w:rsid w:val="00251C36"/>
    <w:rsid w:val="00251CCD"/>
    <w:rsid w:val="00251D41"/>
    <w:rsid w:val="00251E12"/>
    <w:rsid w:val="00251E48"/>
    <w:rsid w:val="00251EE2"/>
    <w:rsid w:val="00251EE3"/>
    <w:rsid w:val="00251EF8"/>
    <w:rsid w:val="00252006"/>
    <w:rsid w:val="002520AB"/>
    <w:rsid w:val="002520C4"/>
    <w:rsid w:val="00252205"/>
    <w:rsid w:val="00252337"/>
    <w:rsid w:val="0025241F"/>
    <w:rsid w:val="002524E8"/>
    <w:rsid w:val="00252656"/>
    <w:rsid w:val="00252748"/>
    <w:rsid w:val="0025281A"/>
    <w:rsid w:val="002528DF"/>
    <w:rsid w:val="00252A25"/>
    <w:rsid w:val="00252B09"/>
    <w:rsid w:val="00252C53"/>
    <w:rsid w:val="00252C73"/>
    <w:rsid w:val="00252E67"/>
    <w:rsid w:val="00252ED3"/>
    <w:rsid w:val="00253043"/>
    <w:rsid w:val="00253094"/>
    <w:rsid w:val="0025315C"/>
    <w:rsid w:val="00253170"/>
    <w:rsid w:val="0025318F"/>
    <w:rsid w:val="002531C2"/>
    <w:rsid w:val="002531F9"/>
    <w:rsid w:val="0025320B"/>
    <w:rsid w:val="0025331D"/>
    <w:rsid w:val="00253342"/>
    <w:rsid w:val="0025340D"/>
    <w:rsid w:val="0025348F"/>
    <w:rsid w:val="002534A7"/>
    <w:rsid w:val="00253569"/>
    <w:rsid w:val="002535F8"/>
    <w:rsid w:val="002536B9"/>
    <w:rsid w:val="0025373D"/>
    <w:rsid w:val="00253773"/>
    <w:rsid w:val="0025379B"/>
    <w:rsid w:val="002537A6"/>
    <w:rsid w:val="0025380A"/>
    <w:rsid w:val="00253933"/>
    <w:rsid w:val="0025399D"/>
    <w:rsid w:val="00253A64"/>
    <w:rsid w:val="00253A7E"/>
    <w:rsid w:val="00253AA5"/>
    <w:rsid w:val="00253ADE"/>
    <w:rsid w:val="00253C0B"/>
    <w:rsid w:val="00253C53"/>
    <w:rsid w:val="00253CC5"/>
    <w:rsid w:val="00253D32"/>
    <w:rsid w:val="00253E60"/>
    <w:rsid w:val="00253E65"/>
    <w:rsid w:val="00253EED"/>
    <w:rsid w:val="00253F44"/>
    <w:rsid w:val="00254087"/>
    <w:rsid w:val="002540D5"/>
    <w:rsid w:val="00254353"/>
    <w:rsid w:val="00254509"/>
    <w:rsid w:val="00254699"/>
    <w:rsid w:val="0025470F"/>
    <w:rsid w:val="00254711"/>
    <w:rsid w:val="002547DA"/>
    <w:rsid w:val="0025484F"/>
    <w:rsid w:val="00254866"/>
    <w:rsid w:val="0025488A"/>
    <w:rsid w:val="00254A2A"/>
    <w:rsid w:val="00254A73"/>
    <w:rsid w:val="00254A8B"/>
    <w:rsid w:val="00254A9F"/>
    <w:rsid w:val="00254B0F"/>
    <w:rsid w:val="00254B79"/>
    <w:rsid w:val="00254C1C"/>
    <w:rsid w:val="00254C47"/>
    <w:rsid w:val="00254CE6"/>
    <w:rsid w:val="00254E6B"/>
    <w:rsid w:val="00254E89"/>
    <w:rsid w:val="00254F1D"/>
    <w:rsid w:val="00254F34"/>
    <w:rsid w:val="00254F42"/>
    <w:rsid w:val="0025505E"/>
    <w:rsid w:val="00255070"/>
    <w:rsid w:val="002550A6"/>
    <w:rsid w:val="0025520C"/>
    <w:rsid w:val="0025529D"/>
    <w:rsid w:val="002552A5"/>
    <w:rsid w:val="0025530E"/>
    <w:rsid w:val="00255438"/>
    <w:rsid w:val="00255456"/>
    <w:rsid w:val="00255492"/>
    <w:rsid w:val="002554A4"/>
    <w:rsid w:val="002554B7"/>
    <w:rsid w:val="0025551D"/>
    <w:rsid w:val="002556BC"/>
    <w:rsid w:val="002556C8"/>
    <w:rsid w:val="0025572D"/>
    <w:rsid w:val="0025572F"/>
    <w:rsid w:val="0025587D"/>
    <w:rsid w:val="0025595E"/>
    <w:rsid w:val="0025599E"/>
    <w:rsid w:val="00255B55"/>
    <w:rsid w:val="00255C66"/>
    <w:rsid w:val="00255CAB"/>
    <w:rsid w:val="00255CCF"/>
    <w:rsid w:val="00255CFD"/>
    <w:rsid w:val="00255D19"/>
    <w:rsid w:val="00255D4F"/>
    <w:rsid w:val="00255DF8"/>
    <w:rsid w:val="00255EEE"/>
    <w:rsid w:val="00256085"/>
    <w:rsid w:val="0025610D"/>
    <w:rsid w:val="00256172"/>
    <w:rsid w:val="00256173"/>
    <w:rsid w:val="002562A4"/>
    <w:rsid w:val="00256337"/>
    <w:rsid w:val="00256364"/>
    <w:rsid w:val="00256400"/>
    <w:rsid w:val="0025644B"/>
    <w:rsid w:val="002567A8"/>
    <w:rsid w:val="002567E2"/>
    <w:rsid w:val="002568F9"/>
    <w:rsid w:val="00256933"/>
    <w:rsid w:val="00256947"/>
    <w:rsid w:val="00256952"/>
    <w:rsid w:val="00256DDF"/>
    <w:rsid w:val="00257003"/>
    <w:rsid w:val="002570E1"/>
    <w:rsid w:val="00257190"/>
    <w:rsid w:val="0025732B"/>
    <w:rsid w:val="002573F3"/>
    <w:rsid w:val="0025741E"/>
    <w:rsid w:val="0025747A"/>
    <w:rsid w:val="002574F5"/>
    <w:rsid w:val="002575FD"/>
    <w:rsid w:val="00257660"/>
    <w:rsid w:val="00257666"/>
    <w:rsid w:val="00257702"/>
    <w:rsid w:val="00257726"/>
    <w:rsid w:val="002577A9"/>
    <w:rsid w:val="002579DA"/>
    <w:rsid w:val="00257AB9"/>
    <w:rsid w:val="00257AD9"/>
    <w:rsid w:val="00257C25"/>
    <w:rsid w:val="00257D9D"/>
    <w:rsid w:val="00257DFE"/>
    <w:rsid w:val="00257E93"/>
    <w:rsid w:val="00257FC1"/>
    <w:rsid w:val="00257FF4"/>
    <w:rsid w:val="00260048"/>
    <w:rsid w:val="0026005F"/>
    <w:rsid w:val="002600BB"/>
    <w:rsid w:val="002600BD"/>
    <w:rsid w:val="002600FD"/>
    <w:rsid w:val="00260188"/>
    <w:rsid w:val="00260202"/>
    <w:rsid w:val="00260206"/>
    <w:rsid w:val="00260250"/>
    <w:rsid w:val="002602DC"/>
    <w:rsid w:val="0026030C"/>
    <w:rsid w:val="00260489"/>
    <w:rsid w:val="0026053E"/>
    <w:rsid w:val="002605C7"/>
    <w:rsid w:val="002606EB"/>
    <w:rsid w:val="00260779"/>
    <w:rsid w:val="00260820"/>
    <w:rsid w:val="0026084E"/>
    <w:rsid w:val="00260A5F"/>
    <w:rsid w:val="00260B3A"/>
    <w:rsid w:val="00260C97"/>
    <w:rsid w:val="00260CA8"/>
    <w:rsid w:val="00260CFE"/>
    <w:rsid w:val="00260D84"/>
    <w:rsid w:val="00260F2F"/>
    <w:rsid w:val="00261033"/>
    <w:rsid w:val="002611AC"/>
    <w:rsid w:val="002611E8"/>
    <w:rsid w:val="00261210"/>
    <w:rsid w:val="002612DC"/>
    <w:rsid w:val="002612F3"/>
    <w:rsid w:val="0026131B"/>
    <w:rsid w:val="00261411"/>
    <w:rsid w:val="002614CD"/>
    <w:rsid w:val="0026177C"/>
    <w:rsid w:val="00261806"/>
    <w:rsid w:val="00261888"/>
    <w:rsid w:val="0026194E"/>
    <w:rsid w:val="002619CC"/>
    <w:rsid w:val="00261A1E"/>
    <w:rsid w:val="00261A43"/>
    <w:rsid w:val="00261B09"/>
    <w:rsid w:val="00261BA3"/>
    <w:rsid w:val="00261D9E"/>
    <w:rsid w:val="00261EC8"/>
    <w:rsid w:val="00261ED4"/>
    <w:rsid w:val="00261F07"/>
    <w:rsid w:val="00261F1D"/>
    <w:rsid w:val="00261FEA"/>
    <w:rsid w:val="00261FF5"/>
    <w:rsid w:val="00262212"/>
    <w:rsid w:val="00262235"/>
    <w:rsid w:val="00262254"/>
    <w:rsid w:val="0026227E"/>
    <w:rsid w:val="00262420"/>
    <w:rsid w:val="00262536"/>
    <w:rsid w:val="002625DE"/>
    <w:rsid w:val="00262672"/>
    <w:rsid w:val="002629D0"/>
    <w:rsid w:val="002629F4"/>
    <w:rsid w:val="00262B12"/>
    <w:rsid w:val="00262BBB"/>
    <w:rsid w:val="00262BCB"/>
    <w:rsid w:val="00262BF9"/>
    <w:rsid w:val="00262BFD"/>
    <w:rsid w:val="00262CE7"/>
    <w:rsid w:val="00262D4B"/>
    <w:rsid w:val="00262EA3"/>
    <w:rsid w:val="00262FD3"/>
    <w:rsid w:val="00262FDB"/>
    <w:rsid w:val="0026307E"/>
    <w:rsid w:val="002631B1"/>
    <w:rsid w:val="002631BA"/>
    <w:rsid w:val="002631E3"/>
    <w:rsid w:val="00263392"/>
    <w:rsid w:val="002633B0"/>
    <w:rsid w:val="002633FD"/>
    <w:rsid w:val="00263560"/>
    <w:rsid w:val="00263569"/>
    <w:rsid w:val="00263583"/>
    <w:rsid w:val="002635F0"/>
    <w:rsid w:val="00263692"/>
    <w:rsid w:val="002637CD"/>
    <w:rsid w:val="002639A5"/>
    <w:rsid w:val="00263A17"/>
    <w:rsid w:val="00263A60"/>
    <w:rsid w:val="00263AE7"/>
    <w:rsid w:val="00263B28"/>
    <w:rsid w:val="00263BF4"/>
    <w:rsid w:val="00263C22"/>
    <w:rsid w:val="00263C47"/>
    <w:rsid w:val="00263C90"/>
    <w:rsid w:val="00263CC7"/>
    <w:rsid w:val="00263EFE"/>
    <w:rsid w:val="00263F10"/>
    <w:rsid w:val="0026412B"/>
    <w:rsid w:val="002641E0"/>
    <w:rsid w:val="00264212"/>
    <w:rsid w:val="0026425D"/>
    <w:rsid w:val="00264267"/>
    <w:rsid w:val="00264387"/>
    <w:rsid w:val="00264450"/>
    <w:rsid w:val="002644A0"/>
    <w:rsid w:val="0026460D"/>
    <w:rsid w:val="00264635"/>
    <w:rsid w:val="00264692"/>
    <w:rsid w:val="002647E8"/>
    <w:rsid w:val="00264810"/>
    <w:rsid w:val="00264855"/>
    <w:rsid w:val="002648A4"/>
    <w:rsid w:val="002648AB"/>
    <w:rsid w:val="00264937"/>
    <w:rsid w:val="00264B5E"/>
    <w:rsid w:val="00264E89"/>
    <w:rsid w:val="00264E8B"/>
    <w:rsid w:val="00264F1C"/>
    <w:rsid w:val="00264F87"/>
    <w:rsid w:val="0026515F"/>
    <w:rsid w:val="00265197"/>
    <w:rsid w:val="00265288"/>
    <w:rsid w:val="00265374"/>
    <w:rsid w:val="002654B7"/>
    <w:rsid w:val="002654FE"/>
    <w:rsid w:val="0026553C"/>
    <w:rsid w:val="002656EA"/>
    <w:rsid w:val="0026589F"/>
    <w:rsid w:val="00265929"/>
    <w:rsid w:val="00265964"/>
    <w:rsid w:val="00265A11"/>
    <w:rsid w:val="00265AE1"/>
    <w:rsid w:val="00265B16"/>
    <w:rsid w:val="00265B43"/>
    <w:rsid w:val="00265BAB"/>
    <w:rsid w:val="00265BE6"/>
    <w:rsid w:val="00265C19"/>
    <w:rsid w:val="00265C8A"/>
    <w:rsid w:val="00265CF0"/>
    <w:rsid w:val="00265D7D"/>
    <w:rsid w:val="00265DBB"/>
    <w:rsid w:val="00265E0A"/>
    <w:rsid w:val="00265EFB"/>
    <w:rsid w:val="00265F6E"/>
    <w:rsid w:val="00266099"/>
    <w:rsid w:val="00266135"/>
    <w:rsid w:val="0026638F"/>
    <w:rsid w:val="002664B6"/>
    <w:rsid w:val="002664FC"/>
    <w:rsid w:val="00266588"/>
    <w:rsid w:val="00266663"/>
    <w:rsid w:val="00266683"/>
    <w:rsid w:val="002666BB"/>
    <w:rsid w:val="00266726"/>
    <w:rsid w:val="00266758"/>
    <w:rsid w:val="002667BF"/>
    <w:rsid w:val="002669FC"/>
    <w:rsid w:val="00266A2B"/>
    <w:rsid w:val="00266A5A"/>
    <w:rsid w:val="00266BE3"/>
    <w:rsid w:val="00266C07"/>
    <w:rsid w:val="00266C38"/>
    <w:rsid w:val="00266CF3"/>
    <w:rsid w:val="00266D04"/>
    <w:rsid w:val="00266E0B"/>
    <w:rsid w:val="00266FE3"/>
    <w:rsid w:val="0026705C"/>
    <w:rsid w:val="0026727B"/>
    <w:rsid w:val="00267336"/>
    <w:rsid w:val="00267339"/>
    <w:rsid w:val="0026735E"/>
    <w:rsid w:val="002673B4"/>
    <w:rsid w:val="0026754A"/>
    <w:rsid w:val="00267672"/>
    <w:rsid w:val="002676C6"/>
    <w:rsid w:val="002676E8"/>
    <w:rsid w:val="0026777A"/>
    <w:rsid w:val="0026785A"/>
    <w:rsid w:val="00267A8A"/>
    <w:rsid w:val="00267B62"/>
    <w:rsid w:val="00267D38"/>
    <w:rsid w:val="00267E55"/>
    <w:rsid w:val="00267ED2"/>
    <w:rsid w:val="00267F14"/>
    <w:rsid w:val="00267F1A"/>
    <w:rsid w:val="00267F4B"/>
    <w:rsid w:val="00267F53"/>
    <w:rsid w:val="00267F6F"/>
    <w:rsid w:val="00270020"/>
    <w:rsid w:val="002700A1"/>
    <w:rsid w:val="00270262"/>
    <w:rsid w:val="002703EF"/>
    <w:rsid w:val="00270513"/>
    <w:rsid w:val="002705EA"/>
    <w:rsid w:val="002708FB"/>
    <w:rsid w:val="00270905"/>
    <w:rsid w:val="00270BD3"/>
    <w:rsid w:val="00270C99"/>
    <w:rsid w:val="00270CA6"/>
    <w:rsid w:val="00270D66"/>
    <w:rsid w:val="00270E66"/>
    <w:rsid w:val="00270E70"/>
    <w:rsid w:val="00270FED"/>
    <w:rsid w:val="002710F5"/>
    <w:rsid w:val="00271223"/>
    <w:rsid w:val="002712A9"/>
    <w:rsid w:val="00271362"/>
    <w:rsid w:val="002714FD"/>
    <w:rsid w:val="00271597"/>
    <w:rsid w:val="002716BF"/>
    <w:rsid w:val="0027178E"/>
    <w:rsid w:val="002719A1"/>
    <w:rsid w:val="00271AE8"/>
    <w:rsid w:val="00271AFC"/>
    <w:rsid w:val="00271B19"/>
    <w:rsid w:val="00271BAB"/>
    <w:rsid w:val="00271C32"/>
    <w:rsid w:val="00271C44"/>
    <w:rsid w:val="00271D3D"/>
    <w:rsid w:val="00271E38"/>
    <w:rsid w:val="00272265"/>
    <w:rsid w:val="002722F6"/>
    <w:rsid w:val="0027249C"/>
    <w:rsid w:val="002724AB"/>
    <w:rsid w:val="00272551"/>
    <w:rsid w:val="00272635"/>
    <w:rsid w:val="00272736"/>
    <w:rsid w:val="002727F4"/>
    <w:rsid w:val="00272808"/>
    <w:rsid w:val="0027295B"/>
    <w:rsid w:val="00272D1F"/>
    <w:rsid w:val="00272D93"/>
    <w:rsid w:val="00272DD7"/>
    <w:rsid w:val="00272E03"/>
    <w:rsid w:val="00272E9F"/>
    <w:rsid w:val="0027300E"/>
    <w:rsid w:val="002730F6"/>
    <w:rsid w:val="00273140"/>
    <w:rsid w:val="002731F3"/>
    <w:rsid w:val="0027322A"/>
    <w:rsid w:val="00273272"/>
    <w:rsid w:val="002736EA"/>
    <w:rsid w:val="00273712"/>
    <w:rsid w:val="00273766"/>
    <w:rsid w:val="0027380B"/>
    <w:rsid w:val="00273944"/>
    <w:rsid w:val="0027395D"/>
    <w:rsid w:val="00273A4A"/>
    <w:rsid w:val="00273A9F"/>
    <w:rsid w:val="00273AEB"/>
    <w:rsid w:val="00273B6B"/>
    <w:rsid w:val="00273B89"/>
    <w:rsid w:val="00273CA9"/>
    <w:rsid w:val="00273D17"/>
    <w:rsid w:val="00273D51"/>
    <w:rsid w:val="00273D6C"/>
    <w:rsid w:val="00273DB1"/>
    <w:rsid w:val="00273E68"/>
    <w:rsid w:val="00273F10"/>
    <w:rsid w:val="00273F38"/>
    <w:rsid w:val="00273F9F"/>
    <w:rsid w:val="00273FC5"/>
    <w:rsid w:val="00273FD4"/>
    <w:rsid w:val="0027402C"/>
    <w:rsid w:val="002741B3"/>
    <w:rsid w:val="002743A7"/>
    <w:rsid w:val="002743DA"/>
    <w:rsid w:val="002743F3"/>
    <w:rsid w:val="002744CF"/>
    <w:rsid w:val="002746A7"/>
    <w:rsid w:val="002746BC"/>
    <w:rsid w:val="00274798"/>
    <w:rsid w:val="002747F6"/>
    <w:rsid w:val="00274825"/>
    <w:rsid w:val="00274841"/>
    <w:rsid w:val="0027489B"/>
    <w:rsid w:val="002748D1"/>
    <w:rsid w:val="0027493B"/>
    <w:rsid w:val="002749EF"/>
    <w:rsid w:val="00274A18"/>
    <w:rsid w:val="00274AED"/>
    <w:rsid w:val="00274CB7"/>
    <w:rsid w:val="00274EDF"/>
    <w:rsid w:val="00274F3D"/>
    <w:rsid w:val="00274FC7"/>
    <w:rsid w:val="00275032"/>
    <w:rsid w:val="002750C5"/>
    <w:rsid w:val="00275165"/>
    <w:rsid w:val="00275207"/>
    <w:rsid w:val="0027526C"/>
    <w:rsid w:val="00275479"/>
    <w:rsid w:val="00275596"/>
    <w:rsid w:val="002755B3"/>
    <w:rsid w:val="00275631"/>
    <w:rsid w:val="0027574F"/>
    <w:rsid w:val="002757D3"/>
    <w:rsid w:val="0027585D"/>
    <w:rsid w:val="00275900"/>
    <w:rsid w:val="00275956"/>
    <w:rsid w:val="0027598A"/>
    <w:rsid w:val="002759B1"/>
    <w:rsid w:val="00275A9A"/>
    <w:rsid w:val="00275AE2"/>
    <w:rsid w:val="00275B8F"/>
    <w:rsid w:val="00275C27"/>
    <w:rsid w:val="00275C65"/>
    <w:rsid w:val="00275C80"/>
    <w:rsid w:val="00275CD7"/>
    <w:rsid w:val="00275D1A"/>
    <w:rsid w:val="00275D1E"/>
    <w:rsid w:val="00275D7D"/>
    <w:rsid w:val="00275DC7"/>
    <w:rsid w:val="00275E02"/>
    <w:rsid w:val="00275E71"/>
    <w:rsid w:val="0027608B"/>
    <w:rsid w:val="002760F2"/>
    <w:rsid w:val="00276301"/>
    <w:rsid w:val="00276317"/>
    <w:rsid w:val="002763CA"/>
    <w:rsid w:val="002764D8"/>
    <w:rsid w:val="0027652C"/>
    <w:rsid w:val="00276A61"/>
    <w:rsid w:val="00276B72"/>
    <w:rsid w:val="00276BFE"/>
    <w:rsid w:val="00276CDD"/>
    <w:rsid w:val="00276DC2"/>
    <w:rsid w:val="00276E94"/>
    <w:rsid w:val="00276ED8"/>
    <w:rsid w:val="00277052"/>
    <w:rsid w:val="00277073"/>
    <w:rsid w:val="00277264"/>
    <w:rsid w:val="002772D9"/>
    <w:rsid w:val="002774B2"/>
    <w:rsid w:val="002774C1"/>
    <w:rsid w:val="002774E4"/>
    <w:rsid w:val="0027759A"/>
    <w:rsid w:val="00277647"/>
    <w:rsid w:val="0027767F"/>
    <w:rsid w:val="00277703"/>
    <w:rsid w:val="00277773"/>
    <w:rsid w:val="00277799"/>
    <w:rsid w:val="00277801"/>
    <w:rsid w:val="002778C7"/>
    <w:rsid w:val="00277B4B"/>
    <w:rsid w:val="00277B6A"/>
    <w:rsid w:val="00277D7F"/>
    <w:rsid w:val="00277FF0"/>
    <w:rsid w:val="0028005F"/>
    <w:rsid w:val="002800A1"/>
    <w:rsid w:val="002800D2"/>
    <w:rsid w:val="00280139"/>
    <w:rsid w:val="002801AF"/>
    <w:rsid w:val="002801C5"/>
    <w:rsid w:val="00280270"/>
    <w:rsid w:val="00280338"/>
    <w:rsid w:val="002803B8"/>
    <w:rsid w:val="002803D5"/>
    <w:rsid w:val="00280540"/>
    <w:rsid w:val="0028055D"/>
    <w:rsid w:val="002805D2"/>
    <w:rsid w:val="00280643"/>
    <w:rsid w:val="0028064A"/>
    <w:rsid w:val="00280651"/>
    <w:rsid w:val="002806A6"/>
    <w:rsid w:val="00280747"/>
    <w:rsid w:val="00280915"/>
    <w:rsid w:val="002809B3"/>
    <w:rsid w:val="00280A1D"/>
    <w:rsid w:val="00280BFB"/>
    <w:rsid w:val="00280C66"/>
    <w:rsid w:val="00280C7C"/>
    <w:rsid w:val="00280D42"/>
    <w:rsid w:val="00280D5E"/>
    <w:rsid w:val="00280D64"/>
    <w:rsid w:val="00280D77"/>
    <w:rsid w:val="00280DB3"/>
    <w:rsid w:val="00280E3A"/>
    <w:rsid w:val="00280EA3"/>
    <w:rsid w:val="00280EE0"/>
    <w:rsid w:val="00280FF9"/>
    <w:rsid w:val="002810AF"/>
    <w:rsid w:val="002810FA"/>
    <w:rsid w:val="002811CB"/>
    <w:rsid w:val="002812CC"/>
    <w:rsid w:val="00281302"/>
    <w:rsid w:val="0028147C"/>
    <w:rsid w:val="002814C5"/>
    <w:rsid w:val="0028153A"/>
    <w:rsid w:val="00281613"/>
    <w:rsid w:val="002816E0"/>
    <w:rsid w:val="002818A5"/>
    <w:rsid w:val="002819F4"/>
    <w:rsid w:val="00281A1B"/>
    <w:rsid w:val="00281A61"/>
    <w:rsid w:val="00281AF0"/>
    <w:rsid w:val="00281B7B"/>
    <w:rsid w:val="00281BAB"/>
    <w:rsid w:val="00281BE2"/>
    <w:rsid w:val="00281CAF"/>
    <w:rsid w:val="00281CF8"/>
    <w:rsid w:val="00281DD4"/>
    <w:rsid w:val="00281DFA"/>
    <w:rsid w:val="00281E09"/>
    <w:rsid w:val="00281E12"/>
    <w:rsid w:val="00281E41"/>
    <w:rsid w:val="00281E5B"/>
    <w:rsid w:val="00281F9C"/>
    <w:rsid w:val="002821A1"/>
    <w:rsid w:val="002821DC"/>
    <w:rsid w:val="00282235"/>
    <w:rsid w:val="002822B9"/>
    <w:rsid w:val="002822CE"/>
    <w:rsid w:val="00282464"/>
    <w:rsid w:val="002825DB"/>
    <w:rsid w:val="002826F4"/>
    <w:rsid w:val="00282747"/>
    <w:rsid w:val="00282758"/>
    <w:rsid w:val="00282858"/>
    <w:rsid w:val="00282875"/>
    <w:rsid w:val="00282905"/>
    <w:rsid w:val="0028292F"/>
    <w:rsid w:val="00282946"/>
    <w:rsid w:val="0028296D"/>
    <w:rsid w:val="002829F4"/>
    <w:rsid w:val="00282A17"/>
    <w:rsid w:val="00282C09"/>
    <w:rsid w:val="00282C9C"/>
    <w:rsid w:val="00282FD8"/>
    <w:rsid w:val="0028306B"/>
    <w:rsid w:val="002830CF"/>
    <w:rsid w:val="00283100"/>
    <w:rsid w:val="0028311A"/>
    <w:rsid w:val="00283180"/>
    <w:rsid w:val="00283216"/>
    <w:rsid w:val="00283245"/>
    <w:rsid w:val="002832ED"/>
    <w:rsid w:val="00283468"/>
    <w:rsid w:val="00283552"/>
    <w:rsid w:val="00283565"/>
    <w:rsid w:val="002835E5"/>
    <w:rsid w:val="0028365D"/>
    <w:rsid w:val="00283672"/>
    <w:rsid w:val="00283756"/>
    <w:rsid w:val="002837A5"/>
    <w:rsid w:val="00283936"/>
    <w:rsid w:val="00283993"/>
    <w:rsid w:val="002839AD"/>
    <w:rsid w:val="002839E2"/>
    <w:rsid w:val="00283A5C"/>
    <w:rsid w:val="00283B3B"/>
    <w:rsid w:val="00283B79"/>
    <w:rsid w:val="00283C10"/>
    <w:rsid w:val="00283C33"/>
    <w:rsid w:val="00283D42"/>
    <w:rsid w:val="00283DFC"/>
    <w:rsid w:val="00283EE3"/>
    <w:rsid w:val="00283F01"/>
    <w:rsid w:val="00283F77"/>
    <w:rsid w:val="00283FEF"/>
    <w:rsid w:val="00284002"/>
    <w:rsid w:val="00284015"/>
    <w:rsid w:val="0028403B"/>
    <w:rsid w:val="002841C2"/>
    <w:rsid w:val="002841D6"/>
    <w:rsid w:val="0028432F"/>
    <w:rsid w:val="00284388"/>
    <w:rsid w:val="00284496"/>
    <w:rsid w:val="0028449B"/>
    <w:rsid w:val="002845B7"/>
    <w:rsid w:val="0028464B"/>
    <w:rsid w:val="002847EC"/>
    <w:rsid w:val="00284821"/>
    <w:rsid w:val="002849D8"/>
    <w:rsid w:val="00284AE6"/>
    <w:rsid w:val="00284B94"/>
    <w:rsid w:val="00284BF3"/>
    <w:rsid w:val="00284CC4"/>
    <w:rsid w:val="00284D1A"/>
    <w:rsid w:val="00284DE0"/>
    <w:rsid w:val="00284E9D"/>
    <w:rsid w:val="0028511E"/>
    <w:rsid w:val="00285152"/>
    <w:rsid w:val="00285195"/>
    <w:rsid w:val="002851FC"/>
    <w:rsid w:val="002852EE"/>
    <w:rsid w:val="00285323"/>
    <w:rsid w:val="00285376"/>
    <w:rsid w:val="002853A9"/>
    <w:rsid w:val="002853E3"/>
    <w:rsid w:val="00285457"/>
    <w:rsid w:val="00285460"/>
    <w:rsid w:val="0028548A"/>
    <w:rsid w:val="002855AF"/>
    <w:rsid w:val="002855CE"/>
    <w:rsid w:val="0028575A"/>
    <w:rsid w:val="00285868"/>
    <w:rsid w:val="002858D9"/>
    <w:rsid w:val="002859D8"/>
    <w:rsid w:val="00285A62"/>
    <w:rsid w:val="00285C43"/>
    <w:rsid w:val="00285CB9"/>
    <w:rsid w:val="00285CD7"/>
    <w:rsid w:val="00285D52"/>
    <w:rsid w:val="00285EE0"/>
    <w:rsid w:val="00285FA8"/>
    <w:rsid w:val="00285FDF"/>
    <w:rsid w:val="00286170"/>
    <w:rsid w:val="00286282"/>
    <w:rsid w:val="002862CA"/>
    <w:rsid w:val="00286320"/>
    <w:rsid w:val="002863C4"/>
    <w:rsid w:val="00286425"/>
    <w:rsid w:val="0028655A"/>
    <w:rsid w:val="0028659D"/>
    <w:rsid w:val="002865AA"/>
    <w:rsid w:val="00286605"/>
    <w:rsid w:val="00286607"/>
    <w:rsid w:val="002867DB"/>
    <w:rsid w:val="00286809"/>
    <w:rsid w:val="00286934"/>
    <w:rsid w:val="002869F4"/>
    <w:rsid w:val="00286A4F"/>
    <w:rsid w:val="00286AE3"/>
    <w:rsid w:val="00286E5F"/>
    <w:rsid w:val="00286F52"/>
    <w:rsid w:val="002871B0"/>
    <w:rsid w:val="00287240"/>
    <w:rsid w:val="00287276"/>
    <w:rsid w:val="00287299"/>
    <w:rsid w:val="002872D4"/>
    <w:rsid w:val="00287306"/>
    <w:rsid w:val="00287340"/>
    <w:rsid w:val="00287352"/>
    <w:rsid w:val="002873DB"/>
    <w:rsid w:val="00287582"/>
    <w:rsid w:val="0028759B"/>
    <w:rsid w:val="002876AF"/>
    <w:rsid w:val="002878B0"/>
    <w:rsid w:val="002878EA"/>
    <w:rsid w:val="00287937"/>
    <w:rsid w:val="00287939"/>
    <w:rsid w:val="00287956"/>
    <w:rsid w:val="002879D3"/>
    <w:rsid w:val="00287B42"/>
    <w:rsid w:val="00287C3F"/>
    <w:rsid w:val="00287D3B"/>
    <w:rsid w:val="00287D55"/>
    <w:rsid w:val="00287D93"/>
    <w:rsid w:val="00287E24"/>
    <w:rsid w:val="00287E80"/>
    <w:rsid w:val="00287EC2"/>
    <w:rsid w:val="00287FD3"/>
    <w:rsid w:val="00287FD9"/>
    <w:rsid w:val="00287FF2"/>
    <w:rsid w:val="0029007D"/>
    <w:rsid w:val="00290249"/>
    <w:rsid w:val="0029030F"/>
    <w:rsid w:val="00290391"/>
    <w:rsid w:val="002903B2"/>
    <w:rsid w:val="00290471"/>
    <w:rsid w:val="00290533"/>
    <w:rsid w:val="002905B6"/>
    <w:rsid w:val="0029063F"/>
    <w:rsid w:val="002906DB"/>
    <w:rsid w:val="002906F5"/>
    <w:rsid w:val="0029089E"/>
    <w:rsid w:val="00290B33"/>
    <w:rsid w:val="00290BDD"/>
    <w:rsid w:val="00290C0C"/>
    <w:rsid w:val="00290C75"/>
    <w:rsid w:val="00290E1E"/>
    <w:rsid w:val="00290E79"/>
    <w:rsid w:val="00290E9B"/>
    <w:rsid w:val="0029113A"/>
    <w:rsid w:val="002911D4"/>
    <w:rsid w:val="002911EB"/>
    <w:rsid w:val="002912B5"/>
    <w:rsid w:val="002913EE"/>
    <w:rsid w:val="002915D3"/>
    <w:rsid w:val="002915E6"/>
    <w:rsid w:val="0029160E"/>
    <w:rsid w:val="00291664"/>
    <w:rsid w:val="002917BE"/>
    <w:rsid w:val="0029191E"/>
    <w:rsid w:val="0029196B"/>
    <w:rsid w:val="00291981"/>
    <w:rsid w:val="00291A10"/>
    <w:rsid w:val="00291A87"/>
    <w:rsid w:val="00291AF5"/>
    <w:rsid w:val="00291AF7"/>
    <w:rsid w:val="00291B13"/>
    <w:rsid w:val="00291B5F"/>
    <w:rsid w:val="00291D65"/>
    <w:rsid w:val="00291D69"/>
    <w:rsid w:val="00291E2A"/>
    <w:rsid w:val="00291E6B"/>
    <w:rsid w:val="00291EA9"/>
    <w:rsid w:val="00291F17"/>
    <w:rsid w:val="00291FAD"/>
    <w:rsid w:val="00292097"/>
    <w:rsid w:val="002921E9"/>
    <w:rsid w:val="0029231A"/>
    <w:rsid w:val="00292505"/>
    <w:rsid w:val="0029256C"/>
    <w:rsid w:val="002926B4"/>
    <w:rsid w:val="002928DE"/>
    <w:rsid w:val="002928FC"/>
    <w:rsid w:val="00292961"/>
    <w:rsid w:val="0029297C"/>
    <w:rsid w:val="002929E2"/>
    <w:rsid w:val="00292A12"/>
    <w:rsid w:val="00292A16"/>
    <w:rsid w:val="00292A88"/>
    <w:rsid w:val="00292B8D"/>
    <w:rsid w:val="00292C17"/>
    <w:rsid w:val="00292D97"/>
    <w:rsid w:val="00292E8A"/>
    <w:rsid w:val="00292F28"/>
    <w:rsid w:val="00292F90"/>
    <w:rsid w:val="002930A8"/>
    <w:rsid w:val="002931D3"/>
    <w:rsid w:val="002931F5"/>
    <w:rsid w:val="00293248"/>
    <w:rsid w:val="002932CA"/>
    <w:rsid w:val="0029330B"/>
    <w:rsid w:val="00293323"/>
    <w:rsid w:val="0029350B"/>
    <w:rsid w:val="00293535"/>
    <w:rsid w:val="0029353C"/>
    <w:rsid w:val="002938A7"/>
    <w:rsid w:val="002939CD"/>
    <w:rsid w:val="00293A00"/>
    <w:rsid w:val="00293B39"/>
    <w:rsid w:val="00293C65"/>
    <w:rsid w:val="00293CB5"/>
    <w:rsid w:val="00293DAE"/>
    <w:rsid w:val="00293F17"/>
    <w:rsid w:val="00293FEF"/>
    <w:rsid w:val="00294075"/>
    <w:rsid w:val="002940F9"/>
    <w:rsid w:val="002941F1"/>
    <w:rsid w:val="002942B4"/>
    <w:rsid w:val="00294372"/>
    <w:rsid w:val="0029446D"/>
    <w:rsid w:val="002944A5"/>
    <w:rsid w:val="002944F5"/>
    <w:rsid w:val="0029455A"/>
    <w:rsid w:val="00294585"/>
    <w:rsid w:val="00294796"/>
    <w:rsid w:val="0029483E"/>
    <w:rsid w:val="0029485D"/>
    <w:rsid w:val="00294917"/>
    <w:rsid w:val="00294A22"/>
    <w:rsid w:val="00294A30"/>
    <w:rsid w:val="00294B31"/>
    <w:rsid w:val="00294C91"/>
    <w:rsid w:val="00294CE6"/>
    <w:rsid w:val="00294D13"/>
    <w:rsid w:val="00294D64"/>
    <w:rsid w:val="00294E03"/>
    <w:rsid w:val="00294E36"/>
    <w:rsid w:val="00294FB8"/>
    <w:rsid w:val="00295022"/>
    <w:rsid w:val="00295052"/>
    <w:rsid w:val="002951B6"/>
    <w:rsid w:val="002952E7"/>
    <w:rsid w:val="002953B8"/>
    <w:rsid w:val="00295464"/>
    <w:rsid w:val="00295468"/>
    <w:rsid w:val="0029547A"/>
    <w:rsid w:val="002954A2"/>
    <w:rsid w:val="00295513"/>
    <w:rsid w:val="00295639"/>
    <w:rsid w:val="0029568C"/>
    <w:rsid w:val="002956EA"/>
    <w:rsid w:val="0029588C"/>
    <w:rsid w:val="0029592E"/>
    <w:rsid w:val="00295983"/>
    <w:rsid w:val="002959AF"/>
    <w:rsid w:val="00295B7E"/>
    <w:rsid w:val="00295C34"/>
    <w:rsid w:val="00295C8E"/>
    <w:rsid w:val="00295CAE"/>
    <w:rsid w:val="00295D35"/>
    <w:rsid w:val="00296136"/>
    <w:rsid w:val="0029613B"/>
    <w:rsid w:val="0029630C"/>
    <w:rsid w:val="0029638C"/>
    <w:rsid w:val="002963A9"/>
    <w:rsid w:val="0029641B"/>
    <w:rsid w:val="00296452"/>
    <w:rsid w:val="002965D1"/>
    <w:rsid w:val="00296736"/>
    <w:rsid w:val="00296889"/>
    <w:rsid w:val="00296953"/>
    <w:rsid w:val="00296A7B"/>
    <w:rsid w:val="00296B1D"/>
    <w:rsid w:val="00296C0F"/>
    <w:rsid w:val="00296C72"/>
    <w:rsid w:val="00296CD7"/>
    <w:rsid w:val="00296EB1"/>
    <w:rsid w:val="00296F7F"/>
    <w:rsid w:val="00296FBE"/>
    <w:rsid w:val="00296FDD"/>
    <w:rsid w:val="00297044"/>
    <w:rsid w:val="002972C9"/>
    <w:rsid w:val="002973B0"/>
    <w:rsid w:val="002973DD"/>
    <w:rsid w:val="002974AA"/>
    <w:rsid w:val="002974EF"/>
    <w:rsid w:val="00297520"/>
    <w:rsid w:val="002976B7"/>
    <w:rsid w:val="00297733"/>
    <w:rsid w:val="002978BA"/>
    <w:rsid w:val="00297902"/>
    <w:rsid w:val="00297A08"/>
    <w:rsid w:val="00297A71"/>
    <w:rsid w:val="00297B6D"/>
    <w:rsid w:val="00297BFC"/>
    <w:rsid w:val="00297C15"/>
    <w:rsid w:val="00297C87"/>
    <w:rsid w:val="00297CA0"/>
    <w:rsid w:val="00297D08"/>
    <w:rsid w:val="00297DEF"/>
    <w:rsid w:val="00297E24"/>
    <w:rsid w:val="00297EBF"/>
    <w:rsid w:val="00297FF4"/>
    <w:rsid w:val="0029E335"/>
    <w:rsid w:val="002A0023"/>
    <w:rsid w:val="002A0033"/>
    <w:rsid w:val="002A0111"/>
    <w:rsid w:val="002A012C"/>
    <w:rsid w:val="002A01C9"/>
    <w:rsid w:val="002A02AB"/>
    <w:rsid w:val="002A02F3"/>
    <w:rsid w:val="002A03F4"/>
    <w:rsid w:val="002A03FB"/>
    <w:rsid w:val="002A04AD"/>
    <w:rsid w:val="002A0532"/>
    <w:rsid w:val="002A0540"/>
    <w:rsid w:val="002A0557"/>
    <w:rsid w:val="002A05C5"/>
    <w:rsid w:val="002A0772"/>
    <w:rsid w:val="002A07A3"/>
    <w:rsid w:val="002A07AB"/>
    <w:rsid w:val="002A0955"/>
    <w:rsid w:val="002A0959"/>
    <w:rsid w:val="002A0980"/>
    <w:rsid w:val="002A0A1A"/>
    <w:rsid w:val="002A0A50"/>
    <w:rsid w:val="002A0A5F"/>
    <w:rsid w:val="002A0AF2"/>
    <w:rsid w:val="002A0DC5"/>
    <w:rsid w:val="002A0DF5"/>
    <w:rsid w:val="002A0E13"/>
    <w:rsid w:val="002A0E94"/>
    <w:rsid w:val="002A0F88"/>
    <w:rsid w:val="002A0FA9"/>
    <w:rsid w:val="002A0FBC"/>
    <w:rsid w:val="002A10AE"/>
    <w:rsid w:val="002A10E4"/>
    <w:rsid w:val="002A113A"/>
    <w:rsid w:val="002A11B9"/>
    <w:rsid w:val="002A1313"/>
    <w:rsid w:val="002A135E"/>
    <w:rsid w:val="002A143F"/>
    <w:rsid w:val="002A14FE"/>
    <w:rsid w:val="002A1516"/>
    <w:rsid w:val="002A16F8"/>
    <w:rsid w:val="002A17B5"/>
    <w:rsid w:val="002A1824"/>
    <w:rsid w:val="002A1A7E"/>
    <w:rsid w:val="002A1AB2"/>
    <w:rsid w:val="002A1AFE"/>
    <w:rsid w:val="002A1B3C"/>
    <w:rsid w:val="002A1B6B"/>
    <w:rsid w:val="002A1B83"/>
    <w:rsid w:val="002A1BD6"/>
    <w:rsid w:val="002A1C18"/>
    <w:rsid w:val="002A1C44"/>
    <w:rsid w:val="002A1D62"/>
    <w:rsid w:val="002A1D80"/>
    <w:rsid w:val="002A1DD4"/>
    <w:rsid w:val="002A1E03"/>
    <w:rsid w:val="002A1E17"/>
    <w:rsid w:val="002A1F81"/>
    <w:rsid w:val="002A2078"/>
    <w:rsid w:val="002A2311"/>
    <w:rsid w:val="002A2318"/>
    <w:rsid w:val="002A244D"/>
    <w:rsid w:val="002A24F2"/>
    <w:rsid w:val="002A2669"/>
    <w:rsid w:val="002A2716"/>
    <w:rsid w:val="002A2736"/>
    <w:rsid w:val="002A2750"/>
    <w:rsid w:val="002A276F"/>
    <w:rsid w:val="002A2835"/>
    <w:rsid w:val="002A2859"/>
    <w:rsid w:val="002A2879"/>
    <w:rsid w:val="002A2967"/>
    <w:rsid w:val="002A2A4A"/>
    <w:rsid w:val="002A2BAA"/>
    <w:rsid w:val="002A2C41"/>
    <w:rsid w:val="002A2CCF"/>
    <w:rsid w:val="002A2D26"/>
    <w:rsid w:val="002A2D4A"/>
    <w:rsid w:val="002A2DA7"/>
    <w:rsid w:val="002A2DC4"/>
    <w:rsid w:val="002A3010"/>
    <w:rsid w:val="002A30E7"/>
    <w:rsid w:val="002A316F"/>
    <w:rsid w:val="002A323A"/>
    <w:rsid w:val="002A323C"/>
    <w:rsid w:val="002A3324"/>
    <w:rsid w:val="002A338B"/>
    <w:rsid w:val="002A3590"/>
    <w:rsid w:val="002A37EA"/>
    <w:rsid w:val="002A37EE"/>
    <w:rsid w:val="002A3924"/>
    <w:rsid w:val="002A394F"/>
    <w:rsid w:val="002A3A00"/>
    <w:rsid w:val="002A3A9D"/>
    <w:rsid w:val="002A3B4B"/>
    <w:rsid w:val="002A3C1D"/>
    <w:rsid w:val="002A3E0F"/>
    <w:rsid w:val="002A3EE1"/>
    <w:rsid w:val="002A3F60"/>
    <w:rsid w:val="002A3F99"/>
    <w:rsid w:val="002A402B"/>
    <w:rsid w:val="002A415A"/>
    <w:rsid w:val="002A441E"/>
    <w:rsid w:val="002A4523"/>
    <w:rsid w:val="002A4536"/>
    <w:rsid w:val="002A453D"/>
    <w:rsid w:val="002A4586"/>
    <w:rsid w:val="002A461F"/>
    <w:rsid w:val="002A4672"/>
    <w:rsid w:val="002A46D0"/>
    <w:rsid w:val="002A46F8"/>
    <w:rsid w:val="002A47CF"/>
    <w:rsid w:val="002A4852"/>
    <w:rsid w:val="002A4A85"/>
    <w:rsid w:val="002A4CFD"/>
    <w:rsid w:val="002A4D05"/>
    <w:rsid w:val="002A4D0F"/>
    <w:rsid w:val="002A4DC1"/>
    <w:rsid w:val="002A4E31"/>
    <w:rsid w:val="002A4EF4"/>
    <w:rsid w:val="002A4F08"/>
    <w:rsid w:val="002A4F49"/>
    <w:rsid w:val="002A50DB"/>
    <w:rsid w:val="002A5151"/>
    <w:rsid w:val="002A522B"/>
    <w:rsid w:val="002A52C9"/>
    <w:rsid w:val="002A5353"/>
    <w:rsid w:val="002A545A"/>
    <w:rsid w:val="002A5560"/>
    <w:rsid w:val="002A556D"/>
    <w:rsid w:val="002A55B8"/>
    <w:rsid w:val="002A57A6"/>
    <w:rsid w:val="002A57FF"/>
    <w:rsid w:val="002A58AA"/>
    <w:rsid w:val="002A58F3"/>
    <w:rsid w:val="002A590B"/>
    <w:rsid w:val="002A5A66"/>
    <w:rsid w:val="002A5BC6"/>
    <w:rsid w:val="002A5CA8"/>
    <w:rsid w:val="002A5D3D"/>
    <w:rsid w:val="002A5EC5"/>
    <w:rsid w:val="002A604F"/>
    <w:rsid w:val="002A6220"/>
    <w:rsid w:val="002A625A"/>
    <w:rsid w:val="002A6314"/>
    <w:rsid w:val="002A6430"/>
    <w:rsid w:val="002A65F0"/>
    <w:rsid w:val="002A65F8"/>
    <w:rsid w:val="002A675C"/>
    <w:rsid w:val="002A675F"/>
    <w:rsid w:val="002A67F3"/>
    <w:rsid w:val="002A683B"/>
    <w:rsid w:val="002A694E"/>
    <w:rsid w:val="002A69CD"/>
    <w:rsid w:val="002A6BBA"/>
    <w:rsid w:val="002A6CED"/>
    <w:rsid w:val="002A6E42"/>
    <w:rsid w:val="002A6E69"/>
    <w:rsid w:val="002A712A"/>
    <w:rsid w:val="002A71B2"/>
    <w:rsid w:val="002A7223"/>
    <w:rsid w:val="002A7226"/>
    <w:rsid w:val="002A7253"/>
    <w:rsid w:val="002A72AE"/>
    <w:rsid w:val="002A72B0"/>
    <w:rsid w:val="002A72B1"/>
    <w:rsid w:val="002A7349"/>
    <w:rsid w:val="002A7375"/>
    <w:rsid w:val="002A73BB"/>
    <w:rsid w:val="002A7566"/>
    <w:rsid w:val="002A764A"/>
    <w:rsid w:val="002A7720"/>
    <w:rsid w:val="002A7886"/>
    <w:rsid w:val="002A7958"/>
    <w:rsid w:val="002A7A09"/>
    <w:rsid w:val="002A7A8B"/>
    <w:rsid w:val="002A7AED"/>
    <w:rsid w:val="002A7AFA"/>
    <w:rsid w:val="002A7BE4"/>
    <w:rsid w:val="002A7C2E"/>
    <w:rsid w:val="002A7C33"/>
    <w:rsid w:val="002A7C47"/>
    <w:rsid w:val="002A7CE8"/>
    <w:rsid w:val="002A7E15"/>
    <w:rsid w:val="002A7E40"/>
    <w:rsid w:val="002A7EFA"/>
    <w:rsid w:val="002A7FD4"/>
    <w:rsid w:val="002A7FEE"/>
    <w:rsid w:val="002A7FEF"/>
    <w:rsid w:val="002B0012"/>
    <w:rsid w:val="002B0067"/>
    <w:rsid w:val="002B0156"/>
    <w:rsid w:val="002B0309"/>
    <w:rsid w:val="002B0315"/>
    <w:rsid w:val="002B037B"/>
    <w:rsid w:val="002B03D0"/>
    <w:rsid w:val="002B046A"/>
    <w:rsid w:val="002B046F"/>
    <w:rsid w:val="002B04CB"/>
    <w:rsid w:val="002B0552"/>
    <w:rsid w:val="002B05CB"/>
    <w:rsid w:val="002B0788"/>
    <w:rsid w:val="002B07D9"/>
    <w:rsid w:val="002B08AA"/>
    <w:rsid w:val="002B08D6"/>
    <w:rsid w:val="002B097F"/>
    <w:rsid w:val="002B0AAF"/>
    <w:rsid w:val="002B0AD7"/>
    <w:rsid w:val="002B0CCA"/>
    <w:rsid w:val="002B0D24"/>
    <w:rsid w:val="002B0D60"/>
    <w:rsid w:val="002B0D98"/>
    <w:rsid w:val="002B0DAF"/>
    <w:rsid w:val="002B0FC0"/>
    <w:rsid w:val="002B1020"/>
    <w:rsid w:val="002B1053"/>
    <w:rsid w:val="002B114D"/>
    <w:rsid w:val="002B119B"/>
    <w:rsid w:val="002B11D4"/>
    <w:rsid w:val="002B11E9"/>
    <w:rsid w:val="002B11F7"/>
    <w:rsid w:val="002B132A"/>
    <w:rsid w:val="002B13C8"/>
    <w:rsid w:val="002B149D"/>
    <w:rsid w:val="002B1672"/>
    <w:rsid w:val="002B172D"/>
    <w:rsid w:val="002B1A2E"/>
    <w:rsid w:val="002B1B91"/>
    <w:rsid w:val="002B1CE8"/>
    <w:rsid w:val="002B1CFC"/>
    <w:rsid w:val="002B1E7A"/>
    <w:rsid w:val="002B1E89"/>
    <w:rsid w:val="002B1EDF"/>
    <w:rsid w:val="002B1F26"/>
    <w:rsid w:val="002B2000"/>
    <w:rsid w:val="002B213D"/>
    <w:rsid w:val="002B2253"/>
    <w:rsid w:val="002B22F5"/>
    <w:rsid w:val="002B2438"/>
    <w:rsid w:val="002B248C"/>
    <w:rsid w:val="002B256C"/>
    <w:rsid w:val="002B269C"/>
    <w:rsid w:val="002B2705"/>
    <w:rsid w:val="002B27FF"/>
    <w:rsid w:val="002B2816"/>
    <w:rsid w:val="002B2853"/>
    <w:rsid w:val="002B288F"/>
    <w:rsid w:val="002B28E8"/>
    <w:rsid w:val="002B29A1"/>
    <w:rsid w:val="002B29AC"/>
    <w:rsid w:val="002B29AF"/>
    <w:rsid w:val="002B2AAB"/>
    <w:rsid w:val="002B2AF4"/>
    <w:rsid w:val="002B2C29"/>
    <w:rsid w:val="002B2C68"/>
    <w:rsid w:val="002B2DF1"/>
    <w:rsid w:val="002B2E4B"/>
    <w:rsid w:val="002B2E9A"/>
    <w:rsid w:val="002B2EC8"/>
    <w:rsid w:val="002B2F77"/>
    <w:rsid w:val="002B2FFA"/>
    <w:rsid w:val="002B3070"/>
    <w:rsid w:val="002B30CA"/>
    <w:rsid w:val="002B316F"/>
    <w:rsid w:val="002B320F"/>
    <w:rsid w:val="002B3234"/>
    <w:rsid w:val="002B3269"/>
    <w:rsid w:val="002B326E"/>
    <w:rsid w:val="002B32C9"/>
    <w:rsid w:val="002B3317"/>
    <w:rsid w:val="002B336C"/>
    <w:rsid w:val="002B3448"/>
    <w:rsid w:val="002B3455"/>
    <w:rsid w:val="002B3517"/>
    <w:rsid w:val="002B35F0"/>
    <w:rsid w:val="002B3653"/>
    <w:rsid w:val="002B3758"/>
    <w:rsid w:val="002B37C8"/>
    <w:rsid w:val="002B38A6"/>
    <w:rsid w:val="002B38F5"/>
    <w:rsid w:val="002B39F6"/>
    <w:rsid w:val="002B3AE8"/>
    <w:rsid w:val="002B3B03"/>
    <w:rsid w:val="002B3B2E"/>
    <w:rsid w:val="002B3B49"/>
    <w:rsid w:val="002B3DB7"/>
    <w:rsid w:val="002B3E2A"/>
    <w:rsid w:val="002B3E7D"/>
    <w:rsid w:val="002B3F91"/>
    <w:rsid w:val="002B4046"/>
    <w:rsid w:val="002B4054"/>
    <w:rsid w:val="002B4146"/>
    <w:rsid w:val="002B4303"/>
    <w:rsid w:val="002B433A"/>
    <w:rsid w:val="002B439C"/>
    <w:rsid w:val="002B43B4"/>
    <w:rsid w:val="002B43C0"/>
    <w:rsid w:val="002B43E0"/>
    <w:rsid w:val="002B447D"/>
    <w:rsid w:val="002B44CC"/>
    <w:rsid w:val="002B450A"/>
    <w:rsid w:val="002B4621"/>
    <w:rsid w:val="002B46E6"/>
    <w:rsid w:val="002B46FA"/>
    <w:rsid w:val="002B4726"/>
    <w:rsid w:val="002B48EB"/>
    <w:rsid w:val="002B49B3"/>
    <w:rsid w:val="002B4B0B"/>
    <w:rsid w:val="002B4DB9"/>
    <w:rsid w:val="002B4F07"/>
    <w:rsid w:val="002B4F0C"/>
    <w:rsid w:val="002B5076"/>
    <w:rsid w:val="002B5239"/>
    <w:rsid w:val="002B535E"/>
    <w:rsid w:val="002B53AC"/>
    <w:rsid w:val="002B54C2"/>
    <w:rsid w:val="002B5615"/>
    <w:rsid w:val="002B5838"/>
    <w:rsid w:val="002B585D"/>
    <w:rsid w:val="002B5865"/>
    <w:rsid w:val="002B5A11"/>
    <w:rsid w:val="002B5AC7"/>
    <w:rsid w:val="002B5B31"/>
    <w:rsid w:val="002B5B88"/>
    <w:rsid w:val="002B5C07"/>
    <w:rsid w:val="002B5DAA"/>
    <w:rsid w:val="002B5DBB"/>
    <w:rsid w:val="002B5E50"/>
    <w:rsid w:val="002B5FDE"/>
    <w:rsid w:val="002B5FEA"/>
    <w:rsid w:val="002B6022"/>
    <w:rsid w:val="002B6057"/>
    <w:rsid w:val="002B605D"/>
    <w:rsid w:val="002B6072"/>
    <w:rsid w:val="002B60A1"/>
    <w:rsid w:val="002B6223"/>
    <w:rsid w:val="002B625D"/>
    <w:rsid w:val="002B631B"/>
    <w:rsid w:val="002B63B7"/>
    <w:rsid w:val="002B63D8"/>
    <w:rsid w:val="002B6416"/>
    <w:rsid w:val="002B64DB"/>
    <w:rsid w:val="002B650E"/>
    <w:rsid w:val="002B6668"/>
    <w:rsid w:val="002B66CC"/>
    <w:rsid w:val="002B674F"/>
    <w:rsid w:val="002B6819"/>
    <w:rsid w:val="002B6835"/>
    <w:rsid w:val="002B6917"/>
    <w:rsid w:val="002B6960"/>
    <w:rsid w:val="002B6964"/>
    <w:rsid w:val="002B6965"/>
    <w:rsid w:val="002B6A04"/>
    <w:rsid w:val="002B6A50"/>
    <w:rsid w:val="002B6CDD"/>
    <w:rsid w:val="002B6D2A"/>
    <w:rsid w:val="002B6D96"/>
    <w:rsid w:val="002B6D9B"/>
    <w:rsid w:val="002B6F08"/>
    <w:rsid w:val="002B6F1D"/>
    <w:rsid w:val="002B6F1F"/>
    <w:rsid w:val="002B70C1"/>
    <w:rsid w:val="002B72E2"/>
    <w:rsid w:val="002B7308"/>
    <w:rsid w:val="002B7480"/>
    <w:rsid w:val="002B751A"/>
    <w:rsid w:val="002B7552"/>
    <w:rsid w:val="002B7576"/>
    <w:rsid w:val="002B75D0"/>
    <w:rsid w:val="002B7687"/>
    <w:rsid w:val="002B7693"/>
    <w:rsid w:val="002B77CC"/>
    <w:rsid w:val="002B78FE"/>
    <w:rsid w:val="002B79AC"/>
    <w:rsid w:val="002B7A3D"/>
    <w:rsid w:val="002B7A44"/>
    <w:rsid w:val="002B7A60"/>
    <w:rsid w:val="002B7A70"/>
    <w:rsid w:val="002B7ABF"/>
    <w:rsid w:val="002B7B80"/>
    <w:rsid w:val="002B7C63"/>
    <w:rsid w:val="002C009C"/>
    <w:rsid w:val="002C0204"/>
    <w:rsid w:val="002C02C6"/>
    <w:rsid w:val="002C0426"/>
    <w:rsid w:val="002C0439"/>
    <w:rsid w:val="002C0451"/>
    <w:rsid w:val="002C0506"/>
    <w:rsid w:val="002C05A0"/>
    <w:rsid w:val="002C061A"/>
    <w:rsid w:val="002C066A"/>
    <w:rsid w:val="002C086F"/>
    <w:rsid w:val="002C0885"/>
    <w:rsid w:val="002C0A60"/>
    <w:rsid w:val="002C0A82"/>
    <w:rsid w:val="002C0AA5"/>
    <w:rsid w:val="002C0AE4"/>
    <w:rsid w:val="002C0AE7"/>
    <w:rsid w:val="002C0B02"/>
    <w:rsid w:val="002C0BB6"/>
    <w:rsid w:val="002C0C56"/>
    <w:rsid w:val="002C0E03"/>
    <w:rsid w:val="002C1061"/>
    <w:rsid w:val="002C10D1"/>
    <w:rsid w:val="002C1187"/>
    <w:rsid w:val="002C119F"/>
    <w:rsid w:val="002C1218"/>
    <w:rsid w:val="002C121D"/>
    <w:rsid w:val="002C1293"/>
    <w:rsid w:val="002C12B2"/>
    <w:rsid w:val="002C12DE"/>
    <w:rsid w:val="002C131E"/>
    <w:rsid w:val="002C1356"/>
    <w:rsid w:val="002C1390"/>
    <w:rsid w:val="002C13EB"/>
    <w:rsid w:val="002C13F5"/>
    <w:rsid w:val="002C1420"/>
    <w:rsid w:val="002C1549"/>
    <w:rsid w:val="002C1559"/>
    <w:rsid w:val="002C162B"/>
    <w:rsid w:val="002C166C"/>
    <w:rsid w:val="002C174D"/>
    <w:rsid w:val="002C17DA"/>
    <w:rsid w:val="002C17E2"/>
    <w:rsid w:val="002C1866"/>
    <w:rsid w:val="002C18CC"/>
    <w:rsid w:val="002C18D0"/>
    <w:rsid w:val="002C1978"/>
    <w:rsid w:val="002C1A19"/>
    <w:rsid w:val="002C1BBF"/>
    <w:rsid w:val="002C1C47"/>
    <w:rsid w:val="002C1E60"/>
    <w:rsid w:val="002C1ED0"/>
    <w:rsid w:val="002C1F20"/>
    <w:rsid w:val="002C1FF9"/>
    <w:rsid w:val="002C204E"/>
    <w:rsid w:val="002C2174"/>
    <w:rsid w:val="002C21ED"/>
    <w:rsid w:val="002C2225"/>
    <w:rsid w:val="002C2318"/>
    <w:rsid w:val="002C2390"/>
    <w:rsid w:val="002C23E4"/>
    <w:rsid w:val="002C24A2"/>
    <w:rsid w:val="002C26B8"/>
    <w:rsid w:val="002C2738"/>
    <w:rsid w:val="002C27A0"/>
    <w:rsid w:val="002C27A4"/>
    <w:rsid w:val="002C28A0"/>
    <w:rsid w:val="002C28E6"/>
    <w:rsid w:val="002C2900"/>
    <w:rsid w:val="002C29C5"/>
    <w:rsid w:val="002C2A63"/>
    <w:rsid w:val="002C2A80"/>
    <w:rsid w:val="002C2CF8"/>
    <w:rsid w:val="002C2D42"/>
    <w:rsid w:val="002C2DF4"/>
    <w:rsid w:val="002C300E"/>
    <w:rsid w:val="002C3076"/>
    <w:rsid w:val="002C318A"/>
    <w:rsid w:val="002C31D1"/>
    <w:rsid w:val="002C32B2"/>
    <w:rsid w:val="002C339A"/>
    <w:rsid w:val="002C34F0"/>
    <w:rsid w:val="002C3507"/>
    <w:rsid w:val="002C3515"/>
    <w:rsid w:val="002C3516"/>
    <w:rsid w:val="002C362A"/>
    <w:rsid w:val="002C3644"/>
    <w:rsid w:val="002C36E5"/>
    <w:rsid w:val="002C377C"/>
    <w:rsid w:val="002C3790"/>
    <w:rsid w:val="002C3825"/>
    <w:rsid w:val="002C3871"/>
    <w:rsid w:val="002C390D"/>
    <w:rsid w:val="002C3916"/>
    <w:rsid w:val="002C3932"/>
    <w:rsid w:val="002C39C5"/>
    <w:rsid w:val="002C3A92"/>
    <w:rsid w:val="002C3AE8"/>
    <w:rsid w:val="002C3B2A"/>
    <w:rsid w:val="002C3B60"/>
    <w:rsid w:val="002C3B78"/>
    <w:rsid w:val="002C3C8C"/>
    <w:rsid w:val="002C3D58"/>
    <w:rsid w:val="002C3D96"/>
    <w:rsid w:val="002C3DE5"/>
    <w:rsid w:val="002C3E2E"/>
    <w:rsid w:val="002C3EA4"/>
    <w:rsid w:val="002C4016"/>
    <w:rsid w:val="002C4073"/>
    <w:rsid w:val="002C40B1"/>
    <w:rsid w:val="002C419F"/>
    <w:rsid w:val="002C41D2"/>
    <w:rsid w:val="002C41EB"/>
    <w:rsid w:val="002C4413"/>
    <w:rsid w:val="002C4439"/>
    <w:rsid w:val="002C4646"/>
    <w:rsid w:val="002C46FB"/>
    <w:rsid w:val="002C4769"/>
    <w:rsid w:val="002C4790"/>
    <w:rsid w:val="002C47D1"/>
    <w:rsid w:val="002C4AA7"/>
    <w:rsid w:val="002C4B80"/>
    <w:rsid w:val="002C4D05"/>
    <w:rsid w:val="002C4D13"/>
    <w:rsid w:val="002C4E03"/>
    <w:rsid w:val="002C5128"/>
    <w:rsid w:val="002C5195"/>
    <w:rsid w:val="002C51B8"/>
    <w:rsid w:val="002C5517"/>
    <w:rsid w:val="002C583A"/>
    <w:rsid w:val="002C58E1"/>
    <w:rsid w:val="002C5B16"/>
    <w:rsid w:val="002C5B89"/>
    <w:rsid w:val="002C5CBA"/>
    <w:rsid w:val="002C5CE8"/>
    <w:rsid w:val="002C5E41"/>
    <w:rsid w:val="002C5E9B"/>
    <w:rsid w:val="002C5ED3"/>
    <w:rsid w:val="002C5F75"/>
    <w:rsid w:val="002C6165"/>
    <w:rsid w:val="002C616D"/>
    <w:rsid w:val="002C6234"/>
    <w:rsid w:val="002C6299"/>
    <w:rsid w:val="002C62C9"/>
    <w:rsid w:val="002C636E"/>
    <w:rsid w:val="002C6461"/>
    <w:rsid w:val="002C66B4"/>
    <w:rsid w:val="002C6708"/>
    <w:rsid w:val="002C67F5"/>
    <w:rsid w:val="002C6944"/>
    <w:rsid w:val="002C69AE"/>
    <w:rsid w:val="002C6AFB"/>
    <w:rsid w:val="002C6B48"/>
    <w:rsid w:val="002C6DB2"/>
    <w:rsid w:val="002C6DBA"/>
    <w:rsid w:val="002C6EC4"/>
    <w:rsid w:val="002C6F15"/>
    <w:rsid w:val="002C6F74"/>
    <w:rsid w:val="002C6FC4"/>
    <w:rsid w:val="002C7056"/>
    <w:rsid w:val="002C707D"/>
    <w:rsid w:val="002C70C0"/>
    <w:rsid w:val="002C70FB"/>
    <w:rsid w:val="002C7324"/>
    <w:rsid w:val="002C745E"/>
    <w:rsid w:val="002C7528"/>
    <w:rsid w:val="002C77C8"/>
    <w:rsid w:val="002C77F3"/>
    <w:rsid w:val="002C77FA"/>
    <w:rsid w:val="002C78C0"/>
    <w:rsid w:val="002C78CC"/>
    <w:rsid w:val="002C7BCC"/>
    <w:rsid w:val="002C7BE9"/>
    <w:rsid w:val="002C7CAE"/>
    <w:rsid w:val="002C7D12"/>
    <w:rsid w:val="002C7D26"/>
    <w:rsid w:val="002C7FE1"/>
    <w:rsid w:val="002C7FF7"/>
    <w:rsid w:val="002D0071"/>
    <w:rsid w:val="002D015C"/>
    <w:rsid w:val="002D0624"/>
    <w:rsid w:val="002D06A1"/>
    <w:rsid w:val="002D07B6"/>
    <w:rsid w:val="002D09CB"/>
    <w:rsid w:val="002D09DC"/>
    <w:rsid w:val="002D0A44"/>
    <w:rsid w:val="002D0B08"/>
    <w:rsid w:val="002D0D71"/>
    <w:rsid w:val="002D0D9A"/>
    <w:rsid w:val="002D0DC6"/>
    <w:rsid w:val="002D0E03"/>
    <w:rsid w:val="002D100D"/>
    <w:rsid w:val="002D10EC"/>
    <w:rsid w:val="002D1243"/>
    <w:rsid w:val="002D13AB"/>
    <w:rsid w:val="002D1472"/>
    <w:rsid w:val="002D1477"/>
    <w:rsid w:val="002D147C"/>
    <w:rsid w:val="002D17FD"/>
    <w:rsid w:val="002D191E"/>
    <w:rsid w:val="002D194F"/>
    <w:rsid w:val="002D1A25"/>
    <w:rsid w:val="002D1A52"/>
    <w:rsid w:val="002D1AA2"/>
    <w:rsid w:val="002D1B35"/>
    <w:rsid w:val="002D1C2E"/>
    <w:rsid w:val="002D1C55"/>
    <w:rsid w:val="002D1CCE"/>
    <w:rsid w:val="002D1E44"/>
    <w:rsid w:val="002D1E7F"/>
    <w:rsid w:val="002D1EF7"/>
    <w:rsid w:val="002D1FE5"/>
    <w:rsid w:val="002D1FFF"/>
    <w:rsid w:val="002D207A"/>
    <w:rsid w:val="002D2134"/>
    <w:rsid w:val="002D214C"/>
    <w:rsid w:val="002D21FB"/>
    <w:rsid w:val="002D2357"/>
    <w:rsid w:val="002D23A2"/>
    <w:rsid w:val="002D24CF"/>
    <w:rsid w:val="002D25E8"/>
    <w:rsid w:val="002D26CB"/>
    <w:rsid w:val="002D26EC"/>
    <w:rsid w:val="002D27CA"/>
    <w:rsid w:val="002D2809"/>
    <w:rsid w:val="002D2815"/>
    <w:rsid w:val="002D289B"/>
    <w:rsid w:val="002D28C4"/>
    <w:rsid w:val="002D29ED"/>
    <w:rsid w:val="002D2A48"/>
    <w:rsid w:val="002D2A5A"/>
    <w:rsid w:val="002D2A6A"/>
    <w:rsid w:val="002D2A9D"/>
    <w:rsid w:val="002D2C20"/>
    <w:rsid w:val="002D2C5D"/>
    <w:rsid w:val="002D2DA7"/>
    <w:rsid w:val="002D2E29"/>
    <w:rsid w:val="002D2F7C"/>
    <w:rsid w:val="002D2FB1"/>
    <w:rsid w:val="002D31A2"/>
    <w:rsid w:val="002D31C3"/>
    <w:rsid w:val="002D3243"/>
    <w:rsid w:val="002D3251"/>
    <w:rsid w:val="002D32A7"/>
    <w:rsid w:val="002D3327"/>
    <w:rsid w:val="002D33C4"/>
    <w:rsid w:val="002D3516"/>
    <w:rsid w:val="002D3554"/>
    <w:rsid w:val="002D3669"/>
    <w:rsid w:val="002D376A"/>
    <w:rsid w:val="002D37B5"/>
    <w:rsid w:val="002D37D5"/>
    <w:rsid w:val="002D38A3"/>
    <w:rsid w:val="002D38B9"/>
    <w:rsid w:val="002D3A3E"/>
    <w:rsid w:val="002D3BB4"/>
    <w:rsid w:val="002D3D89"/>
    <w:rsid w:val="002D3DF4"/>
    <w:rsid w:val="002D3EFD"/>
    <w:rsid w:val="002D4017"/>
    <w:rsid w:val="002D4038"/>
    <w:rsid w:val="002D4070"/>
    <w:rsid w:val="002D421A"/>
    <w:rsid w:val="002D43BA"/>
    <w:rsid w:val="002D443D"/>
    <w:rsid w:val="002D444E"/>
    <w:rsid w:val="002D4483"/>
    <w:rsid w:val="002D44CA"/>
    <w:rsid w:val="002D458A"/>
    <w:rsid w:val="002D45A0"/>
    <w:rsid w:val="002D45AD"/>
    <w:rsid w:val="002D45C5"/>
    <w:rsid w:val="002D45D5"/>
    <w:rsid w:val="002D4637"/>
    <w:rsid w:val="002D4667"/>
    <w:rsid w:val="002D47A3"/>
    <w:rsid w:val="002D4822"/>
    <w:rsid w:val="002D4873"/>
    <w:rsid w:val="002D4899"/>
    <w:rsid w:val="002D48A8"/>
    <w:rsid w:val="002D48AC"/>
    <w:rsid w:val="002D48C8"/>
    <w:rsid w:val="002D4963"/>
    <w:rsid w:val="002D4A5B"/>
    <w:rsid w:val="002D4A6D"/>
    <w:rsid w:val="002D4AC0"/>
    <w:rsid w:val="002D4B3A"/>
    <w:rsid w:val="002D4B63"/>
    <w:rsid w:val="002D4C12"/>
    <w:rsid w:val="002D4CAF"/>
    <w:rsid w:val="002D4CCA"/>
    <w:rsid w:val="002D4D2B"/>
    <w:rsid w:val="002D4D65"/>
    <w:rsid w:val="002D4D9C"/>
    <w:rsid w:val="002D4E08"/>
    <w:rsid w:val="002D4E80"/>
    <w:rsid w:val="002D4E85"/>
    <w:rsid w:val="002D4F83"/>
    <w:rsid w:val="002D4FE8"/>
    <w:rsid w:val="002D5040"/>
    <w:rsid w:val="002D51E1"/>
    <w:rsid w:val="002D5204"/>
    <w:rsid w:val="002D5231"/>
    <w:rsid w:val="002D523A"/>
    <w:rsid w:val="002D535F"/>
    <w:rsid w:val="002D539A"/>
    <w:rsid w:val="002D5443"/>
    <w:rsid w:val="002D54A5"/>
    <w:rsid w:val="002D54C1"/>
    <w:rsid w:val="002D55DD"/>
    <w:rsid w:val="002D5846"/>
    <w:rsid w:val="002D5899"/>
    <w:rsid w:val="002D58B1"/>
    <w:rsid w:val="002D58D1"/>
    <w:rsid w:val="002D598B"/>
    <w:rsid w:val="002D59C7"/>
    <w:rsid w:val="002D5A93"/>
    <w:rsid w:val="002D5AA6"/>
    <w:rsid w:val="002D5B10"/>
    <w:rsid w:val="002D5B58"/>
    <w:rsid w:val="002D5BFF"/>
    <w:rsid w:val="002D5C15"/>
    <w:rsid w:val="002D5D95"/>
    <w:rsid w:val="002D5DA2"/>
    <w:rsid w:val="002D5E89"/>
    <w:rsid w:val="002D5F42"/>
    <w:rsid w:val="002D5F87"/>
    <w:rsid w:val="002D5FEA"/>
    <w:rsid w:val="002D5FEF"/>
    <w:rsid w:val="002D601E"/>
    <w:rsid w:val="002D604C"/>
    <w:rsid w:val="002D6067"/>
    <w:rsid w:val="002D6215"/>
    <w:rsid w:val="002D6428"/>
    <w:rsid w:val="002D6453"/>
    <w:rsid w:val="002D64D6"/>
    <w:rsid w:val="002D65FA"/>
    <w:rsid w:val="002D6861"/>
    <w:rsid w:val="002D6A54"/>
    <w:rsid w:val="002D6AA5"/>
    <w:rsid w:val="002D6B20"/>
    <w:rsid w:val="002D6BCF"/>
    <w:rsid w:val="002D6C08"/>
    <w:rsid w:val="002D6C35"/>
    <w:rsid w:val="002D6C5D"/>
    <w:rsid w:val="002D6F79"/>
    <w:rsid w:val="002D70A5"/>
    <w:rsid w:val="002D71CF"/>
    <w:rsid w:val="002D721D"/>
    <w:rsid w:val="002D7286"/>
    <w:rsid w:val="002D7359"/>
    <w:rsid w:val="002D737B"/>
    <w:rsid w:val="002D744C"/>
    <w:rsid w:val="002D764D"/>
    <w:rsid w:val="002D765F"/>
    <w:rsid w:val="002D76CD"/>
    <w:rsid w:val="002D770B"/>
    <w:rsid w:val="002D78F8"/>
    <w:rsid w:val="002D792D"/>
    <w:rsid w:val="002D795A"/>
    <w:rsid w:val="002D79D3"/>
    <w:rsid w:val="002D7AED"/>
    <w:rsid w:val="002D7AFC"/>
    <w:rsid w:val="002D7B3E"/>
    <w:rsid w:val="002D7BCD"/>
    <w:rsid w:val="002D7CE7"/>
    <w:rsid w:val="002D7D31"/>
    <w:rsid w:val="002D7DB3"/>
    <w:rsid w:val="002D7E47"/>
    <w:rsid w:val="002D7F51"/>
    <w:rsid w:val="002D7FEE"/>
    <w:rsid w:val="002E0061"/>
    <w:rsid w:val="002E0075"/>
    <w:rsid w:val="002E0109"/>
    <w:rsid w:val="002E030E"/>
    <w:rsid w:val="002E033E"/>
    <w:rsid w:val="002E0506"/>
    <w:rsid w:val="002E0507"/>
    <w:rsid w:val="002E0559"/>
    <w:rsid w:val="002E05EF"/>
    <w:rsid w:val="002E06EC"/>
    <w:rsid w:val="002E06F3"/>
    <w:rsid w:val="002E072A"/>
    <w:rsid w:val="002E07B1"/>
    <w:rsid w:val="002E089D"/>
    <w:rsid w:val="002E08A8"/>
    <w:rsid w:val="002E08B0"/>
    <w:rsid w:val="002E08E9"/>
    <w:rsid w:val="002E09AD"/>
    <w:rsid w:val="002E0A66"/>
    <w:rsid w:val="002E0BA7"/>
    <w:rsid w:val="002E0BB5"/>
    <w:rsid w:val="002E0C6C"/>
    <w:rsid w:val="002E0CB8"/>
    <w:rsid w:val="002E0DB5"/>
    <w:rsid w:val="002E0EB2"/>
    <w:rsid w:val="002E0F51"/>
    <w:rsid w:val="002E0FF1"/>
    <w:rsid w:val="002E116D"/>
    <w:rsid w:val="002E124D"/>
    <w:rsid w:val="002E1294"/>
    <w:rsid w:val="002E12B6"/>
    <w:rsid w:val="002E12FD"/>
    <w:rsid w:val="002E1307"/>
    <w:rsid w:val="002E14EE"/>
    <w:rsid w:val="002E153B"/>
    <w:rsid w:val="002E16ED"/>
    <w:rsid w:val="002E175C"/>
    <w:rsid w:val="002E187D"/>
    <w:rsid w:val="002E18EF"/>
    <w:rsid w:val="002E1999"/>
    <w:rsid w:val="002E19AE"/>
    <w:rsid w:val="002E1A36"/>
    <w:rsid w:val="002E1A37"/>
    <w:rsid w:val="002E1AC8"/>
    <w:rsid w:val="002E1ACE"/>
    <w:rsid w:val="002E1BA4"/>
    <w:rsid w:val="002E1BDE"/>
    <w:rsid w:val="002E1C22"/>
    <w:rsid w:val="002E1D8D"/>
    <w:rsid w:val="002E1E25"/>
    <w:rsid w:val="002E1F8C"/>
    <w:rsid w:val="002E1FCB"/>
    <w:rsid w:val="002E2043"/>
    <w:rsid w:val="002E22CE"/>
    <w:rsid w:val="002E2361"/>
    <w:rsid w:val="002E23AA"/>
    <w:rsid w:val="002E23CF"/>
    <w:rsid w:val="002E2415"/>
    <w:rsid w:val="002E25AF"/>
    <w:rsid w:val="002E2616"/>
    <w:rsid w:val="002E2653"/>
    <w:rsid w:val="002E26D8"/>
    <w:rsid w:val="002E27FA"/>
    <w:rsid w:val="002E284A"/>
    <w:rsid w:val="002E28B4"/>
    <w:rsid w:val="002E2A9B"/>
    <w:rsid w:val="002E2B0C"/>
    <w:rsid w:val="002E2B95"/>
    <w:rsid w:val="002E2C10"/>
    <w:rsid w:val="002E2C5A"/>
    <w:rsid w:val="002E2CFC"/>
    <w:rsid w:val="002E2D02"/>
    <w:rsid w:val="002E2D6F"/>
    <w:rsid w:val="002E2E38"/>
    <w:rsid w:val="002E2E70"/>
    <w:rsid w:val="002E2E92"/>
    <w:rsid w:val="002E2EBE"/>
    <w:rsid w:val="002E2F0F"/>
    <w:rsid w:val="002E2F27"/>
    <w:rsid w:val="002E2F28"/>
    <w:rsid w:val="002E2F31"/>
    <w:rsid w:val="002E2F9B"/>
    <w:rsid w:val="002E2FA7"/>
    <w:rsid w:val="002E3225"/>
    <w:rsid w:val="002E324B"/>
    <w:rsid w:val="002E32F8"/>
    <w:rsid w:val="002E33D2"/>
    <w:rsid w:val="002E3412"/>
    <w:rsid w:val="002E3615"/>
    <w:rsid w:val="002E3651"/>
    <w:rsid w:val="002E375B"/>
    <w:rsid w:val="002E3818"/>
    <w:rsid w:val="002E38E9"/>
    <w:rsid w:val="002E3962"/>
    <w:rsid w:val="002E398E"/>
    <w:rsid w:val="002E39A6"/>
    <w:rsid w:val="002E3A9D"/>
    <w:rsid w:val="002E3D53"/>
    <w:rsid w:val="002E3DD4"/>
    <w:rsid w:val="002E3F7C"/>
    <w:rsid w:val="002E3F81"/>
    <w:rsid w:val="002E40BC"/>
    <w:rsid w:val="002E423E"/>
    <w:rsid w:val="002E4275"/>
    <w:rsid w:val="002E42EE"/>
    <w:rsid w:val="002E437D"/>
    <w:rsid w:val="002E4385"/>
    <w:rsid w:val="002E43B4"/>
    <w:rsid w:val="002E464B"/>
    <w:rsid w:val="002E4726"/>
    <w:rsid w:val="002E476D"/>
    <w:rsid w:val="002E47E0"/>
    <w:rsid w:val="002E47F2"/>
    <w:rsid w:val="002E4818"/>
    <w:rsid w:val="002E48FA"/>
    <w:rsid w:val="002E49B0"/>
    <w:rsid w:val="002E49E4"/>
    <w:rsid w:val="002E49FF"/>
    <w:rsid w:val="002E4CD0"/>
    <w:rsid w:val="002E4DF9"/>
    <w:rsid w:val="002E4F1D"/>
    <w:rsid w:val="002E4F7C"/>
    <w:rsid w:val="002E5078"/>
    <w:rsid w:val="002E5097"/>
    <w:rsid w:val="002E514E"/>
    <w:rsid w:val="002E51A7"/>
    <w:rsid w:val="002E5215"/>
    <w:rsid w:val="002E524C"/>
    <w:rsid w:val="002E533A"/>
    <w:rsid w:val="002E533C"/>
    <w:rsid w:val="002E53CB"/>
    <w:rsid w:val="002E5425"/>
    <w:rsid w:val="002E5478"/>
    <w:rsid w:val="002E54FD"/>
    <w:rsid w:val="002E55BF"/>
    <w:rsid w:val="002E5619"/>
    <w:rsid w:val="002E5684"/>
    <w:rsid w:val="002E5727"/>
    <w:rsid w:val="002E5856"/>
    <w:rsid w:val="002E58D3"/>
    <w:rsid w:val="002E593A"/>
    <w:rsid w:val="002E5A73"/>
    <w:rsid w:val="002E5A87"/>
    <w:rsid w:val="002E5A8B"/>
    <w:rsid w:val="002E5C7A"/>
    <w:rsid w:val="002E5CFA"/>
    <w:rsid w:val="002E5D2B"/>
    <w:rsid w:val="002E60F1"/>
    <w:rsid w:val="002E6150"/>
    <w:rsid w:val="002E6276"/>
    <w:rsid w:val="002E62E2"/>
    <w:rsid w:val="002E648D"/>
    <w:rsid w:val="002E655C"/>
    <w:rsid w:val="002E68B7"/>
    <w:rsid w:val="002E6932"/>
    <w:rsid w:val="002E6BD3"/>
    <w:rsid w:val="002E6F4A"/>
    <w:rsid w:val="002E6F74"/>
    <w:rsid w:val="002E6FC1"/>
    <w:rsid w:val="002E7046"/>
    <w:rsid w:val="002E7111"/>
    <w:rsid w:val="002E7135"/>
    <w:rsid w:val="002E7137"/>
    <w:rsid w:val="002E7230"/>
    <w:rsid w:val="002E7277"/>
    <w:rsid w:val="002E7290"/>
    <w:rsid w:val="002E73A9"/>
    <w:rsid w:val="002E7410"/>
    <w:rsid w:val="002E742B"/>
    <w:rsid w:val="002E74CA"/>
    <w:rsid w:val="002E7564"/>
    <w:rsid w:val="002E76A5"/>
    <w:rsid w:val="002E784E"/>
    <w:rsid w:val="002E7860"/>
    <w:rsid w:val="002E7B21"/>
    <w:rsid w:val="002E7BAE"/>
    <w:rsid w:val="002E7D62"/>
    <w:rsid w:val="002E7E25"/>
    <w:rsid w:val="002E7E66"/>
    <w:rsid w:val="002E7E7C"/>
    <w:rsid w:val="002E7E99"/>
    <w:rsid w:val="002F01D0"/>
    <w:rsid w:val="002F039E"/>
    <w:rsid w:val="002F0496"/>
    <w:rsid w:val="002F04C1"/>
    <w:rsid w:val="002F05B4"/>
    <w:rsid w:val="002F05CD"/>
    <w:rsid w:val="002F05DD"/>
    <w:rsid w:val="002F0600"/>
    <w:rsid w:val="002F0645"/>
    <w:rsid w:val="002F071A"/>
    <w:rsid w:val="002F085C"/>
    <w:rsid w:val="002F0A4F"/>
    <w:rsid w:val="002F0A93"/>
    <w:rsid w:val="002F0BBC"/>
    <w:rsid w:val="002F0BC6"/>
    <w:rsid w:val="002F0C02"/>
    <w:rsid w:val="002F0C10"/>
    <w:rsid w:val="002F0D30"/>
    <w:rsid w:val="002F0DEC"/>
    <w:rsid w:val="002F0E9B"/>
    <w:rsid w:val="002F0F30"/>
    <w:rsid w:val="002F0F41"/>
    <w:rsid w:val="002F0F6A"/>
    <w:rsid w:val="002F100E"/>
    <w:rsid w:val="002F1112"/>
    <w:rsid w:val="002F111C"/>
    <w:rsid w:val="002F1155"/>
    <w:rsid w:val="002F1252"/>
    <w:rsid w:val="002F1260"/>
    <w:rsid w:val="002F12C6"/>
    <w:rsid w:val="002F1384"/>
    <w:rsid w:val="002F13C6"/>
    <w:rsid w:val="002F14BF"/>
    <w:rsid w:val="002F154E"/>
    <w:rsid w:val="002F1612"/>
    <w:rsid w:val="002F166E"/>
    <w:rsid w:val="002F16E6"/>
    <w:rsid w:val="002F16E8"/>
    <w:rsid w:val="002F1870"/>
    <w:rsid w:val="002F1A04"/>
    <w:rsid w:val="002F1A9F"/>
    <w:rsid w:val="002F1BC8"/>
    <w:rsid w:val="002F1C0E"/>
    <w:rsid w:val="002F1C26"/>
    <w:rsid w:val="002F1C48"/>
    <w:rsid w:val="002F1CA3"/>
    <w:rsid w:val="002F1CE5"/>
    <w:rsid w:val="002F1D08"/>
    <w:rsid w:val="002F1D6C"/>
    <w:rsid w:val="002F1F44"/>
    <w:rsid w:val="002F1F46"/>
    <w:rsid w:val="002F21DF"/>
    <w:rsid w:val="002F229D"/>
    <w:rsid w:val="002F22F8"/>
    <w:rsid w:val="002F2396"/>
    <w:rsid w:val="002F2509"/>
    <w:rsid w:val="002F2568"/>
    <w:rsid w:val="002F265D"/>
    <w:rsid w:val="002F26EA"/>
    <w:rsid w:val="002F2706"/>
    <w:rsid w:val="002F280E"/>
    <w:rsid w:val="002F283F"/>
    <w:rsid w:val="002F299C"/>
    <w:rsid w:val="002F29B0"/>
    <w:rsid w:val="002F2B81"/>
    <w:rsid w:val="002F2BC7"/>
    <w:rsid w:val="002F2BD7"/>
    <w:rsid w:val="002F2C63"/>
    <w:rsid w:val="002F2CAD"/>
    <w:rsid w:val="002F2D1C"/>
    <w:rsid w:val="002F2DE7"/>
    <w:rsid w:val="002F2E71"/>
    <w:rsid w:val="002F2F38"/>
    <w:rsid w:val="002F2F4C"/>
    <w:rsid w:val="002F2FC8"/>
    <w:rsid w:val="002F3187"/>
    <w:rsid w:val="002F321D"/>
    <w:rsid w:val="002F3265"/>
    <w:rsid w:val="002F3305"/>
    <w:rsid w:val="002F3377"/>
    <w:rsid w:val="002F33B2"/>
    <w:rsid w:val="002F349D"/>
    <w:rsid w:val="002F34AC"/>
    <w:rsid w:val="002F34D8"/>
    <w:rsid w:val="002F3549"/>
    <w:rsid w:val="002F3584"/>
    <w:rsid w:val="002F35ED"/>
    <w:rsid w:val="002F3838"/>
    <w:rsid w:val="002F3840"/>
    <w:rsid w:val="002F3913"/>
    <w:rsid w:val="002F3966"/>
    <w:rsid w:val="002F39C0"/>
    <w:rsid w:val="002F3AB4"/>
    <w:rsid w:val="002F3D15"/>
    <w:rsid w:val="002F3E2E"/>
    <w:rsid w:val="002F3E74"/>
    <w:rsid w:val="002F4161"/>
    <w:rsid w:val="002F41EC"/>
    <w:rsid w:val="002F42FC"/>
    <w:rsid w:val="002F4492"/>
    <w:rsid w:val="002F453F"/>
    <w:rsid w:val="002F4587"/>
    <w:rsid w:val="002F4591"/>
    <w:rsid w:val="002F45AD"/>
    <w:rsid w:val="002F4764"/>
    <w:rsid w:val="002F482D"/>
    <w:rsid w:val="002F4850"/>
    <w:rsid w:val="002F4878"/>
    <w:rsid w:val="002F4956"/>
    <w:rsid w:val="002F4A20"/>
    <w:rsid w:val="002F4AA1"/>
    <w:rsid w:val="002F4AAA"/>
    <w:rsid w:val="002F4AC0"/>
    <w:rsid w:val="002F4AE5"/>
    <w:rsid w:val="002F4B11"/>
    <w:rsid w:val="002F4D2E"/>
    <w:rsid w:val="002F4E61"/>
    <w:rsid w:val="002F4EAE"/>
    <w:rsid w:val="002F4FE9"/>
    <w:rsid w:val="002F5135"/>
    <w:rsid w:val="002F535C"/>
    <w:rsid w:val="002F5438"/>
    <w:rsid w:val="002F5441"/>
    <w:rsid w:val="002F548B"/>
    <w:rsid w:val="002F54C5"/>
    <w:rsid w:val="002F54D4"/>
    <w:rsid w:val="002F56E6"/>
    <w:rsid w:val="002F56FF"/>
    <w:rsid w:val="002F580F"/>
    <w:rsid w:val="002F58AE"/>
    <w:rsid w:val="002F58E7"/>
    <w:rsid w:val="002F59A9"/>
    <w:rsid w:val="002F5B18"/>
    <w:rsid w:val="002F5C97"/>
    <w:rsid w:val="002F5CE8"/>
    <w:rsid w:val="002F5D73"/>
    <w:rsid w:val="002F5F49"/>
    <w:rsid w:val="002F5F82"/>
    <w:rsid w:val="002F5FF4"/>
    <w:rsid w:val="002F618C"/>
    <w:rsid w:val="002F625C"/>
    <w:rsid w:val="002F6281"/>
    <w:rsid w:val="002F6324"/>
    <w:rsid w:val="002F63D6"/>
    <w:rsid w:val="002F685A"/>
    <w:rsid w:val="002F6891"/>
    <w:rsid w:val="002F6A5D"/>
    <w:rsid w:val="002F6ACA"/>
    <w:rsid w:val="002F6B45"/>
    <w:rsid w:val="002F6C06"/>
    <w:rsid w:val="002F6D11"/>
    <w:rsid w:val="002F6D20"/>
    <w:rsid w:val="002F6DC7"/>
    <w:rsid w:val="002F6DE9"/>
    <w:rsid w:val="002F6E70"/>
    <w:rsid w:val="002F6EE7"/>
    <w:rsid w:val="002F6FAB"/>
    <w:rsid w:val="002F710B"/>
    <w:rsid w:val="002F716C"/>
    <w:rsid w:val="002F725D"/>
    <w:rsid w:val="002F731F"/>
    <w:rsid w:val="002F7419"/>
    <w:rsid w:val="002F7496"/>
    <w:rsid w:val="002F74AE"/>
    <w:rsid w:val="002F756F"/>
    <w:rsid w:val="002F75A2"/>
    <w:rsid w:val="002F766C"/>
    <w:rsid w:val="002F774A"/>
    <w:rsid w:val="002F779F"/>
    <w:rsid w:val="002F784B"/>
    <w:rsid w:val="002F78EF"/>
    <w:rsid w:val="002F794D"/>
    <w:rsid w:val="002F7A33"/>
    <w:rsid w:val="002F7AC2"/>
    <w:rsid w:val="002F7B6E"/>
    <w:rsid w:val="002F7CEE"/>
    <w:rsid w:val="002F7D53"/>
    <w:rsid w:val="002F7DC1"/>
    <w:rsid w:val="002F7F84"/>
    <w:rsid w:val="0030003D"/>
    <w:rsid w:val="00300049"/>
    <w:rsid w:val="003000E4"/>
    <w:rsid w:val="003000F7"/>
    <w:rsid w:val="003004DA"/>
    <w:rsid w:val="00300585"/>
    <w:rsid w:val="0030058D"/>
    <w:rsid w:val="003005D8"/>
    <w:rsid w:val="0030066A"/>
    <w:rsid w:val="003006E5"/>
    <w:rsid w:val="00300818"/>
    <w:rsid w:val="0030082D"/>
    <w:rsid w:val="003008AD"/>
    <w:rsid w:val="00300938"/>
    <w:rsid w:val="00300984"/>
    <w:rsid w:val="00300ABD"/>
    <w:rsid w:val="00300CB7"/>
    <w:rsid w:val="00300D83"/>
    <w:rsid w:val="00300E8B"/>
    <w:rsid w:val="00300E99"/>
    <w:rsid w:val="00300F0A"/>
    <w:rsid w:val="00300F19"/>
    <w:rsid w:val="00300F5A"/>
    <w:rsid w:val="00300FAF"/>
    <w:rsid w:val="00301123"/>
    <w:rsid w:val="0030121F"/>
    <w:rsid w:val="00301314"/>
    <w:rsid w:val="00301445"/>
    <w:rsid w:val="003016E0"/>
    <w:rsid w:val="00301746"/>
    <w:rsid w:val="0030181F"/>
    <w:rsid w:val="00301827"/>
    <w:rsid w:val="003018A9"/>
    <w:rsid w:val="00301970"/>
    <w:rsid w:val="00301A08"/>
    <w:rsid w:val="00301B6A"/>
    <w:rsid w:val="00301B92"/>
    <w:rsid w:val="00301BBA"/>
    <w:rsid w:val="00301BD5"/>
    <w:rsid w:val="00301D26"/>
    <w:rsid w:val="00301D47"/>
    <w:rsid w:val="00301E29"/>
    <w:rsid w:val="00301EE2"/>
    <w:rsid w:val="00301F52"/>
    <w:rsid w:val="00301FE2"/>
    <w:rsid w:val="00302069"/>
    <w:rsid w:val="003021CD"/>
    <w:rsid w:val="003021E9"/>
    <w:rsid w:val="003021EB"/>
    <w:rsid w:val="003022A3"/>
    <w:rsid w:val="00302308"/>
    <w:rsid w:val="0030247B"/>
    <w:rsid w:val="0030251A"/>
    <w:rsid w:val="00302666"/>
    <w:rsid w:val="003028A5"/>
    <w:rsid w:val="003028BC"/>
    <w:rsid w:val="00302985"/>
    <w:rsid w:val="00302992"/>
    <w:rsid w:val="00302B52"/>
    <w:rsid w:val="00302BE9"/>
    <w:rsid w:val="00302CD3"/>
    <w:rsid w:val="00302D4E"/>
    <w:rsid w:val="00302D93"/>
    <w:rsid w:val="00302F83"/>
    <w:rsid w:val="0030308A"/>
    <w:rsid w:val="003030F8"/>
    <w:rsid w:val="003031CB"/>
    <w:rsid w:val="0030322C"/>
    <w:rsid w:val="0030344F"/>
    <w:rsid w:val="003034B3"/>
    <w:rsid w:val="003034E0"/>
    <w:rsid w:val="00303629"/>
    <w:rsid w:val="00303675"/>
    <w:rsid w:val="0030367C"/>
    <w:rsid w:val="0030392A"/>
    <w:rsid w:val="003039C5"/>
    <w:rsid w:val="00303A11"/>
    <w:rsid w:val="00303A7B"/>
    <w:rsid w:val="00303AB1"/>
    <w:rsid w:val="00303AD9"/>
    <w:rsid w:val="00303AF3"/>
    <w:rsid w:val="00303B54"/>
    <w:rsid w:val="00303BB7"/>
    <w:rsid w:val="00303C33"/>
    <w:rsid w:val="00303CEE"/>
    <w:rsid w:val="00303D06"/>
    <w:rsid w:val="00303E2C"/>
    <w:rsid w:val="00303FA9"/>
    <w:rsid w:val="00304044"/>
    <w:rsid w:val="003040A9"/>
    <w:rsid w:val="00304149"/>
    <w:rsid w:val="003041EA"/>
    <w:rsid w:val="003041EB"/>
    <w:rsid w:val="00304213"/>
    <w:rsid w:val="003042D9"/>
    <w:rsid w:val="0030434B"/>
    <w:rsid w:val="00304766"/>
    <w:rsid w:val="003047E6"/>
    <w:rsid w:val="003047F6"/>
    <w:rsid w:val="003048E5"/>
    <w:rsid w:val="003049EF"/>
    <w:rsid w:val="00304A93"/>
    <w:rsid w:val="00304A99"/>
    <w:rsid w:val="00304D2B"/>
    <w:rsid w:val="00304D3A"/>
    <w:rsid w:val="00304EC1"/>
    <w:rsid w:val="00304FD9"/>
    <w:rsid w:val="00305061"/>
    <w:rsid w:val="00305122"/>
    <w:rsid w:val="0030518C"/>
    <w:rsid w:val="003051A2"/>
    <w:rsid w:val="0030531F"/>
    <w:rsid w:val="00305368"/>
    <w:rsid w:val="00305387"/>
    <w:rsid w:val="003053CB"/>
    <w:rsid w:val="00305403"/>
    <w:rsid w:val="003054AF"/>
    <w:rsid w:val="0030550D"/>
    <w:rsid w:val="0030559A"/>
    <w:rsid w:val="0030561A"/>
    <w:rsid w:val="0030561E"/>
    <w:rsid w:val="00305662"/>
    <w:rsid w:val="00305672"/>
    <w:rsid w:val="00305691"/>
    <w:rsid w:val="003056E3"/>
    <w:rsid w:val="0030570E"/>
    <w:rsid w:val="00305737"/>
    <w:rsid w:val="00305749"/>
    <w:rsid w:val="00305878"/>
    <w:rsid w:val="0030590D"/>
    <w:rsid w:val="00305A10"/>
    <w:rsid w:val="00305A5C"/>
    <w:rsid w:val="00305B18"/>
    <w:rsid w:val="00305B3E"/>
    <w:rsid w:val="00305C15"/>
    <w:rsid w:val="00305C74"/>
    <w:rsid w:val="00305E6C"/>
    <w:rsid w:val="00305EE6"/>
    <w:rsid w:val="0030612C"/>
    <w:rsid w:val="00306147"/>
    <w:rsid w:val="00306185"/>
    <w:rsid w:val="003063BC"/>
    <w:rsid w:val="0030658C"/>
    <w:rsid w:val="0030659D"/>
    <w:rsid w:val="00306737"/>
    <w:rsid w:val="0030678A"/>
    <w:rsid w:val="00306821"/>
    <w:rsid w:val="00306822"/>
    <w:rsid w:val="0030692E"/>
    <w:rsid w:val="00306945"/>
    <w:rsid w:val="00306A25"/>
    <w:rsid w:val="00306AA0"/>
    <w:rsid w:val="00306D4C"/>
    <w:rsid w:val="00306E31"/>
    <w:rsid w:val="00306FC5"/>
    <w:rsid w:val="0030712D"/>
    <w:rsid w:val="003071C8"/>
    <w:rsid w:val="0030730A"/>
    <w:rsid w:val="00307400"/>
    <w:rsid w:val="0030758C"/>
    <w:rsid w:val="003075C3"/>
    <w:rsid w:val="003076E6"/>
    <w:rsid w:val="0030772C"/>
    <w:rsid w:val="003077FE"/>
    <w:rsid w:val="0030799D"/>
    <w:rsid w:val="003079B0"/>
    <w:rsid w:val="00307A86"/>
    <w:rsid w:val="00307CE0"/>
    <w:rsid w:val="00307CF1"/>
    <w:rsid w:val="00307D65"/>
    <w:rsid w:val="00307E33"/>
    <w:rsid w:val="00307EC6"/>
    <w:rsid w:val="00307F46"/>
    <w:rsid w:val="00307F4B"/>
    <w:rsid w:val="00307FAB"/>
    <w:rsid w:val="00307FE6"/>
    <w:rsid w:val="00310050"/>
    <w:rsid w:val="0031008B"/>
    <w:rsid w:val="00310177"/>
    <w:rsid w:val="003101E4"/>
    <w:rsid w:val="0031022E"/>
    <w:rsid w:val="0031039C"/>
    <w:rsid w:val="0031045B"/>
    <w:rsid w:val="00310590"/>
    <w:rsid w:val="0031069D"/>
    <w:rsid w:val="003106C2"/>
    <w:rsid w:val="003106C4"/>
    <w:rsid w:val="0031074E"/>
    <w:rsid w:val="00310808"/>
    <w:rsid w:val="00310A2E"/>
    <w:rsid w:val="00310B30"/>
    <w:rsid w:val="00310B6E"/>
    <w:rsid w:val="00310B9B"/>
    <w:rsid w:val="00310C12"/>
    <w:rsid w:val="00310C4A"/>
    <w:rsid w:val="00310F40"/>
    <w:rsid w:val="00310F4F"/>
    <w:rsid w:val="00311089"/>
    <w:rsid w:val="00311119"/>
    <w:rsid w:val="0031118F"/>
    <w:rsid w:val="00311309"/>
    <w:rsid w:val="00311511"/>
    <w:rsid w:val="003116F5"/>
    <w:rsid w:val="00311725"/>
    <w:rsid w:val="0031181A"/>
    <w:rsid w:val="0031185D"/>
    <w:rsid w:val="003118DA"/>
    <w:rsid w:val="0031191A"/>
    <w:rsid w:val="003119C5"/>
    <w:rsid w:val="003119E4"/>
    <w:rsid w:val="00311A6F"/>
    <w:rsid w:val="00311ACA"/>
    <w:rsid w:val="00311B20"/>
    <w:rsid w:val="00311B39"/>
    <w:rsid w:val="00311B7A"/>
    <w:rsid w:val="00311BED"/>
    <w:rsid w:val="00311C51"/>
    <w:rsid w:val="00311C57"/>
    <w:rsid w:val="00311D4D"/>
    <w:rsid w:val="00311D85"/>
    <w:rsid w:val="00311F18"/>
    <w:rsid w:val="00311F9F"/>
    <w:rsid w:val="00311FDD"/>
    <w:rsid w:val="00311FFF"/>
    <w:rsid w:val="0031209D"/>
    <w:rsid w:val="003120EA"/>
    <w:rsid w:val="00312127"/>
    <w:rsid w:val="00312140"/>
    <w:rsid w:val="0031220A"/>
    <w:rsid w:val="00312388"/>
    <w:rsid w:val="003123A5"/>
    <w:rsid w:val="003123C0"/>
    <w:rsid w:val="00312412"/>
    <w:rsid w:val="003124BB"/>
    <w:rsid w:val="0031259A"/>
    <w:rsid w:val="0031265A"/>
    <w:rsid w:val="0031269C"/>
    <w:rsid w:val="00312716"/>
    <w:rsid w:val="003127BD"/>
    <w:rsid w:val="0031281F"/>
    <w:rsid w:val="00312823"/>
    <w:rsid w:val="0031286E"/>
    <w:rsid w:val="0031291B"/>
    <w:rsid w:val="0031294E"/>
    <w:rsid w:val="0031296E"/>
    <w:rsid w:val="00312B36"/>
    <w:rsid w:val="00312B5C"/>
    <w:rsid w:val="00312BF5"/>
    <w:rsid w:val="00312CCE"/>
    <w:rsid w:val="00312D7A"/>
    <w:rsid w:val="00312EBA"/>
    <w:rsid w:val="00312EBB"/>
    <w:rsid w:val="003130D2"/>
    <w:rsid w:val="00313214"/>
    <w:rsid w:val="00313218"/>
    <w:rsid w:val="00313222"/>
    <w:rsid w:val="003132E3"/>
    <w:rsid w:val="00313397"/>
    <w:rsid w:val="003133D3"/>
    <w:rsid w:val="00313433"/>
    <w:rsid w:val="0031359F"/>
    <w:rsid w:val="003135B9"/>
    <w:rsid w:val="0031366A"/>
    <w:rsid w:val="00313788"/>
    <w:rsid w:val="003137A8"/>
    <w:rsid w:val="003137D4"/>
    <w:rsid w:val="003137D7"/>
    <w:rsid w:val="0031382C"/>
    <w:rsid w:val="00313910"/>
    <w:rsid w:val="00313989"/>
    <w:rsid w:val="00313A26"/>
    <w:rsid w:val="00313B1B"/>
    <w:rsid w:val="00313B24"/>
    <w:rsid w:val="00313B40"/>
    <w:rsid w:val="00313BD1"/>
    <w:rsid w:val="00313C1C"/>
    <w:rsid w:val="00313C46"/>
    <w:rsid w:val="00313DBE"/>
    <w:rsid w:val="00313E49"/>
    <w:rsid w:val="00313F52"/>
    <w:rsid w:val="00314036"/>
    <w:rsid w:val="003140F0"/>
    <w:rsid w:val="00314118"/>
    <w:rsid w:val="00314153"/>
    <w:rsid w:val="0031422A"/>
    <w:rsid w:val="00314260"/>
    <w:rsid w:val="0031427C"/>
    <w:rsid w:val="00314350"/>
    <w:rsid w:val="00314387"/>
    <w:rsid w:val="0031456F"/>
    <w:rsid w:val="0031496F"/>
    <w:rsid w:val="00314A94"/>
    <w:rsid w:val="00314A98"/>
    <w:rsid w:val="00314D11"/>
    <w:rsid w:val="00314DE9"/>
    <w:rsid w:val="00314EC2"/>
    <w:rsid w:val="00314F8E"/>
    <w:rsid w:val="00314FC6"/>
    <w:rsid w:val="00315021"/>
    <w:rsid w:val="00315037"/>
    <w:rsid w:val="00315260"/>
    <w:rsid w:val="0031535E"/>
    <w:rsid w:val="00315428"/>
    <w:rsid w:val="003155DD"/>
    <w:rsid w:val="003156B5"/>
    <w:rsid w:val="003157A8"/>
    <w:rsid w:val="003157B7"/>
    <w:rsid w:val="00315958"/>
    <w:rsid w:val="003159F3"/>
    <w:rsid w:val="00315B1B"/>
    <w:rsid w:val="00315B23"/>
    <w:rsid w:val="00315BBC"/>
    <w:rsid w:val="00315C69"/>
    <w:rsid w:val="00315CCD"/>
    <w:rsid w:val="00315D15"/>
    <w:rsid w:val="0031601D"/>
    <w:rsid w:val="0031602D"/>
    <w:rsid w:val="0031612C"/>
    <w:rsid w:val="0031622B"/>
    <w:rsid w:val="003162E4"/>
    <w:rsid w:val="003162E7"/>
    <w:rsid w:val="00316390"/>
    <w:rsid w:val="00316516"/>
    <w:rsid w:val="00316543"/>
    <w:rsid w:val="00316645"/>
    <w:rsid w:val="0031666C"/>
    <w:rsid w:val="00316788"/>
    <w:rsid w:val="00316793"/>
    <w:rsid w:val="0031694D"/>
    <w:rsid w:val="003169A0"/>
    <w:rsid w:val="00316A20"/>
    <w:rsid w:val="00316A31"/>
    <w:rsid w:val="00316A33"/>
    <w:rsid w:val="00316C12"/>
    <w:rsid w:val="00316C19"/>
    <w:rsid w:val="00316CC0"/>
    <w:rsid w:val="00316D1B"/>
    <w:rsid w:val="00316EDB"/>
    <w:rsid w:val="00316F63"/>
    <w:rsid w:val="00316FAF"/>
    <w:rsid w:val="0031702C"/>
    <w:rsid w:val="0031704E"/>
    <w:rsid w:val="0031729F"/>
    <w:rsid w:val="003173BC"/>
    <w:rsid w:val="00317554"/>
    <w:rsid w:val="00317659"/>
    <w:rsid w:val="0031770A"/>
    <w:rsid w:val="00317776"/>
    <w:rsid w:val="00317796"/>
    <w:rsid w:val="003177E4"/>
    <w:rsid w:val="003178A9"/>
    <w:rsid w:val="00317A03"/>
    <w:rsid w:val="00317A05"/>
    <w:rsid w:val="00317A2C"/>
    <w:rsid w:val="00317D17"/>
    <w:rsid w:val="00317DA1"/>
    <w:rsid w:val="00317E01"/>
    <w:rsid w:val="00317E2D"/>
    <w:rsid w:val="00317E2E"/>
    <w:rsid w:val="00317E92"/>
    <w:rsid w:val="00317EED"/>
    <w:rsid w:val="00320122"/>
    <w:rsid w:val="00320255"/>
    <w:rsid w:val="00320257"/>
    <w:rsid w:val="0032025B"/>
    <w:rsid w:val="00320353"/>
    <w:rsid w:val="003203C7"/>
    <w:rsid w:val="003204C1"/>
    <w:rsid w:val="0032052C"/>
    <w:rsid w:val="0032053D"/>
    <w:rsid w:val="00320649"/>
    <w:rsid w:val="00320670"/>
    <w:rsid w:val="003207CA"/>
    <w:rsid w:val="00320911"/>
    <w:rsid w:val="00320989"/>
    <w:rsid w:val="00320A7E"/>
    <w:rsid w:val="00320B04"/>
    <w:rsid w:val="00320B3E"/>
    <w:rsid w:val="00320B3F"/>
    <w:rsid w:val="00320BA7"/>
    <w:rsid w:val="00320C00"/>
    <w:rsid w:val="00320C4B"/>
    <w:rsid w:val="00320C98"/>
    <w:rsid w:val="00320E16"/>
    <w:rsid w:val="00320EED"/>
    <w:rsid w:val="00320F7D"/>
    <w:rsid w:val="003210D3"/>
    <w:rsid w:val="0032110E"/>
    <w:rsid w:val="00321212"/>
    <w:rsid w:val="00321261"/>
    <w:rsid w:val="00321267"/>
    <w:rsid w:val="0032136C"/>
    <w:rsid w:val="0032138D"/>
    <w:rsid w:val="003214E1"/>
    <w:rsid w:val="0032155C"/>
    <w:rsid w:val="003217F7"/>
    <w:rsid w:val="00321984"/>
    <w:rsid w:val="00321B0D"/>
    <w:rsid w:val="00321B2B"/>
    <w:rsid w:val="00321B78"/>
    <w:rsid w:val="00321C7D"/>
    <w:rsid w:val="00321C94"/>
    <w:rsid w:val="00321CA0"/>
    <w:rsid w:val="00321D16"/>
    <w:rsid w:val="00321D66"/>
    <w:rsid w:val="00321EF1"/>
    <w:rsid w:val="00321F3D"/>
    <w:rsid w:val="003221D1"/>
    <w:rsid w:val="003221EA"/>
    <w:rsid w:val="003222E8"/>
    <w:rsid w:val="0032247F"/>
    <w:rsid w:val="00322596"/>
    <w:rsid w:val="00322679"/>
    <w:rsid w:val="00322858"/>
    <w:rsid w:val="00322A07"/>
    <w:rsid w:val="00322A76"/>
    <w:rsid w:val="00322BAE"/>
    <w:rsid w:val="00322D49"/>
    <w:rsid w:val="00322D63"/>
    <w:rsid w:val="00322DAF"/>
    <w:rsid w:val="00322E58"/>
    <w:rsid w:val="00322F0F"/>
    <w:rsid w:val="00322F1E"/>
    <w:rsid w:val="00322F4E"/>
    <w:rsid w:val="00322FA3"/>
    <w:rsid w:val="00322FF6"/>
    <w:rsid w:val="00323027"/>
    <w:rsid w:val="00323125"/>
    <w:rsid w:val="00323288"/>
    <w:rsid w:val="00323426"/>
    <w:rsid w:val="003234D1"/>
    <w:rsid w:val="0032350E"/>
    <w:rsid w:val="0032367F"/>
    <w:rsid w:val="0032386E"/>
    <w:rsid w:val="003238BC"/>
    <w:rsid w:val="003239D5"/>
    <w:rsid w:val="00323B87"/>
    <w:rsid w:val="00323BA4"/>
    <w:rsid w:val="00323BC2"/>
    <w:rsid w:val="00323BE1"/>
    <w:rsid w:val="00323DC0"/>
    <w:rsid w:val="00323E2E"/>
    <w:rsid w:val="00323E2F"/>
    <w:rsid w:val="00323FA0"/>
    <w:rsid w:val="00323FDA"/>
    <w:rsid w:val="00324163"/>
    <w:rsid w:val="003241F6"/>
    <w:rsid w:val="00324202"/>
    <w:rsid w:val="003243CC"/>
    <w:rsid w:val="003243D2"/>
    <w:rsid w:val="003243EA"/>
    <w:rsid w:val="00324479"/>
    <w:rsid w:val="003244F5"/>
    <w:rsid w:val="003246BB"/>
    <w:rsid w:val="003246F6"/>
    <w:rsid w:val="00324740"/>
    <w:rsid w:val="00324802"/>
    <w:rsid w:val="00324817"/>
    <w:rsid w:val="00324860"/>
    <w:rsid w:val="00324900"/>
    <w:rsid w:val="003249CF"/>
    <w:rsid w:val="003249E6"/>
    <w:rsid w:val="00324A0D"/>
    <w:rsid w:val="00324AFC"/>
    <w:rsid w:val="00324D6A"/>
    <w:rsid w:val="00324D81"/>
    <w:rsid w:val="00324E39"/>
    <w:rsid w:val="00324E86"/>
    <w:rsid w:val="00324EFC"/>
    <w:rsid w:val="00324F0A"/>
    <w:rsid w:val="003251F3"/>
    <w:rsid w:val="00325283"/>
    <w:rsid w:val="003252B9"/>
    <w:rsid w:val="003252CD"/>
    <w:rsid w:val="00325340"/>
    <w:rsid w:val="0032543D"/>
    <w:rsid w:val="00325476"/>
    <w:rsid w:val="003254C6"/>
    <w:rsid w:val="00325690"/>
    <w:rsid w:val="0032576A"/>
    <w:rsid w:val="0032596B"/>
    <w:rsid w:val="00325A57"/>
    <w:rsid w:val="00325B63"/>
    <w:rsid w:val="00325B6E"/>
    <w:rsid w:val="00325D88"/>
    <w:rsid w:val="00325DF7"/>
    <w:rsid w:val="00325E0D"/>
    <w:rsid w:val="00325F35"/>
    <w:rsid w:val="00326003"/>
    <w:rsid w:val="003260C7"/>
    <w:rsid w:val="00326137"/>
    <w:rsid w:val="00326170"/>
    <w:rsid w:val="00326179"/>
    <w:rsid w:val="0032618C"/>
    <w:rsid w:val="003261D1"/>
    <w:rsid w:val="003261D4"/>
    <w:rsid w:val="00326430"/>
    <w:rsid w:val="003264F5"/>
    <w:rsid w:val="00326521"/>
    <w:rsid w:val="003265B6"/>
    <w:rsid w:val="0032664D"/>
    <w:rsid w:val="00326678"/>
    <w:rsid w:val="003266BD"/>
    <w:rsid w:val="003266DE"/>
    <w:rsid w:val="003268CE"/>
    <w:rsid w:val="00326A00"/>
    <w:rsid w:val="00326A45"/>
    <w:rsid w:val="00326A57"/>
    <w:rsid w:val="00326A9D"/>
    <w:rsid w:val="00326AF9"/>
    <w:rsid w:val="00326BC0"/>
    <w:rsid w:val="00326E40"/>
    <w:rsid w:val="00326F8D"/>
    <w:rsid w:val="00326FA6"/>
    <w:rsid w:val="00326FEE"/>
    <w:rsid w:val="00327000"/>
    <w:rsid w:val="00327066"/>
    <w:rsid w:val="00327143"/>
    <w:rsid w:val="00327181"/>
    <w:rsid w:val="00327229"/>
    <w:rsid w:val="00327248"/>
    <w:rsid w:val="0032726A"/>
    <w:rsid w:val="003272B7"/>
    <w:rsid w:val="00327373"/>
    <w:rsid w:val="0032738E"/>
    <w:rsid w:val="0032767D"/>
    <w:rsid w:val="00327764"/>
    <w:rsid w:val="00327A20"/>
    <w:rsid w:val="00327BF0"/>
    <w:rsid w:val="00327C2A"/>
    <w:rsid w:val="00327C47"/>
    <w:rsid w:val="00327C66"/>
    <w:rsid w:val="00327CC8"/>
    <w:rsid w:val="00327D43"/>
    <w:rsid w:val="00327D66"/>
    <w:rsid w:val="00327E42"/>
    <w:rsid w:val="00327EA5"/>
    <w:rsid w:val="00327FBA"/>
    <w:rsid w:val="00327FE6"/>
    <w:rsid w:val="00330065"/>
    <w:rsid w:val="00330088"/>
    <w:rsid w:val="003301A4"/>
    <w:rsid w:val="003301B2"/>
    <w:rsid w:val="00330217"/>
    <w:rsid w:val="003302F7"/>
    <w:rsid w:val="0033037C"/>
    <w:rsid w:val="00330433"/>
    <w:rsid w:val="0033044E"/>
    <w:rsid w:val="003304E0"/>
    <w:rsid w:val="0033050B"/>
    <w:rsid w:val="0033074D"/>
    <w:rsid w:val="003307F5"/>
    <w:rsid w:val="00330847"/>
    <w:rsid w:val="003309C1"/>
    <w:rsid w:val="00330A90"/>
    <w:rsid w:val="00330AD2"/>
    <w:rsid w:val="00330B72"/>
    <w:rsid w:val="00330DFE"/>
    <w:rsid w:val="00330FBD"/>
    <w:rsid w:val="00331037"/>
    <w:rsid w:val="003310ED"/>
    <w:rsid w:val="003310F0"/>
    <w:rsid w:val="0033110C"/>
    <w:rsid w:val="0033118E"/>
    <w:rsid w:val="003311A7"/>
    <w:rsid w:val="003312BD"/>
    <w:rsid w:val="003313C3"/>
    <w:rsid w:val="003313E2"/>
    <w:rsid w:val="00331440"/>
    <w:rsid w:val="0033147E"/>
    <w:rsid w:val="00331517"/>
    <w:rsid w:val="00331589"/>
    <w:rsid w:val="003315E8"/>
    <w:rsid w:val="003315F1"/>
    <w:rsid w:val="00331629"/>
    <w:rsid w:val="003316B8"/>
    <w:rsid w:val="00331714"/>
    <w:rsid w:val="00331736"/>
    <w:rsid w:val="0033173B"/>
    <w:rsid w:val="00331803"/>
    <w:rsid w:val="003318B7"/>
    <w:rsid w:val="003318D2"/>
    <w:rsid w:val="0033192B"/>
    <w:rsid w:val="00331A33"/>
    <w:rsid w:val="00331A35"/>
    <w:rsid w:val="00331ADC"/>
    <w:rsid w:val="00331C00"/>
    <w:rsid w:val="00331CA0"/>
    <w:rsid w:val="00331CCB"/>
    <w:rsid w:val="00331D66"/>
    <w:rsid w:val="00331F2C"/>
    <w:rsid w:val="00332048"/>
    <w:rsid w:val="003320FB"/>
    <w:rsid w:val="0033232D"/>
    <w:rsid w:val="003323C3"/>
    <w:rsid w:val="00332466"/>
    <w:rsid w:val="003324C4"/>
    <w:rsid w:val="0033263F"/>
    <w:rsid w:val="003326A6"/>
    <w:rsid w:val="003326BD"/>
    <w:rsid w:val="0033274F"/>
    <w:rsid w:val="0033280C"/>
    <w:rsid w:val="003328E2"/>
    <w:rsid w:val="0033297E"/>
    <w:rsid w:val="00332A0A"/>
    <w:rsid w:val="00332B8C"/>
    <w:rsid w:val="00332C46"/>
    <w:rsid w:val="00332C6A"/>
    <w:rsid w:val="00332CAD"/>
    <w:rsid w:val="00332DED"/>
    <w:rsid w:val="00332E0D"/>
    <w:rsid w:val="00332E73"/>
    <w:rsid w:val="00332F8B"/>
    <w:rsid w:val="00332FF0"/>
    <w:rsid w:val="0033302D"/>
    <w:rsid w:val="0033310C"/>
    <w:rsid w:val="00333122"/>
    <w:rsid w:val="0033319C"/>
    <w:rsid w:val="00333293"/>
    <w:rsid w:val="00333438"/>
    <w:rsid w:val="0033347C"/>
    <w:rsid w:val="0033349E"/>
    <w:rsid w:val="003334CA"/>
    <w:rsid w:val="003335F8"/>
    <w:rsid w:val="003337B2"/>
    <w:rsid w:val="00333871"/>
    <w:rsid w:val="003338EF"/>
    <w:rsid w:val="00333900"/>
    <w:rsid w:val="003339C6"/>
    <w:rsid w:val="003339D2"/>
    <w:rsid w:val="00333A10"/>
    <w:rsid w:val="00333A9A"/>
    <w:rsid w:val="00333B4C"/>
    <w:rsid w:val="00333BA2"/>
    <w:rsid w:val="00333D9A"/>
    <w:rsid w:val="00333DC6"/>
    <w:rsid w:val="00333E65"/>
    <w:rsid w:val="00333FA1"/>
    <w:rsid w:val="00333FBD"/>
    <w:rsid w:val="00333FFA"/>
    <w:rsid w:val="003340DF"/>
    <w:rsid w:val="0033413F"/>
    <w:rsid w:val="00334146"/>
    <w:rsid w:val="003341A0"/>
    <w:rsid w:val="0033428F"/>
    <w:rsid w:val="00334322"/>
    <w:rsid w:val="003344CC"/>
    <w:rsid w:val="00334508"/>
    <w:rsid w:val="0033467F"/>
    <w:rsid w:val="003346DB"/>
    <w:rsid w:val="00334785"/>
    <w:rsid w:val="003347B0"/>
    <w:rsid w:val="0033488E"/>
    <w:rsid w:val="0033489D"/>
    <w:rsid w:val="003348A0"/>
    <w:rsid w:val="00334974"/>
    <w:rsid w:val="0033497A"/>
    <w:rsid w:val="003349B5"/>
    <w:rsid w:val="00334BC6"/>
    <w:rsid w:val="00334BEB"/>
    <w:rsid w:val="00334C87"/>
    <w:rsid w:val="00334CE3"/>
    <w:rsid w:val="00334D1B"/>
    <w:rsid w:val="00334DFC"/>
    <w:rsid w:val="00334EA9"/>
    <w:rsid w:val="00335013"/>
    <w:rsid w:val="003350E3"/>
    <w:rsid w:val="00335170"/>
    <w:rsid w:val="003351B6"/>
    <w:rsid w:val="00335261"/>
    <w:rsid w:val="003352B7"/>
    <w:rsid w:val="003352FA"/>
    <w:rsid w:val="00335312"/>
    <w:rsid w:val="003353C7"/>
    <w:rsid w:val="00335403"/>
    <w:rsid w:val="00335592"/>
    <w:rsid w:val="003355A6"/>
    <w:rsid w:val="003355E0"/>
    <w:rsid w:val="00335728"/>
    <w:rsid w:val="003358B4"/>
    <w:rsid w:val="00335941"/>
    <w:rsid w:val="00335A21"/>
    <w:rsid w:val="00335ABD"/>
    <w:rsid w:val="00335CA8"/>
    <w:rsid w:val="00335D7D"/>
    <w:rsid w:val="00335E45"/>
    <w:rsid w:val="00335E9E"/>
    <w:rsid w:val="00335EEC"/>
    <w:rsid w:val="00335FFD"/>
    <w:rsid w:val="0033604D"/>
    <w:rsid w:val="00336060"/>
    <w:rsid w:val="00336095"/>
    <w:rsid w:val="00336115"/>
    <w:rsid w:val="00336220"/>
    <w:rsid w:val="00336392"/>
    <w:rsid w:val="003364F0"/>
    <w:rsid w:val="00336515"/>
    <w:rsid w:val="00336545"/>
    <w:rsid w:val="00336577"/>
    <w:rsid w:val="00336583"/>
    <w:rsid w:val="003365C5"/>
    <w:rsid w:val="0033662D"/>
    <w:rsid w:val="00336658"/>
    <w:rsid w:val="003367B7"/>
    <w:rsid w:val="003369C5"/>
    <w:rsid w:val="00336A47"/>
    <w:rsid w:val="00336A75"/>
    <w:rsid w:val="00336BAC"/>
    <w:rsid w:val="00336BBF"/>
    <w:rsid w:val="00336CB0"/>
    <w:rsid w:val="00336EC4"/>
    <w:rsid w:val="00337130"/>
    <w:rsid w:val="00337264"/>
    <w:rsid w:val="0033731A"/>
    <w:rsid w:val="0033735A"/>
    <w:rsid w:val="00337387"/>
    <w:rsid w:val="00337408"/>
    <w:rsid w:val="003374DE"/>
    <w:rsid w:val="003374F9"/>
    <w:rsid w:val="003375C7"/>
    <w:rsid w:val="00337676"/>
    <w:rsid w:val="003376C9"/>
    <w:rsid w:val="0033775E"/>
    <w:rsid w:val="00337831"/>
    <w:rsid w:val="00337850"/>
    <w:rsid w:val="00337A99"/>
    <w:rsid w:val="00337AA5"/>
    <w:rsid w:val="00337AB1"/>
    <w:rsid w:val="00337B80"/>
    <w:rsid w:val="00337CC9"/>
    <w:rsid w:val="00337D00"/>
    <w:rsid w:val="00337D30"/>
    <w:rsid w:val="00337FFC"/>
    <w:rsid w:val="003400F2"/>
    <w:rsid w:val="00340207"/>
    <w:rsid w:val="0034030F"/>
    <w:rsid w:val="00340376"/>
    <w:rsid w:val="003404A8"/>
    <w:rsid w:val="003404C1"/>
    <w:rsid w:val="0034051F"/>
    <w:rsid w:val="00340719"/>
    <w:rsid w:val="00340771"/>
    <w:rsid w:val="0034082A"/>
    <w:rsid w:val="0034089D"/>
    <w:rsid w:val="00340A48"/>
    <w:rsid w:val="00340B78"/>
    <w:rsid w:val="00340B80"/>
    <w:rsid w:val="00340D3B"/>
    <w:rsid w:val="00340E06"/>
    <w:rsid w:val="00340E92"/>
    <w:rsid w:val="00340F30"/>
    <w:rsid w:val="00340F99"/>
    <w:rsid w:val="00341083"/>
    <w:rsid w:val="003410FE"/>
    <w:rsid w:val="0034113C"/>
    <w:rsid w:val="003411A3"/>
    <w:rsid w:val="00341249"/>
    <w:rsid w:val="003412B4"/>
    <w:rsid w:val="003412D7"/>
    <w:rsid w:val="00341318"/>
    <w:rsid w:val="0034133E"/>
    <w:rsid w:val="003413FE"/>
    <w:rsid w:val="00341560"/>
    <w:rsid w:val="003415ED"/>
    <w:rsid w:val="0034174B"/>
    <w:rsid w:val="0034184E"/>
    <w:rsid w:val="00341938"/>
    <w:rsid w:val="0034198E"/>
    <w:rsid w:val="00341B24"/>
    <w:rsid w:val="00341BB6"/>
    <w:rsid w:val="00341BE7"/>
    <w:rsid w:val="00341D7A"/>
    <w:rsid w:val="00341E88"/>
    <w:rsid w:val="00341EAA"/>
    <w:rsid w:val="00341EDA"/>
    <w:rsid w:val="003420A2"/>
    <w:rsid w:val="003420A5"/>
    <w:rsid w:val="00342150"/>
    <w:rsid w:val="0034216A"/>
    <w:rsid w:val="003421EE"/>
    <w:rsid w:val="00342307"/>
    <w:rsid w:val="003424C6"/>
    <w:rsid w:val="00342515"/>
    <w:rsid w:val="003425D0"/>
    <w:rsid w:val="0034263D"/>
    <w:rsid w:val="003427EE"/>
    <w:rsid w:val="003429E9"/>
    <w:rsid w:val="00342AE7"/>
    <w:rsid w:val="00342AFB"/>
    <w:rsid w:val="00342B60"/>
    <w:rsid w:val="00342B82"/>
    <w:rsid w:val="00342BCE"/>
    <w:rsid w:val="00342C64"/>
    <w:rsid w:val="00342C81"/>
    <w:rsid w:val="00342C9E"/>
    <w:rsid w:val="00342CB9"/>
    <w:rsid w:val="00342CC5"/>
    <w:rsid w:val="00342D66"/>
    <w:rsid w:val="00342DBE"/>
    <w:rsid w:val="00343223"/>
    <w:rsid w:val="0034333A"/>
    <w:rsid w:val="003434EB"/>
    <w:rsid w:val="00343562"/>
    <w:rsid w:val="003435B5"/>
    <w:rsid w:val="00343642"/>
    <w:rsid w:val="003436AE"/>
    <w:rsid w:val="0034380D"/>
    <w:rsid w:val="003438E1"/>
    <w:rsid w:val="00343AFB"/>
    <w:rsid w:val="00343BD2"/>
    <w:rsid w:val="00343BE1"/>
    <w:rsid w:val="00343BFC"/>
    <w:rsid w:val="00343C0C"/>
    <w:rsid w:val="00343C52"/>
    <w:rsid w:val="00343D1D"/>
    <w:rsid w:val="00343DB6"/>
    <w:rsid w:val="00343F04"/>
    <w:rsid w:val="00343F73"/>
    <w:rsid w:val="00343F7A"/>
    <w:rsid w:val="0034401D"/>
    <w:rsid w:val="003440DD"/>
    <w:rsid w:val="003440FA"/>
    <w:rsid w:val="0034420A"/>
    <w:rsid w:val="003442DE"/>
    <w:rsid w:val="00344554"/>
    <w:rsid w:val="0034467A"/>
    <w:rsid w:val="0034469A"/>
    <w:rsid w:val="0034488A"/>
    <w:rsid w:val="00344968"/>
    <w:rsid w:val="00344ADC"/>
    <w:rsid w:val="00344BE8"/>
    <w:rsid w:val="00344DD6"/>
    <w:rsid w:val="00344E57"/>
    <w:rsid w:val="00344F73"/>
    <w:rsid w:val="00344FA4"/>
    <w:rsid w:val="00344FA8"/>
    <w:rsid w:val="00345097"/>
    <w:rsid w:val="003450C2"/>
    <w:rsid w:val="003450E0"/>
    <w:rsid w:val="00345121"/>
    <w:rsid w:val="00345173"/>
    <w:rsid w:val="0034524F"/>
    <w:rsid w:val="003452E4"/>
    <w:rsid w:val="003453B1"/>
    <w:rsid w:val="0034545A"/>
    <w:rsid w:val="00345596"/>
    <w:rsid w:val="003455B9"/>
    <w:rsid w:val="003455BC"/>
    <w:rsid w:val="003455F7"/>
    <w:rsid w:val="003457C6"/>
    <w:rsid w:val="00345809"/>
    <w:rsid w:val="00345896"/>
    <w:rsid w:val="003458A8"/>
    <w:rsid w:val="003458C1"/>
    <w:rsid w:val="00345A04"/>
    <w:rsid w:val="00345A8C"/>
    <w:rsid w:val="00345C18"/>
    <w:rsid w:val="00345C23"/>
    <w:rsid w:val="00345C66"/>
    <w:rsid w:val="00345C68"/>
    <w:rsid w:val="00345EC1"/>
    <w:rsid w:val="00345F0F"/>
    <w:rsid w:val="00346052"/>
    <w:rsid w:val="003460B0"/>
    <w:rsid w:val="00346182"/>
    <w:rsid w:val="00346210"/>
    <w:rsid w:val="0034621C"/>
    <w:rsid w:val="00346289"/>
    <w:rsid w:val="00346319"/>
    <w:rsid w:val="00346325"/>
    <w:rsid w:val="00346341"/>
    <w:rsid w:val="00346390"/>
    <w:rsid w:val="00346480"/>
    <w:rsid w:val="00346503"/>
    <w:rsid w:val="003467E4"/>
    <w:rsid w:val="003468A6"/>
    <w:rsid w:val="003468C6"/>
    <w:rsid w:val="00346996"/>
    <w:rsid w:val="003469CE"/>
    <w:rsid w:val="003469DB"/>
    <w:rsid w:val="00346A12"/>
    <w:rsid w:val="00346B36"/>
    <w:rsid w:val="00346B77"/>
    <w:rsid w:val="00346B7A"/>
    <w:rsid w:val="00346C04"/>
    <w:rsid w:val="00346C7D"/>
    <w:rsid w:val="00346DAB"/>
    <w:rsid w:val="00346ED4"/>
    <w:rsid w:val="00346EE5"/>
    <w:rsid w:val="0034700C"/>
    <w:rsid w:val="0034708B"/>
    <w:rsid w:val="0034714B"/>
    <w:rsid w:val="0034717C"/>
    <w:rsid w:val="003471C3"/>
    <w:rsid w:val="003471D0"/>
    <w:rsid w:val="0034723B"/>
    <w:rsid w:val="00347263"/>
    <w:rsid w:val="00347361"/>
    <w:rsid w:val="00347452"/>
    <w:rsid w:val="003474AD"/>
    <w:rsid w:val="003474DA"/>
    <w:rsid w:val="003475B3"/>
    <w:rsid w:val="003475F8"/>
    <w:rsid w:val="00347605"/>
    <w:rsid w:val="003476CB"/>
    <w:rsid w:val="003476F2"/>
    <w:rsid w:val="00347710"/>
    <w:rsid w:val="00347737"/>
    <w:rsid w:val="00347752"/>
    <w:rsid w:val="003478EB"/>
    <w:rsid w:val="003479D6"/>
    <w:rsid w:val="00347A53"/>
    <w:rsid w:val="00347B54"/>
    <w:rsid w:val="00347CE3"/>
    <w:rsid w:val="00347D71"/>
    <w:rsid w:val="00347E17"/>
    <w:rsid w:val="00347E42"/>
    <w:rsid w:val="00347F6C"/>
    <w:rsid w:val="00347F90"/>
    <w:rsid w:val="00347FAB"/>
    <w:rsid w:val="00347FD1"/>
    <w:rsid w:val="00350016"/>
    <w:rsid w:val="0035006A"/>
    <w:rsid w:val="003500A1"/>
    <w:rsid w:val="0035011E"/>
    <w:rsid w:val="0035012F"/>
    <w:rsid w:val="003502DF"/>
    <w:rsid w:val="00350315"/>
    <w:rsid w:val="00350385"/>
    <w:rsid w:val="003503E9"/>
    <w:rsid w:val="00350483"/>
    <w:rsid w:val="003504B5"/>
    <w:rsid w:val="003505D5"/>
    <w:rsid w:val="0035075D"/>
    <w:rsid w:val="003507A4"/>
    <w:rsid w:val="0035081B"/>
    <w:rsid w:val="00350889"/>
    <w:rsid w:val="00350A4D"/>
    <w:rsid w:val="00350A93"/>
    <w:rsid w:val="00350BAF"/>
    <w:rsid w:val="00350C13"/>
    <w:rsid w:val="00350C74"/>
    <w:rsid w:val="00350D49"/>
    <w:rsid w:val="00350D4B"/>
    <w:rsid w:val="00350DB4"/>
    <w:rsid w:val="00350DC9"/>
    <w:rsid w:val="00350E60"/>
    <w:rsid w:val="003510A1"/>
    <w:rsid w:val="003510A7"/>
    <w:rsid w:val="003510AB"/>
    <w:rsid w:val="00351102"/>
    <w:rsid w:val="00351111"/>
    <w:rsid w:val="00351162"/>
    <w:rsid w:val="003511A9"/>
    <w:rsid w:val="003512DA"/>
    <w:rsid w:val="003512DF"/>
    <w:rsid w:val="0035133B"/>
    <w:rsid w:val="00351362"/>
    <w:rsid w:val="003514D1"/>
    <w:rsid w:val="003514DE"/>
    <w:rsid w:val="00351671"/>
    <w:rsid w:val="00351702"/>
    <w:rsid w:val="00351738"/>
    <w:rsid w:val="0035175F"/>
    <w:rsid w:val="00351767"/>
    <w:rsid w:val="0035180C"/>
    <w:rsid w:val="00351828"/>
    <w:rsid w:val="0035182C"/>
    <w:rsid w:val="003518BC"/>
    <w:rsid w:val="003518E3"/>
    <w:rsid w:val="003518E4"/>
    <w:rsid w:val="00351927"/>
    <w:rsid w:val="00351A16"/>
    <w:rsid w:val="00351AE9"/>
    <w:rsid w:val="00351BB3"/>
    <w:rsid w:val="00351C89"/>
    <w:rsid w:val="00351E0B"/>
    <w:rsid w:val="00351E14"/>
    <w:rsid w:val="00351F0D"/>
    <w:rsid w:val="00351FC4"/>
    <w:rsid w:val="00351FE1"/>
    <w:rsid w:val="0035206D"/>
    <w:rsid w:val="003520AC"/>
    <w:rsid w:val="003520D8"/>
    <w:rsid w:val="003520DF"/>
    <w:rsid w:val="00352100"/>
    <w:rsid w:val="003522A0"/>
    <w:rsid w:val="003522A1"/>
    <w:rsid w:val="0035232D"/>
    <w:rsid w:val="00352341"/>
    <w:rsid w:val="0035242C"/>
    <w:rsid w:val="003525A6"/>
    <w:rsid w:val="0035262A"/>
    <w:rsid w:val="00352728"/>
    <w:rsid w:val="0035273B"/>
    <w:rsid w:val="00352887"/>
    <w:rsid w:val="00352889"/>
    <w:rsid w:val="00352927"/>
    <w:rsid w:val="003529BF"/>
    <w:rsid w:val="00352A92"/>
    <w:rsid w:val="00352ADB"/>
    <w:rsid w:val="00352AEF"/>
    <w:rsid w:val="00352B74"/>
    <w:rsid w:val="00352B85"/>
    <w:rsid w:val="00352C05"/>
    <w:rsid w:val="00352DC3"/>
    <w:rsid w:val="00352FF1"/>
    <w:rsid w:val="00352FFC"/>
    <w:rsid w:val="003530D5"/>
    <w:rsid w:val="00353464"/>
    <w:rsid w:val="00353495"/>
    <w:rsid w:val="003534CD"/>
    <w:rsid w:val="0035374C"/>
    <w:rsid w:val="0035393B"/>
    <w:rsid w:val="00353978"/>
    <w:rsid w:val="0035397A"/>
    <w:rsid w:val="00353BE3"/>
    <w:rsid w:val="00353CE2"/>
    <w:rsid w:val="00353CF4"/>
    <w:rsid w:val="00353D52"/>
    <w:rsid w:val="00353E23"/>
    <w:rsid w:val="00353E94"/>
    <w:rsid w:val="00353F53"/>
    <w:rsid w:val="00354014"/>
    <w:rsid w:val="00354030"/>
    <w:rsid w:val="00354064"/>
    <w:rsid w:val="00354250"/>
    <w:rsid w:val="0035439E"/>
    <w:rsid w:val="003543A9"/>
    <w:rsid w:val="003543F3"/>
    <w:rsid w:val="00354750"/>
    <w:rsid w:val="003547B6"/>
    <w:rsid w:val="003547EE"/>
    <w:rsid w:val="0035486B"/>
    <w:rsid w:val="00354899"/>
    <w:rsid w:val="0035490D"/>
    <w:rsid w:val="00354939"/>
    <w:rsid w:val="00354A5B"/>
    <w:rsid w:val="00354A83"/>
    <w:rsid w:val="00354AEA"/>
    <w:rsid w:val="00354B66"/>
    <w:rsid w:val="00354BDF"/>
    <w:rsid w:val="00354C5F"/>
    <w:rsid w:val="00354D37"/>
    <w:rsid w:val="00354D62"/>
    <w:rsid w:val="00354E2F"/>
    <w:rsid w:val="00354E84"/>
    <w:rsid w:val="00354F7F"/>
    <w:rsid w:val="003550D9"/>
    <w:rsid w:val="00355114"/>
    <w:rsid w:val="00355251"/>
    <w:rsid w:val="0035528E"/>
    <w:rsid w:val="003552B6"/>
    <w:rsid w:val="00355423"/>
    <w:rsid w:val="0035563D"/>
    <w:rsid w:val="00355671"/>
    <w:rsid w:val="003556E8"/>
    <w:rsid w:val="00355739"/>
    <w:rsid w:val="0035576F"/>
    <w:rsid w:val="00355808"/>
    <w:rsid w:val="0035580C"/>
    <w:rsid w:val="003558F8"/>
    <w:rsid w:val="0035599C"/>
    <w:rsid w:val="00355A15"/>
    <w:rsid w:val="00355BD8"/>
    <w:rsid w:val="00355CE0"/>
    <w:rsid w:val="00355D9D"/>
    <w:rsid w:val="00355DF2"/>
    <w:rsid w:val="00355F5A"/>
    <w:rsid w:val="00356227"/>
    <w:rsid w:val="00356438"/>
    <w:rsid w:val="0035656E"/>
    <w:rsid w:val="00356591"/>
    <w:rsid w:val="00356681"/>
    <w:rsid w:val="0035679D"/>
    <w:rsid w:val="003567A5"/>
    <w:rsid w:val="003568F0"/>
    <w:rsid w:val="00356901"/>
    <w:rsid w:val="00356937"/>
    <w:rsid w:val="003569C4"/>
    <w:rsid w:val="00356A91"/>
    <w:rsid w:val="00356BCB"/>
    <w:rsid w:val="00356C63"/>
    <w:rsid w:val="00356E0A"/>
    <w:rsid w:val="00356E26"/>
    <w:rsid w:val="00356F3E"/>
    <w:rsid w:val="00357034"/>
    <w:rsid w:val="0035712E"/>
    <w:rsid w:val="00357140"/>
    <w:rsid w:val="003573FF"/>
    <w:rsid w:val="00357432"/>
    <w:rsid w:val="0035763C"/>
    <w:rsid w:val="00357705"/>
    <w:rsid w:val="00357706"/>
    <w:rsid w:val="0035771A"/>
    <w:rsid w:val="003577C2"/>
    <w:rsid w:val="00357984"/>
    <w:rsid w:val="003579AF"/>
    <w:rsid w:val="003579D9"/>
    <w:rsid w:val="00357B27"/>
    <w:rsid w:val="00357B47"/>
    <w:rsid w:val="00357BA7"/>
    <w:rsid w:val="00357BFD"/>
    <w:rsid w:val="00357C8A"/>
    <w:rsid w:val="00357CA2"/>
    <w:rsid w:val="00357CF8"/>
    <w:rsid w:val="00357D1C"/>
    <w:rsid w:val="00357D42"/>
    <w:rsid w:val="00357D70"/>
    <w:rsid w:val="00357DB3"/>
    <w:rsid w:val="00357DFA"/>
    <w:rsid w:val="00357E12"/>
    <w:rsid w:val="00357F74"/>
    <w:rsid w:val="00357F98"/>
    <w:rsid w:val="0036013B"/>
    <w:rsid w:val="0036013C"/>
    <w:rsid w:val="00360191"/>
    <w:rsid w:val="003601B5"/>
    <w:rsid w:val="0036024E"/>
    <w:rsid w:val="0036026A"/>
    <w:rsid w:val="003602DC"/>
    <w:rsid w:val="003602FB"/>
    <w:rsid w:val="0036049E"/>
    <w:rsid w:val="003604F7"/>
    <w:rsid w:val="003605F1"/>
    <w:rsid w:val="00360756"/>
    <w:rsid w:val="00360877"/>
    <w:rsid w:val="00360878"/>
    <w:rsid w:val="003608EC"/>
    <w:rsid w:val="0036094A"/>
    <w:rsid w:val="0036095E"/>
    <w:rsid w:val="00360A33"/>
    <w:rsid w:val="00360A73"/>
    <w:rsid w:val="00360AC9"/>
    <w:rsid w:val="00360B31"/>
    <w:rsid w:val="00360C64"/>
    <w:rsid w:val="00360C86"/>
    <w:rsid w:val="00360C90"/>
    <w:rsid w:val="00360D0D"/>
    <w:rsid w:val="00360D96"/>
    <w:rsid w:val="00360DDE"/>
    <w:rsid w:val="00360E15"/>
    <w:rsid w:val="00360E77"/>
    <w:rsid w:val="00360EE8"/>
    <w:rsid w:val="00360FB3"/>
    <w:rsid w:val="00360FEE"/>
    <w:rsid w:val="0036104A"/>
    <w:rsid w:val="00361051"/>
    <w:rsid w:val="00361060"/>
    <w:rsid w:val="003610BF"/>
    <w:rsid w:val="0036112C"/>
    <w:rsid w:val="0036123A"/>
    <w:rsid w:val="003612B0"/>
    <w:rsid w:val="0036136E"/>
    <w:rsid w:val="00361476"/>
    <w:rsid w:val="003615BF"/>
    <w:rsid w:val="0036172F"/>
    <w:rsid w:val="0036198C"/>
    <w:rsid w:val="00361A39"/>
    <w:rsid w:val="00361BA4"/>
    <w:rsid w:val="00361C3B"/>
    <w:rsid w:val="00361C88"/>
    <w:rsid w:val="00361D37"/>
    <w:rsid w:val="00361D8C"/>
    <w:rsid w:val="00361DD7"/>
    <w:rsid w:val="00361E17"/>
    <w:rsid w:val="00361EB3"/>
    <w:rsid w:val="00362118"/>
    <w:rsid w:val="0036216B"/>
    <w:rsid w:val="003621E6"/>
    <w:rsid w:val="0036223C"/>
    <w:rsid w:val="0036231F"/>
    <w:rsid w:val="00362483"/>
    <w:rsid w:val="003626D1"/>
    <w:rsid w:val="00362715"/>
    <w:rsid w:val="00362799"/>
    <w:rsid w:val="003628DE"/>
    <w:rsid w:val="00362900"/>
    <w:rsid w:val="00362909"/>
    <w:rsid w:val="00362A1C"/>
    <w:rsid w:val="00362A25"/>
    <w:rsid w:val="00362A96"/>
    <w:rsid w:val="00362B08"/>
    <w:rsid w:val="00362B3D"/>
    <w:rsid w:val="00362C4B"/>
    <w:rsid w:val="00362CAF"/>
    <w:rsid w:val="00362D13"/>
    <w:rsid w:val="00362DE6"/>
    <w:rsid w:val="00362E03"/>
    <w:rsid w:val="00362E2E"/>
    <w:rsid w:val="00362EF8"/>
    <w:rsid w:val="00362FEC"/>
    <w:rsid w:val="0036306F"/>
    <w:rsid w:val="003630A7"/>
    <w:rsid w:val="003630EF"/>
    <w:rsid w:val="003632CE"/>
    <w:rsid w:val="00363499"/>
    <w:rsid w:val="003636E1"/>
    <w:rsid w:val="00363742"/>
    <w:rsid w:val="00363A89"/>
    <w:rsid w:val="00363B6D"/>
    <w:rsid w:val="00363C8D"/>
    <w:rsid w:val="00363CF6"/>
    <w:rsid w:val="00363D0C"/>
    <w:rsid w:val="00363E8E"/>
    <w:rsid w:val="00363F77"/>
    <w:rsid w:val="00364079"/>
    <w:rsid w:val="0036415E"/>
    <w:rsid w:val="00364167"/>
    <w:rsid w:val="00364216"/>
    <w:rsid w:val="003642D0"/>
    <w:rsid w:val="00364304"/>
    <w:rsid w:val="0036437A"/>
    <w:rsid w:val="003644D6"/>
    <w:rsid w:val="003645D7"/>
    <w:rsid w:val="00364656"/>
    <w:rsid w:val="00364659"/>
    <w:rsid w:val="0036466C"/>
    <w:rsid w:val="00364670"/>
    <w:rsid w:val="00364706"/>
    <w:rsid w:val="00364717"/>
    <w:rsid w:val="0036474B"/>
    <w:rsid w:val="003647A9"/>
    <w:rsid w:val="003647E1"/>
    <w:rsid w:val="00364819"/>
    <w:rsid w:val="00364A36"/>
    <w:rsid w:val="00364ABD"/>
    <w:rsid w:val="00364B0D"/>
    <w:rsid w:val="00364B4B"/>
    <w:rsid w:val="00364B8B"/>
    <w:rsid w:val="00364D44"/>
    <w:rsid w:val="00364D52"/>
    <w:rsid w:val="00364DAD"/>
    <w:rsid w:val="00364DBB"/>
    <w:rsid w:val="00364FE2"/>
    <w:rsid w:val="003652F8"/>
    <w:rsid w:val="003652FE"/>
    <w:rsid w:val="00365360"/>
    <w:rsid w:val="003653A1"/>
    <w:rsid w:val="00365427"/>
    <w:rsid w:val="00365442"/>
    <w:rsid w:val="00365528"/>
    <w:rsid w:val="00365593"/>
    <w:rsid w:val="00365741"/>
    <w:rsid w:val="0036589E"/>
    <w:rsid w:val="003658F4"/>
    <w:rsid w:val="00365917"/>
    <w:rsid w:val="00365C00"/>
    <w:rsid w:val="00365CFF"/>
    <w:rsid w:val="00365DB2"/>
    <w:rsid w:val="00365EC7"/>
    <w:rsid w:val="00365FD6"/>
    <w:rsid w:val="00365FFC"/>
    <w:rsid w:val="00366151"/>
    <w:rsid w:val="00366161"/>
    <w:rsid w:val="003663AE"/>
    <w:rsid w:val="00366473"/>
    <w:rsid w:val="003664C9"/>
    <w:rsid w:val="0036659F"/>
    <w:rsid w:val="0036660B"/>
    <w:rsid w:val="0036672A"/>
    <w:rsid w:val="0036678B"/>
    <w:rsid w:val="003667B2"/>
    <w:rsid w:val="0036693F"/>
    <w:rsid w:val="003669FB"/>
    <w:rsid w:val="00366B21"/>
    <w:rsid w:val="00366B2E"/>
    <w:rsid w:val="00366B59"/>
    <w:rsid w:val="00366B9C"/>
    <w:rsid w:val="00366BD9"/>
    <w:rsid w:val="00366C94"/>
    <w:rsid w:val="00366D07"/>
    <w:rsid w:val="00366D55"/>
    <w:rsid w:val="00366E72"/>
    <w:rsid w:val="00366EE9"/>
    <w:rsid w:val="00366F11"/>
    <w:rsid w:val="00366FB5"/>
    <w:rsid w:val="0036707E"/>
    <w:rsid w:val="003670EF"/>
    <w:rsid w:val="0036710B"/>
    <w:rsid w:val="003671D9"/>
    <w:rsid w:val="003671F2"/>
    <w:rsid w:val="003673E0"/>
    <w:rsid w:val="0036743F"/>
    <w:rsid w:val="00367517"/>
    <w:rsid w:val="003675BC"/>
    <w:rsid w:val="003675D3"/>
    <w:rsid w:val="00367656"/>
    <w:rsid w:val="00367753"/>
    <w:rsid w:val="003677CB"/>
    <w:rsid w:val="00367846"/>
    <w:rsid w:val="00367878"/>
    <w:rsid w:val="0036789B"/>
    <w:rsid w:val="0036792E"/>
    <w:rsid w:val="00367932"/>
    <w:rsid w:val="0036798D"/>
    <w:rsid w:val="00367A70"/>
    <w:rsid w:val="00367A78"/>
    <w:rsid w:val="00367AAA"/>
    <w:rsid w:val="00367B95"/>
    <w:rsid w:val="00367BC0"/>
    <w:rsid w:val="00367CAB"/>
    <w:rsid w:val="00367CDB"/>
    <w:rsid w:val="00367EC5"/>
    <w:rsid w:val="00367FB8"/>
    <w:rsid w:val="00367FE8"/>
    <w:rsid w:val="00370035"/>
    <w:rsid w:val="0037017D"/>
    <w:rsid w:val="003702DE"/>
    <w:rsid w:val="003702FF"/>
    <w:rsid w:val="00370304"/>
    <w:rsid w:val="003703C1"/>
    <w:rsid w:val="003703DB"/>
    <w:rsid w:val="00370424"/>
    <w:rsid w:val="00370437"/>
    <w:rsid w:val="003704A4"/>
    <w:rsid w:val="0037056A"/>
    <w:rsid w:val="00370665"/>
    <w:rsid w:val="003706AE"/>
    <w:rsid w:val="003706B9"/>
    <w:rsid w:val="003706CF"/>
    <w:rsid w:val="00370721"/>
    <w:rsid w:val="00370739"/>
    <w:rsid w:val="00370900"/>
    <w:rsid w:val="00370A81"/>
    <w:rsid w:val="00370A84"/>
    <w:rsid w:val="00370BD6"/>
    <w:rsid w:val="00370BFA"/>
    <w:rsid w:val="00370C26"/>
    <w:rsid w:val="00370CB0"/>
    <w:rsid w:val="00370D22"/>
    <w:rsid w:val="00370D43"/>
    <w:rsid w:val="00370E44"/>
    <w:rsid w:val="00370E5C"/>
    <w:rsid w:val="00370F3A"/>
    <w:rsid w:val="00370FBE"/>
    <w:rsid w:val="003710B2"/>
    <w:rsid w:val="003710E4"/>
    <w:rsid w:val="00371264"/>
    <w:rsid w:val="003712E6"/>
    <w:rsid w:val="00371328"/>
    <w:rsid w:val="00371427"/>
    <w:rsid w:val="00371536"/>
    <w:rsid w:val="003715BF"/>
    <w:rsid w:val="003715C5"/>
    <w:rsid w:val="0037160B"/>
    <w:rsid w:val="00371671"/>
    <w:rsid w:val="003716A3"/>
    <w:rsid w:val="003716CB"/>
    <w:rsid w:val="0037183A"/>
    <w:rsid w:val="00371885"/>
    <w:rsid w:val="00371887"/>
    <w:rsid w:val="00371A0B"/>
    <w:rsid w:val="00371B65"/>
    <w:rsid w:val="00371E29"/>
    <w:rsid w:val="00371F72"/>
    <w:rsid w:val="00371F7B"/>
    <w:rsid w:val="00372153"/>
    <w:rsid w:val="003721AB"/>
    <w:rsid w:val="003721D1"/>
    <w:rsid w:val="003721E9"/>
    <w:rsid w:val="00372261"/>
    <w:rsid w:val="00372292"/>
    <w:rsid w:val="003723E9"/>
    <w:rsid w:val="00372488"/>
    <w:rsid w:val="003724BA"/>
    <w:rsid w:val="003725CA"/>
    <w:rsid w:val="0037272E"/>
    <w:rsid w:val="00372920"/>
    <w:rsid w:val="00372B34"/>
    <w:rsid w:val="00372BD4"/>
    <w:rsid w:val="00372C2B"/>
    <w:rsid w:val="00372D34"/>
    <w:rsid w:val="00372D37"/>
    <w:rsid w:val="00372DEB"/>
    <w:rsid w:val="00372E3C"/>
    <w:rsid w:val="00373001"/>
    <w:rsid w:val="003730B7"/>
    <w:rsid w:val="00373111"/>
    <w:rsid w:val="00373145"/>
    <w:rsid w:val="003731C4"/>
    <w:rsid w:val="003731F6"/>
    <w:rsid w:val="003731FE"/>
    <w:rsid w:val="00373371"/>
    <w:rsid w:val="0037345A"/>
    <w:rsid w:val="00373468"/>
    <w:rsid w:val="00373608"/>
    <w:rsid w:val="00373626"/>
    <w:rsid w:val="003736A0"/>
    <w:rsid w:val="003736B4"/>
    <w:rsid w:val="003736C8"/>
    <w:rsid w:val="0037371D"/>
    <w:rsid w:val="00373763"/>
    <w:rsid w:val="00373820"/>
    <w:rsid w:val="003738F0"/>
    <w:rsid w:val="00373972"/>
    <w:rsid w:val="00373CAB"/>
    <w:rsid w:val="00373CB4"/>
    <w:rsid w:val="00373D2A"/>
    <w:rsid w:val="00373D2B"/>
    <w:rsid w:val="00373D30"/>
    <w:rsid w:val="00373D4E"/>
    <w:rsid w:val="00373DB5"/>
    <w:rsid w:val="00373E53"/>
    <w:rsid w:val="00373F81"/>
    <w:rsid w:val="0037406E"/>
    <w:rsid w:val="0037412D"/>
    <w:rsid w:val="0037416F"/>
    <w:rsid w:val="003741B9"/>
    <w:rsid w:val="0037429A"/>
    <w:rsid w:val="003742A3"/>
    <w:rsid w:val="003742DB"/>
    <w:rsid w:val="0037440E"/>
    <w:rsid w:val="003744FB"/>
    <w:rsid w:val="00374541"/>
    <w:rsid w:val="00374590"/>
    <w:rsid w:val="003745AD"/>
    <w:rsid w:val="003746C0"/>
    <w:rsid w:val="0037476E"/>
    <w:rsid w:val="00374A3A"/>
    <w:rsid w:val="00374A4D"/>
    <w:rsid w:val="00374A64"/>
    <w:rsid w:val="00374B59"/>
    <w:rsid w:val="00374CFC"/>
    <w:rsid w:val="00374D13"/>
    <w:rsid w:val="00374EFC"/>
    <w:rsid w:val="00375052"/>
    <w:rsid w:val="00375246"/>
    <w:rsid w:val="00375277"/>
    <w:rsid w:val="003753DA"/>
    <w:rsid w:val="003755B2"/>
    <w:rsid w:val="00375694"/>
    <w:rsid w:val="0037573E"/>
    <w:rsid w:val="00375743"/>
    <w:rsid w:val="00375867"/>
    <w:rsid w:val="003758AB"/>
    <w:rsid w:val="00375948"/>
    <w:rsid w:val="0037599E"/>
    <w:rsid w:val="003759A9"/>
    <w:rsid w:val="003759FD"/>
    <w:rsid w:val="00375A84"/>
    <w:rsid w:val="00375BB9"/>
    <w:rsid w:val="00375C87"/>
    <w:rsid w:val="00375D70"/>
    <w:rsid w:val="00375DB3"/>
    <w:rsid w:val="00375DC8"/>
    <w:rsid w:val="00375EE7"/>
    <w:rsid w:val="00375EFF"/>
    <w:rsid w:val="00375F39"/>
    <w:rsid w:val="00376026"/>
    <w:rsid w:val="00376271"/>
    <w:rsid w:val="003762F8"/>
    <w:rsid w:val="0037644A"/>
    <w:rsid w:val="00376450"/>
    <w:rsid w:val="003764F0"/>
    <w:rsid w:val="003764F6"/>
    <w:rsid w:val="00376616"/>
    <w:rsid w:val="003766C3"/>
    <w:rsid w:val="00376746"/>
    <w:rsid w:val="00376752"/>
    <w:rsid w:val="00376755"/>
    <w:rsid w:val="00376798"/>
    <w:rsid w:val="003767AD"/>
    <w:rsid w:val="00376870"/>
    <w:rsid w:val="00376942"/>
    <w:rsid w:val="00376A67"/>
    <w:rsid w:val="00376A6E"/>
    <w:rsid w:val="00376A81"/>
    <w:rsid w:val="00376B7E"/>
    <w:rsid w:val="00376BA1"/>
    <w:rsid w:val="00376BA7"/>
    <w:rsid w:val="00376BAC"/>
    <w:rsid w:val="00376BCB"/>
    <w:rsid w:val="00376CAB"/>
    <w:rsid w:val="00376D2B"/>
    <w:rsid w:val="00376D44"/>
    <w:rsid w:val="00376DD4"/>
    <w:rsid w:val="00376F00"/>
    <w:rsid w:val="00376F4E"/>
    <w:rsid w:val="00376F77"/>
    <w:rsid w:val="00376FD2"/>
    <w:rsid w:val="00377020"/>
    <w:rsid w:val="0037705B"/>
    <w:rsid w:val="0037713B"/>
    <w:rsid w:val="0037714A"/>
    <w:rsid w:val="003771B2"/>
    <w:rsid w:val="003772CB"/>
    <w:rsid w:val="00377368"/>
    <w:rsid w:val="0037737F"/>
    <w:rsid w:val="00377480"/>
    <w:rsid w:val="00377588"/>
    <w:rsid w:val="0037768D"/>
    <w:rsid w:val="00377782"/>
    <w:rsid w:val="003777C6"/>
    <w:rsid w:val="00377A9E"/>
    <w:rsid w:val="00377ACF"/>
    <w:rsid w:val="00377B56"/>
    <w:rsid w:val="00377B8C"/>
    <w:rsid w:val="00377D7E"/>
    <w:rsid w:val="00377D87"/>
    <w:rsid w:val="00377E6B"/>
    <w:rsid w:val="00377F30"/>
    <w:rsid w:val="00377FA7"/>
    <w:rsid w:val="00380028"/>
    <w:rsid w:val="00380052"/>
    <w:rsid w:val="00380078"/>
    <w:rsid w:val="003800D6"/>
    <w:rsid w:val="003801F4"/>
    <w:rsid w:val="00380232"/>
    <w:rsid w:val="003803CE"/>
    <w:rsid w:val="003803EC"/>
    <w:rsid w:val="00380529"/>
    <w:rsid w:val="00380683"/>
    <w:rsid w:val="00380704"/>
    <w:rsid w:val="0038085D"/>
    <w:rsid w:val="00380B61"/>
    <w:rsid w:val="00380BE9"/>
    <w:rsid w:val="00380D4F"/>
    <w:rsid w:val="00380EDE"/>
    <w:rsid w:val="003811B2"/>
    <w:rsid w:val="00381438"/>
    <w:rsid w:val="0038144D"/>
    <w:rsid w:val="00381509"/>
    <w:rsid w:val="00381565"/>
    <w:rsid w:val="003815CA"/>
    <w:rsid w:val="00381648"/>
    <w:rsid w:val="0038182C"/>
    <w:rsid w:val="00381841"/>
    <w:rsid w:val="00381842"/>
    <w:rsid w:val="00381950"/>
    <w:rsid w:val="00381B11"/>
    <w:rsid w:val="00381B93"/>
    <w:rsid w:val="00381C3C"/>
    <w:rsid w:val="00381CC2"/>
    <w:rsid w:val="00381DD5"/>
    <w:rsid w:val="00381E4B"/>
    <w:rsid w:val="00381E5E"/>
    <w:rsid w:val="00381E92"/>
    <w:rsid w:val="00381EB4"/>
    <w:rsid w:val="00381F0B"/>
    <w:rsid w:val="003820C0"/>
    <w:rsid w:val="00382252"/>
    <w:rsid w:val="003822BB"/>
    <w:rsid w:val="003823AC"/>
    <w:rsid w:val="003824A8"/>
    <w:rsid w:val="003824DE"/>
    <w:rsid w:val="00382522"/>
    <w:rsid w:val="003825CC"/>
    <w:rsid w:val="00382607"/>
    <w:rsid w:val="00382677"/>
    <w:rsid w:val="00382693"/>
    <w:rsid w:val="003827DB"/>
    <w:rsid w:val="003828E1"/>
    <w:rsid w:val="00382977"/>
    <w:rsid w:val="00382BE2"/>
    <w:rsid w:val="00382CC4"/>
    <w:rsid w:val="00382E53"/>
    <w:rsid w:val="00382F84"/>
    <w:rsid w:val="0038302C"/>
    <w:rsid w:val="00383117"/>
    <w:rsid w:val="003831F8"/>
    <w:rsid w:val="003832D1"/>
    <w:rsid w:val="00383304"/>
    <w:rsid w:val="0038335E"/>
    <w:rsid w:val="00383376"/>
    <w:rsid w:val="0038346F"/>
    <w:rsid w:val="00383571"/>
    <w:rsid w:val="00383743"/>
    <w:rsid w:val="00383788"/>
    <w:rsid w:val="0038381C"/>
    <w:rsid w:val="003839A8"/>
    <w:rsid w:val="00383A71"/>
    <w:rsid w:val="00383A94"/>
    <w:rsid w:val="00383C1B"/>
    <w:rsid w:val="00383D03"/>
    <w:rsid w:val="00383DFC"/>
    <w:rsid w:val="00383E73"/>
    <w:rsid w:val="00383F32"/>
    <w:rsid w:val="00383F43"/>
    <w:rsid w:val="00384215"/>
    <w:rsid w:val="00384238"/>
    <w:rsid w:val="00384324"/>
    <w:rsid w:val="0038465A"/>
    <w:rsid w:val="003846AD"/>
    <w:rsid w:val="003846AF"/>
    <w:rsid w:val="00384790"/>
    <w:rsid w:val="003847E7"/>
    <w:rsid w:val="003848D6"/>
    <w:rsid w:val="0038494F"/>
    <w:rsid w:val="00384995"/>
    <w:rsid w:val="003849A9"/>
    <w:rsid w:val="00384A73"/>
    <w:rsid w:val="00384A7C"/>
    <w:rsid w:val="00384AE2"/>
    <w:rsid w:val="00384B1F"/>
    <w:rsid w:val="00384B74"/>
    <w:rsid w:val="00384BB0"/>
    <w:rsid w:val="00384BB5"/>
    <w:rsid w:val="00384DF4"/>
    <w:rsid w:val="00384F09"/>
    <w:rsid w:val="00384F26"/>
    <w:rsid w:val="00384F80"/>
    <w:rsid w:val="00384FAB"/>
    <w:rsid w:val="00384FB2"/>
    <w:rsid w:val="003850B5"/>
    <w:rsid w:val="003850BB"/>
    <w:rsid w:val="00385190"/>
    <w:rsid w:val="003851B7"/>
    <w:rsid w:val="003852A5"/>
    <w:rsid w:val="00385582"/>
    <w:rsid w:val="003855A4"/>
    <w:rsid w:val="003855CC"/>
    <w:rsid w:val="00385665"/>
    <w:rsid w:val="0038568D"/>
    <w:rsid w:val="00385790"/>
    <w:rsid w:val="003857B7"/>
    <w:rsid w:val="003859E5"/>
    <w:rsid w:val="003859FA"/>
    <w:rsid w:val="00385ADC"/>
    <w:rsid w:val="00385B1E"/>
    <w:rsid w:val="00385B22"/>
    <w:rsid w:val="00385D1F"/>
    <w:rsid w:val="00385E8F"/>
    <w:rsid w:val="00385E92"/>
    <w:rsid w:val="0038600B"/>
    <w:rsid w:val="00386149"/>
    <w:rsid w:val="003863B9"/>
    <w:rsid w:val="00386410"/>
    <w:rsid w:val="003864C4"/>
    <w:rsid w:val="003864F7"/>
    <w:rsid w:val="003865B0"/>
    <w:rsid w:val="003865FA"/>
    <w:rsid w:val="003867F3"/>
    <w:rsid w:val="00386964"/>
    <w:rsid w:val="00386BA9"/>
    <w:rsid w:val="00386C4B"/>
    <w:rsid w:val="00386CE9"/>
    <w:rsid w:val="00386D2D"/>
    <w:rsid w:val="00386D34"/>
    <w:rsid w:val="00386E98"/>
    <w:rsid w:val="003871D1"/>
    <w:rsid w:val="0038723F"/>
    <w:rsid w:val="00387316"/>
    <w:rsid w:val="0038746A"/>
    <w:rsid w:val="00387486"/>
    <w:rsid w:val="003874AE"/>
    <w:rsid w:val="003875D8"/>
    <w:rsid w:val="00387604"/>
    <w:rsid w:val="003877CA"/>
    <w:rsid w:val="0038782B"/>
    <w:rsid w:val="0038788A"/>
    <w:rsid w:val="0038789D"/>
    <w:rsid w:val="003878F8"/>
    <w:rsid w:val="00387A32"/>
    <w:rsid w:val="00387A5A"/>
    <w:rsid w:val="00387A64"/>
    <w:rsid w:val="00387B2F"/>
    <w:rsid w:val="00387CD5"/>
    <w:rsid w:val="00387DC3"/>
    <w:rsid w:val="00387DFA"/>
    <w:rsid w:val="00387DFF"/>
    <w:rsid w:val="00387E3D"/>
    <w:rsid w:val="00390005"/>
    <w:rsid w:val="0039005F"/>
    <w:rsid w:val="0039007C"/>
    <w:rsid w:val="003900EF"/>
    <w:rsid w:val="00390256"/>
    <w:rsid w:val="003902D4"/>
    <w:rsid w:val="00390316"/>
    <w:rsid w:val="00390335"/>
    <w:rsid w:val="00390340"/>
    <w:rsid w:val="003903FC"/>
    <w:rsid w:val="00390443"/>
    <w:rsid w:val="00390494"/>
    <w:rsid w:val="003904E5"/>
    <w:rsid w:val="00390A8B"/>
    <w:rsid w:val="00390A98"/>
    <w:rsid w:val="00390AAF"/>
    <w:rsid w:val="00390B57"/>
    <w:rsid w:val="00390D3A"/>
    <w:rsid w:val="00390D50"/>
    <w:rsid w:val="00390D6B"/>
    <w:rsid w:val="00390DFC"/>
    <w:rsid w:val="00390E19"/>
    <w:rsid w:val="00390E32"/>
    <w:rsid w:val="00390F5B"/>
    <w:rsid w:val="00390F76"/>
    <w:rsid w:val="00390FE6"/>
    <w:rsid w:val="0039108C"/>
    <w:rsid w:val="003911D0"/>
    <w:rsid w:val="00391219"/>
    <w:rsid w:val="0039121F"/>
    <w:rsid w:val="00391267"/>
    <w:rsid w:val="0039136F"/>
    <w:rsid w:val="00391396"/>
    <w:rsid w:val="0039139D"/>
    <w:rsid w:val="003913E7"/>
    <w:rsid w:val="003917E2"/>
    <w:rsid w:val="003918AD"/>
    <w:rsid w:val="00391ABE"/>
    <w:rsid w:val="00391AF8"/>
    <w:rsid w:val="00391B86"/>
    <w:rsid w:val="00391CFC"/>
    <w:rsid w:val="00391DCE"/>
    <w:rsid w:val="00391E3A"/>
    <w:rsid w:val="00391EBB"/>
    <w:rsid w:val="00391F3A"/>
    <w:rsid w:val="003921E7"/>
    <w:rsid w:val="0039221C"/>
    <w:rsid w:val="0039225F"/>
    <w:rsid w:val="00392415"/>
    <w:rsid w:val="00392482"/>
    <w:rsid w:val="003924D1"/>
    <w:rsid w:val="00392523"/>
    <w:rsid w:val="00392579"/>
    <w:rsid w:val="003925E8"/>
    <w:rsid w:val="00392807"/>
    <w:rsid w:val="0039280E"/>
    <w:rsid w:val="00392841"/>
    <w:rsid w:val="003928CB"/>
    <w:rsid w:val="003929D3"/>
    <w:rsid w:val="00392A93"/>
    <w:rsid w:val="00392BA3"/>
    <w:rsid w:val="00392BDD"/>
    <w:rsid w:val="00392CFE"/>
    <w:rsid w:val="00392E32"/>
    <w:rsid w:val="00392E4D"/>
    <w:rsid w:val="00393029"/>
    <w:rsid w:val="00393263"/>
    <w:rsid w:val="003932BA"/>
    <w:rsid w:val="00393390"/>
    <w:rsid w:val="003933CF"/>
    <w:rsid w:val="003933EA"/>
    <w:rsid w:val="00393438"/>
    <w:rsid w:val="003935EC"/>
    <w:rsid w:val="00393613"/>
    <w:rsid w:val="00393665"/>
    <w:rsid w:val="003936A7"/>
    <w:rsid w:val="003936EC"/>
    <w:rsid w:val="003936FF"/>
    <w:rsid w:val="003938E9"/>
    <w:rsid w:val="00393916"/>
    <w:rsid w:val="0039397F"/>
    <w:rsid w:val="00393ABA"/>
    <w:rsid w:val="00393B29"/>
    <w:rsid w:val="00393CFD"/>
    <w:rsid w:val="00393D54"/>
    <w:rsid w:val="00393D94"/>
    <w:rsid w:val="00393E25"/>
    <w:rsid w:val="00393F4C"/>
    <w:rsid w:val="00393F8E"/>
    <w:rsid w:val="00393FA2"/>
    <w:rsid w:val="00394022"/>
    <w:rsid w:val="003940D3"/>
    <w:rsid w:val="003940D6"/>
    <w:rsid w:val="0039421F"/>
    <w:rsid w:val="00394236"/>
    <w:rsid w:val="0039441A"/>
    <w:rsid w:val="0039448E"/>
    <w:rsid w:val="003944C2"/>
    <w:rsid w:val="003944F8"/>
    <w:rsid w:val="00394563"/>
    <w:rsid w:val="0039468D"/>
    <w:rsid w:val="00394720"/>
    <w:rsid w:val="0039489D"/>
    <w:rsid w:val="0039499E"/>
    <w:rsid w:val="00394AE9"/>
    <w:rsid w:val="00394BB5"/>
    <w:rsid w:val="00394D5E"/>
    <w:rsid w:val="00394D9E"/>
    <w:rsid w:val="00394E1B"/>
    <w:rsid w:val="00394EFA"/>
    <w:rsid w:val="00394EFF"/>
    <w:rsid w:val="003950D7"/>
    <w:rsid w:val="00395149"/>
    <w:rsid w:val="003952F6"/>
    <w:rsid w:val="00395336"/>
    <w:rsid w:val="00395398"/>
    <w:rsid w:val="003954A8"/>
    <w:rsid w:val="00395818"/>
    <w:rsid w:val="0039581C"/>
    <w:rsid w:val="00395968"/>
    <w:rsid w:val="00395B0C"/>
    <w:rsid w:val="00395C2A"/>
    <w:rsid w:val="00395C72"/>
    <w:rsid w:val="00395D05"/>
    <w:rsid w:val="00395DB2"/>
    <w:rsid w:val="00395EF1"/>
    <w:rsid w:val="00396047"/>
    <w:rsid w:val="00396174"/>
    <w:rsid w:val="00396325"/>
    <w:rsid w:val="00396405"/>
    <w:rsid w:val="00396416"/>
    <w:rsid w:val="0039647F"/>
    <w:rsid w:val="003964D9"/>
    <w:rsid w:val="00396507"/>
    <w:rsid w:val="00396558"/>
    <w:rsid w:val="003965DF"/>
    <w:rsid w:val="0039677E"/>
    <w:rsid w:val="00396791"/>
    <w:rsid w:val="00396915"/>
    <w:rsid w:val="003969CE"/>
    <w:rsid w:val="003969EF"/>
    <w:rsid w:val="00396A03"/>
    <w:rsid w:val="00396A1F"/>
    <w:rsid w:val="00396AC4"/>
    <w:rsid w:val="00396BAA"/>
    <w:rsid w:val="00396D60"/>
    <w:rsid w:val="00396D83"/>
    <w:rsid w:val="00396D8A"/>
    <w:rsid w:val="00396EF7"/>
    <w:rsid w:val="00396F19"/>
    <w:rsid w:val="00396F7C"/>
    <w:rsid w:val="00396FD7"/>
    <w:rsid w:val="003970BC"/>
    <w:rsid w:val="003971F5"/>
    <w:rsid w:val="00397265"/>
    <w:rsid w:val="00397362"/>
    <w:rsid w:val="003973D3"/>
    <w:rsid w:val="00397458"/>
    <w:rsid w:val="0039749D"/>
    <w:rsid w:val="003974F0"/>
    <w:rsid w:val="00397510"/>
    <w:rsid w:val="0039766F"/>
    <w:rsid w:val="00397692"/>
    <w:rsid w:val="003976B6"/>
    <w:rsid w:val="0039779F"/>
    <w:rsid w:val="003977E0"/>
    <w:rsid w:val="003978CC"/>
    <w:rsid w:val="00397917"/>
    <w:rsid w:val="00397951"/>
    <w:rsid w:val="003979F6"/>
    <w:rsid w:val="00397A1E"/>
    <w:rsid w:val="00397C20"/>
    <w:rsid w:val="00397CAE"/>
    <w:rsid w:val="00397CBE"/>
    <w:rsid w:val="00397E7F"/>
    <w:rsid w:val="00397EA3"/>
    <w:rsid w:val="00397F2D"/>
    <w:rsid w:val="00397FE9"/>
    <w:rsid w:val="003A01B2"/>
    <w:rsid w:val="003A03A6"/>
    <w:rsid w:val="003A04C4"/>
    <w:rsid w:val="003A0515"/>
    <w:rsid w:val="003A05E6"/>
    <w:rsid w:val="003A060D"/>
    <w:rsid w:val="003A0671"/>
    <w:rsid w:val="003A076E"/>
    <w:rsid w:val="003A07EF"/>
    <w:rsid w:val="003A08B2"/>
    <w:rsid w:val="003A0B61"/>
    <w:rsid w:val="003A0BCE"/>
    <w:rsid w:val="003A0C16"/>
    <w:rsid w:val="003A0C4D"/>
    <w:rsid w:val="003A0CAE"/>
    <w:rsid w:val="003A0CAF"/>
    <w:rsid w:val="003A0D35"/>
    <w:rsid w:val="003A0D62"/>
    <w:rsid w:val="003A0D7B"/>
    <w:rsid w:val="003A0DAE"/>
    <w:rsid w:val="003A0DC1"/>
    <w:rsid w:val="003A0DE1"/>
    <w:rsid w:val="003A0EAB"/>
    <w:rsid w:val="003A0F25"/>
    <w:rsid w:val="003A1028"/>
    <w:rsid w:val="003A1170"/>
    <w:rsid w:val="003A1177"/>
    <w:rsid w:val="003A1181"/>
    <w:rsid w:val="003A132D"/>
    <w:rsid w:val="003A1437"/>
    <w:rsid w:val="003A1550"/>
    <w:rsid w:val="003A1578"/>
    <w:rsid w:val="003A15A8"/>
    <w:rsid w:val="003A15CD"/>
    <w:rsid w:val="003A16A0"/>
    <w:rsid w:val="003A199A"/>
    <w:rsid w:val="003A1AAA"/>
    <w:rsid w:val="003A1BD3"/>
    <w:rsid w:val="003A1BDA"/>
    <w:rsid w:val="003A1C47"/>
    <w:rsid w:val="003A1C5B"/>
    <w:rsid w:val="003A1D85"/>
    <w:rsid w:val="003A1D90"/>
    <w:rsid w:val="003A1DB4"/>
    <w:rsid w:val="003A1DCC"/>
    <w:rsid w:val="003A1E65"/>
    <w:rsid w:val="003A1FA5"/>
    <w:rsid w:val="003A1FC9"/>
    <w:rsid w:val="003A20C3"/>
    <w:rsid w:val="003A21EC"/>
    <w:rsid w:val="003A2419"/>
    <w:rsid w:val="003A2492"/>
    <w:rsid w:val="003A24A7"/>
    <w:rsid w:val="003A257D"/>
    <w:rsid w:val="003A26BF"/>
    <w:rsid w:val="003A286B"/>
    <w:rsid w:val="003A289A"/>
    <w:rsid w:val="003A28E6"/>
    <w:rsid w:val="003A29E5"/>
    <w:rsid w:val="003A2A5E"/>
    <w:rsid w:val="003A2A91"/>
    <w:rsid w:val="003A2CA7"/>
    <w:rsid w:val="003A2D43"/>
    <w:rsid w:val="003A2D8C"/>
    <w:rsid w:val="003A2E1B"/>
    <w:rsid w:val="003A2E3B"/>
    <w:rsid w:val="003A2F09"/>
    <w:rsid w:val="003A2F5F"/>
    <w:rsid w:val="003A2FBE"/>
    <w:rsid w:val="003A2FC6"/>
    <w:rsid w:val="003A2FD5"/>
    <w:rsid w:val="003A2FE4"/>
    <w:rsid w:val="003A30EF"/>
    <w:rsid w:val="003A31FD"/>
    <w:rsid w:val="003A3322"/>
    <w:rsid w:val="003A3621"/>
    <w:rsid w:val="003A3662"/>
    <w:rsid w:val="003A3676"/>
    <w:rsid w:val="003A382F"/>
    <w:rsid w:val="003A38E6"/>
    <w:rsid w:val="003A397B"/>
    <w:rsid w:val="003A3995"/>
    <w:rsid w:val="003A3A79"/>
    <w:rsid w:val="003A3ABD"/>
    <w:rsid w:val="003A3B66"/>
    <w:rsid w:val="003A3B6D"/>
    <w:rsid w:val="003A3CF1"/>
    <w:rsid w:val="003A3D3F"/>
    <w:rsid w:val="003A3D5D"/>
    <w:rsid w:val="003A3DE9"/>
    <w:rsid w:val="003A3EA0"/>
    <w:rsid w:val="003A3EC5"/>
    <w:rsid w:val="003A3F3A"/>
    <w:rsid w:val="003A401B"/>
    <w:rsid w:val="003A40F9"/>
    <w:rsid w:val="003A4113"/>
    <w:rsid w:val="003A41A8"/>
    <w:rsid w:val="003A4218"/>
    <w:rsid w:val="003A42C2"/>
    <w:rsid w:val="003A42EB"/>
    <w:rsid w:val="003A42FB"/>
    <w:rsid w:val="003A4309"/>
    <w:rsid w:val="003A4338"/>
    <w:rsid w:val="003A4423"/>
    <w:rsid w:val="003A462B"/>
    <w:rsid w:val="003A4834"/>
    <w:rsid w:val="003A48CB"/>
    <w:rsid w:val="003A4BAB"/>
    <w:rsid w:val="003A4BDD"/>
    <w:rsid w:val="003A4C22"/>
    <w:rsid w:val="003A4CBF"/>
    <w:rsid w:val="003A4F0E"/>
    <w:rsid w:val="003A4F44"/>
    <w:rsid w:val="003A50A6"/>
    <w:rsid w:val="003A514C"/>
    <w:rsid w:val="003A51A5"/>
    <w:rsid w:val="003A5359"/>
    <w:rsid w:val="003A53CA"/>
    <w:rsid w:val="003A548D"/>
    <w:rsid w:val="003A5503"/>
    <w:rsid w:val="003A557F"/>
    <w:rsid w:val="003A5626"/>
    <w:rsid w:val="003A5657"/>
    <w:rsid w:val="003A579D"/>
    <w:rsid w:val="003A57D3"/>
    <w:rsid w:val="003A5922"/>
    <w:rsid w:val="003A5981"/>
    <w:rsid w:val="003A5BE1"/>
    <w:rsid w:val="003A5C43"/>
    <w:rsid w:val="003A5E11"/>
    <w:rsid w:val="003A5F32"/>
    <w:rsid w:val="003A5F96"/>
    <w:rsid w:val="003A6139"/>
    <w:rsid w:val="003A6170"/>
    <w:rsid w:val="003A617D"/>
    <w:rsid w:val="003A61E2"/>
    <w:rsid w:val="003A6256"/>
    <w:rsid w:val="003A6302"/>
    <w:rsid w:val="003A6430"/>
    <w:rsid w:val="003A64B6"/>
    <w:rsid w:val="003A64ED"/>
    <w:rsid w:val="003A674D"/>
    <w:rsid w:val="003A6819"/>
    <w:rsid w:val="003A6A1C"/>
    <w:rsid w:val="003A6B39"/>
    <w:rsid w:val="003A6B57"/>
    <w:rsid w:val="003A6BCE"/>
    <w:rsid w:val="003A6DE6"/>
    <w:rsid w:val="003A6E44"/>
    <w:rsid w:val="003A6E67"/>
    <w:rsid w:val="003A6EC3"/>
    <w:rsid w:val="003A6F0C"/>
    <w:rsid w:val="003A6FB7"/>
    <w:rsid w:val="003A6FC5"/>
    <w:rsid w:val="003A712D"/>
    <w:rsid w:val="003A7132"/>
    <w:rsid w:val="003A71D0"/>
    <w:rsid w:val="003A72CC"/>
    <w:rsid w:val="003A7344"/>
    <w:rsid w:val="003A73B8"/>
    <w:rsid w:val="003A7466"/>
    <w:rsid w:val="003A7469"/>
    <w:rsid w:val="003A74F6"/>
    <w:rsid w:val="003A751A"/>
    <w:rsid w:val="003A7645"/>
    <w:rsid w:val="003A78D8"/>
    <w:rsid w:val="003A79A5"/>
    <w:rsid w:val="003A79F9"/>
    <w:rsid w:val="003A7A5C"/>
    <w:rsid w:val="003A7A67"/>
    <w:rsid w:val="003A7B1B"/>
    <w:rsid w:val="003A7B31"/>
    <w:rsid w:val="003A7C9F"/>
    <w:rsid w:val="003A7D4F"/>
    <w:rsid w:val="003A7D97"/>
    <w:rsid w:val="003A7E66"/>
    <w:rsid w:val="003A7F9D"/>
    <w:rsid w:val="003A7FED"/>
    <w:rsid w:val="003B0005"/>
    <w:rsid w:val="003B00A0"/>
    <w:rsid w:val="003B00A8"/>
    <w:rsid w:val="003B00CC"/>
    <w:rsid w:val="003B0120"/>
    <w:rsid w:val="003B01C5"/>
    <w:rsid w:val="003B02EF"/>
    <w:rsid w:val="003B0498"/>
    <w:rsid w:val="003B04F0"/>
    <w:rsid w:val="003B0596"/>
    <w:rsid w:val="003B05DC"/>
    <w:rsid w:val="003B06CC"/>
    <w:rsid w:val="003B06E5"/>
    <w:rsid w:val="003B0777"/>
    <w:rsid w:val="003B0807"/>
    <w:rsid w:val="003B089B"/>
    <w:rsid w:val="003B09D9"/>
    <w:rsid w:val="003B0A1C"/>
    <w:rsid w:val="003B0AA1"/>
    <w:rsid w:val="003B0AC7"/>
    <w:rsid w:val="003B0AE1"/>
    <w:rsid w:val="003B0B75"/>
    <w:rsid w:val="003B0B8A"/>
    <w:rsid w:val="003B0BD7"/>
    <w:rsid w:val="003B0CBD"/>
    <w:rsid w:val="003B0D07"/>
    <w:rsid w:val="003B0D3D"/>
    <w:rsid w:val="003B0E20"/>
    <w:rsid w:val="003B0E3E"/>
    <w:rsid w:val="003B0EBA"/>
    <w:rsid w:val="003B1060"/>
    <w:rsid w:val="003B1072"/>
    <w:rsid w:val="003B109E"/>
    <w:rsid w:val="003B1166"/>
    <w:rsid w:val="003B11B8"/>
    <w:rsid w:val="003B1214"/>
    <w:rsid w:val="003B126A"/>
    <w:rsid w:val="003B12A7"/>
    <w:rsid w:val="003B13B2"/>
    <w:rsid w:val="003B152A"/>
    <w:rsid w:val="003B15CD"/>
    <w:rsid w:val="003B1662"/>
    <w:rsid w:val="003B1683"/>
    <w:rsid w:val="003B1769"/>
    <w:rsid w:val="003B1964"/>
    <w:rsid w:val="003B19B0"/>
    <w:rsid w:val="003B19E3"/>
    <w:rsid w:val="003B1AE0"/>
    <w:rsid w:val="003B1B2C"/>
    <w:rsid w:val="003B1C04"/>
    <w:rsid w:val="003B1C69"/>
    <w:rsid w:val="003B1D33"/>
    <w:rsid w:val="003B1D35"/>
    <w:rsid w:val="003B1D4E"/>
    <w:rsid w:val="003B1D5B"/>
    <w:rsid w:val="003B1DAF"/>
    <w:rsid w:val="003B1EBF"/>
    <w:rsid w:val="003B1EEF"/>
    <w:rsid w:val="003B1F0E"/>
    <w:rsid w:val="003B1FF8"/>
    <w:rsid w:val="003B23BD"/>
    <w:rsid w:val="003B23CC"/>
    <w:rsid w:val="003B23F9"/>
    <w:rsid w:val="003B241B"/>
    <w:rsid w:val="003B2450"/>
    <w:rsid w:val="003B252A"/>
    <w:rsid w:val="003B25C6"/>
    <w:rsid w:val="003B273B"/>
    <w:rsid w:val="003B28F9"/>
    <w:rsid w:val="003B29CF"/>
    <w:rsid w:val="003B29D1"/>
    <w:rsid w:val="003B2A29"/>
    <w:rsid w:val="003B2A74"/>
    <w:rsid w:val="003B2AB7"/>
    <w:rsid w:val="003B2AE2"/>
    <w:rsid w:val="003B2B03"/>
    <w:rsid w:val="003B2C8B"/>
    <w:rsid w:val="003B2CC2"/>
    <w:rsid w:val="003B2D5D"/>
    <w:rsid w:val="003B2F92"/>
    <w:rsid w:val="003B302D"/>
    <w:rsid w:val="003B3249"/>
    <w:rsid w:val="003B32B7"/>
    <w:rsid w:val="003B3333"/>
    <w:rsid w:val="003B355D"/>
    <w:rsid w:val="003B356B"/>
    <w:rsid w:val="003B35ED"/>
    <w:rsid w:val="003B36DA"/>
    <w:rsid w:val="003B37FF"/>
    <w:rsid w:val="003B3862"/>
    <w:rsid w:val="003B39BD"/>
    <w:rsid w:val="003B3AB5"/>
    <w:rsid w:val="003B3B60"/>
    <w:rsid w:val="003B3C39"/>
    <w:rsid w:val="003B3FD6"/>
    <w:rsid w:val="003B402F"/>
    <w:rsid w:val="003B404B"/>
    <w:rsid w:val="003B4050"/>
    <w:rsid w:val="003B40D8"/>
    <w:rsid w:val="003B4132"/>
    <w:rsid w:val="003B4199"/>
    <w:rsid w:val="003B420C"/>
    <w:rsid w:val="003B4243"/>
    <w:rsid w:val="003B43DB"/>
    <w:rsid w:val="003B441A"/>
    <w:rsid w:val="003B4424"/>
    <w:rsid w:val="003B44A6"/>
    <w:rsid w:val="003B44BA"/>
    <w:rsid w:val="003B4565"/>
    <w:rsid w:val="003B457D"/>
    <w:rsid w:val="003B4601"/>
    <w:rsid w:val="003B4683"/>
    <w:rsid w:val="003B46ED"/>
    <w:rsid w:val="003B4757"/>
    <w:rsid w:val="003B4762"/>
    <w:rsid w:val="003B4776"/>
    <w:rsid w:val="003B4783"/>
    <w:rsid w:val="003B488A"/>
    <w:rsid w:val="003B4A7F"/>
    <w:rsid w:val="003B4AA4"/>
    <w:rsid w:val="003B4C5B"/>
    <w:rsid w:val="003B4C86"/>
    <w:rsid w:val="003B4C92"/>
    <w:rsid w:val="003B4F66"/>
    <w:rsid w:val="003B4FB3"/>
    <w:rsid w:val="003B509E"/>
    <w:rsid w:val="003B5132"/>
    <w:rsid w:val="003B51A1"/>
    <w:rsid w:val="003B526C"/>
    <w:rsid w:val="003B5301"/>
    <w:rsid w:val="003B5308"/>
    <w:rsid w:val="003B5537"/>
    <w:rsid w:val="003B557D"/>
    <w:rsid w:val="003B567C"/>
    <w:rsid w:val="003B56A2"/>
    <w:rsid w:val="003B57F6"/>
    <w:rsid w:val="003B58EC"/>
    <w:rsid w:val="003B5A98"/>
    <w:rsid w:val="003B5ABF"/>
    <w:rsid w:val="003B5B94"/>
    <w:rsid w:val="003B5B98"/>
    <w:rsid w:val="003B5CCF"/>
    <w:rsid w:val="003B5D07"/>
    <w:rsid w:val="003B5EE1"/>
    <w:rsid w:val="003B5F3F"/>
    <w:rsid w:val="003B5F69"/>
    <w:rsid w:val="003B6076"/>
    <w:rsid w:val="003B6092"/>
    <w:rsid w:val="003B611D"/>
    <w:rsid w:val="003B6133"/>
    <w:rsid w:val="003B6139"/>
    <w:rsid w:val="003B63E6"/>
    <w:rsid w:val="003B64C8"/>
    <w:rsid w:val="003B669D"/>
    <w:rsid w:val="003B66E8"/>
    <w:rsid w:val="003B6705"/>
    <w:rsid w:val="003B6748"/>
    <w:rsid w:val="003B6921"/>
    <w:rsid w:val="003B699B"/>
    <w:rsid w:val="003B6B12"/>
    <w:rsid w:val="003B6C1E"/>
    <w:rsid w:val="003B6CCE"/>
    <w:rsid w:val="003B6D1F"/>
    <w:rsid w:val="003B6D91"/>
    <w:rsid w:val="003B6E26"/>
    <w:rsid w:val="003B6F91"/>
    <w:rsid w:val="003B6FED"/>
    <w:rsid w:val="003B7070"/>
    <w:rsid w:val="003B7157"/>
    <w:rsid w:val="003B7263"/>
    <w:rsid w:val="003B7365"/>
    <w:rsid w:val="003B73FD"/>
    <w:rsid w:val="003B7705"/>
    <w:rsid w:val="003B7768"/>
    <w:rsid w:val="003B777D"/>
    <w:rsid w:val="003B788D"/>
    <w:rsid w:val="003B7969"/>
    <w:rsid w:val="003B7981"/>
    <w:rsid w:val="003B79F8"/>
    <w:rsid w:val="003B7A87"/>
    <w:rsid w:val="003B7EF8"/>
    <w:rsid w:val="003B7FFA"/>
    <w:rsid w:val="003C01D7"/>
    <w:rsid w:val="003C021D"/>
    <w:rsid w:val="003C028D"/>
    <w:rsid w:val="003C02E1"/>
    <w:rsid w:val="003C040E"/>
    <w:rsid w:val="003C0433"/>
    <w:rsid w:val="003C0590"/>
    <w:rsid w:val="003C05CE"/>
    <w:rsid w:val="003C05E7"/>
    <w:rsid w:val="003C05FF"/>
    <w:rsid w:val="003C078A"/>
    <w:rsid w:val="003C0808"/>
    <w:rsid w:val="003C083B"/>
    <w:rsid w:val="003C0883"/>
    <w:rsid w:val="003C0921"/>
    <w:rsid w:val="003C0985"/>
    <w:rsid w:val="003C0B6F"/>
    <w:rsid w:val="003C0DBA"/>
    <w:rsid w:val="003C0DD5"/>
    <w:rsid w:val="003C0E12"/>
    <w:rsid w:val="003C0EC6"/>
    <w:rsid w:val="003C0F53"/>
    <w:rsid w:val="003C0FCB"/>
    <w:rsid w:val="003C1045"/>
    <w:rsid w:val="003C1059"/>
    <w:rsid w:val="003C1078"/>
    <w:rsid w:val="003C10F9"/>
    <w:rsid w:val="003C1168"/>
    <w:rsid w:val="003C11DD"/>
    <w:rsid w:val="003C12C0"/>
    <w:rsid w:val="003C1324"/>
    <w:rsid w:val="003C1414"/>
    <w:rsid w:val="003C14A7"/>
    <w:rsid w:val="003C1537"/>
    <w:rsid w:val="003C156F"/>
    <w:rsid w:val="003C15B2"/>
    <w:rsid w:val="003C15BF"/>
    <w:rsid w:val="003C15C7"/>
    <w:rsid w:val="003C15F9"/>
    <w:rsid w:val="003C17C5"/>
    <w:rsid w:val="003C1834"/>
    <w:rsid w:val="003C18AB"/>
    <w:rsid w:val="003C1A4C"/>
    <w:rsid w:val="003C1CCA"/>
    <w:rsid w:val="003C1DC5"/>
    <w:rsid w:val="003C1E63"/>
    <w:rsid w:val="003C2155"/>
    <w:rsid w:val="003C2241"/>
    <w:rsid w:val="003C2260"/>
    <w:rsid w:val="003C22AC"/>
    <w:rsid w:val="003C2392"/>
    <w:rsid w:val="003C2467"/>
    <w:rsid w:val="003C249D"/>
    <w:rsid w:val="003C24AE"/>
    <w:rsid w:val="003C2563"/>
    <w:rsid w:val="003C274D"/>
    <w:rsid w:val="003C2849"/>
    <w:rsid w:val="003C2850"/>
    <w:rsid w:val="003C2920"/>
    <w:rsid w:val="003C29E3"/>
    <w:rsid w:val="003C29F8"/>
    <w:rsid w:val="003C2A4B"/>
    <w:rsid w:val="003C2B98"/>
    <w:rsid w:val="003C2BCA"/>
    <w:rsid w:val="003C2C38"/>
    <w:rsid w:val="003C2E3C"/>
    <w:rsid w:val="003C2E5E"/>
    <w:rsid w:val="003C2F54"/>
    <w:rsid w:val="003C3074"/>
    <w:rsid w:val="003C30EF"/>
    <w:rsid w:val="003C3219"/>
    <w:rsid w:val="003C32E3"/>
    <w:rsid w:val="003C33D6"/>
    <w:rsid w:val="003C33D8"/>
    <w:rsid w:val="003C3513"/>
    <w:rsid w:val="003C3578"/>
    <w:rsid w:val="003C3778"/>
    <w:rsid w:val="003C391C"/>
    <w:rsid w:val="003C395F"/>
    <w:rsid w:val="003C3998"/>
    <w:rsid w:val="003C399C"/>
    <w:rsid w:val="003C3A9E"/>
    <w:rsid w:val="003C3CCF"/>
    <w:rsid w:val="003C3D65"/>
    <w:rsid w:val="003C3E4D"/>
    <w:rsid w:val="003C3E4F"/>
    <w:rsid w:val="003C3FBA"/>
    <w:rsid w:val="003C41B4"/>
    <w:rsid w:val="003C41D8"/>
    <w:rsid w:val="003C423F"/>
    <w:rsid w:val="003C4274"/>
    <w:rsid w:val="003C42E2"/>
    <w:rsid w:val="003C4382"/>
    <w:rsid w:val="003C43DD"/>
    <w:rsid w:val="003C442A"/>
    <w:rsid w:val="003C447B"/>
    <w:rsid w:val="003C4676"/>
    <w:rsid w:val="003C46AA"/>
    <w:rsid w:val="003C46FD"/>
    <w:rsid w:val="003C475A"/>
    <w:rsid w:val="003C47A0"/>
    <w:rsid w:val="003C47A7"/>
    <w:rsid w:val="003C4822"/>
    <w:rsid w:val="003C4922"/>
    <w:rsid w:val="003C496F"/>
    <w:rsid w:val="003C4A41"/>
    <w:rsid w:val="003C4AAA"/>
    <w:rsid w:val="003C4B54"/>
    <w:rsid w:val="003C4B5A"/>
    <w:rsid w:val="003C4C05"/>
    <w:rsid w:val="003C4DB4"/>
    <w:rsid w:val="003C4EB2"/>
    <w:rsid w:val="003C4EC9"/>
    <w:rsid w:val="003C4ECA"/>
    <w:rsid w:val="003C50F2"/>
    <w:rsid w:val="003C5161"/>
    <w:rsid w:val="003C5408"/>
    <w:rsid w:val="003C54F5"/>
    <w:rsid w:val="003C553B"/>
    <w:rsid w:val="003C559F"/>
    <w:rsid w:val="003C5778"/>
    <w:rsid w:val="003C5856"/>
    <w:rsid w:val="003C5993"/>
    <w:rsid w:val="003C5AC3"/>
    <w:rsid w:val="003C5C93"/>
    <w:rsid w:val="003C5CBE"/>
    <w:rsid w:val="003C5D68"/>
    <w:rsid w:val="003C5E0C"/>
    <w:rsid w:val="003C5E41"/>
    <w:rsid w:val="003C5F00"/>
    <w:rsid w:val="003C6004"/>
    <w:rsid w:val="003C6015"/>
    <w:rsid w:val="003C60DB"/>
    <w:rsid w:val="003C616F"/>
    <w:rsid w:val="003C61BF"/>
    <w:rsid w:val="003C623A"/>
    <w:rsid w:val="003C63B3"/>
    <w:rsid w:val="003C6479"/>
    <w:rsid w:val="003C647B"/>
    <w:rsid w:val="003C6559"/>
    <w:rsid w:val="003C65C1"/>
    <w:rsid w:val="003C66BB"/>
    <w:rsid w:val="003C68DB"/>
    <w:rsid w:val="003C6980"/>
    <w:rsid w:val="003C6987"/>
    <w:rsid w:val="003C69A7"/>
    <w:rsid w:val="003C69D2"/>
    <w:rsid w:val="003C69E1"/>
    <w:rsid w:val="003C6A4A"/>
    <w:rsid w:val="003C6A69"/>
    <w:rsid w:val="003C6B83"/>
    <w:rsid w:val="003C6C16"/>
    <w:rsid w:val="003C6C7B"/>
    <w:rsid w:val="003C6D4F"/>
    <w:rsid w:val="003C6E53"/>
    <w:rsid w:val="003C6F23"/>
    <w:rsid w:val="003C7000"/>
    <w:rsid w:val="003C7004"/>
    <w:rsid w:val="003C7175"/>
    <w:rsid w:val="003C7215"/>
    <w:rsid w:val="003C722D"/>
    <w:rsid w:val="003C732E"/>
    <w:rsid w:val="003C7408"/>
    <w:rsid w:val="003C7477"/>
    <w:rsid w:val="003C7637"/>
    <w:rsid w:val="003C77EA"/>
    <w:rsid w:val="003C78B8"/>
    <w:rsid w:val="003C78F9"/>
    <w:rsid w:val="003C790D"/>
    <w:rsid w:val="003C7963"/>
    <w:rsid w:val="003C7A66"/>
    <w:rsid w:val="003C7A9E"/>
    <w:rsid w:val="003C7DDD"/>
    <w:rsid w:val="003C7E8C"/>
    <w:rsid w:val="003D00B4"/>
    <w:rsid w:val="003D00CA"/>
    <w:rsid w:val="003D0141"/>
    <w:rsid w:val="003D0237"/>
    <w:rsid w:val="003D0374"/>
    <w:rsid w:val="003D037B"/>
    <w:rsid w:val="003D0450"/>
    <w:rsid w:val="003D047E"/>
    <w:rsid w:val="003D04E7"/>
    <w:rsid w:val="003D05CF"/>
    <w:rsid w:val="003D06B8"/>
    <w:rsid w:val="003D06F7"/>
    <w:rsid w:val="003D0836"/>
    <w:rsid w:val="003D08BC"/>
    <w:rsid w:val="003D0A01"/>
    <w:rsid w:val="003D0BA4"/>
    <w:rsid w:val="003D0BAF"/>
    <w:rsid w:val="003D0CDB"/>
    <w:rsid w:val="003D0D1A"/>
    <w:rsid w:val="003D0D2A"/>
    <w:rsid w:val="003D0E1D"/>
    <w:rsid w:val="003D0E7B"/>
    <w:rsid w:val="003D0EBF"/>
    <w:rsid w:val="003D0F88"/>
    <w:rsid w:val="003D0FAE"/>
    <w:rsid w:val="003D1123"/>
    <w:rsid w:val="003D1203"/>
    <w:rsid w:val="003D133F"/>
    <w:rsid w:val="003D14D5"/>
    <w:rsid w:val="003D14D9"/>
    <w:rsid w:val="003D1502"/>
    <w:rsid w:val="003D1523"/>
    <w:rsid w:val="003D161B"/>
    <w:rsid w:val="003D1659"/>
    <w:rsid w:val="003D16BF"/>
    <w:rsid w:val="003D16D7"/>
    <w:rsid w:val="003D1704"/>
    <w:rsid w:val="003D171F"/>
    <w:rsid w:val="003D176C"/>
    <w:rsid w:val="003D1788"/>
    <w:rsid w:val="003D1852"/>
    <w:rsid w:val="003D1996"/>
    <w:rsid w:val="003D1BF3"/>
    <w:rsid w:val="003D1CD2"/>
    <w:rsid w:val="003D1CEF"/>
    <w:rsid w:val="003D1DD3"/>
    <w:rsid w:val="003D1FE8"/>
    <w:rsid w:val="003D1FFD"/>
    <w:rsid w:val="003D2179"/>
    <w:rsid w:val="003D22E0"/>
    <w:rsid w:val="003D23BB"/>
    <w:rsid w:val="003D242F"/>
    <w:rsid w:val="003D2686"/>
    <w:rsid w:val="003D2818"/>
    <w:rsid w:val="003D28A6"/>
    <w:rsid w:val="003D29C4"/>
    <w:rsid w:val="003D2A8C"/>
    <w:rsid w:val="003D2A9E"/>
    <w:rsid w:val="003D2AEF"/>
    <w:rsid w:val="003D2B6E"/>
    <w:rsid w:val="003D2C14"/>
    <w:rsid w:val="003D2C33"/>
    <w:rsid w:val="003D2CC6"/>
    <w:rsid w:val="003D2CDD"/>
    <w:rsid w:val="003D2DD2"/>
    <w:rsid w:val="003D2E37"/>
    <w:rsid w:val="003D2EF2"/>
    <w:rsid w:val="003D2EFB"/>
    <w:rsid w:val="003D2F2B"/>
    <w:rsid w:val="003D2F9E"/>
    <w:rsid w:val="003D31C0"/>
    <w:rsid w:val="003D31E3"/>
    <w:rsid w:val="003D31EC"/>
    <w:rsid w:val="003D3238"/>
    <w:rsid w:val="003D324E"/>
    <w:rsid w:val="003D326C"/>
    <w:rsid w:val="003D3306"/>
    <w:rsid w:val="003D350C"/>
    <w:rsid w:val="003D35A0"/>
    <w:rsid w:val="003D35EA"/>
    <w:rsid w:val="003D3668"/>
    <w:rsid w:val="003D3839"/>
    <w:rsid w:val="003D386F"/>
    <w:rsid w:val="003D38D4"/>
    <w:rsid w:val="003D38EE"/>
    <w:rsid w:val="003D3A41"/>
    <w:rsid w:val="003D3B3E"/>
    <w:rsid w:val="003D3CB2"/>
    <w:rsid w:val="003D3CB5"/>
    <w:rsid w:val="003D3FDC"/>
    <w:rsid w:val="003D405D"/>
    <w:rsid w:val="003D42E7"/>
    <w:rsid w:val="003D434E"/>
    <w:rsid w:val="003D44C6"/>
    <w:rsid w:val="003D45B2"/>
    <w:rsid w:val="003D45CD"/>
    <w:rsid w:val="003D45DE"/>
    <w:rsid w:val="003D45FC"/>
    <w:rsid w:val="003D46B0"/>
    <w:rsid w:val="003D46BE"/>
    <w:rsid w:val="003D4716"/>
    <w:rsid w:val="003D475D"/>
    <w:rsid w:val="003D49A2"/>
    <w:rsid w:val="003D49D2"/>
    <w:rsid w:val="003D4A14"/>
    <w:rsid w:val="003D4B63"/>
    <w:rsid w:val="003D4B7C"/>
    <w:rsid w:val="003D4BA6"/>
    <w:rsid w:val="003D4D98"/>
    <w:rsid w:val="003D4E1C"/>
    <w:rsid w:val="003D4E8F"/>
    <w:rsid w:val="003D4E92"/>
    <w:rsid w:val="003D4FCE"/>
    <w:rsid w:val="003D4FF7"/>
    <w:rsid w:val="003D5024"/>
    <w:rsid w:val="003D5045"/>
    <w:rsid w:val="003D509E"/>
    <w:rsid w:val="003D5167"/>
    <w:rsid w:val="003D5178"/>
    <w:rsid w:val="003D54EC"/>
    <w:rsid w:val="003D5666"/>
    <w:rsid w:val="003D56C3"/>
    <w:rsid w:val="003D56F4"/>
    <w:rsid w:val="003D56FF"/>
    <w:rsid w:val="003D57A1"/>
    <w:rsid w:val="003D5869"/>
    <w:rsid w:val="003D58D9"/>
    <w:rsid w:val="003D5999"/>
    <w:rsid w:val="003D59B3"/>
    <w:rsid w:val="003D5A6E"/>
    <w:rsid w:val="003D5B06"/>
    <w:rsid w:val="003D5B9B"/>
    <w:rsid w:val="003D5BD4"/>
    <w:rsid w:val="003D5D0B"/>
    <w:rsid w:val="003D5D54"/>
    <w:rsid w:val="003D5DB4"/>
    <w:rsid w:val="003D5DE1"/>
    <w:rsid w:val="003D5DF2"/>
    <w:rsid w:val="003D5E87"/>
    <w:rsid w:val="003D5EF0"/>
    <w:rsid w:val="003D5F12"/>
    <w:rsid w:val="003D5F34"/>
    <w:rsid w:val="003D5F7C"/>
    <w:rsid w:val="003D609A"/>
    <w:rsid w:val="003D6123"/>
    <w:rsid w:val="003D62DE"/>
    <w:rsid w:val="003D632C"/>
    <w:rsid w:val="003D6334"/>
    <w:rsid w:val="003D65A0"/>
    <w:rsid w:val="003D687A"/>
    <w:rsid w:val="003D6893"/>
    <w:rsid w:val="003D6939"/>
    <w:rsid w:val="003D6944"/>
    <w:rsid w:val="003D6965"/>
    <w:rsid w:val="003D6B2C"/>
    <w:rsid w:val="003D6C0A"/>
    <w:rsid w:val="003D6C42"/>
    <w:rsid w:val="003D6CC1"/>
    <w:rsid w:val="003D6DA1"/>
    <w:rsid w:val="003D6F0C"/>
    <w:rsid w:val="003D6FEC"/>
    <w:rsid w:val="003D7014"/>
    <w:rsid w:val="003D7128"/>
    <w:rsid w:val="003D731D"/>
    <w:rsid w:val="003D7333"/>
    <w:rsid w:val="003D738A"/>
    <w:rsid w:val="003D753A"/>
    <w:rsid w:val="003D7551"/>
    <w:rsid w:val="003D755D"/>
    <w:rsid w:val="003D7571"/>
    <w:rsid w:val="003D758F"/>
    <w:rsid w:val="003D7634"/>
    <w:rsid w:val="003D7658"/>
    <w:rsid w:val="003D77F3"/>
    <w:rsid w:val="003D78A2"/>
    <w:rsid w:val="003D78A4"/>
    <w:rsid w:val="003D78A8"/>
    <w:rsid w:val="003D7931"/>
    <w:rsid w:val="003D7A2E"/>
    <w:rsid w:val="003D7B4E"/>
    <w:rsid w:val="003D7B5D"/>
    <w:rsid w:val="003D7B90"/>
    <w:rsid w:val="003D7BB7"/>
    <w:rsid w:val="003D7CA7"/>
    <w:rsid w:val="003D7E4E"/>
    <w:rsid w:val="003D7E67"/>
    <w:rsid w:val="003D7E73"/>
    <w:rsid w:val="003D7E82"/>
    <w:rsid w:val="003D7E88"/>
    <w:rsid w:val="003D7F45"/>
    <w:rsid w:val="003D7FDC"/>
    <w:rsid w:val="003E005B"/>
    <w:rsid w:val="003E00C7"/>
    <w:rsid w:val="003E0146"/>
    <w:rsid w:val="003E01B5"/>
    <w:rsid w:val="003E0236"/>
    <w:rsid w:val="003E0283"/>
    <w:rsid w:val="003E02C0"/>
    <w:rsid w:val="003E0347"/>
    <w:rsid w:val="003E034C"/>
    <w:rsid w:val="003E046E"/>
    <w:rsid w:val="003E051E"/>
    <w:rsid w:val="003E05C0"/>
    <w:rsid w:val="003E064C"/>
    <w:rsid w:val="003E07A8"/>
    <w:rsid w:val="003E0842"/>
    <w:rsid w:val="003E087B"/>
    <w:rsid w:val="003E0927"/>
    <w:rsid w:val="003E0935"/>
    <w:rsid w:val="003E0A74"/>
    <w:rsid w:val="003E0CDC"/>
    <w:rsid w:val="003E0D1A"/>
    <w:rsid w:val="003E0DDC"/>
    <w:rsid w:val="003E0DEB"/>
    <w:rsid w:val="003E0F12"/>
    <w:rsid w:val="003E0F14"/>
    <w:rsid w:val="003E0F89"/>
    <w:rsid w:val="003E0FF5"/>
    <w:rsid w:val="003E1128"/>
    <w:rsid w:val="003E1210"/>
    <w:rsid w:val="003E1531"/>
    <w:rsid w:val="003E1594"/>
    <w:rsid w:val="003E1631"/>
    <w:rsid w:val="003E16C3"/>
    <w:rsid w:val="003E1756"/>
    <w:rsid w:val="003E18A7"/>
    <w:rsid w:val="003E18B7"/>
    <w:rsid w:val="003E192D"/>
    <w:rsid w:val="003E1A1D"/>
    <w:rsid w:val="003E1A32"/>
    <w:rsid w:val="003E1AAB"/>
    <w:rsid w:val="003E1C06"/>
    <w:rsid w:val="003E1CD6"/>
    <w:rsid w:val="003E1CDE"/>
    <w:rsid w:val="003E1CF9"/>
    <w:rsid w:val="003E1D90"/>
    <w:rsid w:val="003E1DD0"/>
    <w:rsid w:val="003E1DD5"/>
    <w:rsid w:val="003E1E2C"/>
    <w:rsid w:val="003E1F8A"/>
    <w:rsid w:val="003E208F"/>
    <w:rsid w:val="003E20C8"/>
    <w:rsid w:val="003E213F"/>
    <w:rsid w:val="003E2144"/>
    <w:rsid w:val="003E217A"/>
    <w:rsid w:val="003E21DB"/>
    <w:rsid w:val="003E21FA"/>
    <w:rsid w:val="003E221F"/>
    <w:rsid w:val="003E22BC"/>
    <w:rsid w:val="003E2318"/>
    <w:rsid w:val="003E2343"/>
    <w:rsid w:val="003E23D7"/>
    <w:rsid w:val="003E2414"/>
    <w:rsid w:val="003E2420"/>
    <w:rsid w:val="003E2683"/>
    <w:rsid w:val="003E2720"/>
    <w:rsid w:val="003E283B"/>
    <w:rsid w:val="003E291A"/>
    <w:rsid w:val="003E29EB"/>
    <w:rsid w:val="003E2AB6"/>
    <w:rsid w:val="003E2BC3"/>
    <w:rsid w:val="003E2C00"/>
    <w:rsid w:val="003E2C2C"/>
    <w:rsid w:val="003E2C88"/>
    <w:rsid w:val="003E2D1D"/>
    <w:rsid w:val="003E2D59"/>
    <w:rsid w:val="003E2D95"/>
    <w:rsid w:val="003E2DFC"/>
    <w:rsid w:val="003E2E31"/>
    <w:rsid w:val="003E2E3C"/>
    <w:rsid w:val="003E2E50"/>
    <w:rsid w:val="003E2EA6"/>
    <w:rsid w:val="003E2F11"/>
    <w:rsid w:val="003E2FA2"/>
    <w:rsid w:val="003E2FC6"/>
    <w:rsid w:val="003E300B"/>
    <w:rsid w:val="003E310A"/>
    <w:rsid w:val="003E316C"/>
    <w:rsid w:val="003E328A"/>
    <w:rsid w:val="003E32F7"/>
    <w:rsid w:val="003E3347"/>
    <w:rsid w:val="003E33B4"/>
    <w:rsid w:val="003E347F"/>
    <w:rsid w:val="003E34F5"/>
    <w:rsid w:val="003E352B"/>
    <w:rsid w:val="003E35A9"/>
    <w:rsid w:val="003E35B1"/>
    <w:rsid w:val="003E35CC"/>
    <w:rsid w:val="003E361B"/>
    <w:rsid w:val="003E361E"/>
    <w:rsid w:val="003E3659"/>
    <w:rsid w:val="003E36ED"/>
    <w:rsid w:val="003E36F4"/>
    <w:rsid w:val="003E37E5"/>
    <w:rsid w:val="003E38AF"/>
    <w:rsid w:val="003E38E6"/>
    <w:rsid w:val="003E3943"/>
    <w:rsid w:val="003E3952"/>
    <w:rsid w:val="003E398E"/>
    <w:rsid w:val="003E39F0"/>
    <w:rsid w:val="003E3A4A"/>
    <w:rsid w:val="003E3C58"/>
    <w:rsid w:val="003E3C5F"/>
    <w:rsid w:val="003E3C6A"/>
    <w:rsid w:val="003E3CAA"/>
    <w:rsid w:val="003E3D13"/>
    <w:rsid w:val="003E3D31"/>
    <w:rsid w:val="003E3D5C"/>
    <w:rsid w:val="003E3D82"/>
    <w:rsid w:val="003E3D98"/>
    <w:rsid w:val="003E3E97"/>
    <w:rsid w:val="003E3EBC"/>
    <w:rsid w:val="003E411A"/>
    <w:rsid w:val="003E41EA"/>
    <w:rsid w:val="003E4218"/>
    <w:rsid w:val="003E4255"/>
    <w:rsid w:val="003E425E"/>
    <w:rsid w:val="003E42F4"/>
    <w:rsid w:val="003E42FA"/>
    <w:rsid w:val="003E4432"/>
    <w:rsid w:val="003E449C"/>
    <w:rsid w:val="003E4713"/>
    <w:rsid w:val="003E4735"/>
    <w:rsid w:val="003E479F"/>
    <w:rsid w:val="003E48BB"/>
    <w:rsid w:val="003E49AE"/>
    <w:rsid w:val="003E49B7"/>
    <w:rsid w:val="003E49D1"/>
    <w:rsid w:val="003E4BB0"/>
    <w:rsid w:val="003E4BD4"/>
    <w:rsid w:val="003E4C53"/>
    <w:rsid w:val="003E4D16"/>
    <w:rsid w:val="003E4D42"/>
    <w:rsid w:val="003E4DD0"/>
    <w:rsid w:val="003E4EE6"/>
    <w:rsid w:val="003E50D2"/>
    <w:rsid w:val="003E5103"/>
    <w:rsid w:val="003E5181"/>
    <w:rsid w:val="003E520F"/>
    <w:rsid w:val="003E5234"/>
    <w:rsid w:val="003E5327"/>
    <w:rsid w:val="003E53CD"/>
    <w:rsid w:val="003E542E"/>
    <w:rsid w:val="003E548B"/>
    <w:rsid w:val="003E56AC"/>
    <w:rsid w:val="003E5728"/>
    <w:rsid w:val="003E5794"/>
    <w:rsid w:val="003E57BC"/>
    <w:rsid w:val="003E5901"/>
    <w:rsid w:val="003E5A31"/>
    <w:rsid w:val="003E5BF7"/>
    <w:rsid w:val="003E5CAA"/>
    <w:rsid w:val="003E5CFC"/>
    <w:rsid w:val="003E5DF6"/>
    <w:rsid w:val="003E6029"/>
    <w:rsid w:val="003E602A"/>
    <w:rsid w:val="003E6075"/>
    <w:rsid w:val="003E60F0"/>
    <w:rsid w:val="003E6233"/>
    <w:rsid w:val="003E64F7"/>
    <w:rsid w:val="003E6535"/>
    <w:rsid w:val="003E654C"/>
    <w:rsid w:val="003E65B1"/>
    <w:rsid w:val="003E675D"/>
    <w:rsid w:val="003E6770"/>
    <w:rsid w:val="003E67B0"/>
    <w:rsid w:val="003E6AE6"/>
    <w:rsid w:val="003E6B81"/>
    <w:rsid w:val="003E6BAB"/>
    <w:rsid w:val="003E6BE5"/>
    <w:rsid w:val="003E6C0E"/>
    <w:rsid w:val="003E6C34"/>
    <w:rsid w:val="003E6C98"/>
    <w:rsid w:val="003E6CDD"/>
    <w:rsid w:val="003E6D70"/>
    <w:rsid w:val="003E6E08"/>
    <w:rsid w:val="003E6F77"/>
    <w:rsid w:val="003E7063"/>
    <w:rsid w:val="003E7064"/>
    <w:rsid w:val="003E7068"/>
    <w:rsid w:val="003E70EE"/>
    <w:rsid w:val="003E710A"/>
    <w:rsid w:val="003E722C"/>
    <w:rsid w:val="003E7262"/>
    <w:rsid w:val="003E7288"/>
    <w:rsid w:val="003E72E2"/>
    <w:rsid w:val="003E7338"/>
    <w:rsid w:val="003E7593"/>
    <w:rsid w:val="003E7625"/>
    <w:rsid w:val="003E78C5"/>
    <w:rsid w:val="003E78F9"/>
    <w:rsid w:val="003E79B5"/>
    <w:rsid w:val="003E7AA2"/>
    <w:rsid w:val="003E7C1F"/>
    <w:rsid w:val="003E7C4C"/>
    <w:rsid w:val="003E7C4F"/>
    <w:rsid w:val="003E7CC4"/>
    <w:rsid w:val="003E7D6E"/>
    <w:rsid w:val="003E7DCA"/>
    <w:rsid w:val="003E7DEB"/>
    <w:rsid w:val="003E7E6E"/>
    <w:rsid w:val="003F004D"/>
    <w:rsid w:val="003F00BB"/>
    <w:rsid w:val="003F0161"/>
    <w:rsid w:val="003F017E"/>
    <w:rsid w:val="003F01D5"/>
    <w:rsid w:val="003F022C"/>
    <w:rsid w:val="003F02D1"/>
    <w:rsid w:val="003F02FC"/>
    <w:rsid w:val="003F0317"/>
    <w:rsid w:val="003F03B1"/>
    <w:rsid w:val="003F04D6"/>
    <w:rsid w:val="003F0573"/>
    <w:rsid w:val="003F05DE"/>
    <w:rsid w:val="003F05F4"/>
    <w:rsid w:val="003F05FE"/>
    <w:rsid w:val="003F073E"/>
    <w:rsid w:val="003F07B8"/>
    <w:rsid w:val="003F083A"/>
    <w:rsid w:val="003F08A3"/>
    <w:rsid w:val="003F0A4D"/>
    <w:rsid w:val="003F0AB9"/>
    <w:rsid w:val="003F0B16"/>
    <w:rsid w:val="003F0CA3"/>
    <w:rsid w:val="003F0D00"/>
    <w:rsid w:val="003F0D5C"/>
    <w:rsid w:val="003F0EF9"/>
    <w:rsid w:val="003F0FAA"/>
    <w:rsid w:val="003F1078"/>
    <w:rsid w:val="003F10F3"/>
    <w:rsid w:val="003F1169"/>
    <w:rsid w:val="003F12BD"/>
    <w:rsid w:val="003F12DA"/>
    <w:rsid w:val="003F13CF"/>
    <w:rsid w:val="003F13EC"/>
    <w:rsid w:val="003F1499"/>
    <w:rsid w:val="003F15BF"/>
    <w:rsid w:val="003F15E6"/>
    <w:rsid w:val="003F16DF"/>
    <w:rsid w:val="003F1901"/>
    <w:rsid w:val="003F192F"/>
    <w:rsid w:val="003F196C"/>
    <w:rsid w:val="003F1A47"/>
    <w:rsid w:val="003F1B7D"/>
    <w:rsid w:val="003F1CBC"/>
    <w:rsid w:val="003F1D19"/>
    <w:rsid w:val="003F1D6A"/>
    <w:rsid w:val="003F1D93"/>
    <w:rsid w:val="003F1F96"/>
    <w:rsid w:val="003F1F98"/>
    <w:rsid w:val="003F207E"/>
    <w:rsid w:val="003F20AF"/>
    <w:rsid w:val="003F20C3"/>
    <w:rsid w:val="003F20F2"/>
    <w:rsid w:val="003F21B0"/>
    <w:rsid w:val="003F21C2"/>
    <w:rsid w:val="003F2203"/>
    <w:rsid w:val="003F2224"/>
    <w:rsid w:val="003F23A1"/>
    <w:rsid w:val="003F23B2"/>
    <w:rsid w:val="003F23DE"/>
    <w:rsid w:val="003F243F"/>
    <w:rsid w:val="003F245A"/>
    <w:rsid w:val="003F2460"/>
    <w:rsid w:val="003F251D"/>
    <w:rsid w:val="003F2530"/>
    <w:rsid w:val="003F2559"/>
    <w:rsid w:val="003F25E6"/>
    <w:rsid w:val="003F2674"/>
    <w:rsid w:val="003F2708"/>
    <w:rsid w:val="003F2721"/>
    <w:rsid w:val="003F2756"/>
    <w:rsid w:val="003F27B6"/>
    <w:rsid w:val="003F27BE"/>
    <w:rsid w:val="003F27F3"/>
    <w:rsid w:val="003F2899"/>
    <w:rsid w:val="003F298A"/>
    <w:rsid w:val="003F29D5"/>
    <w:rsid w:val="003F2AAF"/>
    <w:rsid w:val="003F2CA7"/>
    <w:rsid w:val="003F2CCE"/>
    <w:rsid w:val="003F2D44"/>
    <w:rsid w:val="003F2D71"/>
    <w:rsid w:val="003F2DAD"/>
    <w:rsid w:val="003F2DE1"/>
    <w:rsid w:val="003F2E29"/>
    <w:rsid w:val="003F2EA1"/>
    <w:rsid w:val="003F2EB7"/>
    <w:rsid w:val="003F2FB3"/>
    <w:rsid w:val="003F2FEB"/>
    <w:rsid w:val="003F3102"/>
    <w:rsid w:val="003F3255"/>
    <w:rsid w:val="003F33AC"/>
    <w:rsid w:val="003F33B6"/>
    <w:rsid w:val="003F33E4"/>
    <w:rsid w:val="003F35A2"/>
    <w:rsid w:val="003F3606"/>
    <w:rsid w:val="003F3901"/>
    <w:rsid w:val="003F3BAF"/>
    <w:rsid w:val="003F3C49"/>
    <w:rsid w:val="003F3C9A"/>
    <w:rsid w:val="003F3D5D"/>
    <w:rsid w:val="003F3D9D"/>
    <w:rsid w:val="003F3DBF"/>
    <w:rsid w:val="003F3DF7"/>
    <w:rsid w:val="003F41F2"/>
    <w:rsid w:val="003F41F5"/>
    <w:rsid w:val="003F4297"/>
    <w:rsid w:val="003F431E"/>
    <w:rsid w:val="003F4350"/>
    <w:rsid w:val="003F448C"/>
    <w:rsid w:val="003F45C1"/>
    <w:rsid w:val="003F4600"/>
    <w:rsid w:val="003F4748"/>
    <w:rsid w:val="003F475E"/>
    <w:rsid w:val="003F47C9"/>
    <w:rsid w:val="003F4810"/>
    <w:rsid w:val="003F4920"/>
    <w:rsid w:val="003F4A51"/>
    <w:rsid w:val="003F4B6F"/>
    <w:rsid w:val="003F4B9D"/>
    <w:rsid w:val="003F4C06"/>
    <w:rsid w:val="003F4F80"/>
    <w:rsid w:val="003F5075"/>
    <w:rsid w:val="003F507C"/>
    <w:rsid w:val="003F51CE"/>
    <w:rsid w:val="003F5210"/>
    <w:rsid w:val="003F53AE"/>
    <w:rsid w:val="003F576E"/>
    <w:rsid w:val="003F57F7"/>
    <w:rsid w:val="003F585C"/>
    <w:rsid w:val="003F5A93"/>
    <w:rsid w:val="003F5DA2"/>
    <w:rsid w:val="003F5E5E"/>
    <w:rsid w:val="003F5F84"/>
    <w:rsid w:val="003F5FDC"/>
    <w:rsid w:val="003F6080"/>
    <w:rsid w:val="003F6149"/>
    <w:rsid w:val="003F625F"/>
    <w:rsid w:val="003F6271"/>
    <w:rsid w:val="003F6377"/>
    <w:rsid w:val="003F63EA"/>
    <w:rsid w:val="003F64CB"/>
    <w:rsid w:val="003F6551"/>
    <w:rsid w:val="003F662A"/>
    <w:rsid w:val="003F6649"/>
    <w:rsid w:val="003F66F8"/>
    <w:rsid w:val="003F6903"/>
    <w:rsid w:val="003F6979"/>
    <w:rsid w:val="003F6A1F"/>
    <w:rsid w:val="003F6B91"/>
    <w:rsid w:val="003F6BA5"/>
    <w:rsid w:val="003F6BAC"/>
    <w:rsid w:val="003F6BAD"/>
    <w:rsid w:val="003F6D77"/>
    <w:rsid w:val="003F6EA7"/>
    <w:rsid w:val="003F6F8D"/>
    <w:rsid w:val="003F7050"/>
    <w:rsid w:val="003F70B5"/>
    <w:rsid w:val="003F71F8"/>
    <w:rsid w:val="003F7334"/>
    <w:rsid w:val="003F73D0"/>
    <w:rsid w:val="003F74E8"/>
    <w:rsid w:val="003F7672"/>
    <w:rsid w:val="003F76B4"/>
    <w:rsid w:val="003F782B"/>
    <w:rsid w:val="003F799F"/>
    <w:rsid w:val="003F7B56"/>
    <w:rsid w:val="003F7B60"/>
    <w:rsid w:val="003F7B99"/>
    <w:rsid w:val="003F7C8F"/>
    <w:rsid w:val="003F7F51"/>
    <w:rsid w:val="00400058"/>
    <w:rsid w:val="0040020F"/>
    <w:rsid w:val="004002D1"/>
    <w:rsid w:val="00400328"/>
    <w:rsid w:val="00400349"/>
    <w:rsid w:val="0040039A"/>
    <w:rsid w:val="004003C1"/>
    <w:rsid w:val="00400514"/>
    <w:rsid w:val="00400550"/>
    <w:rsid w:val="004005AD"/>
    <w:rsid w:val="004005F1"/>
    <w:rsid w:val="00400660"/>
    <w:rsid w:val="00400670"/>
    <w:rsid w:val="00400690"/>
    <w:rsid w:val="0040074A"/>
    <w:rsid w:val="00400763"/>
    <w:rsid w:val="004007F4"/>
    <w:rsid w:val="004008A0"/>
    <w:rsid w:val="004008B5"/>
    <w:rsid w:val="004008C7"/>
    <w:rsid w:val="00400957"/>
    <w:rsid w:val="004009DB"/>
    <w:rsid w:val="00400A8D"/>
    <w:rsid w:val="00400BFB"/>
    <w:rsid w:val="00400C1C"/>
    <w:rsid w:val="00400D22"/>
    <w:rsid w:val="00400DCE"/>
    <w:rsid w:val="004010C1"/>
    <w:rsid w:val="004011E5"/>
    <w:rsid w:val="00401221"/>
    <w:rsid w:val="00401222"/>
    <w:rsid w:val="00401322"/>
    <w:rsid w:val="00401452"/>
    <w:rsid w:val="004014BD"/>
    <w:rsid w:val="004016AF"/>
    <w:rsid w:val="004019AC"/>
    <w:rsid w:val="004019F6"/>
    <w:rsid w:val="00401B4E"/>
    <w:rsid w:val="00401B52"/>
    <w:rsid w:val="00401D5C"/>
    <w:rsid w:val="00401D61"/>
    <w:rsid w:val="00401DB4"/>
    <w:rsid w:val="00401DED"/>
    <w:rsid w:val="00401ECC"/>
    <w:rsid w:val="00401F06"/>
    <w:rsid w:val="00401F09"/>
    <w:rsid w:val="00401F48"/>
    <w:rsid w:val="004022CB"/>
    <w:rsid w:val="004022D9"/>
    <w:rsid w:val="0040238B"/>
    <w:rsid w:val="004023EA"/>
    <w:rsid w:val="004024F1"/>
    <w:rsid w:val="004025A0"/>
    <w:rsid w:val="00402637"/>
    <w:rsid w:val="004027D9"/>
    <w:rsid w:val="00402926"/>
    <w:rsid w:val="00402930"/>
    <w:rsid w:val="00402941"/>
    <w:rsid w:val="00402A20"/>
    <w:rsid w:val="00402AEA"/>
    <w:rsid w:val="00402B83"/>
    <w:rsid w:val="00402CC8"/>
    <w:rsid w:val="00402D77"/>
    <w:rsid w:val="00402ED3"/>
    <w:rsid w:val="00402EE9"/>
    <w:rsid w:val="00402FC2"/>
    <w:rsid w:val="004030DE"/>
    <w:rsid w:val="00403188"/>
    <w:rsid w:val="00403189"/>
    <w:rsid w:val="004031B4"/>
    <w:rsid w:val="00403226"/>
    <w:rsid w:val="00403248"/>
    <w:rsid w:val="0040327E"/>
    <w:rsid w:val="004033B2"/>
    <w:rsid w:val="00403411"/>
    <w:rsid w:val="00403450"/>
    <w:rsid w:val="004035C7"/>
    <w:rsid w:val="00403701"/>
    <w:rsid w:val="00403702"/>
    <w:rsid w:val="00403732"/>
    <w:rsid w:val="00403761"/>
    <w:rsid w:val="004037CA"/>
    <w:rsid w:val="004038C6"/>
    <w:rsid w:val="00403948"/>
    <w:rsid w:val="00403A8C"/>
    <w:rsid w:val="00403AA2"/>
    <w:rsid w:val="00403B16"/>
    <w:rsid w:val="00403B68"/>
    <w:rsid w:val="00403BD6"/>
    <w:rsid w:val="00403C0C"/>
    <w:rsid w:val="00403C89"/>
    <w:rsid w:val="00403D1D"/>
    <w:rsid w:val="00403D41"/>
    <w:rsid w:val="00403D86"/>
    <w:rsid w:val="00403DDB"/>
    <w:rsid w:val="00403DF3"/>
    <w:rsid w:val="004040D0"/>
    <w:rsid w:val="00404257"/>
    <w:rsid w:val="0040425D"/>
    <w:rsid w:val="0040426A"/>
    <w:rsid w:val="004043DB"/>
    <w:rsid w:val="004043E3"/>
    <w:rsid w:val="0040449C"/>
    <w:rsid w:val="004045BA"/>
    <w:rsid w:val="004046BC"/>
    <w:rsid w:val="004046DF"/>
    <w:rsid w:val="00404999"/>
    <w:rsid w:val="00404A38"/>
    <w:rsid w:val="00404A60"/>
    <w:rsid w:val="00404BF8"/>
    <w:rsid w:val="00404CD3"/>
    <w:rsid w:val="00404E7A"/>
    <w:rsid w:val="00404EB6"/>
    <w:rsid w:val="00404F79"/>
    <w:rsid w:val="00405015"/>
    <w:rsid w:val="004052A0"/>
    <w:rsid w:val="004053A8"/>
    <w:rsid w:val="00405493"/>
    <w:rsid w:val="004054E8"/>
    <w:rsid w:val="00405575"/>
    <w:rsid w:val="004056CA"/>
    <w:rsid w:val="00405727"/>
    <w:rsid w:val="00405805"/>
    <w:rsid w:val="00405894"/>
    <w:rsid w:val="004058D7"/>
    <w:rsid w:val="004059F0"/>
    <w:rsid w:val="00405A61"/>
    <w:rsid w:val="00405A7E"/>
    <w:rsid w:val="00405AA5"/>
    <w:rsid w:val="00405C23"/>
    <w:rsid w:val="00405C83"/>
    <w:rsid w:val="00405E71"/>
    <w:rsid w:val="00405EA1"/>
    <w:rsid w:val="00405FB0"/>
    <w:rsid w:val="00405FE5"/>
    <w:rsid w:val="00406069"/>
    <w:rsid w:val="004062AC"/>
    <w:rsid w:val="004062FB"/>
    <w:rsid w:val="0040636B"/>
    <w:rsid w:val="0040645E"/>
    <w:rsid w:val="004064E4"/>
    <w:rsid w:val="00406683"/>
    <w:rsid w:val="0040678A"/>
    <w:rsid w:val="004067FD"/>
    <w:rsid w:val="0040691C"/>
    <w:rsid w:val="00406974"/>
    <w:rsid w:val="00406B31"/>
    <w:rsid w:val="00406B6D"/>
    <w:rsid w:val="00406D2F"/>
    <w:rsid w:val="00406D62"/>
    <w:rsid w:val="00406DB6"/>
    <w:rsid w:val="00406DC3"/>
    <w:rsid w:val="00406F00"/>
    <w:rsid w:val="00406FEE"/>
    <w:rsid w:val="0040707C"/>
    <w:rsid w:val="0040709C"/>
    <w:rsid w:val="00407105"/>
    <w:rsid w:val="004071F7"/>
    <w:rsid w:val="0040724E"/>
    <w:rsid w:val="00407337"/>
    <w:rsid w:val="00407391"/>
    <w:rsid w:val="004074E8"/>
    <w:rsid w:val="00407565"/>
    <w:rsid w:val="0040756F"/>
    <w:rsid w:val="00407763"/>
    <w:rsid w:val="00407823"/>
    <w:rsid w:val="00407867"/>
    <w:rsid w:val="004079F2"/>
    <w:rsid w:val="00407BDE"/>
    <w:rsid w:val="00407C17"/>
    <w:rsid w:val="00407C90"/>
    <w:rsid w:val="00407D48"/>
    <w:rsid w:val="00407DBE"/>
    <w:rsid w:val="00407E10"/>
    <w:rsid w:val="00407EF8"/>
    <w:rsid w:val="00407F26"/>
    <w:rsid w:val="00407FAB"/>
    <w:rsid w:val="00407FC2"/>
    <w:rsid w:val="0041012F"/>
    <w:rsid w:val="00410135"/>
    <w:rsid w:val="0041013F"/>
    <w:rsid w:val="004102AA"/>
    <w:rsid w:val="004102BE"/>
    <w:rsid w:val="00410345"/>
    <w:rsid w:val="004103C7"/>
    <w:rsid w:val="00410606"/>
    <w:rsid w:val="00410843"/>
    <w:rsid w:val="00410890"/>
    <w:rsid w:val="00410991"/>
    <w:rsid w:val="00410A0A"/>
    <w:rsid w:val="00410A4F"/>
    <w:rsid w:val="00410A8E"/>
    <w:rsid w:val="00410BBE"/>
    <w:rsid w:val="00410DE4"/>
    <w:rsid w:val="00410E4D"/>
    <w:rsid w:val="00410E9D"/>
    <w:rsid w:val="0041124B"/>
    <w:rsid w:val="00411286"/>
    <w:rsid w:val="004112C2"/>
    <w:rsid w:val="00411303"/>
    <w:rsid w:val="00411332"/>
    <w:rsid w:val="00411351"/>
    <w:rsid w:val="004114B3"/>
    <w:rsid w:val="0041158B"/>
    <w:rsid w:val="004115B9"/>
    <w:rsid w:val="004116BE"/>
    <w:rsid w:val="00411858"/>
    <w:rsid w:val="00411943"/>
    <w:rsid w:val="0041197F"/>
    <w:rsid w:val="004119C9"/>
    <w:rsid w:val="004119CF"/>
    <w:rsid w:val="004119E0"/>
    <w:rsid w:val="00411AB4"/>
    <w:rsid w:val="00411B4A"/>
    <w:rsid w:val="00411C82"/>
    <w:rsid w:val="00411D23"/>
    <w:rsid w:val="00411D28"/>
    <w:rsid w:val="00411DA3"/>
    <w:rsid w:val="00411E12"/>
    <w:rsid w:val="00411ECF"/>
    <w:rsid w:val="00411FC9"/>
    <w:rsid w:val="00412030"/>
    <w:rsid w:val="004120E9"/>
    <w:rsid w:val="00412327"/>
    <w:rsid w:val="00412338"/>
    <w:rsid w:val="00412370"/>
    <w:rsid w:val="004123DF"/>
    <w:rsid w:val="00412402"/>
    <w:rsid w:val="00412469"/>
    <w:rsid w:val="00412495"/>
    <w:rsid w:val="004125FA"/>
    <w:rsid w:val="00412663"/>
    <w:rsid w:val="0041267B"/>
    <w:rsid w:val="0041269A"/>
    <w:rsid w:val="00412755"/>
    <w:rsid w:val="00412912"/>
    <w:rsid w:val="004129E7"/>
    <w:rsid w:val="00412A73"/>
    <w:rsid w:val="00412AB4"/>
    <w:rsid w:val="00412C53"/>
    <w:rsid w:val="00412CBE"/>
    <w:rsid w:val="00412D3C"/>
    <w:rsid w:val="00412EF0"/>
    <w:rsid w:val="00412FCB"/>
    <w:rsid w:val="00412FE8"/>
    <w:rsid w:val="004130D6"/>
    <w:rsid w:val="004130FD"/>
    <w:rsid w:val="00413314"/>
    <w:rsid w:val="00413391"/>
    <w:rsid w:val="004133E0"/>
    <w:rsid w:val="004133FB"/>
    <w:rsid w:val="0041340E"/>
    <w:rsid w:val="00413440"/>
    <w:rsid w:val="004134E4"/>
    <w:rsid w:val="0041372C"/>
    <w:rsid w:val="0041382B"/>
    <w:rsid w:val="004138B4"/>
    <w:rsid w:val="004138FF"/>
    <w:rsid w:val="00413968"/>
    <w:rsid w:val="004139ED"/>
    <w:rsid w:val="00413A46"/>
    <w:rsid w:val="00413A9A"/>
    <w:rsid w:val="00413B09"/>
    <w:rsid w:val="00413B56"/>
    <w:rsid w:val="00413B9F"/>
    <w:rsid w:val="00413D3D"/>
    <w:rsid w:val="00413D3E"/>
    <w:rsid w:val="00413EBB"/>
    <w:rsid w:val="004140B1"/>
    <w:rsid w:val="004140C2"/>
    <w:rsid w:val="004141FA"/>
    <w:rsid w:val="0041430E"/>
    <w:rsid w:val="0041431E"/>
    <w:rsid w:val="004143D5"/>
    <w:rsid w:val="004143EB"/>
    <w:rsid w:val="004145E8"/>
    <w:rsid w:val="004145FF"/>
    <w:rsid w:val="00414658"/>
    <w:rsid w:val="00414688"/>
    <w:rsid w:val="0041476F"/>
    <w:rsid w:val="004147E6"/>
    <w:rsid w:val="004148E1"/>
    <w:rsid w:val="0041491C"/>
    <w:rsid w:val="00414CDD"/>
    <w:rsid w:val="00414D7A"/>
    <w:rsid w:val="00414E46"/>
    <w:rsid w:val="00415090"/>
    <w:rsid w:val="00415427"/>
    <w:rsid w:val="0041555E"/>
    <w:rsid w:val="004155E5"/>
    <w:rsid w:val="00415745"/>
    <w:rsid w:val="0041577A"/>
    <w:rsid w:val="00415989"/>
    <w:rsid w:val="0041598F"/>
    <w:rsid w:val="004159B0"/>
    <w:rsid w:val="004159C2"/>
    <w:rsid w:val="004159D0"/>
    <w:rsid w:val="004159F3"/>
    <w:rsid w:val="00415A46"/>
    <w:rsid w:val="00415AEA"/>
    <w:rsid w:val="00415B30"/>
    <w:rsid w:val="00415C2B"/>
    <w:rsid w:val="00415D84"/>
    <w:rsid w:val="00415DF4"/>
    <w:rsid w:val="00415E07"/>
    <w:rsid w:val="00415E12"/>
    <w:rsid w:val="00415E98"/>
    <w:rsid w:val="00415F98"/>
    <w:rsid w:val="00415FDB"/>
    <w:rsid w:val="0041601C"/>
    <w:rsid w:val="0041610F"/>
    <w:rsid w:val="00416140"/>
    <w:rsid w:val="0041617F"/>
    <w:rsid w:val="004161D3"/>
    <w:rsid w:val="004162DB"/>
    <w:rsid w:val="00416401"/>
    <w:rsid w:val="004164D9"/>
    <w:rsid w:val="004165BB"/>
    <w:rsid w:val="00416749"/>
    <w:rsid w:val="00416817"/>
    <w:rsid w:val="00416885"/>
    <w:rsid w:val="00416948"/>
    <w:rsid w:val="00416A21"/>
    <w:rsid w:val="00416A66"/>
    <w:rsid w:val="00416A7C"/>
    <w:rsid w:val="00416A83"/>
    <w:rsid w:val="00416C18"/>
    <w:rsid w:val="00416D05"/>
    <w:rsid w:val="00416E1A"/>
    <w:rsid w:val="00416E34"/>
    <w:rsid w:val="00416E60"/>
    <w:rsid w:val="00416F22"/>
    <w:rsid w:val="00416F77"/>
    <w:rsid w:val="00417047"/>
    <w:rsid w:val="00417050"/>
    <w:rsid w:val="0041705C"/>
    <w:rsid w:val="00417065"/>
    <w:rsid w:val="004170E3"/>
    <w:rsid w:val="004170E9"/>
    <w:rsid w:val="00417106"/>
    <w:rsid w:val="00417129"/>
    <w:rsid w:val="00417141"/>
    <w:rsid w:val="004172D7"/>
    <w:rsid w:val="0041737F"/>
    <w:rsid w:val="004173A6"/>
    <w:rsid w:val="004173E2"/>
    <w:rsid w:val="004175B5"/>
    <w:rsid w:val="00417653"/>
    <w:rsid w:val="00417659"/>
    <w:rsid w:val="004176A5"/>
    <w:rsid w:val="00417706"/>
    <w:rsid w:val="0041773B"/>
    <w:rsid w:val="004177D6"/>
    <w:rsid w:val="004177ED"/>
    <w:rsid w:val="0041797B"/>
    <w:rsid w:val="00417A81"/>
    <w:rsid w:val="00417B3A"/>
    <w:rsid w:val="00417BBD"/>
    <w:rsid w:val="00417BD9"/>
    <w:rsid w:val="00417C09"/>
    <w:rsid w:val="00417CCD"/>
    <w:rsid w:val="00417D79"/>
    <w:rsid w:val="00417DAA"/>
    <w:rsid w:val="00417E9C"/>
    <w:rsid w:val="00417EE4"/>
    <w:rsid w:val="00417EED"/>
    <w:rsid w:val="00420125"/>
    <w:rsid w:val="00420272"/>
    <w:rsid w:val="00420274"/>
    <w:rsid w:val="00420446"/>
    <w:rsid w:val="0042059C"/>
    <w:rsid w:val="00420677"/>
    <w:rsid w:val="00420682"/>
    <w:rsid w:val="004206BF"/>
    <w:rsid w:val="0042081E"/>
    <w:rsid w:val="004209D0"/>
    <w:rsid w:val="004209F9"/>
    <w:rsid w:val="00420C06"/>
    <w:rsid w:val="00420D86"/>
    <w:rsid w:val="00420DD2"/>
    <w:rsid w:val="00420E65"/>
    <w:rsid w:val="00420F0C"/>
    <w:rsid w:val="00421077"/>
    <w:rsid w:val="004210AE"/>
    <w:rsid w:val="004210B1"/>
    <w:rsid w:val="0042120E"/>
    <w:rsid w:val="0042134B"/>
    <w:rsid w:val="00421385"/>
    <w:rsid w:val="004213A7"/>
    <w:rsid w:val="004213F4"/>
    <w:rsid w:val="00421457"/>
    <w:rsid w:val="00421494"/>
    <w:rsid w:val="0042149A"/>
    <w:rsid w:val="00421582"/>
    <w:rsid w:val="004215C3"/>
    <w:rsid w:val="0042167B"/>
    <w:rsid w:val="00421713"/>
    <w:rsid w:val="0042171D"/>
    <w:rsid w:val="004217BB"/>
    <w:rsid w:val="00421831"/>
    <w:rsid w:val="00421889"/>
    <w:rsid w:val="00421890"/>
    <w:rsid w:val="00421976"/>
    <w:rsid w:val="0042197F"/>
    <w:rsid w:val="00421983"/>
    <w:rsid w:val="00421995"/>
    <w:rsid w:val="004219C0"/>
    <w:rsid w:val="004219DF"/>
    <w:rsid w:val="00421A27"/>
    <w:rsid w:val="00421AEA"/>
    <w:rsid w:val="00421B2F"/>
    <w:rsid w:val="00421C4D"/>
    <w:rsid w:val="00421D5C"/>
    <w:rsid w:val="00421DBF"/>
    <w:rsid w:val="00421E4C"/>
    <w:rsid w:val="00421E6A"/>
    <w:rsid w:val="00421F55"/>
    <w:rsid w:val="00421FAA"/>
    <w:rsid w:val="004220EF"/>
    <w:rsid w:val="00422189"/>
    <w:rsid w:val="004221DC"/>
    <w:rsid w:val="004222CD"/>
    <w:rsid w:val="0042243D"/>
    <w:rsid w:val="004224B4"/>
    <w:rsid w:val="00422612"/>
    <w:rsid w:val="004228EF"/>
    <w:rsid w:val="00422A01"/>
    <w:rsid w:val="00422AAB"/>
    <w:rsid w:val="00422D0B"/>
    <w:rsid w:val="00422DE2"/>
    <w:rsid w:val="00422DEF"/>
    <w:rsid w:val="00422E22"/>
    <w:rsid w:val="0042301A"/>
    <w:rsid w:val="0042307B"/>
    <w:rsid w:val="0042308F"/>
    <w:rsid w:val="004230A5"/>
    <w:rsid w:val="0042316B"/>
    <w:rsid w:val="00423193"/>
    <w:rsid w:val="004232A9"/>
    <w:rsid w:val="004232EA"/>
    <w:rsid w:val="00423321"/>
    <w:rsid w:val="00423339"/>
    <w:rsid w:val="00423392"/>
    <w:rsid w:val="004233D7"/>
    <w:rsid w:val="00423632"/>
    <w:rsid w:val="00423657"/>
    <w:rsid w:val="004238AC"/>
    <w:rsid w:val="004238E3"/>
    <w:rsid w:val="0042398D"/>
    <w:rsid w:val="004239CF"/>
    <w:rsid w:val="00423BDD"/>
    <w:rsid w:val="00423BF2"/>
    <w:rsid w:val="00423D5D"/>
    <w:rsid w:val="00423DC2"/>
    <w:rsid w:val="00423DF1"/>
    <w:rsid w:val="00423E54"/>
    <w:rsid w:val="00423E99"/>
    <w:rsid w:val="00423ECA"/>
    <w:rsid w:val="00424032"/>
    <w:rsid w:val="0042405F"/>
    <w:rsid w:val="0042409E"/>
    <w:rsid w:val="004241F1"/>
    <w:rsid w:val="00424402"/>
    <w:rsid w:val="00424482"/>
    <w:rsid w:val="004244D0"/>
    <w:rsid w:val="00424547"/>
    <w:rsid w:val="00424552"/>
    <w:rsid w:val="00424639"/>
    <w:rsid w:val="004246DB"/>
    <w:rsid w:val="00424709"/>
    <w:rsid w:val="00424710"/>
    <w:rsid w:val="00424735"/>
    <w:rsid w:val="00424788"/>
    <w:rsid w:val="004247C4"/>
    <w:rsid w:val="004247D0"/>
    <w:rsid w:val="0042490C"/>
    <w:rsid w:val="00424986"/>
    <w:rsid w:val="00424994"/>
    <w:rsid w:val="00424ABA"/>
    <w:rsid w:val="00424B2B"/>
    <w:rsid w:val="00424B94"/>
    <w:rsid w:val="00424FBC"/>
    <w:rsid w:val="00424FDD"/>
    <w:rsid w:val="0042504F"/>
    <w:rsid w:val="00425054"/>
    <w:rsid w:val="00425240"/>
    <w:rsid w:val="004252CA"/>
    <w:rsid w:val="00425330"/>
    <w:rsid w:val="0042535F"/>
    <w:rsid w:val="00425448"/>
    <w:rsid w:val="004254F5"/>
    <w:rsid w:val="004255B8"/>
    <w:rsid w:val="00425668"/>
    <w:rsid w:val="00425677"/>
    <w:rsid w:val="0042568A"/>
    <w:rsid w:val="0042568C"/>
    <w:rsid w:val="00425693"/>
    <w:rsid w:val="0042573F"/>
    <w:rsid w:val="004258A6"/>
    <w:rsid w:val="004258FB"/>
    <w:rsid w:val="004258FD"/>
    <w:rsid w:val="0042591D"/>
    <w:rsid w:val="0042598C"/>
    <w:rsid w:val="004259D5"/>
    <w:rsid w:val="00425A4A"/>
    <w:rsid w:val="00425BCD"/>
    <w:rsid w:val="00425C15"/>
    <w:rsid w:val="00425C71"/>
    <w:rsid w:val="0042600D"/>
    <w:rsid w:val="0042600F"/>
    <w:rsid w:val="00426099"/>
    <w:rsid w:val="00426129"/>
    <w:rsid w:val="0042614F"/>
    <w:rsid w:val="004261BD"/>
    <w:rsid w:val="004264F1"/>
    <w:rsid w:val="00426643"/>
    <w:rsid w:val="004266C9"/>
    <w:rsid w:val="0042672E"/>
    <w:rsid w:val="0042674F"/>
    <w:rsid w:val="004267B0"/>
    <w:rsid w:val="00426856"/>
    <w:rsid w:val="00426B9C"/>
    <w:rsid w:val="00426C9D"/>
    <w:rsid w:val="00426CA8"/>
    <w:rsid w:val="00426CB7"/>
    <w:rsid w:val="00426D97"/>
    <w:rsid w:val="00426F7D"/>
    <w:rsid w:val="00427002"/>
    <w:rsid w:val="00427012"/>
    <w:rsid w:val="00427013"/>
    <w:rsid w:val="00427140"/>
    <w:rsid w:val="004272FE"/>
    <w:rsid w:val="0042740C"/>
    <w:rsid w:val="004274EB"/>
    <w:rsid w:val="00427524"/>
    <w:rsid w:val="00427677"/>
    <w:rsid w:val="00427703"/>
    <w:rsid w:val="00427719"/>
    <w:rsid w:val="00427787"/>
    <w:rsid w:val="0042779E"/>
    <w:rsid w:val="004278AB"/>
    <w:rsid w:val="00427916"/>
    <w:rsid w:val="004279D1"/>
    <w:rsid w:val="004279E3"/>
    <w:rsid w:val="00427AB3"/>
    <w:rsid w:val="00427C0C"/>
    <w:rsid w:val="00427C8B"/>
    <w:rsid w:val="00427CE5"/>
    <w:rsid w:val="00427DB7"/>
    <w:rsid w:val="00427E5B"/>
    <w:rsid w:val="00427EBE"/>
    <w:rsid w:val="00427ED7"/>
    <w:rsid w:val="00427F2F"/>
    <w:rsid w:val="00427FE1"/>
    <w:rsid w:val="00430020"/>
    <w:rsid w:val="00430089"/>
    <w:rsid w:val="004300A7"/>
    <w:rsid w:val="00430128"/>
    <w:rsid w:val="0043013E"/>
    <w:rsid w:val="004302FF"/>
    <w:rsid w:val="00430391"/>
    <w:rsid w:val="004304A0"/>
    <w:rsid w:val="00430542"/>
    <w:rsid w:val="004307DD"/>
    <w:rsid w:val="004307FD"/>
    <w:rsid w:val="0043081D"/>
    <w:rsid w:val="00430A21"/>
    <w:rsid w:val="00430A23"/>
    <w:rsid w:val="00430B1B"/>
    <w:rsid w:val="00430B3A"/>
    <w:rsid w:val="00430B4E"/>
    <w:rsid w:val="00430EA8"/>
    <w:rsid w:val="00430EB6"/>
    <w:rsid w:val="00430EDE"/>
    <w:rsid w:val="0043103B"/>
    <w:rsid w:val="004310AE"/>
    <w:rsid w:val="00431108"/>
    <w:rsid w:val="00431138"/>
    <w:rsid w:val="004311FD"/>
    <w:rsid w:val="0043138C"/>
    <w:rsid w:val="004313A9"/>
    <w:rsid w:val="004314A0"/>
    <w:rsid w:val="004314E2"/>
    <w:rsid w:val="0043153B"/>
    <w:rsid w:val="00431543"/>
    <w:rsid w:val="0043155C"/>
    <w:rsid w:val="00431564"/>
    <w:rsid w:val="00431572"/>
    <w:rsid w:val="00431689"/>
    <w:rsid w:val="00431713"/>
    <w:rsid w:val="00431759"/>
    <w:rsid w:val="004318F3"/>
    <w:rsid w:val="00431A0A"/>
    <w:rsid w:val="00431AF1"/>
    <w:rsid w:val="00431B40"/>
    <w:rsid w:val="00431B4C"/>
    <w:rsid w:val="00431B93"/>
    <w:rsid w:val="00431C09"/>
    <w:rsid w:val="00431C25"/>
    <w:rsid w:val="00431D59"/>
    <w:rsid w:val="00431E3E"/>
    <w:rsid w:val="00431FDE"/>
    <w:rsid w:val="00432096"/>
    <w:rsid w:val="004321BD"/>
    <w:rsid w:val="004324CA"/>
    <w:rsid w:val="0043255A"/>
    <w:rsid w:val="004325D8"/>
    <w:rsid w:val="00432600"/>
    <w:rsid w:val="0043268C"/>
    <w:rsid w:val="0043268D"/>
    <w:rsid w:val="0043269A"/>
    <w:rsid w:val="004327A2"/>
    <w:rsid w:val="004328CF"/>
    <w:rsid w:val="004328D7"/>
    <w:rsid w:val="00432923"/>
    <w:rsid w:val="00432A9C"/>
    <w:rsid w:val="00432BE7"/>
    <w:rsid w:val="00432BF2"/>
    <w:rsid w:val="00432BF7"/>
    <w:rsid w:val="00432C25"/>
    <w:rsid w:val="00432D4C"/>
    <w:rsid w:val="00432DDC"/>
    <w:rsid w:val="00432E28"/>
    <w:rsid w:val="00432FEB"/>
    <w:rsid w:val="0043301D"/>
    <w:rsid w:val="004330A7"/>
    <w:rsid w:val="00433179"/>
    <w:rsid w:val="00433233"/>
    <w:rsid w:val="0043327A"/>
    <w:rsid w:val="00433334"/>
    <w:rsid w:val="00433470"/>
    <w:rsid w:val="0043350C"/>
    <w:rsid w:val="0043362C"/>
    <w:rsid w:val="004336A2"/>
    <w:rsid w:val="004336E7"/>
    <w:rsid w:val="004336F1"/>
    <w:rsid w:val="0043375A"/>
    <w:rsid w:val="00433799"/>
    <w:rsid w:val="00433845"/>
    <w:rsid w:val="00433965"/>
    <w:rsid w:val="004339D2"/>
    <w:rsid w:val="00433AC1"/>
    <w:rsid w:val="00433C81"/>
    <w:rsid w:val="00433FEA"/>
    <w:rsid w:val="0043413B"/>
    <w:rsid w:val="00434248"/>
    <w:rsid w:val="004342DD"/>
    <w:rsid w:val="0043433C"/>
    <w:rsid w:val="0043436B"/>
    <w:rsid w:val="00434403"/>
    <w:rsid w:val="0043447B"/>
    <w:rsid w:val="004344A1"/>
    <w:rsid w:val="0043451F"/>
    <w:rsid w:val="004345B4"/>
    <w:rsid w:val="0043473F"/>
    <w:rsid w:val="004347C2"/>
    <w:rsid w:val="004348EF"/>
    <w:rsid w:val="00434AEA"/>
    <w:rsid w:val="00434AF6"/>
    <w:rsid w:val="00434B8E"/>
    <w:rsid w:val="00434C30"/>
    <w:rsid w:val="00434CF6"/>
    <w:rsid w:val="00434DCA"/>
    <w:rsid w:val="00434DE4"/>
    <w:rsid w:val="00434DFF"/>
    <w:rsid w:val="00434E22"/>
    <w:rsid w:val="00434FB2"/>
    <w:rsid w:val="00435015"/>
    <w:rsid w:val="0043508B"/>
    <w:rsid w:val="00435252"/>
    <w:rsid w:val="00435265"/>
    <w:rsid w:val="0043531B"/>
    <w:rsid w:val="004353DB"/>
    <w:rsid w:val="00435404"/>
    <w:rsid w:val="00435438"/>
    <w:rsid w:val="0043547B"/>
    <w:rsid w:val="0043559A"/>
    <w:rsid w:val="004357E5"/>
    <w:rsid w:val="00435851"/>
    <w:rsid w:val="00435913"/>
    <w:rsid w:val="00435AC4"/>
    <w:rsid w:val="00435BA6"/>
    <w:rsid w:val="00435BC9"/>
    <w:rsid w:val="00435C19"/>
    <w:rsid w:val="00435D72"/>
    <w:rsid w:val="00435F99"/>
    <w:rsid w:val="0043603A"/>
    <w:rsid w:val="0043610F"/>
    <w:rsid w:val="00436149"/>
    <w:rsid w:val="00436181"/>
    <w:rsid w:val="0043623A"/>
    <w:rsid w:val="0043624F"/>
    <w:rsid w:val="004362C1"/>
    <w:rsid w:val="0043645F"/>
    <w:rsid w:val="0043652A"/>
    <w:rsid w:val="0043652E"/>
    <w:rsid w:val="004365B0"/>
    <w:rsid w:val="004365EB"/>
    <w:rsid w:val="0043669F"/>
    <w:rsid w:val="004366A2"/>
    <w:rsid w:val="0043678E"/>
    <w:rsid w:val="00436839"/>
    <w:rsid w:val="0043685B"/>
    <w:rsid w:val="00436B3B"/>
    <w:rsid w:val="00436BBA"/>
    <w:rsid w:val="00436C47"/>
    <w:rsid w:val="00436CDD"/>
    <w:rsid w:val="00436D40"/>
    <w:rsid w:val="00436D57"/>
    <w:rsid w:val="00436DAD"/>
    <w:rsid w:val="00436E51"/>
    <w:rsid w:val="00436E79"/>
    <w:rsid w:val="00436E8F"/>
    <w:rsid w:val="00436FAE"/>
    <w:rsid w:val="004370E1"/>
    <w:rsid w:val="00437163"/>
    <w:rsid w:val="004371EC"/>
    <w:rsid w:val="00437339"/>
    <w:rsid w:val="004373D4"/>
    <w:rsid w:val="0043745F"/>
    <w:rsid w:val="004374A0"/>
    <w:rsid w:val="00437624"/>
    <w:rsid w:val="0043764A"/>
    <w:rsid w:val="004378B0"/>
    <w:rsid w:val="0043790A"/>
    <w:rsid w:val="0043792C"/>
    <w:rsid w:val="00437C37"/>
    <w:rsid w:val="00437C4D"/>
    <w:rsid w:val="00437C54"/>
    <w:rsid w:val="00437CDD"/>
    <w:rsid w:val="00437D55"/>
    <w:rsid w:val="00437DCE"/>
    <w:rsid w:val="00437E24"/>
    <w:rsid w:val="00437EAD"/>
    <w:rsid w:val="00437ECE"/>
    <w:rsid w:val="00437F2D"/>
    <w:rsid w:val="00437FB9"/>
    <w:rsid w:val="00437FC5"/>
    <w:rsid w:val="00437FE9"/>
    <w:rsid w:val="00437FF4"/>
    <w:rsid w:val="00440026"/>
    <w:rsid w:val="00440066"/>
    <w:rsid w:val="004400FF"/>
    <w:rsid w:val="00440126"/>
    <w:rsid w:val="0044021F"/>
    <w:rsid w:val="00440319"/>
    <w:rsid w:val="0044036D"/>
    <w:rsid w:val="00440398"/>
    <w:rsid w:val="004403C9"/>
    <w:rsid w:val="00440409"/>
    <w:rsid w:val="00440602"/>
    <w:rsid w:val="0044066B"/>
    <w:rsid w:val="0044076A"/>
    <w:rsid w:val="00440788"/>
    <w:rsid w:val="00440982"/>
    <w:rsid w:val="00440987"/>
    <w:rsid w:val="0044099B"/>
    <w:rsid w:val="004409E3"/>
    <w:rsid w:val="00440A57"/>
    <w:rsid w:val="00440FFF"/>
    <w:rsid w:val="0044101D"/>
    <w:rsid w:val="004410B3"/>
    <w:rsid w:val="00441173"/>
    <w:rsid w:val="0044124C"/>
    <w:rsid w:val="00441347"/>
    <w:rsid w:val="004413EC"/>
    <w:rsid w:val="004414D6"/>
    <w:rsid w:val="004414ED"/>
    <w:rsid w:val="004415AC"/>
    <w:rsid w:val="0044166D"/>
    <w:rsid w:val="004416A0"/>
    <w:rsid w:val="00441868"/>
    <w:rsid w:val="00441873"/>
    <w:rsid w:val="004418D2"/>
    <w:rsid w:val="004419BC"/>
    <w:rsid w:val="00441A4D"/>
    <w:rsid w:val="00441B1C"/>
    <w:rsid w:val="00441B72"/>
    <w:rsid w:val="00441B7A"/>
    <w:rsid w:val="00441BFF"/>
    <w:rsid w:val="00441C71"/>
    <w:rsid w:val="00441D7E"/>
    <w:rsid w:val="00441E19"/>
    <w:rsid w:val="00441F00"/>
    <w:rsid w:val="00441FC0"/>
    <w:rsid w:val="0044206D"/>
    <w:rsid w:val="0044208A"/>
    <w:rsid w:val="004420EE"/>
    <w:rsid w:val="00442114"/>
    <w:rsid w:val="0044219A"/>
    <w:rsid w:val="004421FB"/>
    <w:rsid w:val="00442295"/>
    <w:rsid w:val="00442339"/>
    <w:rsid w:val="00442414"/>
    <w:rsid w:val="004425F3"/>
    <w:rsid w:val="00442675"/>
    <w:rsid w:val="004427FC"/>
    <w:rsid w:val="00442A91"/>
    <w:rsid w:val="00442B11"/>
    <w:rsid w:val="00442C17"/>
    <w:rsid w:val="00442CF3"/>
    <w:rsid w:val="00442DD3"/>
    <w:rsid w:val="00442E3E"/>
    <w:rsid w:val="00442E46"/>
    <w:rsid w:val="00443023"/>
    <w:rsid w:val="0044346B"/>
    <w:rsid w:val="004434BA"/>
    <w:rsid w:val="0044350A"/>
    <w:rsid w:val="0044354E"/>
    <w:rsid w:val="00443804"/>
    <w:rsid w:val="00443833"/>
    <w:rsid w:val="004438AB"/>
    <w:rsid w:val="00443966"/>
    <w:rsid w:val="00443AC9"/>
    <w:rsid w:val="00443D60"/>
    <w:rsid w:val="00443E84"/>
    <w:rsid w:val="00443EE4"/>
    <w:rsid w:val="00443F33"/>
    <w:rsid w:val="0044412F"/>
    <w:rsid w:val="00444145"/>
    <w:rsid w:val="0044414A"/>
    <w:rsid w:val="00444345"/>
    <w:rsid w:val="004443CA"/>
    <w:rsid w:val="004444E9"/>
    <w:rsid w:val="004444F8"/>
    <w:rsid w:val="00444560"/>
    <w:rsid w:val="00444561"/>
    <w:rsid w:val="004445F5"/>
    <w:rsid w:val="00444640"/>
    <w:rsid w:val="00444673"/>
    <w:rsid w:val="0044469D"/>
    <w:rsid w:val="004446AE"/>
    <w:rsid w:val="00444756"/>
    <w:rsid w:val="00444795"/>
    <w:rsid w:val="004447A3"/>
    <w:rsid w:val="004447AC"/>
    <w:rsid w:val="0044494F"/>
    <w:rsid w:val="004449D3"/>
    <w:rsid w:val="00444B5E"/>
    <w:rsid w:val="00444B81"/>
    <w:rsid w:val="00444BD3"/>
    <w:rsid w:val="00444BEB"/>
    <w:rsid w:val="00444E07"/>
    <w:rsid w:val="00444E33"/>
    <w:rsid w:val="00444E62"/>
    <w:rsid w:val="00444EE0"/>
    <w:rsid w:val="00444F3F"/>
    <w:rsid w:val="00444FC2"/>
    <w:rsid w:val="00444FE9"/>
    <w:rsid w:val="004450C8"/>
    <w:rsid w:val="00445137"/>
    <w:rsid w:val="004451D5"/>
    <w:rsid w:val="0044532A"/>
    <w:rsid w:val="00445373"/>
    <w:rsid w:val="0044539F"/>
    <w:rsid w:val="004453CF"/>
    <w:rsid w:val="00445470"/>
    <w:rsid w:val="004454B2"/>
    <w:rsid w:val="004454CF"/>
    <w:rsid w:val="004456C4"/>
    <w:rsid w:val="00445770"/>
    <w:rsid w:val="00445939"/>
    <w:rsid w:val="0044598C"/>
    <w:rsid w:val="004459CC"/>
    <w:rsid w:val="00445A6D"/>
    <w:rsid w:val="00445DFA"/>
    <w:rsid w:val="00445E5F"/>
    <w:rsid w:val="00445F59"/>
    <w:rsid w:val="00445FFE"/>
    <w:rsid w:val="00446237"/>
    <w:rsid w:val="004462E9"/>
    <w:rsid w:val="00446345"/>
    <w:rsid w:val="00446440"/>
    <w:rsid w:val="00446465"/>
    <w:rsid w:val="004464B0"/>
    <w:rsid w:val="00446624"/>
    <w:rsid w:val="00446640"/>
    <w:rsid w:val="00446691"/>
    <w:rsid w:val="00446825"/>
    <w:rsid w:val="00446922"/>
    <w:rsid w:val="004469B7"/>
    <w:rsid w:val="004469F0"/>
    <w:rsid w:val="00446B02"/>
    <w:rsid w:val="00446B14"/>
    <w:rsid w:val="00446B2B"/>
    <w:rsid w:val="00446B53"/>
    <w:rsid w:val="00446B89"/>
    <w:rsid w:val="00446BA4"/>
    <w:rsid w:val="00446C60"/>
    <w:rsid w:val="00446D03"/>
    <w:rsid w:val="00446D24"/>
    <w:rsid w:val="00446DF3"/>
    <w:rsid w:val="00446EE6"/>
    <w:rsid w:val="0044706A"/>
    <w:rsid w:val="0044706C"/>
    <w:rsid w:val="00447074"/>
    <w:rsid w:val="00447165"/>
    <w:rsid w:val="004471A2"/>
    <w:rsid w:val="004471E4"/>
    <w:rsid w:val="0044726B"/>
    <w:rsid w:val="00447273"/>
    <w:rsid w:val="004472B3"/>
    <w:rsid w:val="0044742A"/>
    <w:rsid w:val="004475CC"/>
    <w:rsid w:val="00447625"/>
    <w:rsid w:val="004476F5"/>
    <w:rsid w:val="004477BD"/>
    <w:rsid w:val="0044790D"/>
    <w:rsid w:val="0044792C"/>
    <w:rsid w:val="00447949"/>
    <w:rsid w:val="00447A02"/>
    <w:rsid w:val="00447A26"/>
    <w:rsid w:val="00447B2E"/>
    <w:rsid w:val="00447D5D"/>
    <w:rsid w:val="00447E0E"/>
    <w:rsid w:val="00447E3C"/>
    <w:rsid w:val="00447EDB"/>
    <w:rsid w:val="00447F29"/>
    <w:rsid w:val="00447F93"/>
    <w:rsid w:val="00447FFC"/>
    <w:rsid w:val="0045004B"/>
    <w:rsid w:val="0045008E"/>
    <w:rsid w:val="004501B6"/>
    <w:rsid w:val="004501CD"/>
    <w:rsid w:val="00450216"/>
    <w:rsid w:val="0045021D"/>
    <w:rsid w:val="004502B3"/>
    <w:rsid w:val="0045033B"/>
    <w:rsid w:val="004503C1"/>
    <w:rsid w:val="00450447"/>
    <w:rsid w:val="004505DB"/>
    <w:rsid w:val="004508BC"/>
    <w:rsid w:val="00450922"/>
    <w:rsid w:val="0045092F"/>
    <w:rsid w:val="004509B9"/>
    <w:rsid w:val="00450A50"/>
    <w:rsid w:val="00450A6D"/>
    <w:rsid w:val="00450AC2"/>
    <w:rsid w:val="00450BCD"/>
    <w:rsid w:val="00450C6E"/>
    <w:rsid w:val="00450C7E"/>
    <w:rsid w:val="00450CE3"/>
    <w:rsid w:val="00450D02"/>
    <w:rsid w:val="00450D9E"/>
    <w:rsid w:val="0045100D"/>
    <w:rsid w:val="00451093"/>
    <w:rsid w:val="0045111F"/>
    <w:rsid w:val="0045119A"/>
    <w:rsid w:val="004511B6"/>
    <w:rsid w:val="00451297"/>
    <w:rsid w:val="0045130E"/>
    <w:rsid w:val="0045141B"/>
    <w:rsid w:val="00451420"/>
    <w:rsid w:val="0045143E"/>
    <w:rsid w:val="00451531"/>
    <w:rsid w:val="00451544"/>
    <w:rsid w:val="0045168C"/>
    <w:rsid w:val="004516D1"/>
    <w:rsid w:val="004517AC"/>
    <w:rsid w:val="004517BF"/>
    <w:rsid w:val="0045181A"/>
    <w:rsid w:val="00451824"/>
    <w:rsid w:val="00451873"/>
    <w:rsid w:val="004518EA"/>
    <w:rsid w:val="00451AE6"/>
    <w:rsid w:val="00451BFF"/>
    <w:rsid w:val="00451D51"/>
    <w:rsid w:val="00451F38"/>
    <w:rsid w:val="00451F4E"/>
    <w:rsid w:val="00451F70"/>
    <w:rsid w:val="00451F7E"/>
    <w:rsid w:val="00452088"/>
    <w:rsid w:val="004520C3"/>
    <w:rsid w:val="004522F6"/>
    <w:rsid w:val="00452391"/>
    <w:rsid w:val="00452463"/>
    <w:rsid w:val="004524AE"/>
    <w:rsid w:val="004524D1"/>
    <w:rsid w:val="00452528"/>
    <w:rsid w:val="00452662"/>
    <w:rsid w:val="0045272B"/>
    <w:rsid w:val="004527A1"/>
    <w:rsid w:val="00452961"/>
    <w:rsid w:val="0045299F"/>
    <w:rsid w:val="004529DF"/>
    <w:rsid w:val="004529E0"/>
    <w:rsid w:val="00452B11"/>
    <w:rsid w:val="00452B17"/>
    <w:rsid w:val="00452BAA"/>
    <w:rsid w:val="00452D93"/>
    <w:rsid w:val="00452DB8"/>
    <w:rsid w:val="00452DE0"/>
    <w:rsid w:val="00452F9C"/>
    <w:rsid w:val="00452FA7"/>
    <w:rsid w:val="00453197"/>
    <w:rsid w:val="0045322C"/>
    <w:rsid w:val="0045329A"/>
    <w:rsid w:val="004532D0"/>
    <w:rsid w:val="00453313"/>
    <w:rsid w:val="0045339D"/>
    <w:rsid w:val="004533C7"/>
    <w:rsid w:val="004534B0"/>
    <w:rsid w:val="00453685"/>
    <w:rsid w:val="004536C9"/>
    <w:rsid w:val="0045371D"/>
    <w:rsid w:val="0045381A"/>
    <w:rsid w:val="0045398B"/>
    <w:rsid w:val="004539C9"/>
    <w:rsid w:val="00453BE7"/>
    <w:rsid w:val="00453C72"/>
    <w:rsid w:val="00453E88"/>
    <w:rsid w:val="00453FCE"/>
    <w:rsid w:val="00454006"/>
    <w:rsid w:val="00454049"/>
    <w:rsid w:val="00454065"/>
    <w:rsid w:val="0045414E"/>
    <w:rsid w:val="004541FB"/>
    <w:rsid w:val="0045429C"/>
    <w:rsid w:val="004545AD"/>
    <w:rsid w:val="00454781"/>
    <w:rsid w:val="004547C8"/>
    <w:rsid w:val="004547EE"/>
    <w:rsid w:val="004548ED"/>
    <w:rsid w:val="00454B3D"/>
    <w:rsid w:val="00454B64"/>
    <w:rsid w:val="00454EFE"/>
    <w:rsid w:val="00454F08"/>
    <w:rsid w:val="00454F27"/>
    <w:rsid w:val="00454F53"/>
    <w:rsid w:val="00454F63"/>
    <w:rsid w:val="00454F6A"/>
    <w:rsid w:val="00455125"/>
    <w:rsid w:val="00455345"/>
    <w:rsid w:val="0045537B"/>
    <w:rsid w:val="0045544E"/>
    <w:rsid w:val="0045556A"/>
    <w:rsid w:val="00455637"/>
    <w:rsid w:val="00455683"/>
    <w:rsid w:val="004558DC"/>
    <w:rsid w:val="00455A5B"/>
    <w:rsid w:val="00455B3F"/>
    <w:rsid w:val="00455BC3"/>
    <w:rsid w:val="00455C82"/>
    <w:rsid w:val="00455CD2"/>
    <w:rsid w:val="00455CE4"/>
    <w:rsid w:val="00455DEF"/>
    <w:rsid w:val="00455DF3"/>
    <w:rsid w:val="00455E8D"/>
    <w:rsid w:val="00455F40"/>
    <w:rsid w:val="004561DE"/>
    <w:rsid w:val="00456212"/>
    <w:rsid w:val="00456215"/>
    <w:rsid w:val="0045636D"/>
    <w:rsid w:val="004564AE"/>
    <w:rsid w:val="0045656D"/>
    <w:rsid w:val="004565D2"/>
    <w:rsid w:val="00456709"/>
    <w:rsid w:val="0045673F"/>
    <w:rsid w:val="0045674C"/>
    <w:rsid w:val="00456780"/>
    <w:rsid w:val="004567D1"/>
    <w:rsid w:val="0045685C"/>
    <w:rsid w:val="00456890"/>
    <w:rsid w:val="0045692B"/>
    <w:rsid w:val="004569B8"/>
    <w:rsid w:val="00456A1A"/>
    <w:rsid w:val="00456C20"/>
    <w:rsid w:val="00456D17"/>
    <w:rsid w:val="00457138"/>
    <w:rsid w:val="0045739B"/>
    <w:rsid w:val="00457488"/>
    <w:rsid w:val="004575A2"/>
    <w:rsid w:val="004575AE"/>
    <w:rsid w:val="00457767"/>
    <w:rsid w:val="004577D0"/>
    <w:rsid w:val="0045784C"/>
    <w:rsid w:val="0045785A"/>
    <w:rsid w:val="00457901"/>
    <w:rsid w:val="0045795E"/>
    <w:rsid w:val="00457979"/>
    <w:rsid w:val="00457A0D"/>
    <w:rsid w:val="00457A56"/>
    <w:rsid w:val="00457A57"/>
    <w:rsid w:val="00457B1C"/>
    <w:rsid w:val="00457B55"/>
    <w:rsid w:val="00457BA1"/>
    <w:rsid w:val="00457C22"/>
    <w:rsid w:val="00457CC1"/>
    <w:rsid w:val="00457E58"/>
    <w:rsid w:val="00457F0C"/>
    <w:rsid w:val="00457FAE"/>
    <w:rsid w:val="00457FD5"/>
    <w:rsid w:val="00460004"/>
    <w:rsid w:val="0046012F"/>
    <w:rsid w:val="004601BE"/>
    <w:rsid w:val="00460338"/>
    <w:rsid w:val="00460356"/>
    <w:rsid w:val="0046040D"/>
    <w:rsid w:val="00460562"/>
    <w:rsid w:val="00460585"/>
    <w:rsid w:val="004605CD"/>
    <w:rsid w:val="00460628"/>
    <w:rsid w:val="0046062F"/>
    <w:rsid w:val="0046064A"/>
    <w:rsid w:val="0046064F"/>
    <w:rsid w:val="00460788"/>
    <w:rsid w:val="00460851"/>
    <w:rsid w:val="004609A7"/>
    <w:rsid w:val="00460A1E"/>
    <w:rsid w:val="00460A70"/>
    <w:rsid w:val="00460B3D"/>
    <w:rsid w:val="00460B5F"/>
    <w:rsid w:val="00460B9C"/>
    <w:rsid w:val="00460BF5"/>
    <w:rsid w:val="00460C6E"/>
    <w:rsid w:val="00460C71"/>
    <w:rsid w:val="00460D11"/>
    <w:rsid w:val="00460D83"/>
    <w:rsid w:val="00460E1C"/>
    <w:rsid w:val="00460E7C"/>
    <w:rsid w:val="00460E82"/>
    <w:rsid w:val="0046100B"/>
    <w:rsid w:val="004610C1"/>
    <w:rsid w:val="004610C4"/>
    <w:rsid w:val="004610C9"/>
    <w:rsid w:val="004611DD"/>
    <w:rsid w:val="004611F5"/>
    <w:rsid w:val="00461354"/>
    <w:rsid w:val="00461474"/>
    <w:rsid w:val="00461512"/>
    <w:rsid w:val="0046161F"/>
    <w:rsid w:val="00461685"/>
    <w:rsid w:val="004616A9"/>
    <w:rsid w:val="00461738"/>
    <w:rsid w:val="00461792"/>
    <w:rsid w:val="00461833"/>
    <w:rsid w:val="004618A8"/>
    <w:rsid w:val="00461A70"/>
    <w:rsid w:val="00461AAF"/>
    <w:rsid w:val="00461B02"/>
    <w:rsid w:val="00461B2D"/>
    <w:rsid w:val="00461CE7"/>
    <w:rsid w:val="00461D94"/>
    <w:rsid w:val="00461DD2"/>
    <w:rsid w:val="00461DFC"/>
    <w:rsid w:val="00461E6E"/>
    <w:rsid w:val="00461ECC"/>
    <w:rsid w:val="00461EDB"/>
    <w:rsid w:val="00461EE5"/>
    <w:rsid w:val="00461FFE"/>
    <w:rsid w:val="00462105"/>
    <w:rsid w:val="00462294"/>
    <w:rsid w:val="0046242E"/>
    <w:rsid w:val="0046244F"/>
    <w:rsid w:val="004624BC"/>
    <w:rsid w:val="00462510"/>
    <w:rsid w:val="00462555"/>
    <w:rsid w:val="0046266F"/>
    <w:rsid w:val="00462670"/>
    <w:rsid w:val="0046270F"/>
    <w:rsid w:val="004628D7"/>
    <w:rsid w:val="00462956"/>
    <w:rsid w:val="004629E2"/>
    <w:rsid w:val="00462A3C"/>
    <w:rsid w:val="00462A89"/>
    <w:rsid w:val="00462D2B"/>
    <w:rsid w:val="00462DCA"/>
    <w:rsid w:val="00462DE0"/>
    <w:rsid w:val="00462F07"/>
    <w:rsid w:val="00462FCA"/>
    <w:rsid w:val="00462FF0"/>
    <w:rsid w:val="0046303C"/>
    <w:rsid w:val="00463079"/>
    <w:rsid w:val="00463145"/>
    <w:rsid w:val="004631CB"/>
    <w:rsid w:val="004631FB"/>
    <w:rsid w:val="0046321D"/>
    <w:rsid w:val="0046333D"/>
    <w:rsid w:val="004633F0"/>
    <w:rsid w:val="0046342D"/>
    <w:rsid w:val="00463507"/>
    <w:rsid w:val="00463762"/>
    <w:rsid w:val="004638DF"/>
    <w:rsid w:val="0046396B"/>
    <w:rsid w:val="0046399D"/>
    <w:rsid w:val="00463B11"/>
    <w:rsid w:val="00463CA5"/>
    <w:rsid w:val="00463CE7"/>
    <w:rsid w:val="00463CF9"/>
    <w:rsid w:val="00463D11"/>
    <w:rsid w:val="00463DF9"/>
    <w:rsid w:val="00463DFD"/>
    <w:rsid w:val="00463F02"/>
    <w:rsid w:val="00464039"/>
    <w:rsid w:val="00464217"/>
    <w:rsid w:val="00464288"/>
    <w:rsid w:val="004642D6"/>
    <w:rsid w:val="00464332"/>
    <w:rsid w:val="0046442D"/>
    <w:rsid w:val="00464477"/>
    <w:rsid w:val="004645FD"/>
    <w:rsid w:val="004646E0"/>
    <w:rsid w:val="004647A6"/>
    <w:rsid w:val="00464930"/>
    <w:rsid w:val="00464AA4"/>
    <w:rsid w:val="00464B1E"/>
    <w:rsid w:val="00464B3B"/>
    <w:rsid w:val="00464C7B"/>
    <w:rsid w:val="00464CB4"/>
    <w:rsid w:val="00464D2D"/>
    <w:rsid w:val="00464D95"/>
    <w:rsid w:val="00464FF7"/>
    <w:rsid w:val="004650B8"/>
    <w:rsid w:val="00465212"/>
    <w:rsid w:val="00465227"/>
    <w:rsid w:val="00465243"/>
    <w:rsid w:val="00465278"/>
    <w:rsid w:val="0046529C"/>
    <w:rsid w:val="004652E2"/>
    <w:rsid w:val="0046534F"/>
    <w:rsid w:val="004653F4"/>
    <w:rsid w:val="004654EF"/>
    <w:rsid w:val="0046550A"/>
    <w:rsid w:val="00465661"/>
    <w:rsid w:val="0046584A"/>
    <w:rsid w:val="00465859"/>
    <w:rsid w:val="004658AF"/>
    <w:rsid w:val="004658F1"/>
    <w:rsid w:val="00465B5E"/>
    <w:rsid w:val="00465BC1"/>
    <w:rsid w:val="00465C12"/>
    <w:rsid w:val="00465CFE"/>
    <w:rsid w:val="00465D66"/>
    <w:rsid w:val="00465D70"/>
    <w:rsid w:val="00465D96"/>
    <w:rsid w:val="00465DB0"/>
    <w:rsid w:val="00466064"/>
    <w:rsid w:val="004660B3"/>
    <w:rsid w:val="004660DB"/>
    <w:rsid w:val="00466185"/>
    <w:rsid w:val="0046620F"/>
    <w:rsid w:val="004663C2"/>
    <w:rsid w:val="00466496"/>
    <w:rsid w:val="004664E5"/>
    <w:rsid w:val="00466515"/>
    <w:rsid w:val="0046651A"/>
    <w:rsid w:val="0046656C"/>
    <w:rsid w:val="0046663A"/>
    <w:rsid w:val="004667FE"/>
    <w:rsid w:val="00466809"/>
    <w:rsid w:val="00466861"/>
    <w:rsid w:val="00466951"/>
    <w:rsid w:val="004669FB"/>
    <w:rsid w:val="00466A7F"/>
    <w:rsid w:val="00466A88"/>
    <w:rsid w:val="00466B1E"/>
    <w:rsid w:val="00466B4A"/>
    <w:rsid w:val="00466C15"/>
    <w:rsid w:val="00466C30"/>
    <w:rsid w:val="00466CB3"/>
    <w:rsid w:val="00466CBB"/>
    <w:rsid w:val="00466CCA"/>
    <w:rsid w:val="00466EBC"/>
    <w:rsid w:val="00466EC3"/>
    <w:rsid w:val="0046708C"/>
    <w:rsid w:val="0046714E"/>
    <w:rsid w:val="00467222"/>
    <w:rsid w:val="00467253"/>
    <w:rsid w:val="00467386"/>
    <w:rsid w:val="00467408"/>
    <w:rsid w:val="004674E8"/>
    <w:rsid w:val="004675FF"/>
    <w:rsid w:val="00467633"/>
    <w:rsid w:val="00467686"/>
    <w:rsid w:val="0046768D"/>
    <w:rsid w:val="004676C5"/>
    <w:rsid w:val="0046786D"/>
    <w:rsid w:val="00467897"/>
    <w:rsid w:val="00467952"/>
    <w:rsid w:val="0046799B"/>
    <w:rsid w:val="00467B3E"/>
    <w:rsid w:val="00467C8B"/>
    <w:rsid w:val="00467CC8"/>
    <w:rsid w:val="00467D22"/>
    <w:rsid w:val="00467D65"/>
    <w:rsid w:val="00467E52"/>
    <w:rsid w:val="0047002C"/>
    <w:rsid w:val="00470054"/>
    <w:rsid w:val="00470241"/>
    <w:rsid w:val="004702F4"/>
    <w:rsid w:val="004703B6"/>
    <w:rsid w:val="00470445"/>
    <w:rsid w:val="00470499"/>
    <w:rsid w:val="004706DD"/>
    <w:rsid w:val="004707FB"/>
    <w:rsid w:val="0047090D"/>
    <w:rsid w:val="0047090E"/>
    <w:rsid w:val="0047092C"/>
    <w:rsid w:val="00470963"/>
    <w:rsid w:val="00470A70"/>
    <w:rsid w:val="00470C5D"/>
    <w:rsid w:val="00470D91"/>
    <w:rsid w:val="00470DA0"/>
    <w:rsid w:val="00470E6E"/>
    <w:rsid w:val="00470E92"/>
    <w:rsid w:val="00471140"/>
    <w:rsid w:val="004711E0"/>
    <w:rsid w:val="0047127E"/>
    <w:rsid w:val="0047135E"/>
    <w:rsid w:val="00471378"/>
    <w:rsid w:val="0047140F"/>
    <w:rsid w:val="00471523"/>
    <w:rsid w:val="004715EE"/>
    <w:rsid w:val="00471624"/>
    <w:rsid w:val="00471696"/>
    <w:rsid w:val="00471750"/>
    <w:rsid w:val="00471777"/>
    <w:rsid w:val="004718B0"/>
    <w:rsid w:val="0047193B"/>
    <w:rsid w:val="00471A7A"/>
    <w:rsid w:val="00471A96"/>
    <w:rsid w:val="00471ACB"/>
    <w:rsid w:val="00471B4C"/>
    <w:rsid w:val="00471C40"/>
    <w:rsid w:val="00471CAD"/>
    <w:rsid w:val="00471CC7"/>
    <w:rsid w:val="00471CD7"/>
    <w:rsid w:val="00471D1E"/>
    <w:rsid w:val="00471D6D"/>
    <w:rsid w:val="00471EBE"/>
    <w:rsid w:val="00471F24"/>
    <w:rsid w:val="00471FBA"/>
    <w:rsid w:val="00472102"/>
    <w:rsid w:val="00472111"/>
    <w:rsid w:val="00472142"/>
    <w:rsid w:val="0047233C"/>
    <w:rsid w:val="0047238D"/>
    <w:rsid w:val="004723FC"/>
    <w:rsid w:val="0047247F"/>
    <w:rsid w:val="004724C8"/>
    <w:rsid w:val="00472568"/>
    <w:rsid w:val="0047257A"/>
    <w:rsid w:val="004725A2"/>
    <w:rsid w:val="0047267A"/>
    <w:rsid w:val="00472693"/>
    <w:rsid w:val="004726FB"/>
    <w:rsid w:val="0047278D"/>
    <w:rsid w:val="00472919"/>
    <w:rsid w:val="00472981"/>
    <w:rsid w:val="00472A1D"/>
    <w:rsid w:val="00472AA8"/>
    <w:rsid w:val="00472AAB"/>
    <w:rsid w:val="00472AEF"/>
    <w:rsid w:val="00472D13"/>
    <w:rsid w:val="00472D77"/>
    <w:rsid w:val="00472D8C"/>
    <w:rsid w:val="00472E7D"/>
    <w:rsid w:val="00472EB7"/>
    <w:rsid w:val="00472F29"/>
    <w:rsid w:val="00472FA1"/>
    <w:rsid w:val="0047300F"/>
    <w:rsid w:val="00473066"/>
    <w:rsid w:val="004730D2"/>
    <w:rsid w:val="00473365"/>
    <w:rsid w:val="004735C5"/>
    <w:rsid w:val="004735EC"/>
    <w:rsid w:val="004736B4"/>
    <w:rsid w:val="0047376A"/>
    <w:rsid w:val="00473A38"/>
    <w:rsid w:val="00473AAE"/>
    <w:rsid w:val="00473BAD"/>
    <w:rsid w:val="00473C5D"/>
    <w:rsid w:val="00473C80"/>
    <w:rsid w:val="00473DE8"/>
    <w:rsid w:val="0047400F"/>
    <w:rsid w:val="004744D8"/>
    <w:rsid w:val="00474585"/>
    <w:rsid w:val="004746BB"/>
    <w:rsid w:val="00474887"/>
    <w:rsid w:val="00474935"/>
    <w:rsid w:val="00474B8B"/>
    <w:rsid w:val="00474BD6"/>
    <w:rsid w:val="00474C20"/>
    <w:rsid w:val="00474CAD"/>
    <w:rsid w:val="00474D29"/>
    <w:rsid w:val="00474D81"/>
    <w:rsid w:val="00474D82"/>
    <w:rsid w:val="00474DF9"/>
    <w:rsid w:val="00474E4E"/>
    <w:rsid w:val="00474E69"/>
    <w:rsid w:val="00474F77"/>
    <w:rsid w:val="0047509E"/>
    <w:rsid w:val="004750BB"/>
    <w:rsid w:val="00475174"/>
    <w:rsid w:val="004751DC"/>
    <w:rsid w:val="004752AC"/>
    <w:rsid w:val="004752B7"/>
    <w:rsid w:val="00475319"/>
    <w:rsid w:val="004754B0"/>
    <w:rsid w:val="004754E0"/>
    <w:rsid w:val="00475698"/>
    <w:rsid w:val="00475727"/>
    <w:rsid w:val="0047577A"/>
    <w:rsid w:val="00475820"/>
    <w:rsid w:val="0047592D"/>
    <w:rsid w:val="00475A68"/>
    <w:rsid w:val="00475B32"/>
    <w:rsid w:val="00475CDC"/>
    <w:rsid w:val="00475DBC"/>
    <w:rsid w:val="00475DC0"/>
    <w:rsid w:val="00475E93"/>
    <w:rsid w:val="00475EA0"/>
    <w:rsid w:val="00475F6E"/>
    <w:rsid w:val="00475FE3"/>
    <w:rsid w:val="004760F4"/>
    <w:rsid w:val="00476196"/>
    <w:rsid w:val="00476251"/>
    <w:rsid w:val="0047627B"/>
    <w:rsid w:val="00476335"/>
    <w:rsid w:val="00476351"/>
    <w:rsid w:val="004763AE"/>
    <w:rsid w:val="0047640A"/>
    <w:rsid w:val="00476410"/>
    <w:rsid w:val="00476467"/>
    <w:rsid w:val="004764BF"/>
    <w:rsid w:val="004764DA"/>
    <w:rsid w:val="004765B9"/>
    <w:rsid w:val="00476608"/>
    <w:rsid w:val="00476786"/>
    <w:rsid w:val="0047689D"/>
    <w:rsid w:val="004768A4"/>
    <w:rsid w:val="00476983"/>
    <w:rsid w:val="004769A8"/>
    <w:rsid w:val="00476A1F"/>
    <w:rsid w:val="00476A57"/>
    <w:rsid w:val="00476C2D"/>
    <w:rsid w:val="00476CC9"/>
    <w:rsid w:val="00476CD3"/>
    <w:rsid w:val="00476D77"/>
    <w:rsid w:val="00476DF3"/>
    <w:rsid w:val="00476F88"/>
    <w:rsid w:val="00476F8E"/>
    <w:rsid w:val="0047700E"/>
    <w:rsid w:val="00477012"/>
    <w:rsid w:val="0047704D"/>
    <w:rsid w:val="00477054"/>
    <w:rsid w:val="00477085"/>
    <w:rsid w:val="004770E3"/>
    <w:rsid w:val="004771F3"/>
    <w:rsid w:val="00477227"/>
    <w:rsid w:val="00477232"/>
    <w:rsid w:val="004772E2"/>
    <w:rsid w:val="0047735B"/>
    <w:rsid w:val="004773C4"/>
    <w:rsid w:val="004773DF"/>
    <w:rsid w:val="00477516"/>
    <w:rsid w:val="00477534"/>
    <w:rsid w:val="004775C7"/>
    <w:rsid w:val="004775D0"/>
    <w:rsid w:val="00477686"/>
    <w:rsid w:val="004776F3"/>
    <w:rsid w:val="004777DB"/>
    <w:rsid w:val="00477854"/>
    <w:rsid w:val="0047785B"/>
    <w:rsid w:val="004779AE"/>
    <w:rsid w:val="00477AC4"/>
    <w:rsid w:val="00477B5D"/>
    <w:rsid w:val="00477BC3"/>
    <w:rsid w:val="00477C85"/>
    <w:rsid w:val="00477C8C"/>
    <w:rsid w:val="00477DE6"/>
    <w:rsid w:val="00477E25"/>
    <w:rsid w:val="00477F0C"/>
    <w:rsid w:val="00477FBC"/>
    <w:rsid w:val="00480000"/>
    <w:rsid w:val="00480097"/>
    <w:rsid w:val="00480155"/>
    <w:rsid w:val="0048018C"/>
    <w:rsid w:val="00480212"/>
    <w:rsid w:val="004803EB"/>
    <w:rsid w:val="00480430"/>
    <w:rsid w:val="004805D5"/>
    <w:rsid w:val="00480688"/>
    <w:rsid w:val="004806F0"/>
    <w:rsid w:val="00480705"/>
    <w:rsid w:val="0048078B"/>
    <w:rsid w:val="00480796"/>
    <w:rsid w:val="004807FD"/>
    <w:rsid w:val="00480840"/>
    <w:rsid w:val="00480847"/>
    <w:rsid w:val="00480B57"/>
    <w:rsid w:val="00480BF1"/>
    <w:rsid w:val="00480C1D"/>
    <w:rsid w:val="00480C2A"/>
    <w:rsid w:val="00480C5F"/>
    <w:rsid w:val="00480CAD"/>
    <w:rsid w:val="00480D7A"/>
    <w:rsid w:val="00480E23"/>
    <w:rsid w:val="00480EEE"/>
    <w:rsid w:val="00480F18"/>
    <w:rsid w:val="00480F65"/>
    <w:rsid w:val="004810A4"/>
    <w:rsid w:val="00481110"/>
    <w:rsid w:val="00481188"/>
    <w:rsid w:val="00481221"/>
    <w:rsid w:val="0048123D"/>
    <w:rsid w:val="00481396"/>
    <w:rsid w:val="00481450"/>
    <w:rsid w:val="0048151E"/>
    <w:rsid w:val="004815E6"/>
    <w:rsid w:val="00481636"/>
    <w:rsid w:val="0048168C"/>
    <w:rsid w:val="0048172D"/>
    <w:rsid w:val="00481805"/>
    <w:rsid w:val="0048186F"/>
    <w:rsid w:val="004818E5"/>
    <w:rsid w:val="00481940"/>
    <w:rsid w:val="0048195E"/>
    <w:rsid w:val="004819A1"/>
    <w:rsid w:val="00481A04"/>
    <w:rsid w:val="00481A36"/>
    <w:rsid w:val="00481DA2"/>
    <w:rsid w:val="00481DD0"/>
    <w:rsid w:val="00481E09"/>
    <w:rsid w:val="00481EA5"/>
    <w:rsid w:val="00481EA8"/>
    <w:rsid w:val="00481FD4"/>
    <w:rsid w:val="00482051"/>
    <w:rsid w:val="004820C0"/>
    <w:rsid w:val="004821AC"/>
    <w:rsid w:val="004821C8"/>
    <w:rsid w:val="004823AF"/>
    <w:rsid w:val="004823EF"/>
    <w:rsid w:val="004823F4"/>
    <w:rsid w:val="00482537"/>
    <w:rsid w:val="00482738"/>
    <w:rsid w:val="004828E8"/>
    <w:rsid w:val="00482A3D"/>
    <w:rsid w:val="00482AFE"/>
    <w:rsid w:val="00482B18"/>
    <w:rsid w:val="00482B9F"/>
    <w:rsid w:val="00482CDC"/>
    <w:rsid w:val="00482D5D"/>
    <w:rsid w:val="00482DCA"/>
    <w:rsid w:val="00482E53"/>
    <w:rsid w:val="00482EEE"/>
    <w:rsid w:val="00482F7B"/>
    <w:rsid w:val="004830EF"/>
    <w:rsid w:val="004831A5"/>
    <w:rsid w:val="004831CB"/>
    <w:rsid w:val="004831FD"/>
    <w:rsid w:val="00483324"/>
    <w:rsid w:val="0048338C"/>
    <w:rsid w:val="004833CD"/>
    <w:rsid w:val="004833D5"/>
    <w:rsid w:val="004833F3"/>
    <w:rsid w:val="00483661"/>
    <w:rsid w:val="00483680"/>
    <w:rsid w:val="004836B6"/>
    <w:rsid w:val="00483757"/>
    <w:rsid w:val="00483759"/>
    <w:rsid w:val="00483768"/>
    <w:rsid w:val="00483A56"/>
    <w:rsid w:val="00483B26"/>
    <w:rsid w:val="00483FA2"/>
    <w:rsid w:val="004840B9"/>
    <w:rsid w:val="004841F7"/>
    <w:rsid w:val="00484228"/>
    <w:rsid w:val="00484313"/>
    <w:rsid w:val="0048439C"/>
    <w:rsid w:val="00484547"/>
    <w:rsid w:val="00484800"/>
    <w:rsid w:val="004849AE"/>
    <w:rsid w:val="00484A3C"/>
    <w:rsid w:val="00484B06"/>
    <w:rsid w:val="00484B84"/>
    <w:rsid w:val="00484BF7"/>
    <w:rsid w:val="00484C22"/>
    <w:rsid w:val="00484C44"/>
    <w:rsid w:val="00484C4C"/>
    <w:rsid w:val="00484C78"/>
    <w:rsid w:val="00484D61"/>
    <w:rsid w:val="00484E64"/>
    <w:rsid w:val="00484EDD"/>
    <w:rsid w:val="00484EDF"/>
    <w:rsid w:val="00484F3B"/>
    <w:rsid w:val="00485056"/>
    <w:rsid w:val="0048505E"/>
    <w:rsid w:val="0048508A"/>
    <w:rsid w:val="00485124"/>
    <w:rsid w:val="004851D1"/>
    <w:rsid w:val="00485317"/>
    <w:rsid w:val="0048533C"/>
    <w:rsid w:val="0048549A"/>
    <w:rsid w:val="004854D1"/>
    <w:rsid w:val="0048562C"/>
    <w:rsid w:val="00485794"/>
    <w:rsid w:val="004857B8"/>
    <w:rsid w:val="00485A1C"/>
    <w:rsid w:val="00485A55"/>
    <w:rsid w:val="00485BC7"/>
    <w:rsid w:val="00485D65"/>
    <w:rsid w:val="00485D88"/>
    <w:rsid w:val="00485DE5"/>
    <w:rsid w:val="00485E3C"/>
    <w:rsid w:val="00485F41"/>
    <w:rsid w:val="00485F81"/>
    <w:rsid w:val="004860BD"/>
    <w:rsid w:val="00486221"/>
    <w:rsid w:val="0048622F"/>
    <w:rsid w:val="0048635B"/>
    <w:rsid w:val="00486384"/>
    <w:rsid w:val="004863CD"/>
    <w:rsid w:val="0048651E"/>
    <w:rsid w:val="0048651F"/>
    <w:rsid w:val="00486529"/>
    <w:rsid w:val="0048655B"/>
    <w:rsid w:val="00486578"/>
    <w:rsid w:val="0048666B"/>
    <w:rsid w:val="0048674B"/>
    <w:rsid w:val="00486AFB"/>
    <w:rsid w:val="00486AFE"/>
    <w:rsid w:val="00486B4D"/>
    <w:rsid w:val="00486DC6"/>
    <w:rsid w:val="00486E3D"/>
    <w:rsid w:val="00486F3D"/>
    <w:rsid w:val="00486FBF"/>
    <w:rsid w:val="00487031"/>
    <w:rsid w:val="00487096"/>
    <w:rsid w:val="004871F7"/>
    <w:rsid w:val="0048729D"/>
    <w:rsid w:val="00487329"/>
    <w:rsid w:val="0048741C"/>
    <w:rsid w:val="0048742C"/>
    <w:rsid w:val="0048749D"/>
    <w:rsid w:val="00487511"/>
    <w:rsid w:val="004875FB"/>
    <w:rsid w:val="004876E0"/>
    <w:rsid w:val="0048778D"/>
    <w:rsid w:val="004879C2"/>
    <w:rsid w:val="00487A5E"/>
    <w:rsid w:val="00487AE0"/>
    <w:rsid w:val="00487B55"/>
    <w:rsid w:val="00487BA7"/>
    <w:rsid w:val="00487EAB"/>
    <w:rsid w:val="00487EBB"/>
    <w:rsid w:val="00487F8A"/>
    <w:rsid w:val="00490018"/>
    <w:rsid w:val="004900E5"/>
    <w:rsid w:val="0049017E"/>
    <w:rsid w:val="004901E0"/>
    <w:rsid w:val="004903CA"/>
    <w:rsid w:val="004903DE"/>
    <w:rsid w:val="00490410"/>
    <w:rsid w:val="00490572"/>
    <w:rsid w:val="004906C0"/>
    <w:rsid w:val="004906FA"/>
    <w:rsid w:val="00490783"/>
    <w:rsid w:val="004907CA"/>
    <w:rsid w:val="004907D2"/>
    <w:rsid w:val="004907F6"/>
    <w:rsid w:val="004908B6"/>
    <w:rsid w:val="00490AD1"/>
    <w:rsid w:val="00490AF9"/>
    <w:rsid w:val="00490CFA"/>
    <w:rsid w:val="00490D20"/>
    <w:rsid w:val="00490D8E"/>
    <w:rsid w:val="00490DD9"/>
    <w:rsid w:val="00490E23"/>
    <w:rsid w:val="00490EAC"/>
    <w:rsid w:val="00490F23"/>
    <w:rsid w:val="00490F26"/>
    <w:rsid w:val="00490F98"/>
    <w:rsid w:val="00490FA7"/>
    <w:rsid w:val="00490FC2"/>
    <w:rsid w:val="0049116D"/>
    <w:rsid w:val="00491178"/>
    <w:rsid w:val="004912E8"/>
    <w:rsid w:val="004915BD"/>
    <w:rsid w:val="004916C0"/>
    <w:rsid w:val="004916C6"/>
    <w:rsid w:val="0049173A"/>
    <w:rsid w:val="004917A7"/>
    <w:rsid w:val="00491840"/>
    <w:rsid w:val="004919DE"/>
    <w:rsid w:val="004919E3"/>
    <w:rsid w:val="004919E4"/>
    <w:rsid w:val="00491ABF"/>
    <w:rsid w:val="00491C43"/>
    <w:rsid w:val="00491D33"/>
    <w:rsid w:val="00491D62"/>
    <w:rsid w:val="00491D9C"/>
    <w:rsid w:val="00491DA3"/>
    <w:rsid w:val="00491EBE"/>
    <w:rsid w:val="00491F8D"/>
    <w:rsid w:val="00492082"/>
    <w:rsid w:val="004921C0"/>
    <w:rsid w:val="0049221E"/>
    <w:rsid w:val="00492222"/>
    <w:rsid w:val="0049227B"/>
    <w:rsid w:val="004923B4"/>
    <w:rsid w:val="00492468"/>
    <w:rsid w:val="004924AF"/>
    <w:rsid w:val="004924D1"/>
    <w:rsid w:val="00492566"/>
    <w:rsid w:val="004925AA"/>
    <w:rsid w:val="00492601"/>
    <w:rsid w:val="00492609"/>
    <w:rsid w:val="00492632"/>
    <w:rsid w:val="0049270A"/>
    <w:rsid w:val="00492780"/>
    <w:rsid w:val="0049280F"/>
    <w:rsid w:val="00492850"/>
    <w:rsid w:val="0049287F"/>
    <w:rsid w:val="0049293A"/>
    <w:rsid w:val="00492940"/>
    <w:rsid w:val="004929B3"/>
    <w:rsid w:val="00492A16"/>
    <w:rsid w:val="00492A5D"/>
    <w:rsid w:val="00492BC7"/>
    <w:rsid w:val="00492D81"/>
    <w:rsid w:val="00492E61"/>
    <w:rsid w:val="00492F73"/>
    <w:rsid w:val="0049307F"/>
    <w:rsid w:val="004930E5"/>
    <w:rsid w:val="0049313D"/>
    <w:rsid w:val="0049317D"/>
    <w:rsid w:val="0049317F"/>
    <w:rsid w:val="00493299"/>
    <w:rsid w:val="004932E2"/>
    <w:rsid w:val="00493341"/>
    <w:rsid w:val="0049339B"/>
    <w:rsid w:val="004933D1"/>
    <w:rsid w:val="00493535"/>
    <w:rsid w:val="00493539"/>
    <w:rsid w:val="0049355C"/>
    <w:rsid w:val="00493595"/>
    <w:rsid w:val="0049363F"/>
    <w:rsid w:val="00493803"/>
    <w:rsid w:val="0049383D"/>
    <w:rsid w:val="0049390C"/>
    <w:rsid w:val="00493931"/>
    <w:rsid w:val="00493966"/>
    <w:rsid w:val="00493984"/>
    <w:rsid w:val="00493AEE"/>
    <w:rsid w:val="00493B8F"/>
    <w:rsid w:val="00493B93"/>
    <w:rsid w:val="00493C07"/>
    <w:rsid w:val="00493DD4"/>
    <w:rsid w:val="00493DE1"/>
    <w:rsid w:val="00493DEB"/>
    <w:rsid w:val="00493E85"/>
    <w:rsid w:val="00493EA8"/>
    <w:rsid w:val="00493EE7"/>
    <w:rsid w:val="00493F47"/>
    <w:rsid w:val="00493F88"/>
    <w:rsid w:val="00493F8D"/>
    <w:rsid w:val="00494057"/>
    <w:rsid w:val="004940A0"/>
    <w:rsid w:val="004940B5"/>
    <w:rsid w:val="004940ED"/>
    <w:rsid w:val="004941B2"/>
    <w:rsid w:val="004941DC"/>
    <w:rsid w:val="0049420A"/>
    <w:rsid w:val="004942A0"/>
    <w:rsid w:val="004942A7"/>
    <w:rsid w:val="00494315"/>
    <w:rsid w:val="004943A4"/>
    <w:rsid w:val="00494445"/>
    <w:rsid w:val="00494573"/>
    <w:rsid w:val="00494612"/>
    <w:rsid w:val="00494678"/>
    <w:rsid w:val="004946FA"/>
    <w:rsid w:val="00494712"/>
    <w:rsid w:val="00494714"/>
    <w:rsid w:val="00494777"/>
    <w:rsid w:val="0049486D"/>
    <w:rsid w:val="004948F2"/>
    <w:rsid w:val="004949B0"/>
    <w:rsid w:val="004949DE"/>
    <w:rsid w:val="00494AD2"/>
    <w:rsid w:val="00494B1C"/>
    <w:rsid w:val="00494B5C"/>
    <w:rsid w:val="00494CE8"/>
    <w:rsid w:val="00494DA6"/>
    <w:rsid w:val="00494F8F"/>
    <w:rsid w:val="00494FB3"/>
    <w:rsid w:val="00494FF8"/>
    <w:rsid w:val="0049509B"/>
    <w:rsid w:val="004951B9"/>
    <w:rsid w:val="00495328"/>
    <w:rsid w:val="004953BE"/>
    <w:rsid w:val="00495422"/>
    <w:rsid w:val="004954D8"/>
    <w:rsid w:val="004955F4"/>
    <w:rsid w:val="00495699"/>
    <w:rsid w:val="004956EB"/>
    <w:rsid w:val="004957D7"/>
    <w:rsid w:val="004957E9"/>
    <w:rsid w:val="00495818"/>
    <w:rsid w:val="00495840"/>
    <w:rsid w:val="004958AE"/>
    <w:rsid w:val="00495907"/>
    <w:rsid w:val="0049594B"/>
    <w:rsid w:val="0049595E"/>
    <w:rsid w:val="00495AE7"/>
    <w:rsid w:val="00495B82"/>
    <w:rsid w:val="00495D71"/>
    <w:rsid w:val="00495DBF"/>
    <w:rsid w:val="00495EC2"/>
    <w:rsid w:val="0049601B"/>
    <w:rsid w:val="004960E9"/>
    <w:rsid w:val="0049613F"/>
    <w:rsid w:val="00496207"/>
    <w:rsid w:val="0049626B"/>
    <w:rsid w:val="00496276"/>
    <w:rsid w:val="004963B0"/>
    <w:rsid w:val="0049643D"/>
    <w:rsid w:val="0049643E"/>
    <w:rsid w:val="00496451"/>
    <w:rsid w:val="0049668D"/>
    <w:rsid w:val="004966B4"/>
    <w:rsid w:val="004966E3"/>
    <w:rsid w:val="00496814"/>
    <w:rsid w:val="004968CA"/>
    <w:rsid w:val="00496923"/>
    <w:rsid w:val="00496962"/>
    <w:rsid w:val="00496AB2"/>
    <w:rsid w:val="00496ACF"/>
    <w:rsid w:val="00496B10"/>
    <w:rsid w:val="00496B2F"/>
    <w:rsid w:val="00496C0B"/>
    <w:rsid w:val="00496C52"/>
    <w:rsid w:val="00496C55"/>
    <w:rsid w:val="00496CE5"/>
    <w:rsid w:val="00496CEA"/>
    <w:rsid w:val="00496DFD"/>
    <w:rsid w:val="00496E29"/>
    <w:rsid w:val="00497120"/>
    <w:rsid w:val="0049738B"/>
    <w:rsid w:val="0049741B"/>
    <w:rsid w:val="0049745D"/>
    <w:rsid w:val="004974FB"/>
    <w:rsid w:val="004975F2"/>
    <w:rsid w:val="00497682"/>
    <w:rsid w:val="004977A6"/>
    <w:rsid w:val="004977EC"/>
    <w:rsid w:val="004978A5"/>
    <w:rsid w:val="0049795C"/>
    <w:rsid w:val="004979F1"/>
    <w:rsid w:val="00497ACC"/>
    <w:rsid w:val="00497B74"/>
    <w:rsid w:val="00497BDA"/>
    <w:rsid w:val="00497CA6"/>
    <w:rsid w:val="00497CBD"/>
    <w:rsid w:val="00497D0E"/>
    <w:rsid w:val="00497E09"/>
    <w:rsid w:val="00497E27"/>
    <w:rsid w:val="00497E81"/>
    <w:rsid w:val="00497E9C"/>
    <w:rsid w:val="00497EA7"/>
    <w:rsid w:val="004A0098"/>
    <w:rsid w:val="004A0194"/>
    <w:rsid w:val="004A0234"/>
    <w:rsid w:val="004A02AB"/>
    <w:rsid w:val="004A02B4"/>
    <w:rsid w:val="004A045F"/>
    <w:rsid w:val="004A058E"/>
    <w:rsid w:val="004A06F4"/>
    <w:rsid w:val="004A0763"/>
    <w:rsid w:val="004A07B8"/>
    <w:rsid w:val="004A07BF"/>
    <w:rsid w:val="004A085C"/>
    <w:rsid w:val="004A096E"/>
    <w:rsid w:val="004A0AC0"/>
    <w:rsid w:val="004A0AFF"/>
    <w:rsid w:val="004A0B22"/>
    <w:rsid w:val="004A0B27"/>
    <w:rsid w:val="004A0B7B"/>
    <w:rsid w:val="004A0BB3"/>
    <w:rsid w:val="004A0D41"/>
    <w:rsid w:val="004A0D4B"/>
    <w:rsid w:val="004A0DF5"/>
    <w:rsid w:val="004A0DF6"/>
    <w:rsid w:val="004A1022"/>
    <w:rsid w:val="004A1096"/>
    <w:rsid w:val="004A1403"/>
    <w:rsid w:val="004A14BD"/>
    <w:rsid w:val="004A1553"/>
    <w:rsid w:val="004A15E4"/>
    <w:rsid w:val="004A15F2"/>
    <w:rsid w:val="004A163A"/>
    <w:rsid w:val="004A16F1"/>
    <w:rsid w:val="004A17AB"/>
    <w:rsid w:val="004A18BD"/>
    <w:rsid w:val="004A1A49"/>
    <w:rsid w:val="004A1A61"/>
    <w:rsid w:val="004A1A89"/>
    <w:rsid w:val="004A1AD2"/>
    <w:rsid w:val="004A1B09"/>
    <w:rsid w:val="004A1B83"/>
    <w:rsid w:val="004A1C2D"/>
    <w:rsid w:val="004A1C34"/>
    <w:rsid w:val="004A1D1F"/>
    <w:rsid w:val="004A1E64"/>
    <w:rsid w:val="004A1EAC"/>
    <w:rsid w:val="004A1EE7"/>
    <w:rsid w:val="004A1EF2"/>
    <w:rsid w:val="004A1FF4"/>
    <w:rsid w:val="004A201E"/>
    <w:rsid w:val="004A2071"/>
    <w:rsid w:val="004A20A3"/>
    <w:rsid w:val="004A222B"/>
    <w:rsid w:val="004A23B0"/>
    <w:rsid w:val="004A2498"/>
    <w:rsid w:val="004A249F"/>
    <w:rsid w:val="004A25B8"/>
    <w:rsid w:val="004A2687"/>
    <w:rsid w:val="004A2691"/>
    <w:rsid w:val="004A26EF"/>
    <w:rsid w:val="004A2758"/>
    <w:rsid w:val="004A283E"/>
    <w:rsid w:val="004A28B9"/>
    <w:rsid w:val="004A28CD"/>
    <w:rsid w:val="004A2911"/>
    <w:rsid w:val="004A2B83"/>
    <w:rsid w:val="004A2C68"/>
    <w:rsid w:val="004A2C75"/>
    <w:rsid w:val="004A2D23"/>
    <w:rsid w:val="004A2DE6"/>
    <w:rsid w:val="004A2F54"/>
    <w:rsid w:val="004A30C8"/>
    <w:rsid w:val="004A3138"/>
    <w:rsid w:val="004A31C4"/>
    <w:rsid w:val="004A31E4"/>
    <w:rsid w:val="004A33E0"/>
    <w:rsid w:val="004A3401"/>
    <w:rsid w:val="004A35D7"/>
    <w:rsid w:val="004A35EE"/>
    <w:rsid w:val="004A3788"/>
    <w:rsid w:val="004A37C8"/>
    <w:rsid w:val="004A393B"/>
    <w:rsid w:val="004A39B9"/>
    <w:rsid w:val="004A39D0"/>
    <w:rsid w:val="004A39E6"/>
    <w:rsid w:val="004A3A2B"/>
    <w:rsid w:val="004A3ABE"/>
    <w:rsid w:val="004A3B61"/>
    <w:rsid w:val="004A3BAC"/>
    <w:rsid w:val="004A3C43"/>
    <w:rsid w:val="004A3C7D"/>
    <w:rsid w:val="004A3CAD"/>
    <w:rsid w:val="004A3D71"/>
    <w:rsid w:val="004A3E67"/>
    <w:rsid w:val="004A3F05"/>
    <w:rsid w:val="004A3F2E"/>
    <w:rsid w:val="004A4025"/>
    <w:rsid w:val="004A40BA"/>
    <w:rsid w:val="004A4111"/>
    <w:rsid w:val="004A4187"/>
    <w:rsid w:val="004A4202"/>
    <w:rsid w:val="004A423F"/>
    <w:rsid w:val="004A4336"/>
    <w:rsid w:val="004A43CC"/>
    <w:rsid w:val="004A4407"/>
    <w:rsid w:val="004A4506"/>
    <w:rsid w:val="004A45A2"/>
    <w:rsid w:val="004A4668"/>
    <w:rsid w:val="004A469F"/>
    <w:rsid w:val="004A4A00"/>
    <w:rsid w:val="004A4B27"/>
    <w:rsid w:val="004A4BBE"/>
    <w:rsid w:val="004A4BD6"/>
    <w:rsid w:val="004A4C34"/>
    <w:rsid w:val="004A4C51"/>
    <w:rsid w:val="004A4CC6"/>
    <w:rsid w:val="004A4CCB"/>
    <w:rsid w:val="004A4DE2"/>
    <w:rsid w:val="004A4DEF"/>
    <w:rsid w:val="004A4E6C"/>
    <w:rsid w:val="004A4FBD"/>
    <w:rsid w:val="004A501C"/>
    <w:rsid w:val="004A50E7"/>
    <w:rsid w:val="004A511B"/>
    <w:rsid w:val="004A5127"/>
    <w:rsid w:val="004A52C5"/>
    <w:rsid w:val="004A558B"/>
    <w:rsid w:val="004A55B4"/>
    <w:rsid w:val="004A55FE"/>
    <w:rsid w:val="004A5600"/>
    <w:rsid w:val="004A567A"/>
    <w:rsid w:val="004A57C8"/>
    <w:rsid w:val="004A5965"/>
    <w:rsid w:val="004A5A7A"/>
    <w:rsid w:val="004A5A91"/>
    <w:rsid w:val="004A5AFC"/>
    <w:rsid w:val="004A5DBC"/>
    <w:rsid w:val="004A5F65"/>
    <w:rsid w:val="004A5F6D"/>
    <w:rsid w:val="004A5FAE"/>
    <w:rsid w:val="004A60FC"/>
    <w:rsid w:val="004A6104"/>
    <w:rsid w:val="004A6108"/>
    <w:rsid w:val="004A6110"/>
    <w:rsid w:val="004A6158"/>
    <w:rsid w:val="004A6166"/>
    <w:rsid w:val="004A626E"/>
    <w:rsid w:val="004A62F8"/>
    <w:rsid w:val="004A6390"/>
    <w:rsid w:val="004A648B"/>
    <w:rsid w:val="004A64E0"/>
    <w:rsid w:val="004A65B6"/>
    <w:rsid w:val="004A6782"/>
    <w:rsid w:val="004A67F4"/>
    <w:rsid w:val="004A67F9"/>
    <w:rsid w:val="004A683A"/>
    <w:rsid w:val="004A6898"/>
    <w:rsid w:val="004A69F7"/>
    <w:rsid w:val="004A6A0F"/>
    <w:rsid w:val="004A6BCB"/>
    <w:rsid w:val="004A6CF5"/>
    <w:rsid w:val="004A6EA4"/>
    <w:rsid w:val="004A7087"/>
    <w:rsid w:val="004A70DF"/>
    <w:rsid w:val="004A7145"/>
    <w:rsid w:val="004A715F"/>
    <w:rsid w:val="004A71F2"/>
    <w:rsid w:val="004A7209"/>
    <w:rsid w:val="004A7264"/>
    <w:rsid w:val="004A7375"/>
    <w:rsid w:val="004A7427"/>
    <w:rsid w:val="004A743D"/>
    <w:rsid w:val="004A7480"/>
    <w:rsid w:val="004A75E3"/>
    <w:rsid w:val="004A776E"/>
    <w:rsid w:val="004A77D3"/>
    <w:rsid w:val="004A7818"/>
    <w:rsid w:val="004A786A"/>
    <w:rsid w:val="004A7A4C"/>
    <w:rsid w:val="004A7AD0"/>
    <w:rsid w:val="004A7B05"/>
    <w:rsid w:val="004A7B4E"/>
    <w:rsid w:val="004A7B53"/>
    <w:rsid w:val="004A7BB6"/>
    <w:rsid w:val="004A7CE0"/>
    <w:rsid w:val="004A7D68"/>
    <w:rsid w:val="004A7E25"/>
    <w:rsid w:val="004A7FA3"/>
    <w:rsid w:val="004A7FBB"/>
    <w:rsid w:val="004B004E"/>
    <w:rsid w:val="004B0069"/>
    <w:rsid w:val="004B0089"/>
    <w:rsid w:val="004B016F"/>
    <w:rsid w:val="004B0174"/>
    <w:rsid w:val="004B017F"/>
    <w:rsid w:val="004B023F"/>
    <w:rsid w:val="004B0297"/>
    <w:rsid w:val="004B02FD"/>
    <w:rsid w:val="004B03CD"/>
    <w:rsid w:val="004B04CB"/>
    <w:rsid w:val="004B0589"/>
    <w:rsid w:val="004B061D"/>
    <w:rsid w:val="004B0630"/>
    <w:rsid w:val="004B0789"/>
    <w:rsid w:val="004B0810"/>
    <w:rsid w:val="004B08D1"/>
    <w:rsid w:val="004B08EE"/>
    <w:rsid w:val="004B090F"/>
    <w:rsid w:val="004B0A03"/>
    <w:rsid w:val="004B0AA0"/>
    <w:rsid w:val="004B0CCA"/>
    <w:rsid w:val="004B0CE8"/>
    <w:rsid w:val="004B0D10"/>
    <w:rsid w:val="004B0D54"/>
    <w:rsid w:val="004B0EB4"/>
    <w:rsid w:val="004B105C"/>
    <w:rsid w:val="004B10D5"/>
    <w:rsid w:val="004B1156"/>
    <w:rsid w:val="004B1236"/>
    <w:rsid w:val="004B1249"/>
    <w:rsid w:val="004B136D"/>
    <w:rsid w:val="004B1437"/>
    <w:rsid w:val="004B146B"/>
    <w:rsid w:val="004B1674"/>
    <w:rsid w:val="004B1675"/>
    <w:rsid w:val="004B178A"/>
    <w:rsid w:val="004B1890"/>
    <w:rsid w:val="004B18FF"/>
    <w:rsid w:val="004B195C"/>
    <w:rsid w:val="004B1A91"/>
    <w:rsid w:val="004B1AA1"/>
    <w:rsid w:val="004B1C19"/>
    <w:rsid w:val="004B1C35"/>
    <w:rsid w:val="004B1C72"/>
    <w:rsid w:val="004B1CB1"/>
    <w:rsid w:val="004B1D59"/>
    <w:rsid w:val="004B1DAE"/>
    <w:rsid w:val="004B1F54"/>
    <w:rsid w:val="004B2000"/>
    <w:rsid w:val="004B20AD"/>
    <w:rsid w:val="004B214B"/>
    <w:rsid w:val="004B225F"/>
    <w:rsid w:val="004B22DF"/>
    <w:rsid w:val="004B24DD"/>
    <w:rsid w:val="004B250E"/>
    <w:rsid w:val="004B26A3"/>
    <w:rsid w:val="004B26DC"/>
    <w:rsid w:val="004B28A6"/>
    <w:rsid w:val="004B28F0"/>
    <w:rsid w:val="004B28FD"/>
    <w:rsid w:val="004B29E7"/>
    <w:rsid w:val="004B2A6F"/>
    <w:rsid w:val="004B2A92"/>
    <w:rsid w:val="004B2BF0"/>
    <w:rsid w:val="004B2C08"/>
    <w:rsid w:val="004B2C35"/>
    <w:rsid w:val="004B2CDF"/>
    <w:rsid w:val="004B2D8B"/>
    <w:rsid w:val="004B2DAD"/>
    <w:rsid w:val="004B2DD8"/>
    <w:rsid w:val="004B2E1C"/>
    <w:rsid w:val="004B2F1B"/>
    <w:rsid w:val="004B2F67"/>
    <w:rsid w:val="004B30EF"/>
    <w:rsid w:val="004B314B"/>
    <w:rsid w:val="004B3227"/>
    <w:rsid w:val="004B32A5"/>
    <w:rsid w:val="004B3309"/>
    <w:rsid w:val="004B331F"/>
    <w:rsid w:val="004B3438"/>
    <w:rsid w:val="004B34FF"/>
    <w:rsid w:val="004B3533"/>
    <w:rsid w:val="004B354B"/>
    <w:rsid w:val="004B361D"/>
    <w:rsid w:val="004B36F1"/>
    <w:rsid w:val="004B37CA"/>
    <w:rsid w:val="004B37F1"/>
    <w:rsid w:val="004B3837"/>
    <w:rsid w:val="004B38E8"/>
    <w:rsid w:val="004B39AA"/>
    <w:rsid w:val="004B3A4E"/>
    <w:rsid w:val="004B3A50"/>
    <w:rsid w:val="004B3B60"/>
    <w:rsid w:val="004B3BBE"/>
    <w:rsid w:val="004B3C4A"/>
    <w:rsid w:val="004B3D08"/>
    <w:rsid w:val="004B3D3A"/>
    <w:rsid w:val="004B3F0C"/>
    <w:rsid w:val="004B3F8C"/>
    <w:rsid w:val="004B4026"/>
    <w:rsid w:val="004B411C"/>
    <w:rsid w:val="004B425E"/>
    <w:rsid w:val="004B436A"/>
    <w:rsid w:val="004B4382"/>
    <w:rsid w:val="004B43E2"/>
    <w:rsid w:val="004B43F7"/>
    <w:rsid w:val="004B44D7"/>
    <w:rsid w:val="004B45B4"/>
    <w:rsid w:val="004B45F4"/>
    <w:rsid w:val="004B4612"/>
    <w:rsid w:val="004B47A0"/>
    <w:rsid w:val="004B47B3"/>
    <w:rsid w:val="004B480F"/>
    <w:rsid w:val="004B482C"/>
    <w:rsid w:val="004B4855"/>
    <w:rsid w:val="004B48AD"/>
    <w:rsid w:val="004B4903"/>
    <w:rsid w:val="004B499D"/>
    <w:rsid w:val="004B4C5D"/>
    <w:rsid w:val="004B4D15"/>
    <w:rsid w:val="004B4DE3"/>
    <w:rsid w:val="004B4DF2"/>
    <w:rsid w:val="004B4E27"/>
    <w:rsid w:val="004B4E64"/>
    <w:rsid w:val="004B4F1F"/>
    <w:rsid w:val="004B5018"/>
    <w:rsid w:val="004B5048"/>
    <w:rsid w:val="004B508D"/>
    <w:rsid w:val="004B50EF"/>
    <w:rsid w:val="004B50F9"/>
    <w:rsid w:val="004B5196"/>
    <w:rsid w:val="004B51A8"/>
    <w:rsid w:val="004B5279"/>
    <w:rsid w:val="004B5527"/>
    <w:rsid w:val="004B5646"/>
    <w:rsid w:val="004B5664"/>
    <w:rsid w:val="004B5858"/>
    <w:rsid w:val="004B5945"/>
    <w:rsid w:val="004B5B71"/>
    <w:rsid w:val="004B5B7E"/>
    <w:rsid w:val="004B5C93"/>
    <w:rsid w:val="004B5CEA"/>
    <w:rsid w:val="004B5D72"/>
    <w:rsid w:val="004B5DC1"/>
    <w:rsid w:val="004B5DFF"/>
    <w:rsid w:val="004B5F9F"/>
    <w:rsid w:val="004B6041"/>
    <w:rsid w:val="004B605D"/>
    <w:rsid w:val="004B630F"/>
    <w:rsid w:val="004B6347"/>
    <w:rsid w:val="004B6378"/>
    <w:rsid w:val="004B6596"/>
    <w:rsid w:val="004B6607"/>
    <w:rsid w:val="004B673E"/>
    <w:rsid w:val="004B67F9"/>
    <w:rsid w:val="004B68B4"/>
    <w:rsid w:val="004B68BA"/>
    <w:rsid w:val="004B6943"/>
    <w:rsid w:val="004B69D6"/>
    <w:rsid w:val="004B6A46"/>
    <w:rsid w:val="004B6B81"/>
    <w:rsid w:val="004B6D08"/>
    <w:rsid w:val="004B6D69"/>
    <w:rsid w:val="004B6E70"/>
    <w:rsid w:val="004B6E82"/>
    <w:rsid w:val="004B7189"/>
    <w:rsid w:val="004B71D3"/>
    <w:rsid w:val="004B71E1"/>
    <w:rsid w:val="004B720C"/>
    <w:rsid w:val="004B7332"/>
    <w:rsid w:val="004B73FD"/>
    <w:rsid w:val="004B76DD"/>
    <w:rsid w:val="004B76F3"/>
    <w:rsid w:val="004B7785"/>
    <w:rsid w:val="004B77A2"/>
    <w:rsid w:val="004B78ED"/>
    <w:rsid w:val="004B79D7"/>
    <w:rsid w:val="004B79D9"/>
    <w:rsid w:val="004B7A7F"/>
    <w:rsid w:val="004B7A9B"/>
    <w:rsid w:val="004B7C55"/>
    <w:rsid w:val="004B7C87"/>
    <w:rsid w:val="004B7D10"/>
    <w:rsid w:val="004B7D83"/>
    <w:rsid w:val="004C014A"/>
    <w:rsid w:val="004C01D1"/>
    <w:rsid w:val="004C0216"/>
    <w:rsid w:val="004C030C"/>
    <w:rsid w:val="004C039C"/>
    <w:rsid w:val="004C03A7"/>
    <w:rsid w:val="004C048D"/>
    <w:rsid w:val="004C06C3"/>
    <w:rsid w:val="004C06CB"/>
    <w:rsid w:val="004C0729"/>
    <w:rsid w:val="004C08E5"/>
    <w:rsid w:val="004C099A"/>
    <w:rsid w:val="004C0A3E"/>
    <w:rsid w:val="004C0B0D"/>
    <w:rsid w:val="004C0B5B"/>
    <w:rsid w:val="004C0C88"/>
    <w:rsid w:val="004C0CEB"/>
    <w:rsid w:val="004C0D5D"/>
    <w:rsid w:val="004C0D7F"/>
    <w:rsid w:val="004C0F57"/>
    <w:rsid w:val="004C1008"/>
    <w:rsid w:val="004C1130"/>
    <w:rsid w:val="004C1140"/>
    <w:rsid w:val="004C114C"/>
    <w:rsid w:val="004C1281"/>
    <w:rsid w:val="004C12A5"/>
    <w:rsid w:val="004C137B"/>
    <w:rsid w:val="004C13AC"/>
    <w:rsid w:val="004C13DB"/>
    <w:rsid w:val="004C152A"/>
    <w:rsid w:val="004C161B"/>
    <w:rsid w:val="004C1651"/>
    <w:rsid w:val="004C17A1"/>
    <w:rsid w:val="004C1844"/>
    <w:rsid w:val="004C190D"/>
    <w:rsid w:val="004C19C1"/>
    <w:rsid w:val="004C1A67"/>
    <w:rsid w:val="004C1A73"/>
    <w:rsid w:val="004C1A87"/>
    <w:rsid w:val="004C1B1D"/>
    <w:rsid w:val="004C1C1F"/>
    <w:rsid w:val="004C1C9F"/>
    <w:rsid w:val="004C1D53"/>
    <w:rsid w:val="004C1ECD"/>
    <w:rsid w:val="004C1F7C"/>
    <w:rsid w:val="004C1F8D"/>
    <w:rsid w:val="004C2086"/>
    <w:rsid w:val="004C21C5"/>
    <w:rsid w:val="004C221A"/>
    <w:rsid w:val="004C2267"/>
    <w:rsid w:val="004C2556"/>
    <w:rsid w:val="004C255B"/>
    <w:rsid w:val="004C25B3"/>
    <w:rsid w:val="004C264D"/>
    <w:rsid w:val="004C27ED"/>
    <w:rsid w:val="004C28B0"/>
    <w:rsid w:val="004C28E5"/>
    <w:rsid w:val="004C2958"/>
    <w:rsid w:val="004C2978"/>
    <w:rsid w:val="004C29BA"/>
    <w:rsid w:val="004C2A96"/>
    <w:rsid w:val="004C2BB0"/>
    <w:rsid w:val="004C2C63"/>
    <w:rsid w:val="004C2D26"/>
    <w:rsid w:val="004C30F6"/>
    <w:rsid w:val="004C342A"/>
    <w:rsid w:val="004C35BF"/>
    <w:rsid w:val="004C3693"/>
    <w:rsid w:val="004C37DC"/>
    <w:rsid w:val="004C37E8"/>
    <w:rsid w:val="004C3850"/>
    <w:rsid w:val="004C388E"/>
    <w:rsid w:val="004C39A8"/>
    <w:rsid w:val="004C39E5"/>
    <w:rsid w:val="004C3A20"/>
    <w:rsid w:val="004C3A71"/>
    <w:rsid w:val="004C3BB2"/>
    <w:rsid w:val="004C3CDF"/>
    <w:rsid w:val="004C3D20"/>
    <w:rsid w:val="004C3D29"/>
    <w:rsid w:val="004C3D7C"/>
    <w:rsid w:val="004C3E9A"/>
    <w:rsid w:val="004C3F0C"/>
    <w:rsid w:val="004C3FA0"/>
    <w:rsid w:val="004C4056"/>
    <w:rsid w:val="004C40BE"/>
    <w:rsid w:val="004C40E1"/>
    <w:rsid w:val="004C4118"/>
    <w:rsid w:val="004C4208"/>
    <w:rsid w:val="004C4223"/>
    <w:rsid w:val="004C4274"/>
    <w:rsid w:val="004C43D5"/>
    <w:rsid w:val="004C44E4"/>
    <w:rsid w:val="004C459A"/>
    <w:rsid w:val="004C4625"/>
    <w:rsid w:val="004C4631"/>
    <w:rsid w:val="004C4636"/>
    <w:rsid w:val="004C4639"/>
    <w:rsid w:val="004C4683"/>
    <w:rsid w:val="004C481B"/>
    <w:rsid w:val="004C4901"/>
    <w:rsid w:val="004C491F"/>
    <w:rsid w:val="004C4930"/>
    <w:rsid w:val="004C494E"/>
    <w:rsid w:val="004C4A35"/>
    <w:rsid w:val="004C4B91"/>
    <w:rsid w:val="004C4B94"/>
    <w:rsid w:val="004C4CA9"/>
    <w:rsid w:val="004C4D33"/>
    <w:rsid w:val="004C4DFA"/>
    <w:rsid w:val="004C4E8C"/>
    <w:rsid w:val="004C5008"/>
    <w:rsid w:val="004C50AC"/>
    <w:rsid w:val="004C5127"/>
    <w:rsid w:val="004C5145"/>
    <w:rsid w:val="004C521E"/>
    <w:rsid w:val="004C56A2"/>
    <w:rsid w:val="004C56CF"/>
    <w:rsid w:val="004C57CE"/>
    <w:rsid w:val="004C5876"/>
    <w:rsid w:val="004C58A0"/>
    <w:rsid w:val="004C58C0"/>
    <w:rsid w:val="004C5A95"/>
    <w:rsid w:val="004C5C15"/>
    <w:rsid w:val="004C5C36"/>
    <w:rsid w:val="004C5D51"/>
    <w:rsid w:val="004C5DB5"/>
    <w:rsid w:val="004C5E61"/>
    <w:rsid w:val="004C5E68"/>
    <w:rsid w:val="004C5EF4"/>
    <w:rsid w:val="004C5F3D"/>
    <w:rsid w:val="004C6143"/>
    <w:rsid w:val="004C625C"/>
    <w:rsid w:val="004C62B8"/>
    <w:rsid w:val="004C6301"/>
    <w:rsid w:val="004C6434"/>
    <w:rsid w:val="004C644E"/>
    <w:rsid w:val="004C6473"/>
    <w:rsid w:val="004C6575"/>
    <w:rsid w:val="004C65C7"/>
    <w:rsid w:val="004C6826"/>
    <w:rsid w:val="004C682B"/>
    <w:rsid w:val="004C686A"/>
    <w:rsid w:val="004C688F"/>
    <w:rsid w:val="004C6A32"/>
    <w:rsid w:val="004C6A96"/>
    <w:rsid w:val="004C6A9E"/>
    <w:rsid w:val="004C6ACE"/>
    <w:rsid w:val="004C6B9B"/>
    <w:rsid w:val="004C6C49"/>
    <w:rsid w:val="004C6CE8"/>
    <w:rsid w:val="004C6CEF"/>
    <w:rsid w:val="004C6D79"/>
    <w:rsid w:val="004C6DE9"/>
    <w:rsid w:val="004C6E48"/>
    <w:rsid w:val="004C70FA"/>
    <w:rsid w:val="004C7123"/>
    <w:rsid w:val="004C71A6"/>
    <w:rsid w:val="004C726F"/>
    <w:rsid w:val="004C74F4"/>
    <w:rsid w:val="004C74FC"/>
    <w:rsid w:val="004C75CD"/>
    <w:rsid w:val="004C766E"/>
    <w:rsid w:val="004C7742"/>
    <w:rsid w:val="004C776B"/>
    <w:rsid w:val="004C77F6"/>
    <w:rsid w:val="004C7827"/>
    <w:rsid w:val="004C783F"/>
    <w:rsid w:val="004C7895"/>
    <w:rsid w:val="004C7898"/>
    <w:rsid w:val="004C7971"/>
    <w:rsid w:val="004C79AA"/>
    <w:rsid w:val="004C7A6E"/>
    <w:rsid w:val="004C7AC2"/>
    <w:rsid w:val="004C7ACF"/>
    <w:rsid w:val="004C7B49"/>
    <w:rsid w:val="004C7BB1"/>
    <w:rsid w:val="004C7C06"/>
    <w:rsid w:val="004C7E99"/>
    <w:rsid w:val="004C7F4A"/>
    <w:rsid w:val="004D000A"/>
    <w:rsid w:val="004D0020"/>
    <w:rsid w:val="004D00C7"/>
    <w:rsid w:val="004D03C3"/>
    <w:rsid w:val="004D03D7"/>
    <w:rsid w:val="004D0448"/>
    <w:rsid w:val="004D0519"/>
    <w:rsid w:val="004D054B"/>
    <w:rsid w:val="004D062B"/>
    <w:rsid w:val="004D0716"/>
    <w:rsid w:val="004D0743"/>
    <w:rsid w:val="004D07A3"/>
    <w:rsid w:val="004D0823"/>
    <w:rsid w:val="004D0850"/>
    <w:rsid w:val="004D086B"/>
    <w:rsid w:val="004D08E6"/>
    <w:rsid w:val="004D0914"/>
    <w:rsid w:val="004D0A32"/>
    <w:rsid w:val="004D0ABF"/>
    <w:rsid w:val="004D0B82"/>
    <w:rsid w:val="004D0C3C"/>
    <w:rsid w:val="004D0C6D"/>
    <w:rsid w:val="004D0C85"/>
    <w:rsid w:val="004D0EFF"/>
    <w:rsid w:val="004D0FCC"/>
    <w:rsid w:val="004D1075"/>
    <w:rsid w:val="004D1090"/>
    <w:rsid w:val="004D1178"/>
    <w:rsid w:val="004D1189"/>
    <w:rsid w:val="004D11D4"/>
    <w:rsid w:val="004D12C4"/>
    <w:rsid w:val="004D13AB"/>
    <w:rsid w:val="004D1474"/>
    <w:rsid w:val="004D1559"/>
    <w:rsid w:val="004D15AC"/>
    <w:rsid w:val="004D15B7"/>
    <w:rsid w:val="004D177E"/>
    <w:rsid w:val="004D1914"/>
    <w:rsid w:val="004D19F7"/>
    <w:rsid w:val="004D1AD1"/>
    <w:rsid w:val="004D1B52"/>
    <w:rsid w:val="004D1B82"/>
    <w:rsid w:val="004D1CF5"/>
    <w:rsid w:val="004D1E10"/>
    <w:rsid w:val="004D1E99"/>
    <w:rsid w:val="004D1ECB"/>
    <w:rsid w:val="004D1FAC"/>
    <w:rsid w:val="004D1FF8"/>
    <w:rsid w:val="004D200B"/>
    <w:rsid w:val="004D220C"/>
    <w:rsid w:val="004D22BA"/>
    <w:rsid w:val="004D22E9"/>
    <w:rsid w:val="004D2303"/>
    <w:rsid w:val="004D2347"/>
    <w:rsid w:val="004D23DB"/>
    <w:rsid w:val="004D2409"/>
    <w:rsid w:val="004D2504"/>
    <w:rsid w:val="004D254C"/>
    <w:rsid w:val="004D26FC"/>
    <w:rsid w:val="004D29EE"/>
    <w:rsid w:val="004D29FB"/>
    <w:rsid w:val="004D2D27"/>
    <w:rsid w:val="004D2DC4"/>
    <w:rsid w:val="004D2DD8"/>
    <w:rsid w:val="004D2DF4"/>
    <w:rsid w:val="004D2E4C"/>
    <w:rsid w:val="004D2EC9"/>
    <w:rsid w:val="004D2F3D"/>
    <w:rsid w:val="004D2F72"/>
    <w:rsid w:val="004D3003"/>
    <w:rsid w:val="004D304E"/>
    <w:rsid w:val="004D305C"/>
    <w:rsid w:val="004D305E"/>
    <w:rsid w:val="004D30F5"/>
    <w:rsid w:val="004D3193"/>
    <w:rsid w:val="004D32B6"/>
    <w:rsid w:val="004D32BF"/>
    <w:rsid w:val="004D331F"/>
    <w:rsid w:val="004D336E"/>
    <w:rsid w:val="004D353C"/>
    <w:rsid w:val="004D3545"/>
    <w:rsid w:val="004D3639"/>
    <w:rsid w:val="004D3664"/>
    <w:rsid w:val="004D36BB"/>
    <w:rsid w:val="004D36F3"/>
    <w:rsid w:val="004D37B3"/>
    <w:rsid w:val="004D3856"/>
    <w:rsid w:val="004D3914"/>
    <w:rsid w:val="004D3935"/>
    <w:rsid w:val="004D395B"/>
    <w:rsid w:val="004D3995"/>
    <w:rsid w:val="004D3A86"/>
    <w:rsid w:val="004D3B83"/>
    <w:rsid w:val="004D3D47"/>
    <w:rsid w:val="004D3D96"/>
    <w:rsid w:val="004D3EBA"/>
    <w:rsid w:val="004D3EDA"/>
    <w:rsid w:val="004D3FAB"/>
    <w:rsid w:val="004D4015"/>
    <w:rsid w:val="004D40FB"/>
    <w:rsid w:val="004D411E"/>
    <w:rsid w:val="004D41F1"/>
    <w:rsid w:val="004D4398"/>
    <w:rsid w:val="004D43C1"/>
    <w:rsid w:val="004D4520"/>
    <w:rsid w:val="004D4560"/>
    <w:rsid w:val="004D46F7"/>
    <w:rsid w:val="004D4714"/>
    <w:rsid w:val="004D472E"/>
    <w:rsid w:val="004D4748"/>
    <w:rsid w:val="004D4759"/>
    <w:rsid w:val="004D47CF"/>
    <w:rsid w:val="004D4941"/>
    <w:rsid w:val="004D4BE9"/>
    <w:rsid w:val="004D4D27"/>
    <w:rsid w:val="004D4D71"/>
    <w:rsid w:val="004D4DC0"/>
    <w:rsid w:val="004D4E51"/>
    <w:rsid w:val="004D4E7F"/>
    <w:rsid w:val="004D4EB2"/>
    <w:rsid w:val="004D5071"/>
    <w:rsid w:val="004D51A4"/>
    <w:rsid w:val="004D5236"/>
    <w:rsid w:val="004D525B"/>
    <w:rsid w:val="004D525C"/>
    <w:rsid w:val="004D5358"/>
    <w:rsid w:val="004D53DD"/>
    <w:rsid w:val="004D54B7"/>
    <w:rsid w:val="004D55C0"/>
    <w:rsid w:val="004D5650"/>
    <w:rsid w:val="004D5653"/>
    <w:rsid w:val="004D5797"/>
    <w:rsid w:val="004D57AD"/>
    <w:rsid w:val="004D57F1"/>
    <w:rsid w:val="004D580B"/>
    <w:rsid w:val="004D58F6"/>
    <w:rsid w:val="004D5995"/>
    <w:rsid w:val="004D5AA8"/>
    <w:rsid w:val="004D5AC8"/>
    <w:rsid w:val="004D5B1A"/>
    <w:rsid w:val="004D5B87"/>
    <w:rsid w:val="004D5D49"/>
    <w:rsid w:val="004D5DFA"/>
    <w:rsid w:val="004D5E3A"/>
    <w:rsid w:val="004D5E3F"/>
    <w:rsid w:val="004D5E63"/>
    <w:rsid w:val="004D5ED7"/>
    <w:rsid w:val="004D5F5F"/>
    <w:rsid w:val="004D5F62"/>
    <w:rsid w:val="004D6097"/>
    <w:rsid w:val="004D613B"/>
    <w:rsid w:val="004D617C"/>
    <w:rsid w:val="004D618B"/>
    <w:rsid w:val="004D61A0"/>
    <w:rsid w:val="004D6210"/>
    <w:rsid w:val="004D6226"/>
    <w:rsid w:val="004D640C"/>
    <w:rsid w:val="004D64E9"/>
    <w:rsid w:val="004D65E1"/>
    <w:rsid w:val="004D6640"/>
    <w:rsid w:val="004D6673"/>
    <w:rsid w:val="004D6827"/>
    <w:rsid w:val="004D6849"/>
    <w:rsid w:val="004D693F"/>
    <w:rsid w:val="004D698C"/>
    <w:rsid w:val="004D69CA"/>
    <w:rsid w:val="004D69FB"/>
    <w:rsid w:val="004D6A38"/>
    <w:rsid w:val="004D6D56"/>
    <w:rsid w:val="004D70D3"/>
    <w:rsid w:val="004D7114"/>
    <w:rsid w:val="004D7140"/>
    <w:rsid w:val="004D716D"/>
    <w:rsid w:val="004D71AB"/>
    <w:rsid w:val="004D71BD"/>
    <w:rsid w:val="004D73F9"/>
    <w:rsid w:val="004D7635"/>
    <w:rsid w:val="004D76F6"/>
    <w:rsid w:val="004D796A"/>
    <w:rsid w:val="004D796C"/>
    <w:rsid w:val="004D798F"/>
    <w:rsid w:val="004D79A9"/>
    <w:rsid w:val="004D79AB"/>
    <w:rsid w:val="004D7A59"/>
    <w:rsid w:val="004D7AB2"/>
    <w:rsid w:val="004D7B05"/>
    <w:rsid w:val="004D7B12"/>
    <w:rsid w:val="004D7B3B"/>
    <w:rsid w:val="004D7BD4"/>
    <w:rsid w:val="004D7BDB"/>
    <w:rsid w:val="004D7CFD"/>
    <w:rsid w:val="004D7D20"/>
    <w:rsid w:val="004D7E83"/>
    <w:rsid w:val="004E0220"/>
    <w:rsid w:val="004E03A4"/>
    <w:rsid w:val="004E046E"/>
    <w:rsid w:val="004E04E4"/>
    <w:rsid w:val="004E0531"/>
    <w:rsid w:val="004E0552"/>
    <w:rsid w:val="004E05BA"/>
    <w:rsid w:val="004E05EE"/>
    <w:rsid w:val="004E0633"/>
    <w:rsid w:val="004E0663"/>
    <w:rsid w:val="004E06E1"/>
    <w:rsid w:val="004E073A"/>
    <w:rsid w:val="004E0788"/>
    <w:rsid w:val="004E07B5"/>
    <w:rsid w:val="004E0917"/>
    <w:rsid w:val="004E0A03"/>
    <w:rsid w:val="004E0B15"/>
    <w:rsid w:val="004E0B5D"/>
    <w:rsid w:val="004E0BB5"/>
    <w:rsid w:val="004E0C76"/>
    <w:rsid w:val="004E0D30"/>
    <w:rsid w:val="004E0DA0"/>
    <w:rsid w:val="004E0DB2"/>
    <w:rsid w:val="004E0DD6"/>
    <w:rsid w:val="004E0DDA"/>
    <w:rsid w:val="004E0E6B"/>
    <w:rsid w:val="004E0F0D"/>
    <w:rsid w:val="004E0FAC"/>
    <w:rsid w:val="004E0FCD"/>
    <w:rsid w:val="004E0FF4"/>
    <w:rsid w:val="004E1054"/>
    <w:rsid w:val="004E105D"/>
    <w:rsid w:val="004E111A"/>
    <w:rsid w:val="004E1126"/>
    <w:rsid w:val="004E112B"/>
    <w:rsid w:val="004E117E"/>
    <w:rsid w:val="004E122B"/>
    <w:rsid w:val="004E122F"/>
    <w:rsid w:val="004E1332"/>
    <w:rsid w:val="004E15BC"/>
    <w:rsid w:val="004E1693"/>
    <w:rsid w:val="004E17F2"/>
    <w:rsid w:val="004E1838"/>
    <w:rsid w:val="004E1893"/>
    <w:rsid w:val="004E1932"/>
    <w:rsid w:val="004E1A2A"/>
    <w:rsid w:val="004E1BE7"/>
    <w:rsid w:val="004E1C66"/>
    <w:rsid w:val="004E1CA1"/>
    <w:rsid w:val="004E1CCE"/>
    <w:rsid w:val="004E1CE0"/>
    <w:rsid w:val="004E1CFB"/>
    <w:rsid w:val="004E1D37"/>
    <w:rsid w:val="004E1D41"/>
    <w:rsid w:val="004E1E5A"/>
    <w:rsid w:val="004E1E9E"/>
    <w:rsid w:val="004E1EEB"/>
    <w:rsid w:val="004E2113"/>
    <w:rsid w:val="004E214D"/>
    <w:rsid w:val="004E245A"/>
    <w:rsid w:val="004E24E1"/>
    <w:rsid w:val="004E2557"/>
    <w:rsid w:val="004E267B"/>
    <w:rsid w:val="004E2971"/>
    <w:rsid w:val="004E2A45"/>
    <w:rsid w:val="004E2B79"/>
    <w:rsid w:val="004E2BC9"/>
    <w:rsid w:val="004E2C46"/>
    <w:rsid w:val="004E2D67"/>
    <w:rsid w:val="004E2E1F"/>
    <w:rsid w:val="004E2E2F"/>
    <w:rsid w:val="004E2E94"/>
    <w:rsid w:val="004E2F06"/>
    <w:rsid w:val="004E3127"/>
    <w:rsid w:val="004E315A"/>
    <w:rsid w:val="004E3170"/>
    <w:rsid w:val="004E3173"/>
    <w:rsid w:val="004E3271"/>
    <w:rsid w:val="004E327E"/>
    <w:rsid w:val="004E3383"/>
    <w:rsid w:val="004E33E9"/>
    <w:rsid w:val="004E3444"/>
    <w:rsid w:val="004E3699"/>
    <w:rsid w:val="004E36B8"/>
    <w:rsid w:val="004E36E3"/>
    <w:rsid w:val="004E3713"/>
    <w:rsid w:val="004E3745"/>
    <w:rsid w:val="004E3783"/>
    <w:rsid w:val="004E3809"/>
    <w:rsid w:val="004E38EF"/>
    <w:rsid w:val="004E3987"/>
    <w:rsid w:val="004E3AC1"/>
    <w:rsid w:val="004E3AF7"/>
    <w:rsid w:val="004E3C60"/>
    <w:rsid w:val="004E3DA7"/>
    <w:rsid w:val="004E40C9"/>
    <w:rsid w:val="004E40D6"/>
    <w:rsid w:val="004E40F1"/>
    <w:rsid w:val="004E4105"/>
    <w:rsid w:val="004E411B"/>
    <w:rsid w:val="004E41BC"/>
    <w:rsid w:val="004E4230"/>
    <w:rsid w:val="004E42C1"/>
    <w:rsid w:val="004E43A9"/>
    <w:rsid w:val="004E4653"/>
    <w:rsid w:val="004E46A7"/>
    <w:rsid w:val="004E46F2"/>
    <w:rsid w:val="004E4738"/>
    <w:rsid w:val="004E4782"/>
    <w:rsid w:val="004E48CF"/>
    <w:rsid w:val="004E4951"/>
    <w:rsid w:val="004E4A49"/>
    <w:rsid w:val="004E4B49"/>
    <w:rsid w:val="004E4C0E"/>
    <w:rsid w:val="004E4C5F"/>
    <w:rsid w:val="004E4C77"/>
    <w:rsid w:val="004E4C7D"/>
    <w:rsid w:val="004E4CE2"/>
    <w:rsid w:val="004E4D78"/>
    <w:rsid w:val="004E4EAE"/>
    <w:rsid w:val="004E4F2C"/>
    <w:rsid w:val="004E4FBC"/>
    <w:rsid w:val="004E5002"/>
    <w:rsid w:val="004E5093"/>
    <w:rsid w:val="004E510A"/>
    <w:rsid w:val="004E5232"/>
    <w:rsid w:val="004E523C"/>
    <w:rsid w:val="004E526F"/>
    <w:rsid w:val="004E52F6"/>
    <w:rsid w:val="004E5326"/>
    <w:rsid w:val="004E5370"/>
    <w:rsid w:val="004E53CB"/>
    <w:rsid w:val="004E540F"/>
    <w:rsid w:val="004E5410"/>
    <w:rsid w:val="004E548A"/>
    <w:rsid w:val="004E553A"/>
    <w:rsid w:val="004E555B"/>
    <w:rsid w:val="004E55C1"/>
    <w:rsid w:val="004E5639"/>
    <w:rsid w:val="004E5679"/>
    <w:rsid w:val="004E5822"/>
    <w:rsid w:val="004E5823"/>
    <w:rsid w:val="004E5920"/>
    <w:rsid w:val="004E5A1D"/>
    <w:rsid w:val="004E5CC5"/>
    <w:rsid w:val="004E5D75"/>
    <w:rsid w:val="004E5DB1"/>
    <w:rsid w:val="004E5DDD"/>
    <w:rsid w:val="004E5E46"/>
    <w:rsid w:val="004E5E97"/>
    <w:rsid w:val="004E5EFC"/>
    <w:rsid w:val="004E5F20"/>
    <w:rsid w:val="004E5F55"/>
    <w:rsid w:val="004E6027"/>
    <w:rsid w:val="004E60CB"/>
    <w:rsid w:val="004E617C"/>
    <w:rsid w:val="004E61EF"/>
    <w:rsid w:val="004E61FA"/>
    <w:rsid w:val="004E62FA"/>
    <w:rsid w:val="004E644B"/>
    <w:rsid w:val="004E644E"/>
    <w:rsid w:val="004E64BD"/>
    <w:rsid w:val="004E6546"/>
    <w:rsid w:val="004E65E7"/>
    <w:rsid w:val="004E65F6"/>
    <w:rsid w:val="004E67A4"/>
    <w:rsid w:val="004E67E4"/>
    <w:rsid w:val="004E67F1"/>
    <w:rsid w:val="004E68C8"/>
    <w:rsid w:val="004E6A0F"/>
    <w:rsid w:val="004E6A1D"/>
    <w:rsid w:val="004E6AAC"/>
    <w:rsid w:val="004E6B25"/>
    <w:rsid w:val="004E6CD7"/>
    <w:rsid w:val="004E6F66"/>
    <w:rsid w:val="004E6FB7"/>
    <w:rsid w:val="004E6FFB"/>
    <w:rsid w:val="004E6FFC"/>
    <w:rsid w:val="004E703B"/>
    <w:rsid w:val="004E7101"/>
    <w:rsid w:val="004E71BC"/>
    <w:rsid w:val="004E7283"/>
    <w:rsid w:val="004E7380"/>
    <w:rsid w:val="004E74B9"/>
    <w:rsid w:val="004E74C2"/>
    <w:rsid w:val="004E755A"/>
    <w:rsid w:val="004E75AA"/>
    <w:rsid w:val="004E7690"/>
    <w:rsid w:val="004E76EC"/>
    <w:rsid w:val="004E7946"/>
    <w:rsid w:val="004E79C1"/>
    <w:rsid w:val="004E7B65"/>
    <w:rsid w:val="004E7BD4"/>
    <w:rsid w:val="004E7C1A"/>
    <w:rsid w:val="004E7E03"/>
    <w:rsid w:val="004E7ECB"/>
    <w:rsid w:val="004F0095"/>
    <w:rsid w:val="004F00C4"/>
    <w:rsid w:val="004F0328"/>
    <w:rsid w:val="004F0357"/>
    <w:rsid w:val="004F0666"/>
    <w:rsid w:val="004F0684"/>
    <w:rsid w:val="004F075C"/>
    <w:rsid w:val="004F087C"/>
    <w:rsid w:val="004F09B2"/>
    <w:rsid w:val="004F0ACE"/>
    <w:rsid w:val="004F0B35"/>
    <w:rsid w:val="004F0B56"/>
    <w:rsid w:val="004F0B60"/>
    <w:rsid w:val="004F0C72"/>
    <w:rsid w:val="004F0DB2"/>
    <w:rsid w:val="004F0F46"/>
    <w:rsid w:val="004F1047"/>
    <w:rsid w:val="004F10E6"/>
    <w:rsid w:val="004F12CD"/>
    <w:rsid w:val="004F1316"/>
    <w:rsid w:val="004F1345"/>
    <w:rsid w:val="004F1367"/>
    <w:rsid w:val="004F13C6"/>
    <w:rsid w:val="004F144C"/>
    <w:rsid w:val="004F1563"/>
    <w:rsid w:val="004F159A"/>
    <w:rsid w:val="004F1625"/>
    <w:rsid w:val="004F163A"/>
    <w:rsid w:val="004F17C5"/>
    <w:rsid w:val="004F199C"/>
    <w:rsid w:val="004F1A3A"/>
    <w:rsid w:val="004F1A3D"/>
    <w:rsid w:val="004F1A61"/>
    <w:rsid w:val="004F1AAE"/>
    <w:rsid w:val="004F1B5E"/>
    <w:rsid w:val="004F1DE2"/>
    <w:rsid w:val="004F1DEC"/>
    <w:rsid w:val="004F1F32"/>
    <w:rsid w:val="004F1F4A"/>
    <w:rsid w:val="004F1F8D"/>
    <w:rsid w:val="004F20C4"/>
    <w:rsid w:val="004F20E1"/>
    <w:rsid w:val="004F2196"/>
    <w:rsid w:val="004F21EC"/>
    <w:rsid w:val="004F227E"/>
    <w:rsid w:val="004F2309"/>
    <w:rsid w:val="004F252A"/>
    <w:rsid w:val="004F267A"/>
    <w:rsid w:val="004F2712"/>
    <w:rsid w:val="004F27CD"/>
    <w:rsid w:val="004F27FF"/>
    <w:rsid w:val="004F28CD"/>
    <w:rsid w:val="004F2914"/>
    <w:rsid w:val="004F2A30"/>
    <w:rsid w:val="004F2A37"/>
    <w:rsid w:val="004F2B14"/>
    <w:rsid w:val="004F2D66"/>
    <w:rsid w:val="004F2DA0"/>
    <w:rsid w:val="004F2DFF"/>
    <w:rsid w:val="004F2F97"/>
    <w:rsid w:val="004F2F9B"/>
    <w:rsid w:val="004F2FE2"/>
    <w:rsid w:val="004F2FF5"/>
    <w:rsid w:val="004F3034"/>
    <w:rsid w:val="004F3079"/>
    <w:rsid w:val="004F3080"/>
    <w:rsid w:val="004F30AF"/>
    <w:rsid w:val="004F312B"/>
    <w:rsid w:val="004F31C4"/>
    <w:rsid w:val="004F320D"/>
    <w:rsid w:val="004F324F"/>
    <w:rsid w:val="004F329A"/>
    <w:rsid w:val="004F329C"/>
    <w:rsid w:val="004F3389"/>
    <w:rsid w:val="004F33EC"/>
    <w:rsid w:val="004F33F5"/>
    <w:rsid w:val="004F3572"/>
    <w:rsid w:val="004F358C"/>
    <w:rsid w:val="004F35DB"/>
    <w:rsid w:val="004F36A0"/>
    <w:rsid w:val="004F373B"/>
    <w:rsid w:val="004F3800"/>
    <w:rsid w:val="004F38ED"/>
    <w:rsid w:val="004F3945"/>
    <w:rsid w:val="004F3967"/>
    <w:rsid w:val="004F39C0"/>
    <w:rsid w:val="004F3B19"/>
    <w:rsid w:val="004F3B8D"/>
    <w:rsid w:val="004F3C6D"/>
    <w:rsid w:val="004F3CCD"/>
    <w:rsid w:val="004F3D26"/>
    <w:rsid w:val="004F3DBE"/>
    <w:rsid w:val="004F3E07"/>
    <w:rsid w:val="004F3E1F"/>
    <w:rsid w:val="004F3EBE"/>
    <w:rsid w:val="004F3F37"/>
    <w:rsid w:val="004F3FC2"/>
    <w:rsid w:val="004F416B"/>
    <w:rsid w:val="004F41A0"/>
    <w:rsid w:val="004F4315"/>
    <w:rsid w:val="004F4441"/>
    <w:rsid w:val="004F4477"/>
    <w:rsid w:val="004F449C"/>
    <w:rsid w:val="004F4632"/>
    <w:rsid w:val="004F4698"/>
    <w:rsid w:val="004F472B"/>
    <w:rsid w:val="004F478A"/>
    <w:rsid w:val="004F47B8"/>
    <w:rsid w:val="004F48FC"/>
    <w:rsid w:val="004F493F"/>
    <w:rsid w:val="004F4BA0"/>
    <w:rsid w:val="004F4C5D"/>
    <w:rsid w:val="004F4CAB"/>
    <w:rsid w:val="004F4E77"/>
    <w:rsid w:val="004F4E89"/>
    <w:rsid w:val="004F4F75"/>
    <w:rsid w:val="004F4FA3"/>
    <w:rsid w:val="004F4FC9"/>
    <w:rsid w:val="004F503E"/>
    <w:rsid w:val="004F5072"/>
    <w:rsid w:val="004F50A5"/>
    <w:rsid w:val="004F510F"/>
    <w:rsid w:val="004F5180"/>
    <w:rsid w:val="004F51A5"/>
    <w:rsid w:val="004F5235"/>
    <w:rsid w:val="004F5243"/>
    <w:rsid w:val="004F52E7"/>
    <w:rsid w:val="004F5333"/>
    <w:rsid w:val="004F5350"/>
    <w:rsid w:val="004F547F"/>
    <w:rsid w:val="004F553C"/>
    <w:rsid w:val="004F5569"/>
    <w:rsid w:val="004F56A9"/>
    <w:rsid w:val="004F56D5"/>
    <w:rsid w:val="004F574B"/>
    <w:rsid w:val="004F5829"/>
    <w:rsid w:val="004F583F"/>
    <w:rsid w:val="004F5A67"/>
    <w:rsid w:val="004F5AFC"/>
    <w:rsid w:val="004F5C47"/>
    <w:rsid w:val="004F5E1B"/>
    <w:rsid w:val="004F5EB1"/>
    <w:rsid w:val="004F5F60"/>
    <w:rsid w:val="004F6023"/>
    <w:rsid w:val="004F6218"/>
    <w:rsid w:val="004F6222"/>
    <w:rsid w:val="004F6327"/>
    <w:rsid w:val="004F632C"/>
    <w:rsid w:val="004F647B"/>
    <w:rsid w:val="004F6488"/>
    <w:rsid w:val="004F64F9"/>
    <w:rsid w:val="004F658A"/>
    <w:rsid w:val="004F65A7"/>
    <w:rsid w:val="004F65F6"/>
    <w:rsid w:val="004F6616"/>
    <w:rsid w:val="004F6617"/>
    <w:rsid w:val="004F6718"/>
    <w:rsid w:val="004F67DF"/>
    <w:rsid w:val="004F6803"/>
    <w:rsid w:val="004F6826"/>
    <w:rsid w:val="004F688E"/>
    <w:rsid w:val="004F6899"/>
    <w:rsid w:val="004F6913"/>
    <w:rsid w:val="004F69A0"/>
    <w:rsid w:val="004F69F0"/>
    <w:rsid w:val="004F6A33"/>
    <w:rsid w:val="004F6A7F"/>
    <w:rsid w:val="004F6D33"/>
    <w:rsid w:val="004F6D62"/>
    <w:rsid w:val="004F6E74"/>
    <w:rsid w:val="004F6EC2"/>
    <w:rsid w:val="004F6F8A"/>
    <w:rsid w:val="004F70F2"/>
    <w:rsid w:val="004F719D"/>
    <w:rsid w:val="004F7206"/>
    <w:rsid w:val="004F7312"/>
    <w:rsid w:val="004F7431"/>
    <w:rsid w:val="004F75BF"/>
    <w:rsid w:val="004F768D"/>
    <w:rsid w:val="004F769E"/>
    <w:rsid w:val="004F772E"/>
    <w:rsid w:val="004F77EE"/>
    <w:rsid w:val="004F783C"/>
    <w:rsid w:val="004F788D"/>
    <w:rsid w:val="004F78F1"/>
    <w:rsid w:val="004F79B9"/>
    <w:rsid w:val="004F79BC"/>
    <w:rsid w:val="004F79C6"/>
    <w:rsid w:val="004F7A2B"/>
    <w:rsid w:val="004F7A3B"/>
    <w:rsid w:val="004F7A42"/>
    <w:rsid w:val="004F7B50"/>
    <w:rsid w:val="004F7BCD"/>
    <w:rsid w:val="004F7F5D"/>
    <w:rsid w:val="00500063"/>
    <w:rsid w:val="005000EE"/>
    <w:rsid w:val="0050012F"/>
    <w:rsid w:val="0050013E"/>
    <w:rsid w:val="005001D7"/>
    <w:rsid w:val="005002B6"/>
    <w:rsid w:val="0050042D"/>
    <w:rsid w:val="00500517"/>
    <w:rsid w:val="00500749"/>
    <w:rsid w:val="00500B5D"/>
    <w:rsid w:val="00500B9D"/>
    <w:rsid w:val="00500BC3"/>
    <w:rsid w:val="00500DB9"/>
    <w:rsid w:val="00500EC2"/>
    <w:rsid w:val="00500EDD"/>
    <w:rsid w:val="00500FDB"/>
    <w:rsid w:val="0050101A"/>
    <w:rsid w:val="00501113"/>
    <w:rsid w:val="005011D1"/>
    <w:rsid w:val="0050125D"/>
    <w:rsid w:val="0050132B"/>
    <w:rsid w:val="00501350"/>
    <w:rsid w:val="005013AA"/>
    <w:rsid w:val="005013C1"/>
    <w:rsid w:val="005013E8"/>
    <w:rsid w:val="0050143B"/>
    <w:rsid w:val="00501581"/>
    <w:rsid w:val="005015E5"/>
    <w:rsid w:val="0050160A"/>
    <w:rsid w:val="005016BD"/>
    <w:rsid w:val="00501707"/>
    <w:rsid w:val="0050176F"/>
    <w:rsid w:val="00501781"/>
    <w:rsid w:val="00501791"/>
    <w:rsid w:val="005017B3"/>
    <w:rsid w:val="005017F3"/>
    <w:rsid w:val="0050182B"/>
    <w:rsid w:val="00501860"/>
    <w:rsid w:val="005018DD"/>
    <w:rsid w:val="00501942"/>
    <w:rsid w:val="005019F2"/>
    <w:rsid w:val="00501A2B"/>
    <w:rsid w:val="00501B4B"/>
    <w:rsid w:val="00501B76"/>
    <w:rsid w:val="00501C63"/>
    <w:rsid w:val="00501D57"/>
    <w:rsid w:val="00501FD3"/>
    <w:rsid w:val="00502040"/>
    <w:rsid w:val="0050221B"/>
    <w:rsid w:val="00502264"/>
    <w:rsid w:val="0050237F"/>
    <w:rsid w:val="005023A9"/>
    <w:rsid w:val="00502443"/>
    <w:rsid w:val="005024A2"/>
    <w:rsid w:val="005024F0"/>
    <w:rsid w:val="00502508"/>
    <w:rsid w:val="00502528"/>
    <w:rsid w:val="0050256E"/>
    <w:rsid w:val="00502577"/>
    <w:rsid w:val="0050265B"/>
    <w:rsid w:val="00502795"/>
    <w:rsid w:val="005028C8"/>
    <w:rsid w:val="00502A7E"/>
    <w:rsid w:val="00502AFE"/>
    <w:rsid w:val="00502BCF"/>
    <w:rsid w:val="00502CA5"/>
    <w:rsid w:val="00502EC7"/>
    <w:rsid w:val="005030AA"/>
    <w:rsid w:val="00503118"/>
    <w:rsid w:val="00503144"/>
    <w:rsid w:val="00503159"/>
    <w:rsid w:val="0050334C"/>
    <w:rsid w:val="0050335A"/>
    <w:rsid w:val="0050335C"/>
    <w:rsid w:val="0050335F"/>
    <w:rsid w:val="0050339C"/>
    <w:rsid w:val="005033F5"/>
    <w:rsid w:val="0050348D"/>
    <w:rsid w:val="0050350B"/>
    <w:rsid w:val="00503522"/>
    <w:rsid w:val="00503572"/>
    <w:rsid w:val="0050366D"/>
    <w:rsid w:val="005036A9"/>
    <w:rsid w:val="0050378C"/>
    <w:rsid w:val="005037D4"/>
    <w:rsid w:val="0050383C"/>
    <w:rsid w:val="00503857"/>
    <w:rsid w:val="005038F9"/>
    <w:rsid w:val="005039F8"/>
    <w:rsid w:val="00503A90"/>
    <w:rsid w:val="00503B2E"/>
    <w:rsid w:val="00503B82"/>
    <w:rsid w:val="00503D70"/>
    <w:rsid w:val="00503DC5"/>
    <w:rsid w:val="00503E5E"/>
    <w:rsid w:val="00504023"/>
    <w:rsid w:val="00504144"/>
    <w:rsid w:val="00504178"/>
    <w:rsid w:val="0050434B"/>
    <w:rsid w:val="0050440E"/>
    <w:rsid w:val="00504479"/>
    <w:rsid w:val="00504577"/>
    <w:rsid w:val="005045C7"/>
    <w:rsid w:val="0050463D"/>
    <w:rsid w:val="0050466D"/>
    <w:rsid w:val="00504690"/>
    <w:rsid w:val="00504707"/>
    <w:rsid w:val="00504751"/>
    <w:rsid w:val="005047A3"/>
    <w:rsid w:val="00504803"/>
    <w:rsid w:val="00504849"/>
    <w:rsid w:val="005048C4"/>
    <w:rsid w:val="0050497E"/>
    <w:rsid w:val="00504BF0"/>
    <w:rsid w:val="00504C32"/>
    <w:rsid w:val="00504CF8"/>
    <w:rsid w:val="00504E8E"/>
    <w:rsid w:val="00504EC8"/>
    <w:rsid w:val="00504EE5"/>
    <w:rsid w:val="00504F44"/>
    <w:rsid w:val="00504FEB"/>
    <w:rsid w:val="0050503F"/>
    <w:rsid w:val="005050ED"/>
    <w:rsid w:val="0050518D"/>
    <w:rsid w:val="005051E6"/>
    <w:rsid w:val="00505216"/>
    <w:rsid w:val="00505285"/>
    <w:rsid w:val="00505291"/>
    <w:rsid w:val="00505345"/>
    <w:rsid w:val="00505442"/>
    <w:rsid w:val="0050551F"/>
    <w:rsid w:val="00505632"/>
    <w:rsid w:val="0050567F"/>
    <w:rsid w:val="005056EA"/>
    <w:rsid w:val="005056ED"/>
    <w:rsid w:val="00505702"/>
    <w:rsid w:val="00505739"/>
    <w:rsid w:val="00505795"/>
    <w:rsid w:val="00505929"/>
    <w:rsid w:val="005059F0"/>
    <w:rsid w:val="00505B7D"/>
    <w:rsid w:val="00505C0A"/>
    <w:rsid w:val="00505C98"/>
    <w:rsid w:val="00505CC9"/>
    <w:rsid w:val="00505E91"/>
    <w:rsid w:val="00506075"/>
    <w:rsid w:val="0050613E"/>
    <w:rsid w:val="0050618D"/>
    <w:rsid w:val="00506226"/>
    <w:rsid w:val="00506274"/>
    <w:rsid w:val="005062B8"/>
    <w:rsid w:val="00506353"/>
    <w:rsid w:val="00506375"/>
    <w:rsid w:val="0050644F"/>
    <w:rsid w:val="005065CE"/>
    <w:rsid w:val="00506652"/>
    <w:rsid w:val="005066AD"/>
    <w:rsid w:val="005066EB"/>
    <w:rsid w:val="00506765"/>
    <w:rsid w:val="005067B4"/>
    <w:rsid w:val="00506890"/>
    <w:rsid w:val="00506912"/>
    <w:rsid w:val="005069EF"/>
    <w:rsid w:val="00506A79"/>
    <w:rsid w:val="00506B7E"/>
    <w:rsid w:val="00506B92"/>
    <w:rsid w:val="00506C8F"/>
    <w:rsid w:val="00506CA0"/>
    <w:rsid w:val="00506CB8"/>
    <w:rsid w:val="00506D5F"/>
    <w:rsid w:val="00506D7C"/>
    <w:rsid w:val="00506DD6"/>
    <w:rsid w:val="00506EAE"/>
    <w:rsid w:val="00506EE3"/>
    <w:rsid w:val="00506FA2"/>
    <w:rsid w:val="00507368"/>
    <w:rsid w:val="005075A5"/>
    <w:rsid w:val="0050761C"/>
    <w:rsid w:val="0050764D"/>
    <w:rsid w:val="005077EE"/>
    <w:rsid w:val="00507890"/>
    <w:rsid w:val="005078D7"/>
    <w:rsid w:val="00507AC1"/>
    <w:rsid w:val="00507AF0"/>
    <w:rsid w:val="00507B38"/>
    <w:rsid w:val="00507C57"/>
    <w:rsid w:val="00507CA3"/>
    <w:rsid w:val="00507CBB"/>
    <w:rsid w:val="00507D19"/>
    <w:rsid w:val="00507F16"/>
    <w:rsid w:val="00507F94"/>
    <w:rsid w:val="0051006D"/>
    <w:rsid w:val="00510081"/>
    <w:rsid w:val="005100DF"/>
    <w:rsid w:val="005101BB"/>
    <w:rsid w:val="005101C0"/>
    <w:rsid w:val="00510265"/>
    <w:rsid w:val="00510279"/>
    <w:rsid w:val="005102E4"/>
    <w:rsid w:val="00510380"/>
    <w:rsid w:val="00510564"/>
    <w:rsid w:val="005105C1"/>
    <w:rsid w:val="00510655"/>
    <w:rsid w:val="0051066F"/>
    <w:rsid w:val="005106B2"/>
    <w:rsid w:val="005106BE"/>
    <w:rsid w:val="0051085B"/>
    <w:rsid w:val="00510A5E"/>
    <w:rsid w:val="00510AE6"/>
    <w:rsid w:val="00510B10"/>
    <w:rsid w:val="00510B56"/>
    <w:rsid w:val="00510BDF"/>
    <w:rsid w:val="00510C1D"/>
    <w:rsid w:val="00510D68"/>
    <w:rsid w:val="00510F24"/>
    <w:rsid w:val="00510F4C"/>
    <w:rsid w:val="00510FAC"/>
    <w:rsid w:val="00510FE5"/>
    <w:rsid w:val="0051102B"/>
    <w:rsid w:val="0051103F"/>
    <w:rsid w:val="00511084"/>
    <w:rsid w:val="0051108C"/>
    <w:rsid w:val="005110A0"/>
    <w:rsid w:val="00511169"/>
    <w:rsid w:val="00511190"/>
    <w:rsid w:val="00511287"/>
    <w:rsid w:val="00511334"/>
    <w:rsid w:val="005113DF"/>
    <w:rsid w:val="005113F6"/>
    <w:rsid w:val="00511468"/>
    <w:rsid w:val="005114B3"/>
    <w:rsid w:val="00511521"/>
    <w:rsid w:val="00511563"/>
    <w:rsid w:val="005115E8"/>
    <w:rsid w:val="00511632"/>
    <w:rsid w:val="005116C5"/>
    <w:rsid w:val="005116E2"/>
    <w:rsid w:val="005117B9"/>
    <w:rsid w:val="00511846"/>
    <w:rsid w:val="005118DF"/>
    <w:rsid w:val="00511943"/>
    <w:rsid w:val="00511A59"/>
    <w:rsid w:val="00511A64"/>
    <w:rsid w:val="00511B52"/>
    <w:rsid w:val="00511C30"/>
    <w:rsid w:val="00511EAF"/>
    <w:rsid w:val="00511EF5"/>
    <w:rsid w:val="005123C1"/>
    <w:rsid w:val="005123E9"/>
    <w:rsid w:val="0051247A"/>
    <w:rsid w:val="005124F0"/>
    <w:rsid w:val="0051251C"/>
    <w:rsid w:val="00512553"/>
    <w:rsid w:val="005125E0"/>
    <w:rsid w:val="0051267D"/>
    <w:rsid w:val="005127D8"/>
    <w:rsid w:val="00512808"/>
    <w:rsid w:val="005129CD"/>
    <w:rsid w:val="00512A49"/>
    <w:rsid w:val="00512A92"/>
    <w:rsid w:val="00512AAA"/>
    <w:rsid w:val="00512B63"/>
    <w:rsid w:val="00512C26"/>
    <w:rsid w:val="00512C56"/>
    <w:rsid w:val="005130EF"/>
    <w:rsid w:val="00513287"/>
    <w:rsid w:val="005132E1"/>
    <w:rsid w:val="00513339"/>
    <w:rsid w:val="005133CE"/>
    <w:rsid w:val="0051350B"/>
    <w:rsid w:val="00513540"/>
    <w:rsid w:val="005139F9"/>
    <w:rsid w:val="00513BE2"/>
    <w:rsid w:val="00513C00"/>
    <w:rsid w:val="00513C0A"/>
    <w:rsid w:val="00513D33"/>
    <w:rsid w:val="00513E27"/>
    <w:rsid w:val="00513FE9"/>
    <w:rsid w:val="00513FF4"/>
    <w:rsid w:val="00514012"/>
    <w:rsid w:val="0051419E"/>
    <w:rsid w:val="005141A3"/>
    <w:rsid w:val="0051428D"/>
    <w:rsid w:val="00514383"/>
    <w:rsid w:val="005143D1"/>
    <w:rsid w:val="005144F6"/>
    <w:rsid w:val="00514510"/>
    <w:rsid w:val="00514578"/>
    <w:rsid w:val="00514648"/>
    <w:rsid w:val="0051464E"/>
    <w:rsid w:val="00514686"/>
    <w:rsid w:val="00514721"/>
    <w:rsid w:val="00514733"/>
    <w:rsid w:val="0051480E"/>
    <w:rsid w:val="00514838"/>
    <w:rsid w:val="0051499A"/>
    <w:rsid w:val="00514A40"/>
    <w:rsid w:val="00514A68"/>
    <w:rsid w:val="00514AEC"/>
    <w:rsid w:val="00514BDD"/>
    <w:rsid w:val="00514D2B"/>
    <w:rsid w:val="00514DAA"/>
    <w:rsid w:val="00514E14"/>
    <w:rsid w:val="00514E3C"/>
    <w:rsid w:val="00514E67"/>
    <w:rsid w:val="00514E6B"/>
    <w:rsid w:val="00514E8D"/>
    <w:rsid w:val="00514EB1"/>
    <w:rsid w:val="00514F2D"/>
    <w:rsid w:val="0051504A"/>
    <w:rsid w:val="00515103"/>
    <w:rsid w:val="00515115"/>
    <w:rsid w:val="00515153"/>
    <w:rsid w:val="00515189"/>
    <w:rsid w:val="0051542D"/>
    <w:rsid w:val="005154DE"/>
    <w:rsid w:val="0051551C"/>
    <w:rsid w:val="005155B9"/>
    <w:rsid w:val="00515689"/>
    <w:rsid w:val="005157C2"/>
    <w:rsid w:val="0051589B"/>
    <w:rsid w:val="005158E3"/>
    <w:rsid w:val="0051592E"/>
    <w:rsid w:val="00515970"/>
    <w:rsid w:val="00515A6B"/>
    <w:rsid w:val="00515A92"/>
    <w:rsid w:val="00515AAF"/>
    <w:rsid w:val="00515ABE"/>
    <w:rsid w:val="00515B62"/>
    <w:rsid w:val="00515BC8"/>
    <w:rsid w:val="00515D5D"/>
    <w:rsid w:val="00515D65"/>
    <w:rsid w:val="00515DD3"/>
    <w:rsid w:val="00515E67"/>
    <w:rsid w:val="00515EC4"/>
    <w:rsid w:val="00515EF8"/>
    <w:rsid w:val="00515F3A"/>
    <w:rsid w:val="00516047"/>
    <w:rsid w:val="0051611F"/>
    <w:rsid w:val="0051612F"/>
    <w:rsid w:val="00516133"/>
    <w:rsid w:val="00516165"/>
    <w:rsid w:val="005161A9"/>
    <w:rsid w:val="00516289"/>
    <w:rsid w:val="005162B9"/>
    <w:rsid w:val="005162DA"/>
    <w:rsid w:val="005163A0"/>
    <w:rsid w:val="005164C7"/>
    <w:rsid w:val="005164F8"/>
    <w:rsid w:val="00516530"/>
    <w:rsid w:val="0051659E"/>
    <w:rsid w:val="005165E0"/>
    <w:rsid w:val="00516741"/>
    <w:rsid w:val="005167CA"/>
    <w:rsid w:val="005168AF"/>
    <w:rsid w:val="005168DB"/>
    <w:rsid w:val="0051690B"/>
    <w:rsid w:val="00516A67"/>
    <w:rsid w:val="00516A82"/>
    <w:rsid w:val="00516B57"/>
    <w:rsid w:val="00516BE8"/>
    <w:rsid w:val="00516C39"/>
    <w:rsid w:val="00516D33"/>
    <w:rsid w:val="00516DBF"/>
    <w:rsid w:val="00516DF5"/>
    <w:rsid w:val="00516E6F"/>
    <w:rsid w:val="00516EC0"/>
    <w:rsid w:val="00516F4A"/>
    <w:rsid w:val="00516F97"/>
    <w:rsid w:val="00517020"/>
    <w:rsid w:val="0051705C"/>
    <w:rsid w:val="0051717A"/>
    <w:rsid w:val="00517203"/>
    <w:rsid w:val="0051727E"/>
    <w:rsid w:val="0051731A"/>
    <w:rsid w:val="005173C4"/>
    <w:rsid w:val="005173D7"/>
    <w:rsid w:val="005174A0"/>
    <w:rsid w:val="0051752D"/>
    <w:rsid w:val="005176B7"/>
    <w:rsid w:val="005177E4"/>
    <w:rsid w:val="005177EA"/>
    <w:rsid w:val="005178D9"/>
    <w:rsid w:val="0051793A"/>
    <w:rsid w:val="00517A6A"/>
    <w:rsid w:val="00517A9F"/>
    <w:rsid w:val="00517E1A"/>
    <w:rsid w:val="00517EBC"/>
    <w:rsid w:val="00517F0F"/>
    <w:rsid w:val="0052009A"/>
    <w:rsid w:val="005200AA"/>
    <w:rsid w:val="005200EF"/>
    <w:rsid w:val="00520113"/>
    <w:rsid w:val="00520184"/>
    <w:rsid w:val="00520201"/>
    <w:rsid w:val="00520257"/>
    <w:rsid w:val="0052043A"/>
    <w:rsid w:val="00520461"/>
    <w:rsid w:val="00520497"/>
    <w:rsid w:val="00520542"/>
    <w:rsid w:val="005208B0"/>
    <w:rsid w:val="005208F9"/>
    <w:rsid w:val="005209E6"/>
    <w:rsid w:val="00520A4C"/>
    <w:rsid w:val="00520AC0"/>
    <w:rsid w:val="00520B8D"/>
    <w:rsid w:val="00520BCE"/>
    <w:rsid w:val="00520C04"/>
    <w:rsid w:val="00520D39"/>
    <w:rsid w:val="00520D8A"/>
    <w:rsid w:val="00520F0A"/>
    <w:rsid w:val="00520F66"/>
    <w:rsid w:val="0052105A"/>
    <w:rsid w:val="0052106B"/>
    <w:rsid w:val="005211BD"/>
    <w:rsid w:val="00521315"/>
    <w:rsid w:val="0052136A"/>
    <w:rsid w:val="0052154E"/>
    <w:rsid w:val="00521722"/>
    <w:rsid w:val="0052179D"/>
    <w:rsid w:val="0052180A"/>
    <w:rsid w:val="005218AA"/>
    <w:rsid w:val="005218D3"/>
    <w:rsid w:val="0052192F"/>
    <w:rsid w:val="0052199E"/>
    <w:rsid w:val="00521AE1"/>
    <w:rsid w:val="00521B7B"/>
    <w:rsid w:val="00521F4F"/>
    <w:rsid w:val="005220A4"/>
    <w:rsid w:val="0052213A"/>
    <w:rsid w:val="00522212"/>
    <w:rsid w:val="00522260"/>
    <w:rsid w:val="00522294"/>
    <w:rsid w:val="005223B1"/>
    <w:rsid w:val="005224FC"/>
    <w:rsid w:val="0052254A"/>
    <w:rsid w:val="00522558"/>
    <w:rsid w:val="005226FB"/>
    <w:rsid w:val="0052270D"/>
    <w:rsid w:val="00522737"/>
    <w:rsid w:val="00522741"/>
    <w:rsid w:val="00522756"/>
    <w:rsid w:val="005227BB"/>
    <w:rsid w:val="005227EF"/>
    <w:rsid w:val="00522846"/>
    <w:rsid w:val="00522857"/>
    <w:rsid w:val="00522896"/>
    <w:rsid w:val="005228C3"/>
    <w:rsid w:val="0052295E"/>
    <w:rsid w:val="00522985"/>
    <w:rsid w:val="00522B97"/>
    <w:rsid w:val="00522BCA"/>
    <w:rsid w:val="00522BEB"/>
    <w:rsid w:val="00522D46"/>
    <w:rsid w:val="00522DE6"/>
    <w:rsid w:val="00522F3C"/>
    <w:rsid w:val="00522FD7"/>
    <w:rsid w:val="00522FF6"/>
    <w:rsid w:val="00523199"/>
    <w:rsid w:val="00523215"/>
    <w:rsid w:val="0052324C"/>
    <w:rsid w:val="0052326E"/>
    <w:rsid w:val="00523479"/>
    <w:rsid w:val="00523482"/>
    <w:rsid w:val="005235FE"/>
    <w:rsid w:val="00523669"/>
    <w:rsid w:val="0052376B"/>
    <w:rsid w:val="005237F2"/>
    <w:rsid w:val="0052386C"/>
    <w:rsid w:val="005239F9"/>
    <w:rsid w:val="00523A18"/>
    <w:rsid w:val="00523A28"/>
    <w:rsid w:val="00523BD9"/>
    <w:rsid w:val="00523D3A"/>
    <w:rsid w:val="00523DA2"/>
    <w:rsid w:val="00523E4A"/>
    <w:rsid w:val="00523E53"/>
    <w:rsid w:val="00523ED3"/>
    <w:rsid w:val="00523F81"/>
    <w:rsid w:val="00523F84"/>
    <w:rsid w:val="00524000"/>
    <w:rsid w:val="0052404B"/>
    <w:rsid w:val="0052409A"/>
    <w:rsid w:val="0052416E"/>
    <w:rsid w:val="00524296"/>
    <w:rsid w:val="005242A9"/>
    <w:rsid w:val="0052438A"/>
    <w:rsid w:val="005244A7"/>
    <w:rsid w:val="0052454B"/>
    <w:rsid w:val="00524571"/>
    <w:rsid w:val="00524637"/>
    <w:rsid w:val="005247D1"/>
    <w:rsid w:val="005248ED"/>
    <w:rsid w:val="005249A9"/>
    <w:rsid w:val="00524AD7"/>
    <w:rsid w:val="00524D4F"/>
    <w:rsid w:val="00524F84"/>
    <w:rsid w:val="0052514E"/>
    <w:rsid w:val="0052514F"/>
    <w:rsid w:val="00525166"/>
    <w:rsid w:val="00525256"/>
    <w:rsid w:val="00525322"/>
    <w:rsid w:val="005253D1"/>
    <w:rsid w:val="005253D4"/>
    <w:rsid w:val="0052540B"/>
    <w:rsid w:val="005255B4"/>
    <w:rsid w:val="005255E1"/>
    <w:rsid w:val="00525717"/>
    <w:rsid w:val="005257EF"/>
    <w:rsid w:val="00525868"/>
    <w:rsid w:val="005258DC"/>
    <w:rsid w:val="0052597F"/>
    <w:rsid w:val="00525B9C"/>
    <w:rsid w:val="00525BFC"/>
    <w:rsid w:val="00525E9B"/>
    <w:rsid w:val="00525EFA"/>
    <w:rsid w:val="00525F9E"/>
    <w:rsid w:val="00525FCC"/>
    <w:rsid w:val="00525FD4"/>
    <w:rsid w:val="00526106"/>
    <w:rsid w:val="00526290"/>
    <w:rsid w:val="0052631B"/>
    <w:rsid w:val="00526339"/>
    <w:rsid w:val="00526356"/>
    <w:rsid w:val="0052640D"/>
    <w:rsid w:val="005264BF"/>
    <w:rsid w:val="00526609"/>
    <w:rsid w:val="00526831"/>
    <w:rsid w:val="005268D0"/>
    <w:rsid w:val="00526A0F"/>
    <w:rsid w:val="00526AFA"/>
    <w:rsid w:val="00526B39"/>
    <w:rsid w:val="00526B5A"/>
    <w:rsid w:val="00526C54"/>
    <w:rsid w:val="00526C85"/>
    <w:rsid w:val="00526CD1"/>
    <w:rsid w:val="00526D0A"/>
    <w:rsid w:val="00526D27"/>
    <w:rsid w:val="00526D7B"/>
    <w:rsid w:val="00526DA4"/>
    <w:rsid w:val="00526E06"/>
    <w:rsid w:val="00526E1A"/>
    <w:rsid w:val="00526E1E"/>
    <w:rsid w:val="00526E8C"/>
    <w:rsid w:val="00526EB2"/>
    <w:rsid w:val="00526EC6"/>
    <w:rsid w:val="00526ED1"/>
    <w:rsid w:val="00527021"/>
    <w:rsid w:val="00527061"/>
    <w:rsid w:val="0052706C"/>
    <w:rsid w:val="005273A5"/>
    <w:rsid w:val="00527464"/>
    <w:rsid w:val="0052748C"/>
    <w:rsid w:val="005274F9"/>
    <w:rsid w:val="005276A0"/>
    <w:rsid w:val="005276DB"/>
    <w:rsid w:val="005276F2"/>
    <w:rsid w:val="00527725"/>
    <w:rsid w:val="005277FF"/>
    <w:rsid w:val="0052784E"/>
    <w:rsid w:val="0052793A"/>
    <w:rsid w:val="00527B89"/>
    <w:rsid w:val="00527C1B"/>
    <w:rsid w:val="00527C70"/>
    <w:rsid w:val="00527D6B"/>
    <w:rsid w:val="00527D9C"/>
    <w:rsid w:val="00527E04"/>
    <w:rsid w:val="00527F52"/>
    <w:rsid w:val="00527FF0"/>
    <w:rsid w:val="00530013"/>
    <w:rsid w:val="005300A3"/>
    <w:rsid w:val="005301BB"/>
    <w:rsid w:val="00530287"/>
    <w:rsid w:val="00530343"/>
    <w:rsid w:val="00530346"/>
    <w:rsid w:val="005303C1"/>
    <w:rsid w:val="005303F5"/>
    <w:rsid w:val="005304BA"/>
    <w:rsid w:val="0053058E"/>
    <w:rsid w:val="005305A3"/>
    <w:rsid w:val="00530663"/>
    <w:rsid w:val="005306A1"/>
    <w:rsid w:val="005309EF"/>
    <w:rsid w:val="00530A12"/>
    <w:rsid w:val="00530A15"/>
    <w:rsid w:val="00530A32"/>
    <w:rsid w:val="00530AB1"/>
    <w:rsid w:val="00530AC4"/>
    <w:rsid w:val="00530BE2"/>
    <w:rsid w:val="00530D6E"/>
    <w:rsid w:val="00530DDF"/>
    <w:rsid w:val="00530FF8"/>
    <w:rsid w:val="005310F4"/>
    <w:rsid w:val="005311C4"/>
    <w:rsid w:val="005311E3"/>
    <w:rsid w:val="00531205"/>
    <w:rsid w:val="0053121B"/>
    <w:rsid w:val="0053127E"/>
    <w:rsid w:val="0053129A"/>
    <w:rsid w:val="00531388"/>
    <w:rsid w:val="0053142B"/>
    <w:rsid w:val="005314CC"/>
    <w:rsid w:val="005314FD"/>
    <w:rsid w:val="00531513"/>
    <w:rsid w:val="005315CD"/>
    <w:rsid w:val="005315DE"/>
    <w:rsid w:val="005316DE"/>
    <w:rsid w:val="00531759"/>
    <w:rsid w:val="005317EC"/>
    <w:rsid w:val="005317F9"/>
    <w:rsid w:val="0053188E"/>
    <w:rsid w:val="005319FD"/>
    <w:rsid w:val="00531A99"/>
    <w:rsid w:val="00531AEA"/>
    <w:rsid w:val="00531C60"/>
    <w:rsid w:val="00531D01"/>
    <w:rsid w:val="00531D08"/>
    <w:rsid w:val="00531DF6"/>
    <w:rsid w:val="00531F15"/>
    <w:rsid w:val="00531F95"/>
    <w:rsid w:val="0053201F"/>
    <w:rsid w:val="005320F0"/>
    <w:rsid w:val="005321B2"/>
    <w:rsid w:val="005321C8"/>
    <w:rsid w:val="00532210"/>
    <w:rsid w:val="00532283"/>
    <w:rsid w:val="005322DF"/>
    <w:rsid w:val="0053235E"/>
    <w:rsid w:val="005324C2"/>
    <w:rsid w:val="005324C4"/>
    <w:rsid w:val="005324F7"/>
    <w:rsid w:val="00532569"/>
    <w:rsid w:val="005325E1"/>
    <w:rsid w:val="00532700"/>
    <w:rsid w:val="005328ED"/>
    <w:rsid w:val="00532937"/>
    <w:rsid w:val="005329BE"/>
    <w:rsid w:val="00532B04"/>
    <w:rsid w:val="00532BA0"/>
    <w:rsid w:val="00532C4F"/>
    <w:rsid w:val="00532CF3"/>
    <w:rsid w:val="005330DB"/>
    <w:rsid w:val="005330E5"/>
    <w:rsid w:val="00533113"/>
    <w:rsid w:val="005331B3"/>
    <w:rsid w:val="0053323B"/>
    <w:rsid w:val="00533242"/>
    <w:rsid w:val="0053324C"/>
    <w:rsid w:val="00533259"/>
    <w:rsid w:val="0053326C"/>
    <w:rsid w:val="005334B3"/>
    <w:rsid w:val="0053356D"/>
    <w:rsid w:val="005335AC"/>
    <w:rsid w:val="005337E3"/>
    <w:rsid w:val="00533836"/>
    <w:rsid w:val="005338B9"/>
    <w:rsid w:val="005338F7"/>
    <w:rsid w:val="00533955"/>
    <w:rsid w:val="00533A38"/>
    <w:rsid w:val="00533A3F"/>
    <w:rsid w:val="00533A61"/>
    <w:rsid w:val="00533B53"/>
    <w:rsid w:val="00533C9B"/>
    <w:rsid w:val="00533CDF"/>
    <w:rsid w:val="00533D78"/>
    <w:rsid w:val="00533DFF"/>
    <w:rsid w:val="00533E63"/>
    <w:rsid w:val="00533E9D"/>
    <w:rsid w:val="00533F51"/>
    <w:rsid w:val="00533FC4"/>
    <w:rsid w:val="005340B2"/>
    <w:rsid w:val="005340EF"/>
    <w:rsid w:val="00534127"/>
    <w:rsid w:val="0053417F"/>
    <w:rsid w:val="005341BA"/>
    <w:rsid w:val="005341E1"/>
    <w:rsid w:val="00534207"/>
    <w:rsid w:val="0053423B"/>
    <w:rsid w:val="00534340"/>
    <w:rsid w:val="00534554"/>
    <w:rsid w:val="00534573"/>
    <w:rsid w:val="0053458C"/>
    <w:rsid w:val="005346B5"/>
    <w:rsid w:val="00534A16"/>
    <w:rsid w:val="00534A50"/>
    <w:rsid w:val="00534A63"/>
    <w:rsid w:val="00534AC5"/>
    <w:rsid w:val="00534BBD"/>
    <w:rsid w:val="00534CE6"/>
    <w:rsid w:val="00534D89"/>
    <w:rsid w:val="00534DF1"/>
    <w:rsid w:val="00534F90"/>
    <w:rsid w:val="0053514B"/>
    <w:rsid w:val="005351AD"/>
    <w:rsid w:val="0053524D"/>
    <w:rsid w:val="005352A3"/>
    <w:rsid w:val="0053539F"/>
    <w:rsid w:val="00535420"/>
    <w:rsid w:val="005355EA"/>
    <w:rsid w:val="005356DA"/>
    <w:rsid w:val="005356E7"/>
    <w:rsid w:val="005356EA"/>
    <w:rsid w:val="00535793"/>
    <w:rsid w:val="005358B6"/>
    <w:rsid w:val="0053593C"/>
    <w:rsid w:val="0053599F"/>
    <w:rsid w:val="005359F1"/>
    <w:rsid w:val="00535C0A"/>
    <w:rsid w:val="00535C45"/>
    <w:rsid w:val="00535C57"/>
    <w:rsid w:val="00535D08"/>
    <w:rsid w:val="00535DCE"/>
    <w:rsid w:val="00535DE1"/>
    <w:rsid w:val="00535E5A"/>
    <w:rsid w:val="00535F56"/>
    <w:rsid w:val="00535F87"/>
    <w:rsid w:val="00536026"/>
    <w:rsid w:val="00536082"/>
    <w:rsid w:val="005361C3"/>
    <w:rsid w:val="00536311"/>
    <w:rsid w:val="0053636F"/>
    <w:rsid w:val="005364BA"/>
    <w:rsid w:val="005364FB"/>
    <w:rsid w:val="005365BE"/>
    <w:rsid w:val="005365F2"/>
    <w:rsid w:val="005366F3"/>
    <w:rsid w:val="00536867"/>
    <w:rsid w:val="005368EE"/>
    <w:rsid w:val="005369D0"/>
    <w:rsid w:val="00536BB3"/>
    <w:rsid w:val="00536BCB"/>
    <w:rsid w:val="00536C89"/>
    <w:rsid w:val="00536C8E"/>
    <w:rsid w:val="00536CCD"/>
    <w:rsid w:val="00536D21"/>
    <w:rsid w:val="00536DC5"/>
    <w:rsid w:val="00536F23"/>
    <w:rsid w:val="00537043"/>
    <w:rsid w:val="005370E8"/>
    <w:rsid w:val="0053715C"/>
    <w:rsid w:val="00537243"/>
    <w:rsid w:val="00537308"/>
    <w:rsid w:val="005373C9"/>
    <w:rsid w:val="0053743B"/>
    <w:rsid w:val="00537450"/>
    <w:rsid w:val="005375BA"/>
    <w:rsid w:val="00537637"/>
    <w:rsid w:val="005376F3"/>
    <w:rsid w:val="0053772B"/>
    <w:rsid w:val="00537823"/>
    <w:rsid w:val="0053790F"/>
    <w:rsid w:val="00537AC0"/>
    <w:rsid w:val="00537AC4"/>
    <w:rsid w:val="00537AD6"/>
    <w:rsid w:val="00537B02"/>
    <w:rsid w:val="00537B71"/>
    <w:rsid w:val="00537BC7"/>
    <w:rsid w:val="00537C02"/>
    <w:rsid w:val="00537C76"/>
    <w:rsid w:val="00537D54"/>
    <w:rsid w:val="00537DE3"/>
    <w:rsid w:val="00537F17"/>
    <w:rsid w:val="0054015F"/>
    <w:rsid w:val="00540161"/>
    <w:rsid w:val="00540248"/>
    <w:rsid w:val="00540277"/>
    <w:rsid w:val="00540306"/>
    <w:rsid w:val="00540364"/>
    <w:rsid w:val="0054046F"/>
    <w:rsid w:val="00540581"/>
    <w:rsid w:val="005405CA"/>
    <w:rsid w:val="005405DD"/>
    <w:rsid w:val="005405E0"/>
    <w:rsid w:val="005406A2"/>
    <w:rsid w:val="005406A7"/>
    <w:rsid w:val="005408AF"/>
    <w:rsid w:val="00540965"/>
    <w:rsid w:val="0054098F"/>
    <w:rsid w:val="00540996"/>
    <w:rsid w:val="00540A2B"/>
    <w:rsid w:val="00540A84"/>
    <w:rsid w:val="00540BA3"/>
    <w:rsid w:val="00540C45"/>
    <w:rsid w:val="00540C63"/>
    <w:rsid w:val="00540CAA"/>
    <w:rsid w:val="00540F72"/>
    <w:rsid w:val="00540FF8"/>
    <w:rsid w:val="0054102A"/>
    <w:rsid w:val="00541045"/>
    <w:rsid w:val="0054108C"/>
    <w:rsid w:val="005410F6"/>
    <w:rsid w:val="00541125"/>
    <w:rsid w:val="00541336"/>
    <w:rsid w:val="00541347"/>
    <w:rsid w:val="005413CC"/>
    <w:rsid w:val="0054167C"/>
    <w:rsid w:val="0054167D"/>
    <w:rsid w:val="00541716"/>
    <w:rsid w:val="00541748"/>
    <w:rsid w:val="005417F4"/>
    <w:rsid w:val="0054197E"/>
    <w:rsid w:val="00541BB0"/>
    <w:rsid w:val="00541BED"/>
    <w:rsid w:val="00541CFD"/>
    <w:rsid w:val="00541E12"/>
    <w:rsid w:val="00541EFC"/>
    <w:rsid w:val="00542002"/>
    <w:rsid w:val="00542019"/>
    <w:rsid w:val="005422AD"/>
    <w:rsid w:val="00542336"/>
    <w:rsid w:val="0054237E"/>
    <w:rsid w:val="005423EC"/>
    <w:rsid w:val="005424B2"/>
    <w:rsid w:val="0054255D"/>
    <w:rsid w:val="005425EE"/>
    <w:rsid w:val="005427ED"/>
    <w:rsid w:val="0054292B"/>
    <w:rsid w:val="00542973"/>
    <w:rsid w:val="00542B70"/>
    <w:rsid w:val="00542CB1"/>
    <w:rsid w:val="00542F40"/>
    <w:rsid w:val="0054311E"/>
    <w:rsid w:val="0054331B"/>
    <w:rsid w:val="0054349E"/>
    <w:rsid w:val="0054358F"/>
    <w:rsid w:val="00543640"/>
    <w:rsid w:val="005436F1"/>
    <w:rsid w:val="00543806"/>
    <w:rsid w:val="0054384D"/>
    <w:rsid w:val="005438C9"/>
    <w:rsid w:val="00543936"/>
    <w:rsid w:val="005439A7"/>
    <w:rsid w:val="00543A52"/>
    <w:rsid w:val="00543AAF"/>
    <w:rsid w:val="00543B2D"/>
    <w:rsid w:val="00543C7A"/>
    <w:rsid w:val="00543CDC"/>
    <w:rsid w:val="00543D38"/>
    <w:rsid w:val="00543DE6"/>
    <w:rsid w:val="00543E47"/>
    <w:rsid w:val="00543ECA"/>
    <w:rsid w:val="00543F32"/>
    <w:rsid w:val="00543FD9"/>
    <w:rsid w:val="00544093"/>
    <w:rsid w:val="005440CB"/>
    <w:rsid w:val="00544163"/>
    <w:rsid w:val="005441F7"/>
    <w:rsid w:val="00544260"/>
    <w:rsid w:val="005442CE"/>
    <w:rsid w:val="00544364"/>
    <w:rsid w:val="005443BD"/>
    <w:rsid w:val="00544420"/>
    <w:rsid w:val="005444E7"/>
    <w:rsid w:val="0054462A"/>
    <w:rsid w:val="00544642"/>
    <w:rsid w:val="00544701"/>
    <w:rsid w:val="00544793"/>
    <w:rsid w:val="005447EB"/>
    <w:rsid w:val="00544966"/>
    <w:rsid w:val="005449FB"/>
    <w:rsid w:val="00544A24"/>
    <w:rsid w:val="00544B42"/>
    <w:rsid w:val="00544B5A"/>
    <w:rsid w:val="00544C02"/>
    <w:rsid w:val="00544CA7"/>
    <w:rsid w:val="00544E52"/>
    <w:rsid w:val="00544FBE"/>
    <w:rsid w:val="00544FD8"/>
    <w:rsid w:val="005452B0"/>
    <w:rsid w:val="005452B5"/>
    <w:rsid w:val="00545339"/>
    <w:rsid w:val="00545374"/>
    <w:rsid w:val="00545404"/>
    <w:rsid w:val="005454A8"/>
    <w:rsid w:val="005454DE"/>
    <w:rsid w:val="0054556A"/>
    <w:rsid w:val="005455B1"/>
    <w:rsid w:val="0054566F"/>
    <w:rsid w:val="005456EF"/>
    <w:rsid w:val="005457D3"/>
    <w:rsid w:val="005457DD"/>
    <w:rsid w:val="005458AF"/>
    <w:rsid w:val="005458F3"/>
    <w:rsid w:val="00545926"/>
    <w:rsid w:val="005459BF"/>
    <w:rsid w:val="00545A8C"/>
    <w:rsid w:val="00545B8D"/>
    <w:rsid w:val="00545BE2"/>
    <w:rsid w:val="00545C3B"/>
    <w:rsid w:val="00545DD3"/>
    <w:rsid w:val="00545F49"/>
    <w:rsid w:val="0054610A"/>
    <w:rsid w:val="005461AF"/>
    <w:rsid w:val="0054625C"/>
    <w:rsid w:val="00546287"/>
    <w:rsid w:val="0054634D"/>
    <w:rsid w:val="0054639B"/>
    <w:rsid w:val="005464AD"/>
    <w:rsid w:val="00546610"/>
    <w:rsid w:val="0054665F"/>
    <w:rsid w:val="005466FB"/>
    <w:rsid w:val="005467FB"/>
    <w:rsid w:val="00546825"/>
    <w:rsid w:val="00546966"/>
    <w:rsid w:val="00546995"/>
    <w:rsid w:val="00546B00"/>
    <w:rsid w:val="00546B06"/>
    <w:rsid w:val="00546C05"/>
    <w:rsid w:val="00546D95"/>
    <w:rsid w:val="00546DDA"/>
    <w:rsid w:val="00546E74"/>
    <w:rsid w:val="0054706A"/>
    <w:rsid w:val="005474B9"/>
    <w:rsid w:val="005474C6"/>
    <w:rsid w:val="00547535"/>
    <w:rsid w:val="0054753F"/>
    <w:rsid w:val="005475E5"/>
    <w:rsid w:val="00547611"/>
    <w:rsid w:val="0054766E"/>
    <w:rsid w:val="00547692"/>
    <w:rsid w:val="005476CC"/>
    <w:rsid w:val="005476E9"/>
    <w:rsid w:val="0054777E"/>
    <w:rsid w:val="005477B3"/>
    <w:rsid w:val="005478F1"/>
    <w:rsid w:val="00547930"/>
    <w:rsid w:val="0054793D"/>
    <w:rsid w:val="00547956"/>
    <w:rsid w:val="005479B0"/>
    <w:rsid w:val="00547C2E"/>
    <w:rsid w:val="00547C8F"/>
    <w:rsid w:val="00547E44"/>
    <w:rsid w:val="00547FAA"/>
    <w:rsid w:val="00547FC0"/>
    <w:rsid w:val="00547FFA"/>
    <w:rsid w:val="0054E1CB"/>
    <w:rsid w:val="00550031"/>
    <w:rsid w:val="00550133"/>
    <w:rsid w:val="00550154"/>
    <w:rsid w:val="005501D2"/>
    <w:rsid w:val="005501E8"/>
    <w:rsid w:val="00550205"/>
    <w:rsid w:val="005502DF"/>
    <w:rsid w:val="005503C2"/>
    <w:rsid w:val="00550422"/>
    <w:rsid w:val="00550471"/>
    <w:rsid w:val="0055051E"/>
    <w:rsid w:val="0055052A"/>
    <w:rsid w:val="0055052C"/>
    <w:rsid w:val="0055056C"/>
    <w:rsid w:val="005505AB"/>
    <w:rsid w:val="005505D0"/>
    <w:rsid w:val="00550640"/>
    <w:rsid w:val="00550668"/>
    <w:rsid w:val="005506D4"/>
    <w:rsid w:val="005506F6"/>
    <w:rsid w:val="00550745"/>
    <w:rsid w:val="00550767"/>
    <w:rsid w:val="00550850"/>
    <w:rsid w:val="00550912"/>
    <w:rsid w:val="0055095F"/>
    <w:rsid w:val="0055096E"/>
    <w:rsid w:val="00550980"/>
    <w:rsid w:val="00550BDE"/>
    <w:rsid w:val="00550C91"/>
    <w:rsid w:val="00550CAD"/>
    <w:rsid w:val="00550D34"/>
    <w:rsid w:val="00550D76"/>
    <w:rsid w:val="00550DEB"/>
    <w:rsid w:val="00550E30"/>
    <w:rsid w:val="00550EB2"/>
    <w:rsid w:val="00550F45"/>
    <w:rsid w:val="005511A3"/>
    <w:rsid w:val="005511AF"/>
    <w:rsid w:val="00551208"/>
    <w:rsid w:val="00551283"/>
    <w:rsid w:val="0055129F"/>
    <w:rsid w:val="005512AA"/>
    <w:rsid w:val="005512B9"/>
    <w:rsid w:val="00551357"/>
    <w:rsid w:val="00551589"/>
    <w:rsid w:val="005515E7"/>
    <w:rsid w:val="00551677"/>
    <w:rsid w:val="00551796"/>
    <w:rsid w:val="005517BE"/>
    <w:rsid w:val="005518A2"/>
    <w:rsid w:val="005519BE"/>
    <w:rsid w:val="005519F9"/>
    <w:rsid w:val="00551AC0"/>
    <w:rsid w:val="00551CC0"/>
    <w:rsid w:val="00551DAE"/>
    <w:rsid w:val="0055202D"/>
    <w:rsid w:val="0055207B"/>
    <w:rsid w:val="005520AB"/>
    <w:rsid w:val="00552126"/>
    <w:rsid w:val="0055219C"/>
    <w:rsid w:val="005521DE"/>
    <w:rsid w:val="00552237"/>
    <w:rsid w:val="005522B0"/>
    <w:rsid w:val="00552312"/>
    <w:rsid w:val="00552387"/>
    <w:rsid w:val="00552451"/>
    <w:rsid w:val="00552595"/>
    <w:rsid w:val="00552643"/>
    <w:rsid w:val="0055264D"/>
    <w:rsid w:val="00552775"/>
    <w:rsid w:val="005527BF"/>
    <w:rsid w:val="005527C0"/>
    <w:rsid w:val="005527E8"/>
    <w:rsid w:val="0055289B"/>
    <w:rsid w:val="0055295D"/>
    <w:rsid w:val="005529F3"/>
    <w:rsid w:val="00552A48"/>
    <w:rsid w:val="00552A80"/>
    <w:rsid w:val="00552AC6"/>
    <w:rsid w:val="00552B75"/>
    <w:rsid w:val="00552B8C"/>
    <w:rsid w:val="00552C4B"/>
    <w:rsid w:val="00552CE2"/>
    <w:rsid w:val="00552D05"/>
    <w:rsid w:val="00552D44"/>
    <w:rsid w:val="00552DB9"/>
    <w:rsid w:val="00552E8D"/>
    <w:rsid w:val="00552F0C"/>
    <w:rsid w:val="00552F32"/>
    <w:rsid w:val="00552F70"/>
    <w:rsid w:val="0055307C"/>
    <w:rsid w:val="0055320F"/>
    <w:rsid w:val="00553241"/>
    <w:rsid w:val="005532CA"/>
    <w:rsid w:val="00553411"/>
    <w:rsid w:val="0055342D"/>
    <w:rsid w:val="00553489"/>
    <w:rsid w:val="005535DD"/>
    <w:rsid w:val="0055382F"/>
    <w:rsid w:val="00553999"/>
    <w:rsid w:val="00553A41"/>
    <w:rsid w:val="00553A91"/>
    <w:rsid w:val="00553B8B"/>
    <w:rsid w:val="00553C56"/>
    <w:rsid w:val="00553C9A"/>
    <w:rsid w:val="00553D06"/>
    <w:rsid w:val="00553DEA"/>
    <w:rsid w:val="00553EC2"/>
    <w:rsid w:val="00553EF8"/>
    <w:rsid w:val="00554111"/>
    <w:rsid w:val="0055421D"/>
    <w:rsid w:val="00554284"/>
    <w:rsid w:val="00554466"/>
    <w:rsid w:val="0055458E"/>
    <w:rsid w:val="005545BC"/>
    <w:rsid w:val="005545FD"/>
    <w:rsid w:val="00554620"/>
    <w:rsid w:val="0055478F"/>
    <w:rsid w:val="005547D1"/>
    <w:rsid w:val="00554A8F"/>
    <w:rsid w:val="00554AC8"/>
    <w:rsid w:val="00554C8C"/>
    <w:rsid w:val="00554CDB"/>
    <w:rsid w:val="00554D01"/>
    <w:rsid w:val="00554ED2"/>
    <w:rsid w:val="00555010"/>
    <w:rsid w:val="0055501F"/>
    <w:rsid w:val="005551B5"/>
    <w:rsid w:val="005551F7"/>
    <w:rsid w:val="00555302"/>
    <w:rsid w:val="0055533A"/>
    <w:rsid w:val="00555447"/>
    <w:rsid w:val="00555460"/>
    <w:rsid w:val="005554BF"/>
    <w:rsid w:val="005554F5"/>
    <w:rsid w:val="005554FD"/>
    <w:rsid w:val="0055563D"/>
    <w:rsid w:val="00555731"/>
    <w:rsid w:val="00555793"/>
    <w:rsid w:val="005557A0"/>
    <w:rsid w:val="00555975"/>
    <w:rsid w:val="005559AE"/>
    <w:rsid w:val="00555A19"/>
    <w:rsid w:val="00555A73"/>
    <w:rsid w:val="00555ADE"/>
    <w:rsid w:val="00555B8B"/>
    <w:rsid w:val="00555B98"/>
    <w:rsid w:val="00555BB0"/>
    <w:rsid w:val="00555BC0"/>
    <w:rsid w:val="00555CE1"/>
    <w:rsid w:val="00555CED"/>
    <w:rsid w:val="00555E29"/>
    <w:rsid w:val="00555E6F"/>
    <w:rsid w:val="00555E80"/>
    <w:rsid w:val="00555F82"/>
    <w:rsid w:val="00555F87"/>
    <w:rsid w:val="00555FE4"/>
    <w:rsid w:val="00556042"/>
    <w:rsid w:val="00556044"/>
    <w:rsid w:val="0055625B"/>
    <w:rsid w:val="0055627E"/>
    <w:rsid w:val="00556520"/>
    <w:rsid w:val="0055652B"/>
    <w:rsid w:val="0055657E"/>
    <w:rsid w:val="0055659B"/>
    <w:rsid w:val="0055667C"/>
    <w:rsid w:val="0055677B"/>
    <w:rsid w:val="00556787"/>
    <w:rsid w:val="00556821"/>
    <w:rsid w:val="00556836"/>
    <w:rsid w:val="00556847"/>
    <w:rsid w:val="0055684C"/>
    <w:rsid w:val="005568D2"/>
    <w:rsid w:val="005568DB"/>
    <w:rsid w:val="00556924"/>
    <w:rsid w:val="00556961"/>
    <w:rsid w:val="00556991"/>
    <w:rsid w:val="00556A0F"/>
    <w:rsid w:val="00556A1B"/>
    <w:rsid w:val="00556A2D"/>
    <w:rsid w:val="00556AA5"/>
    <w:rsid w:val="00556AA8"/>
    <w:rsid w:val="00556C5D"/>
    <w:rsid w:val="00556C6E"/>
    <w:rsid w:val="00556D06"/>
    <w:rsid w:val="00556D4A"/>
    <w:rsid w:val="00556D9F"/>
    <w:rsid w:val="00556E66"/>
    <w:rsid w:val="00556EDA"/>
    <w:rsid w:val="00556F7B"/>
    <w:rsid w:val="00556F86"/>
    <w:rsid w:val="00556F8B"/>
    <w:rsid w:val="0055704A"/>
    <w:rsid w:val="005570EB"/>
    <w:rsid w:val="00557307"/>
    <w:rsid w:val="005573FF"/>
    <w:rsid w:val="005575B2"/>
    <w:rsid w:val="00557630"/>
    <w:rsid w:val="00557950"/>
    <w:rsid w:val="00557965"/>
    <w:rsid w:val="0055796D"/>
    <w:rsid w:val="00557CEF"/>
    <w:rsid w:val="00557D94"/>
    <w:rsid w:val="00557ECB"/>
    <w:rsid w:val="00557FD9"/>
    <w:rsid w:val="005600A7"/>
    <w:rsid w:val="005601EB"/>
    <w:rsid w:val="0056022A"/>
    <w:rsid w:val="00560290"/>
    <w:rsid w:val="00560393"/>
    <w:rsid w:val="0056048D"/>
    <w:rsid w:val="005604AF"/>
    <w:rsid w:val="005605B3"/>
    <w:rsid w:val="00560616"/>
    <w:rsid w:val="0056064E"/>
    <w:rsid w:val="00560684"/>
    <w:rsid w:val="0056069A"/>
    <w:rsid w:val="0056072F"/>
    <w:rsid w:val="00560746"/>
    <w:rsid w:val="00560A34"/>
    <w:rsid w:val="00560A55"/>
    <w:rsid w:val="00560A5F"/>
    <w:rsid w:val="00560B82"/>
    <w:rsid w:val="00560C5F"/>
    <w:rsid w:val="00560CDE"/>
    <w:rsid w:val="00560D68"/>
    <w:rsid w:val="00560E1F"/>
    <w:rsid w:val="00560E51"/>
    <w:rsid w:val="00561011"/>
    <w:rsid w:val="005610D2"/>
    <w:rsid w:val="00561188"/>
    <w:rsid w:val="005611C2"/>
    <w:rsid w:val="0056122A"/>
    <w:rsid w:val="005612D5"/>
    <w:rsid w:val="0056136F"/>
    <w:rsid w:val="0056137E"/>
    <w:rsid w:val="00561564"/>
    <w:rsid w:val="00561604"/>
    <w:rsid w:val="00561655"/>
    <w:rsid w:val="00561678"/>
    <w:rsid w:val="0056186E"/>
    <w:rsid w:val="0056197F"/>
    <w:rsid w:val="005619F9"/>
    <w:rsid w:val="00561A49"/>
    <w:rsid w:val="00561B09"/>
    <w:rsid w:val="00561DC9"/>
    <w:rsid w:val="00561E03"/>
    <w:rsid w:val="00561E13"/>
    <w:rsid w:val="00561E15"/>
    <w:rsid w:val="00562270"/>
    <w:rsid w:val="00562346"/>
    <w:rsid w:val="005624B2"/>
    <w:rsid w:val="0056255B"/>
    <w:rsid w:val="005625CD"/>
    <w:rsid w:val="0056269B"/>
    <w:rsid w:val="005626AB"/>
    <w:rsid w:val="005626B0"/>
    <w:rsid w:val="005626C9"/>
    <w:rsid w:val="005626F6"/>
    <w:rsid w:val="00562759"/>
    <w:rsid w:val="00562789"/>
    <w:rsid w:val="0056278E"/>
    <w:rsid w:val="00562800"/>
    <w:rsid w:val="00562829"/>
    <w:rsid w:val="0056283A"/>
    <w:rsid w:val="00562B29"/>
    <w:rsid w:val="00562CF8"/>
    <w:rsid w:val="00562D0C"/>
    <w:rsid w:val="00562DDD"/>
    <w:rsid w:val="00562E2E"/>
    <w:rsid w:val="00562F3B"/>
    <w:rsid w:val="00562F9F"/>
    <w:rsid w:val="00563022"/>
    <w:rsid w:val="0056304B"/>
    <w:rsid w:val="005630FE"/>
    <w:rsid w:val="005631C4"/>
    <w:rsid w:val="0056323C"/>
    <w:rsid w:val="00563287"/>
    <w:rsid w:val="0056329D"/>
    <w:rsid w:val="0056331C"/>
    <w:rsid w:val="0056332E"/>
    <w:rsid w:val="0056341B"/>
    <w:rsid w:val="0056346A"/>
    <w:rsid w:val="00563497"/>
    <w:rsid w:val="005634E0"/>
    <w:rsid w:val="0056355C"/>
    <w:rsid w:val="00563646"/>
    <w:rsid w:val="005636BA"/>
    <w:rsid w:val="00563719"/>
    <w:rsid w:val="0056371A"/>
    <w:rsid w:val="00563881"/>
    <w:rsid w:val="0056398A"/>
    <w:rsid w:val="0056398F"/>
    <w:rsid w:val="00563BA9"/>
    <w:rsid w:val="00563E4B"/>
    <w:rsid w:val="005641AD"/>
    <w:rsid w:val="005641B6"/>
    <w:rsid w:val="005641FD"/>
    <w:rsid w:val="00564216"/>
    <w:rsid w:val="00564263"/>
    <w:rsid w:val="00564264"/>
    <w:rsid w:val="00564319"/>
    <w:rsid w:val="005644C1"/>
    <w:rsid w:val="00564743"/>
    <w:rsid w:val="005647A5"/>
    <w:rsid w:val="0056485E"/>
    <w:rsid w:val="00564A80"/>
    <w:rsid w:val="00564B5E"/>
    <w:rsid w:val="00564BD6"/>
    <w:rsid w:val="00564BF4"/>
    <w:rsid w:val="00564C06"/>
    <w:rsid w:val="00564CD9"/>
    <w:rsid w:val="00564CDB"/>
    <w:rsid w:val="00564D6E"/>
    <w:rsid w:val="00564EFF"/>
    <w:rsid w:val="00565067"/>
    <w:rsid w:val="005650A2"/>
    <w:rsid w:val="005650F1"/>
    <w:rsid w:val="00565182"/>
    <w:rsid w:val="00565194"/>
    <w:rsid w:val="00565482"/>
    <w:rsid w:val="00565723"/>
    <w:rsid w:val="00565744"/>
    <w:rsid w:val="00565745"/>
    <w:rsid w:val="00565921"/>
    <w:rsid w:val="0056597C"/>
    <w:rsid w:val="005659B5"/>
    <w:rsid w:val="00565A01"/>
    <w:rsid w:val="00565A2E"/>
    <w:rsid w:val="00565DB5"/>
    <w:rsid w:val="00565F8C"/>
    <w:rsid w:val="005661C2"/>
    <w:rsid w:val="0056626D"/>
    <w:rsid w:val="00566283"/>
    <w:rsid w:val="00566361"/>
    <w:rsid w:val="00566491"/>
    <w:rsid w:val="00566618"/>
    <w:rsid w:val="0056664C"/>
    <w:rsid w:val="005667A2"/>
    <w:rsid w:val="005667D5"/>
    <w:rsid w:val="005669BF"/>
    <w:rsid w:val="00566A2A"/>
    <w:rsid w:val="00566A30"/>
    <w:rsid w:val="00566B04"/>
    <w:rsid w:val="00566CA9"/>
    <w:rsid w:val="00566DE6"/>
    <w:rsid w:val="00566E2F"/>
    <w:rsid w:val="00566F5F"/>
    <w:rsid w:val="00567086"/>
    <w:rsid w:val="005670B8"/>
    <w:rsid w:val="005670FB"/>
    <w:rsid w:val="00567181"/>
    <w:rsid w:val="005671EB"/>
    <w:rsid w:val="00567322"/>
    <w:rsid w:val="00567388"/>
    <w:rsid w:val="005674C3"/>
    <w:rsid w:val="005674E4"/>
    <w:rsid w:val="0056754E"/>
    <w:rsid w:val="00567606"/>
    <w:rsid w:val="005676AB"/>
    <w:rsid w:val="005676B1"/>
    <w:rsid w:val="005676C9"/>
    <w:rsid w:val="005676F0"/>
    <w:rsid w:val="0056770B"/>
    <w:rsid w:val="005678D5"/>
    <w:rsid w:val="005678E7"/>
    <w:rsid w:val="00567974"/>
    <w:rsid w:val="00567C16"/>
    <w:rsid w:val="00567C91"/>
    <w:rsid w:val="00567DEA"/>
    <w:rsid w:val="00567E11"/>
    <w:rsid w:val="00567FE4"/>
    <w:rsid w:val="0057009B"/>
    <w:rsid w:val="005700F7"/>
    <w:rsid w:val="00570265"/>
    <w:rsid w:val="005703DC"/>
    <w:rsid w:val="00570419"/>
    <w:rsid w:val="0057042B"/>
    <w:rsid w:val="005704AA"/>
    <w:rsid w:val="0057061F"/>
    <w:rsid w:val="00570768"/>
    <w:rsid w:val="005707B6"/>
    <w:rsid w:val="005707C5"/>
    <w:rsid w:val="005707CF"/>
    <w:rsid w:val="00570836"/>
    <w:rsid w:val="0057083E"/>
    <w:rsid w:val="00570A48"/>
    <w:rsid w:val="00570B59"/>
    <w:rsid w:val="00570C9C"/>
    <w:rsid w:val="00570CE7"/>
    <w:rsid w:val="00570DC3"/>
    <w:rsid w:val="00570DCA"/>
    <w:rsid w:val="00570E68"/>
    <w:rsid w:val="00570EC4"/>
    <w:rsid w:val="00570F11"/>
    <w:rsid w:val="0057110F"/>
    <w:rsid w:val="00571175"/>
    <w:rsid w:val="005712F7"/>
    <w:rsid w:val="00571374"/>
    <w:rsid w:val="00571415"/>
    <w:rsid w:val="0057149D"/>
    <w:rsid w:val="00571510"/>
    <w:rsid w:val="005715B4"/>
    <w:rsid w:val="00571613"/>
    <w:rsid w:val="005716E6"/>
    <w:rsid w:val="005717AE"/>
    <w:rsid w:val="005717D3"/>
    <w:rsid w:val="005719AB"/>
    <w:rsid w:val="00571A8A"/>
    <w:rsid w:val="00571A96"/>
    <w:rsid w:val="00571B64"/>
    <w:rsid w:val="00571C05"/>
    <w:rsid w:val="00571CAF"/>
    <w:rsid w:val="00571D5F"/>
    <w:rsid w:val="00571DED"/>
    <w:rsid w:val="00571F21"/>
    <w:rsid w:val="00571F4D"/>
    <w:rsid w:val="00571F52"/>
    <w:rsid w:val="00571F7F"/>
    <w:rsid w:val="00571FC7"/>
    <w:rsid w:val="00572145"/>
    <w:rsid w:val="0057214B"/>
    <w:rsid w:val="00572339"/>
    <w:rsid w:val="00572700"/>
    <w:rsid w:val="005727FE"/>
    <w:rsid w:val="0057287B"/>
    <w:rsid w:val="005728B3"/>
    <w:rsid w:val="00572ADC"/>
    <w:rsid w:val="00572BB3"/>
    <w:rsid w:val="00572CF5"/>
    <w:rsid w:val="00572D1C"/>
    <w:rsid w:val="00572D5E"/>
    <w:rsid w:val="00572DE7"/>
    <w:rsid w:val="00572EA1"/>
    <w:rsid w:val="00572FC4"/>
    <w:rsid w:val="00573009"/>
    <w:rsid w:val="005730A6"/>
    <w:rsid w:val="00573162"/>
    <w:rsid w:val="0057316E"/>
    <w:rsid w:val="00573207"/>
    <w:rsid w:val="005732AA"/>
    <w:rsid w:val="005732B5"/>
    <w:rsid w:val="005732F5"/>
    <w:rsid w:val="005732F9"/>
    <w:rsid w:val="00573433"/>
    <w:rsid w:val="005734F4"/>
    <w:rsid w:val="00573598"/>
    <w:rsid w:val="005735BF"/>
    <w:rsid w:val="00573616"/>
    <w:rsid w:val="00573632"/>
    <w:rsid w:val="00573668"/>
    <w:rsid w:val="005736AE"/>
    <w:rsid w:val="005736F5"/>
    <w:rsid w:val="00573733"/>
    <w:rsid w:val="005737D9"/>
    <w:rsid w:val="005737FE"/>
    <w:rsid w:val="0057383C"/>
    <w:rsid w:val="00573865"/>
    <w:rsid w:val="0057388F"/>
    <w:rsid w:val="005738A4"/>
    <w:rsid w:val="00573911"/>
    <w:rsid w:val="00573A26"/>
    <w:rsid w:val="00573A42"/>
    <w:rsid w:val="00573A6E"/>
    <w:rsid w:val="00573B19"/>
    <w:rsid w:val="00573B54"/>
    <w:rsid w:val="00573BBF"/>
    <w:rsid w:val="00573C63"/>
    <w:rsid w:val="00573D1C"/>
    <w:rsid w:val="00573E07"/>
    <w:rsid w:val="00573EB3"/>
    <w:rsid w:val="00573FCB"/>
    <w:rsid w:val="0057400B"/>
    <w:rsid w:val="00574029"/>
    <w:rsid w:val="00574045"/>
    <w:rsid w:val="0057418F"/>
    <w:rsid w:val="00574251"/>
    <w:rsid w:val="0057433C"/>
    <w:rsid w:val="005743A2"/>
    <w:rsid w:val="00574450"/>
    <w:rsid w:val="005744C1"/>
    <w:rsid w:val="00574517"/>
    <w:rsid w:val="0057457C"/>
    <w:rsid w:val="005745AD"/>
    <w:rsid w:val="0057461A"/>
    <w:rsid w:val="005746D5"/>
    <w:rsid w:val="00574809"/>
    <w:rsid w:val="0057485D"/>
    <w:rsid w:val="00574975"/>
    <w:rsid w:val="005749C5"/>
    <w:rsid w:val="00574A97"/>
    <w:rsid w:val="00574B12"/>
    <w:rsid w:val="00574B95"/>
    <w:rsid w:val="00574CA7"/>
    <w:rsid w:val="00574CB4"/>
    <w:rsid w:val="00574CD8"/>
    <w:rsid w:val="00574D16"/>
    <w:rsid w:val="00574DCF"/>
    <w:rsid w:val="00574E2C"/>
    <w:rsid w:val="00574EE9"/>
    <w:rsid w:val="00574F10"/>
    <w:rsid w:val="00575011"/>
    <w:rsid w:val="0057534A"/>
    <w:rsid w:val="00575442"/>
    <w:rsid w:val="005754DC"/>
    <w:rsid w:val="005755B8"/>
    <w:rsid w:val="005756AC"/>
    <w:rsid w:val="005756B5"/>
    <w:rsid w:val="005756E6"/>
    <w:rsid w:val="00575914"/>
    <w:rsid w:val="00575954"/>
    <w:rsid w:val="005759E8"/>
    <w:rsid w:val="00575B64"/>
    <w:rsid w:val="00575B8B"/>
    <w:rsid w:val="00575C32"/>
    <w:rsid w:val="00575C8A"/>
    <w:rsid w:val="00575C8F"/>
    <w:rsid w:val="00575CCE"/>
    <w:rsid w:val="00575D02"/>
    <w:rsid w:val="00575D24"/>
    <w:rsid w:val="00575D8B"/>
    <w:rsid w:val="00575E19"/>
    <w:rsid w:val="00575EC1"/>
    <w:rsid w:val="00575ECC"/>
    <w:rsid w:val="00575ED0"/>
    <w:rsid w:val="005760D1"/>
    <w:rsid w:val="005760EA"/>
    <w:rsid w:val="0057617E"/>
    <w:rsid w:val="005762BC"/>
    <w:rsid w:val="00576360"/>
    <w:rsid w:val="0057641C"/>
    <w:rsid w:val="00576452"/>
    <w:rsid w:val="005764B6"/>
    <w:rsid w:val="00576562"/>
    <w:rsid w:val="00576749"/>
    <w:rsid w:val="0057681C"/>
    <w:rsid w:val="005768A8"/>
    <w:rsid w:val="005768F5"/>
    <w:rsid w:val="00576971"/>
    <w:rsid w:val="00576BD8"/>
    <w:rsid w:val="00576CA8"/>
    <w:rsid w:val="00576DB6"/>
    <w:rsid w:val="00576E88"/>
    <w:rsid w:val="00576F2D"/>
    <w:rsid w:val="00577193"/>
    <w:rsid w:val="0057727F"/>
    <w:rsid w:val="00577323"/>
    <w:rsid w:val="0057746B"/>
    <w:rsid w:val="00577640"/>
    <w:rsid w:val="005776E0"/>
    <w:rsid w:val="0057776F"/>
    <w:rsid w:val="00577886"/>
    <w:rsid w:val="005779C3"/>
    <w:rsid w:val="005779D8"/>
    <w:rsid w:val="00577B2E"/>
    <w:rsid w:val="00577B58"/>
    <w:rsid w:val="00577B94"/>
    <w:rsid w:val="00577B9B"/>
    <w:rsid w:val="00577C63"/>
    <w:rsid w:val="00577C8F"/>
    <w:rsid w:val="00577CF8"/>
    <w:rsid w:val="00577E70"/>
    <w:rsid w:val="00577EBF"/>
    <w:rsid w:val="00577F02"/>
    <w:rsid w:val="00577F8F"/>
    <w:rsid w:val="005800E0"/>
    <w:rsid w:val="00580167"/>
    <w:rsid w:val="00580219"/>
    <w:rsid w:val="005803A7"/>
    <w:rsid w:val="0058062E"/>
    <w:rsid w:val="005806F8"/>
    <w:rsid w:val="005807C1"/>
    <w:rsid w:val="00580836"/>
    <w:rsid w:val="005808EE"/>
    <w:rsid w:val="00580979"/>
    <w:rsid w:val="00580995"/>
    <w:rsid w:val="00580B02"/>
    <w:rsid w:val="00580B78"/>
    <w:rsid w:val="00580BB2"/>
    <w:rsid w:val="00580BE3"/>
    <w:rsid w:val="00580C2A"/>
    <w:rsid w:val="00580D3C"/>
    <w:rsid w:val="00580E7A"/>
    <w:rsid w:val="00580EBE"/>
    <w:rsid w:val="00580EFC"/>
    <w:rsid w:val="005810FA"/>
    <w:rsid w:val="005810FB"/>
    <w:rsid w:val="00581167"/>
    <w:rsid w:val="005811A4"/>
    <w:rsid w:val="005812A5"/>
    <w:rsid w:val="0058134F"/>
    <w:rsid w:val="0058139A"/>
    <w:rsid w:val="00581437"/>
    <w:rsid w:val="00581454"/>
    <w:rsid w:val="005814AF"/>
    <w:rsid w:val="00581542"/>
    <w:rsid w:val="00581549"/>
    <w:rsid w:val="005817D8"/>
    <w:rsid w:val="0058181A"/>
    <w:rsid w:val="00581899"/>
    <w:rsid w:val="005819B6"/>
    <w:rsid w:val="005819D1"/>
    <w:rsid w:val="00581A93"/>
    <w:rsid w:val="00581A97"/>
    <w:rsid w:val="00581AB0"/>
    <w:rsid w:val="00581ACD"/>
    <w:rsid w:val="00581B36"/>
    <w:rsid w:val="00581B90"/>
    <w:rsid w:val="00581C52"/>
    <w:rsid w:val="00581CB6"/>
    <w:rsid w:val="00581D06"/>
    <w:rsid w:val="00581D24"/>
    <w:rsid w:val="00581DF2"/>
    <w:rsid w:val="00581E0D"/>
    <w:rsid w:val="00581F0A"/>
    <w:rsid w:val="005820ED"/>
    <w:rsid w:val="005820F7"/>
    <w:rsid w:val="00582141"/>
    <w:rsid w:val="00582192"/>
    <w:rsid w:val="005821A8"/>
    <w:rsid w:val="0058237D"/>
    <w:rsid w:val="005823AA"/>
    <w:rsid w:val="0058249D"/>
    <w:rsid w:val="0058250A"/>
    <w:rsid w:val="005827CD"/>
    <w:rsid w:val="0058287B"/>
    <w:rsid w:val="005829DC"/>
    <w:rsid w:val="00582A18"/>
    <w:rsid w:val="00582A78"/>
    <w:rsid w:val="00582B1D"/>
    <w:rsid w:val="00582BE4"/>
    <w:rsid w:val="00582C90"/>
    <w:rsid w:val="00582D4A"/>
    <w:rsid w:val="00582DD2"/>
    <w:rsid w:val="00582F1B"/>
    <w:rsid w:val="00582F7C"/>
    <w:rsid w:val="0058306D"/>
    <w:rsid w:val="005830A8"/>
    <w:rsid w:val="005830E1"/>
    <w:rsid w:val="0058310B"/>
    <w:rsid w:val="0058318C"/>
    <w:rsid w:val="0058329B"/>
    <w:rsid w:val="0058329E"/>
    <w:rsid w:val="005832B2"/>
    <w:rsid w:val="005833D0"/>
    <w:rsid w:val="0058342A"/>
    <w:rsid w:val="0058356C"/>
    <w:rsid w:val="005836C8"/>
    <w:rsid w:val="005836D7"/>
    <w:rsid w:val="0058374C"/>
    <w:rsid w:val="0058375B"/>
    <w:rsid w:val="005837D4"/>
    <w:rsid w:val="00583807"/>
    <w:rsid w:val="00583817"/>
    <w:rsid w:val="00583916"/>
    <w:rsid w:val="00583A57"/>
    <w:rsid w:val="00583A88"/>
    <w:rsid w:val="00583B91"/>
    <w:rsid w:val="00583BB7"/>
    <w:rsid w:val="00583C9B"/>
    <w:rsid w:val="00583D15"/>
    <w:rsid w:val="00583DD5"/>
    <w:rsid w:val="00583DF7"/>
    <w:rsid w:val="00583E1C"/>
    <w:rsid w:val="00583E7D"/>
    <w:rsid w:val="00583EDF"/>
    <w:rsid w:val="00583EFD"/>
    <w:rsid w:val="00583FDF"/>
    <w:rsid w:val="00584003"/>
    <w:rsid w:val="005841B0"/>
    <w:rsid w:val="00584203"/>
    <w:rsid w:val="0058423F"/>
    <w:rsid w:val="0058450C"/>
    <w:rsid w:val="00584617"/>
    <w:rsid w:val="0058462F"/>
    <w:rsid w:val="0058463F"/>
    <w:rsid w:val="0058477D"/>
    <w:rsid w:val="00584821"/>
    <w:rsid w:val="0058485C"/>
    <w:rsid w:val="005848F3"/>
    <w:rsid w:val="00584A7E"/>
    <w:rsid w:val="00584B15"/>
    <w:rsid w:val="00584B9F"/>
    <w:rsid w:val="00584BD5"/>
    <w:rsid w:val="00584BFF"/>
    <w:rsid w:val="00584C48"/>
    <w:rsid w:val="00584C80"/>
    <w:rsid w:val="00584CE1"/>
    <w:rsid w:val="00584E52"/>
    <w:rsid w:val="00584E82"/>
    <w:rsid w:val="00584E96"/>
    <w:rsid w:val="0058509A"/>
    <w:rsid w:val="0058518A"/>
    <w:rsid w:val="005851D6"/>
    <w:rsid w:val="005852B0"/>
    <w:rsid w:val="005852C4"/>
    <w:rsid w:val="0058532E"/>
    <w:rsid w:val="00585354"/>
    <w:rsid w:val="0058542C"/>
    <w:rsid w:val="0058548A"/>
    <w:rsid w:val="00585571"/>
    <w:rsid w:val="005856C6"/>
    <w:rsid w:val="0058582B"/>
    <w:rsid w:val="00585879"/>
    <w:rsid w:val="00585986"/>
    <w:rsid w:val="00585AC4"/>
    <w:rsid w:val="00585AFA"/>
    <w:rsid w:val="00585B49"/>
    <w:rsid w:val="00585BA1"/>
    <w:rsid w:val="00585BAE"/>
    <w:rsid w:val="00585C49"/>
    <w:rsid w:val="00585C59"/>
    <w:rsid w:val="00585D87"/>
    <w:rsid w:val="00585D8F"/>
    <w:rsid w:val="00585E2E"/>
    <w:rsid w:val="00585E73"/>
    <w:rsid w:val="00585F0A"/>
    <w:rsid w:val="00585F94"/>
    <w:rsid w:val="00586222"/>
    <w:rsid w:val="00586450"/>
    <w:rsid w:val="00586494"/>
    <w:rsid w:val="005864DC"/>
    <w:rsid w:val="00586558"/>
    <w:rsid w:val="0058665F"/>
    <w:rsid w:val="00586670"/>
    <w:rsid w:val="00586699"/>
    <w:rsid w:val="005867F8"/>
    <w:rsid w:val="00586829"/>
    <w:rsid w:val="0058688B"/>
    <w:rsid w:val="005868CF"/>
    <w:rsid w:val="00586918"/>
    <w:rsid w:val="0058693B"/>
    <w:rsid w:val="00586AF4"/>
    <w:rsid w:val="00586D1A"/>
    <w:rsid w:val="00586D38"/>
    <w:rsid w:val="00586E05"/>
    <w:rsid w:val="00586F13"/>
    <w:rsid w:val="00586F5D"/>
    <w:rsid w:val="00586F96"/>
    <w:rsid w:val="00587069"/>
    <w:rsid w:val="00587079"/>
    <w:rsid w:val="00587174"/>
    <w:rsid w:val="005871E5"/>
    <w:rsid w:val="00587223"/>
    <w:rsid w:val="0058746C"/>
    <w:rsid w:val="005874C7"/>
    <w:rsid w:val="00587622"/>
    <w:rsid w:val="00587670"/>
    <w:rsid w:val="00587818"/>
    <w:rsid w:val="0058787E"/>
    <w:rsid w:val="0058796C"/>
    <w:rsid w:val="00587AA4"/>
    <w:rsid w:val="00587D08"/>
    <w:rsid w:val="00587D4E"/>
    <w:rsid w:val="00587D8C"/>
    <w:rsid w:val="00587E3C"/>
    <w:rsid w:val="00587E64"/>
    <w:rsid w:val="00587F62"/>
    <w:rsid w:val="00590079"/>
    <w:rsid w:val="005902C2"/>
    <w:rsid w:val="005902C4"/>
    <w:rsid w:val="00590521"/>
    <w:rsid w:val="00590535"/>
    <w:rsid w:val="005905EE"/>
    <w:rsid w:val="0059069F"/>
    <w:rsid w:val="005906A3"/>
    <w:rsid w:val="005906FA"/>
    <w:rsid w:val="0059075C"/>
    <w:rsid w:val="00590817"/>
    <w:rsid w:val="0059090B"/>
    <w:rsid w:val="00590968"/>
    <w:rsid w:val="00590CB1"/>
    <w:rsid w:val="00590CF3"/>
    <w:rsid w:val="00590E76"/>
    <w:rsid w:val="00590EEB"/>
    <w:rsid w:val="00590F74"/>
    <w:rsid w:val="00590F86"/>
    <w:rsid w:val="00591147"/>
    <w:rsid w:val="0059124C"/>
    <w:rsid w:val="00591509"/>
    <w:rsid w:val="00591677"/>
    <w:rsid w:val="005917D5"/>
    <w:rsid w:val="00591974"/>
    <w:rsid w:val="005919EB"/>
    <w:rsid w:val="00591C73"/>
    <w:rsid w:val="00591D1A"/>
    <w:rsid w:val="00591E48"/>
    <w:rsid w:val="00591FD1"/>
    <w:rsid w:val="00592055"/>
    <w:rsid w:val="005920EC"/>
    <w:rsid w:val="0059217D"/>
    <w:rsid w:val="00592318"/>
    <w:rsid w:val="005923C5"/>
    <w:rsid w:val="005924C9"/>
    <w:rsid w:val="005924E1"/>
    <w:rsid w:val="00592710"/>
    <w:rsid w:val="00592762"/>
    <w:rsid w:val="005927D9"/>
    <w:rsid w:val="00592842"/>
    <w:rsid w:val="00592878"/>
    <w:rsid w:val="00592882"/>
    <w:rsid w:val="00592956"/>
    <w:rsid w:val="005929FD"/>
    <w:rsid w:val="00592A6A"/>
    <w:rsid w:val="00592A72"/>
    <w:rsid w:val="00592C90"/>
    <w:rsid w:val="00592D05"/>
    <w:rsid w:val="00592DA2"/>
    <w:rsid w:val="00592E4F"/>
    <w:rsid w:val="0059302D"/>
    <w:rsid w:val="005931A5"/>
    <w:rsid w:val="005932D7"/>
    <w:rsid w:val="00593352"/>
    <w:rsid w:val="005933E0"/>
    <w:rsid w:val="005933EC"/>
    <w:rsid w:val="005934E0"/>
    <w:rsid w:val="00593521"/>
    <w:rsid w:val="00593606"/>
    <w:rsid w:val="00593622"/>
    <w:rsid w:val="00593639"/>
    <w:rsid w:val="0059368A"/>
    <w:rsid w:val="005936A6"/>
    <w:rsid w:val="005936A7"/>
    <w:rsid w:val="005936AE"/>
    <w:rsid w:val="0059387A"/>
    <w:rsid w:val="0059393A"/>
    <w:rsid w:val="00593A86"/>
    <w:rsid w:val="00593B20"/>
    <w:rsid w:val="00593B37"/>
    <w:rsid w:val="00593BAE"/>
    <w:rsid w:val="00593BD8"/>
    <w:rsid w:val="00593C21"/>
    <w:rsid w:val="00593DA8"/>
    <w:rsid w:val="00593DB3"/>
    <w:rsid w:val="00593DCE"/>
    <w:rsid w:val="00593E8B"/>
    <w:rsid w:val="00593F77"/>
    <w:rsid w:val="00593F94"/>
    <w:rsid w:val="00594185"/>
    <w:rsid w:val="005941EC"/>
    <w:rsid w:val="00594315"/>
    <w:rsid w:val="005943A7"/>
    <w:rsid w:val="0059440A"/>
    <w:rsid w:val="00594485"/>
    <w:rsid w:val="00594536"/>
    <w:rsid w:val="00594552"/>
    <w:rsid w:val="00594628"/>
    <w:rsid w:val="0059468E"/>
    <w:rsid w:val="00594745"/>
    <w:rsid w:val="0059475B"/>
    <w:rsid w:val="00594761"/>
    <w:rsid w:val="0059483F"/>
    <w:rsid w:val="0059499C"/>
    <w:rsid w:val="00594A50"/>
    <w:rsid w:val="00594BBA"/>
    <w:rsid w:val="00594C8C"/>
    <w:rsid w:val="00594DA7"/>
    <w:rsid w:val="00594DA9"/>
    <w:rsid w:val="00594E6E"/>
    <w:rsid w:val="00594F5B"/>
    <w:rsid w:val="005950B5"/>
    <w:rsid w:val="005951EF"/>
    <w:rsid w:val="00595264"/>
    <w:rsid w:val="005952B5"/>
    <w:rsid w:val="00595353"/>
    <w:rsid w:val="0059545F"/>
    <w:rsid w:val="0059564C"/>
    <w:rsid w:val="00595651"/>
    <w:rsid w:val="005956AB"/>
    <w:rsid w:val="005959B5"/>
    <w:rsid w:val="005959ED"/>
    <w:rsid w:val="00595AF3"/>
    <w:rsid w:val="00595B74"/>
    <w:rsid w:val="00595B76"/>
    <w:rsid w:val="00595BBE"/>
    <w:rsid w:val="00595C3A"/>
    <w:rsid w:val="00595C65"/>
    <w:rsid w:val="00595E2A"/>
    <w:rsid w:val="00595EA2"/>
    <w:rsid w:val="005960C6"/>
    <w:rsid w:val="0059613E"/>
    <w:rsid w:val="0059619B"/>
    <w:rsid w:val="005962B6"/>
    <w:rsid w:val="00596401"/>
    <w:rsid w:val="005964B5"/>
    <w:rsid w:val="00596602"/>
    <w:rsid w:val="005966EA"/>
    <w:rsid w:val="00596740"/>
    <w:rsid w:val="005967D4"/>
    <w:rsid w:val="00596828"/>
    <w:rsid w:val="00596885"/>
    <w:rsid w:val="00596958"/>
    <w:rsid w:val="005969D8"/>
    <w:rsid w:val="00596A52"/>
    <w:rsid w:val="00596AC7"/>
    <w:rsid w:val="00596B33"/>
    <w:rsid w:val="00596D0E"/>
    <w:rsid w:val="00597287"/>
    <w:rsid w:val="005972AA"/>
    <w:rsid w:val="0059731D"/>
    <w:rsid w:val="0059736E"/>
    <w:rsid w:val="00597608"/>
    <w:rsid w:val="005976B9"/>
    <w:rsid w:val="005976E2"/>
    <w:rsid w:val="005977A5"/>
    <w:rsid w:val="005977CB"/>
    <w:rsid w:val="005977D3"/>
    <w:rsid w:val="005977D9"/>
    <w:rsid w:val="005977FD"/>
    <w:rsid w:val="00597A76"/>
    <w:rsid w:val="00597AB7"/>
    <w:rsid w:val="00597B7A"/>
    <w:rsid w:val="00597BEF"/>
    <w:rsid w:val="00597C8E"/>
    <w:rsid w:val="00597DCA"/>
    <w:rsid w:val="00597E22"/>
    <w:rsid w:val="00597E24"/>
    <w:rsid w:val="00597F10"/>
    <w:rsid w:val="00597F51"/>
    <w:rsid w:val="005A0002"/>
    <w:rsid w:val="005A0037"/>
    <w:rsid w:val="005A006E"/>
    <w:rsid w:val="005A00CE"/>
    <w:rsid w:val="005A0266"/>
    <w:rsid w:val="005A032C"/>
    <w:rsid w:val="005A04EF"/>
    <w:rsid w:val="005A070F"/>
    <w:rsid w:val="005A0936"/>
    <w:rsid w:val="005A0A3F"/>
    <w:rsid w:val="005A0AE4"/>
    <w:rsid w:val="005A0D80"/>
    <w:rsid w:val="005A0DD9"/>
    <w:rsid w:val="005A0EB0"/>
    <w:rsid w:val="005A1040"/>
    <w:rsid w:val="005A1074"/>
    <w:rsid w:val="005A1126"/>
    <w:rsid w:val="005A11D1"/>
    <w:rsid w:val="005A11DD"/>
    <w:rsid w:val="005A11FD"/>
    <w:rsid w:val="005A1200"/>
    <w:rsid w:val="005A13A8"/>
    <w:rsid w:val="005A14CB"/>
    <w:rsid w:val="005A14E9"/>
    <w:rsid w:val="005A14F1"/>
    <w:rsid w:val="005A15B2"/>
    <w:rsid w:val="005A1719"/>
    <w:rsid w:val="005A17F6"/>
    <w:rsid w:val="005A1896"/>
    <w:rsid w:val="005A18A0"/>
    <w:rsid w:val="005A1A08"/>
    <w:rsid w:val="005A1A34"/>
    <w:rsid w:val="005A1A66"/>
    <w:rsid w:val="005A1A75"/>
    <w:rsid w:val="005A1B0B"/>
    <w:rsid w:val="005A1B91"/>
    <w:rsid w:val="005A1BED"/>
    <w:rsid w:val="005A1C07"/>
    <w:rsid w:val="005A1C0F"/>
    <w:rsid w:val="005A1D90"/>
    <w:rsid w:val="005A1DCC"/>
    <w:rsid w:val="005A1E34"/>
    <w:rsid w:val="005A1E93"/>
    <w:rsid w:val="005A1FC0"/>
    <w:rsid w:val="005A1FE6"/>
    <w:rsid w:val="005A2046"/>
    <w:rsid w:val="005A213C"/>
    <w:rsid w:val="005A226C"/>
    <w:rsid w:val="005A249A"/>
    <w:rsid w:val="005A252D"/>
    <w:rsid w:val="005A2595"/>
    <w:rsid w:val="005A2684"/>
    <w:rsid w:val="005A2867"/>
    <w:rsid w:val="005A2871"/>
    <w:rsid w:val="005A2A08"/>
    <w:rsid w:val="005A2A2B"/>
    <w:rsid w:val="005A2BCD"/>
    <w:rsid w:val="005A2BF1"/>
    <w:rsid w:val="005A2CB8"/>
    <w:rsid w:val="005A2CE8"/>
    <w:rsid w:val="005A2E46"/>
    <w:rsid w:val="005A2E52"/>
    <w:rsid w:val="005A2E7C"/>
    <w:rsid w:val="005A2E84"/>
    <w:rsid w:val="005A2EE5"/>
    <w:rsid w:val="005A2FC9"/>
    <w:rsid w:val="005A305C"/>
    <w:rsid w:val="005A30D0"/>
    <w:rsid w:val="005A30EE"/>
    <w:rsid w:val="005A31D5"/>
    <w:rsid w:val="005A3389"/>
    <w:rsid w:val="005A33AB"/>
    <w:rsid w:val="005A33CE"/>
    <w:rsid w:val="005A3548"/>
    <w:rsid w:val="005A37DD"/>
    <w:rsid w:val="005A37E0"/>
    <w:rsid w:val="005A39D4"/>
    <w:rsid w:val="005A3AA5"/>
    <w:rsid w:val="005A3B07"/>
    <w:rsid w:val="005A3C43"/>
    <w:rsid w:val="005A3C8B"/>
    <w:rsid w:val="005A3E10"/>
    <w:rsid w:val="005A3E41"/>
    <w:rsid w:val="005A3FED"/>
    <w:rsid w:val="005A4032"/>
    <w:rsid w:val="005A4053"/>
    <w:rsid w:val="005A406C"/>
    <w:rsid w:val="005A440A"/>
    <w:rsid w:val="005A443A"/>
    <w:rsid w:val="005A4445"/>
    <w:rsid w:val="005A4468"/>
    <w:rsid w:val="005A4569"/>
    <w:rsid w:val="005A46B8"/>
    <w:rsid w:val="005A48B0"/>
    <w:rsid w:val="005A48CF"/>
    <w:rsid w:val="005A4944"/>
    <w:rsid w:val="005A4A46"/>
    <w:rsid w:val="005A4A4F"/>
    <w:rsid w:val="005A4D45"/>
    <w:rsid w:val="005A4D4B"/>
    <w:rsid w:val="005A4D92"/>
    <w:rsid w:val="005A4F0C"/>
    <w:rsid w:val="005A4F14"/>
    <w:rsid w:val="005A4FCB"/>
    <w:rsid w:val="005A5280"/>
    <w:rsid w:val="005A52EA"/>
    <w:rsid w:val="005A53F7"/>
    <w:rsid w:val="005A5478"/>
    <w:rsid w:val="005A54AD"/>
    <w:rsid w:val="005A54E8"/>
    <w:rsid w:val="005A54EF"/>
    <w:rsid w:val="005A54F4"/>
    <w:rsid w:val="005A55FF"/>
    <w:rsid w:val="005A57D3"/>
    <w:rsid w:val="005A5876"/>
    <w:rsid w:val="005A58FA"/>
    <w:rsid w:val="005A595E"/>
    <w:rsid w:val="005A5967"/>
    <w:rsid w:val="005A59FC"/>
    <w:rsid w:val="005A5A1A"/>
    <w:rsid w:val="005A5A61"/>
    <w:rsid w:val="005A5A65"/>
    <w:rsid w:val="005A5A67"/>
    <w:rsid w:val="005A5B22"/>
    <w:rsid w:val="005A5B49"/>
    <w:rsid w:val="005A5BC5"/>
    <w:rsid w:val="005A5C20"/>
    <w:rsid w:val="005A5CDE"/>
    <w:rsid w:val="005A5DA6"/>
    <w:rsid w:val="005A5E6A"/>
    <w:rsid w:val="005A5FE3"/>
    <w:rsid w:val="005A6177"/>
    <w:rsid w:val="005A6196"/>
    <w:rsid w:val="005A61BE"/>
    <w:rsid w:val="005A61C3"/>
    <w:rsid w:val="005A622A"/>
    <w:rsid w:val="005A63C0"/>
    <w:rsid w:val="005A63F2"/>
    <w:rsid w:val="005A6410"/>
    <w:rsid w:val="005A64E8"/>
    <w:rsid w:val="005A6611"/>
    <w:rsid w:val="005A6657"/>
    <w:rsid w:val="005A668F"/>
    <w:rsid w:val="005A685E"/>
    <w:rsid w:val="005A6B6D"/>
    <w:rsid w:val="005A6B91"/>
    <w:rsid w:val="005A6C54"/>
    <w:rsid w:val="005A6DE9"/>
    <w:rsid w:val="005A6E69"/>
    <w:rsid w:val="005A6E83"/>
    <w:rsid w:val="005A6EF0"/>
    <w:rsid w:val="005A6F57"/>
    <w:rsid w:val="005A6F86"/>
    <w:rsid w:val="005A7187"/>
    <w:rsid w:val="005A721C"/>
    <w:rsid w:val="005A7254"/>
    <w:rsid w:val="005A735B"/>
    <w:rsid w:val="005A7382"/>
    <w:rsid w:val="005A73B0"/>
    <w:rsid w:val="005A7437"/>
    <w:rsid w:val="005A7494"/>
    <w:rsid w:val="005A74E9"/>
    <w:rsid w:val="005A751B"/>
    <w:rsid w:val="005A7604"/>
    <w:rsid w:val="005A760D"/>
    <w:rsid w:val="005A7747"/>
    <w:rsid w:val="005A776F"/>
    <w:rsid w:val="005A7799"/>
    <w:rsid w:val="005A77C0"/>
    <w:rsid w:val="005A77E7"/>
    <w:rsid w:val="005A7938"/>
    <w:rsid w:val="005A7958"/>
    <w:rsid w:val="005A79CD"/>
    <w:rsid w:val="005A7A76"/>
    <w:rsid w:val="005A7C4C"/>
    <w:rsid w:val="005A7C54"/>
    <w:rsid w:val="005A7C95"/>
    <w:rsid w:val="005A7CE2"/>
    <w:rsid w:val="005A7E26"/>
    <w:rsid w:val="005A7E96"/>
    <w:rsid w:val="005A7EA7"/>
    <w:rsid w:val="005A7F76"/>
    <w:rsid w:val="005B0015"/>
    <w:rsid w:val="005B0017"/>
    <w:rsid w:val="005B0054"/>
    <w:rsid w:val="005B00FF"/>
    <w:rsid w:val="005B032F"/>
    <w:rsid w:val="005B0356"/>
    <w:rsid w:val="005B03A8"/>
    <w:rsid w:val="005B0487"/>
    <w:rsid w:val="005B064C"/>
    <w:rsid w:val="005B07BD"/>
    <w:rsid w:val="005B0875"/>
    <w:rsid w:val="005B094D"/>
    <w:rsid w:val="005B0A01"/>
    <w:rsid w:val="005B0B04"/>
    <w:rsid w:val="005B0C23"/>
    <w:rsid w:val="005B0C73"/>
    <w:rsid w:val="005B0CBE"/>
    <w:rsid w:val="005B0DD4"/>
    <w:rsid w:val="005B0EB1"/>
    <w:rsid w:val="005B0F70"/>
    <w:rsid w:val="005B0F8A"/>
    <w:rsid w:val="005B10F6"/>
    <w:rsid w:val="005B11E9"/>
    <w:rsid w:val="005B1248"/>
    <w:rsid w:val="005B136D"/>
    <w:rsid w:val="005B13F9"/>
    <w:rsid w:val="005B143E"/>
    <w:rsid w:val="005B1481"/>
    <w:rsid w:val="005B148D"/>
    <w:rsid w:val="005B148E"/>
    <w:rsid w:val="005B14C1"/>
    <w:rsid w:val="005B155D"/>
    <w:rsid w:val="005B166A"/>
    <w:rsid w:val="005B169F"/>
    <w:rsid w:val="005B17A5"/>
    <w:rsid w:val="005B1868"/>
    <w:rsid w:val="005B190D"/>
    <w:rsid w:val="005B1C30"/>
    <w:rsid w:val="005B1C48"/>
    <w:rsid w:val="005B1CC2"/>
    <w:rsid w:val="005B1DDD"/>
    <w:rsid w:val="005B1E27"/>
    <w:rsid w:val="005B1E31"/>
    <w:rsid w:val="005B1FD2"/>
    <w:rsid w:val="005B1FDC"/>
    <w:rsid w:val="005B210D"/>
    <w:rsid w:val="005B2197"/>
    <w:rsid w:val="005B21CF"/>
    <w:rsid w:val="005B247D"/>
    <w:rsid w:val="005B24EA"/>
    <w:rsid w:val="005B25E9"/>
    <w:rsid w:val="005B260A"/>
    <w:rsid w:val="005B26D1"/>
    <w:rsid w:val="005B28C8"/>
    <w:rsid w:val="005B2A31"/>
    <w:rsid w:val="005B2A37"/>
    <w:rsid w:val="005B2B0B"/>
    <w:rsid w:val="005B2B32"/>
    <w:rsid w:val="005B2B3E"/>
    <w:rsid w:val="005B2BC0"/>
    <w:rsid w:val="005B2C00"/>
    <w:rsid w:val="005B2C8A"/>
    <w:rsid w:val="005B2DA0"/>
    <w:rsid w:val="005B2DC9"/>
    <w:rsid w:val="005B2EF1"/>
    <w:rsid w:val="005B2F82"/>
    <w:rsid w:val="005B2F92"/>
    <w:rsid w:val="005B30C4"/>
    <w:rsid w:val="005B30CE"/>
    <w:rsid w:val="005B30D7"/>
    <w:rsid w:val="005B30E5"/>
    <w:rsid w:val="005B31DC"/>
    <w:rsid w:val="005B32CD"/>
    <w:rsid w:val="005B32E1"/>
    <w:rsid w:val="005B32F6"/>
    <w:rsid w:val="005B32F9"/>
    <w:rsid w:val="005B3414"/>
    <w:rsid w:val="005B3493"/>
    <w:rsid w:val="005B357A"/>
    <w:rsid w:val="005B35A2"/>
    <w:rsid w:val="005B35E9"/>
    <w:rsid w:val="005B3800"/>
    <w:rsid w:val="005B39A5"/>
    <w:rsid w:val="005B3AB2"/>
    <w:rsid w:val="005B3BFB"/>
    <w:rsid w:val="005B3C12"/>
    <w:rsid w:val="005B3C92"/>
    <w:rsid w:val="005B3CAB"/>
    <w:rsid w:val="005B3CF4"/>
    <w:rsid w:val="005B3F84"/>
    <w:rsid w:val="005B405F"/>
    <w:rsid w:val="005B40AC"/>
    <w:rsid w:val="005B40C0"/>
    <w:rsid w:val="005B40DC"/>
    <w:rsid w:val="005B41F6"/>
    <w:rsid w:val="005B4220"/>
    <w:rsid w:val="005B4269"/>
    <w:rsid w:val="005B42BE"/>
    <w:rsid w:val="005B4387"/>
    <w:rsid w:val="005B440F"/>
    <w:rsid w:val="005B4414"/>
    <w:rsid w:val="005B4420"/>
    <w:rsid w:val="005B4424"/>
    <w:rsid w:val="005B4561"/>
    <w:rsid w:val="005B45B7"/>
    <w:rsid w:val="005B45EE"/>
    <w:rsid w:val="005B4617"/>
    <w:rsid w:val="005B46D2"/>
    <w:rsid w:val="005B476C"/>
    <w:rsid w:val="005B47D3"/>
    <w:rsid w:val="005B47DB"/>
    <w:rsid w:val="005B4AA4"/>
    <w:rsid w:val="005B4B48"/>
    <w:rsid w:val="005B4BA7"/>
    <w:rsid w:val="005B4C14"/>
    <w:rsid w:val="005B4C6F"/>
    <w:rsid w:val="005B4D19"/>
    <w:rsid w:val="005B4D82"/>
    <w:rsid w:val="005B4DB0"/>
    <w:rsid w:val="005B4E0B"/>
    <w:rsid w:val="005B4E74"/>
    <w:rsid w:val="005B5013"/>
    <w:rsid w:val="005B5163"/>
    <w:rsid w:val="005B51C6"/>
    <w:rsid w:val="005B5235"/>
    <w:rsid w:val="005B52DD"/>
    <w:rsid w:val="005B532A"/>
    <w:rsid w:val="005B53B5"/>
    <w:rsid w:val="005B545A"/>
    <w:rsid w:val="005B552E"/>
    <w:rsid w:val="005B553B"/>
    <w:rsid w:val="005B55DE"/>
    <w:rsid w:val="005B563B"/>
    <w:rsid w:val="005B56EF"/>
    <w:rsid w:val="005B571E"/>
    <w:rsid w:val="005B57CE"/>
    <w:rsid w:val="005B58FF"/>
    <w:rsid w:val="005B5926"/>
    <w:rsid w:val="005B5A12"/>
    <w:rsid w:val="005B5BCD"/>
    <w:rsid w:val="005B5CFB"/>
    <w:rsid w:val="005B5E3A"/>
    <w:rsid w:val="005B5E42"/>
    <w:rsid w:val="005B5E9B"/>
    <w:rsid w:val="005B5EB3"/>
    <w:rsid w:val="005B5FA3"/>
    <w:rsid w:val="005B6030"/>
    <w:rsid w:val="005B607A"/>
    <w:rsid w:val="005B62B7"/>
    <w:rsid w:val="005B6329"/>
    <w:rsid w:val="005B63DF"/>
    <w:rsid w:val="005B6498"/>
    <w:rsid w:val="005B6504"/>
    <w:rsid w:val="005B65C0"/>
    <w:rsid w:val="005B6666"/>
    <w:rsid w:val="005B667E"/>
    <w:rsid w:val="005B6750"/>
    <w:rsid w:val="005B678F"/>
    <w:rsid w:val="005B67BB"/>
    <w:rsid w:val="005B67CC"/>
    <w:rsid w:val="005B698D"/>
    <w:rsid w:val="005B6A36"/>
    <w:rsid w:val="005B6A90"/>
    <w:rsid w:val="005B6B16"/>
    <w:rsid w:val="005B6B25"/>
    <w:rsid w:val="005B6C03"/>
    <w:rsid w:val="005B6DD0"/>
    <w:rsid w:val="005B6E83"/>
    <w:rsid w:val="005B719B"/>
    <w:rsid w:val="005B71F9"/>
    <w:rsid w:val="005B73A4"/>
    <w:rsid w:val="005B73F3"/>
    <w:rsid w:val="005B747D"/>
    <w:rsid w:val="005B7511"/>
    <w:rsid w:val="005B75CA"/>
    <w:rsid w:val="005B75ED"/>
    <w:rsid w:val="005B7613"/>
    <w:rsid w:val="005B783D"/>
    <w:rsid w:val="005B7999"/>
    <w:rsid w:val="005B79E6"/>
    <w:rsid w:val="005B7A11"/>
    <w:rsid w:val="005B7BE6"/>
    <w:rsid w:val="005B7C21"/>
    <w:rsid w:val="005B7C7A"/>
    <w:rsid w:val="005B7D93"/>
    <w:rsid w:val="005B7D9A"/>
    <w:rsid w:val="005B7E26"/>
    <w:rsid w:val="005B7E33"/>
    <w:rsid w:val="005B7F08"/>
    <w:rsid w:val="005C005F"/>
    <w:rsid w:val="005C007C"/>
    <w:rsid w:val="005C012B"/>
    <w:rsid w:val="005C02E0"/>
    <w:rsid w:val="005C04D5"/>
    <w:rsid w:val="005C0518"/>
    <w:rsid w:val="005C0596"/>
    <w:rsid w:val="005C0675"/>
    <w:rsid w:val="005C0AB0"/>
    <w:rsid w:val="005C0B7B"/>
    <w:rsid w:val="005C0D29"/>
    <w:rsid w:val="005C0DF9"/>
    <w:rsid w:val="005C0F84"/>
    <w:rsid w:val="005C0FA0"/>
    <w:rsid w:val="005C0FBC"/>
    <w:rsid w:val="005C105D"/>
    <w:rsid w:val="005C1146"/>
    <w:rsid w:val="005C1151"/>
    <w:rsid w:val="005C1277"/>
    <w:rsid w:val="005C1298"/>
    <w:rsid w:val="005C129B"/>
    <w:rsid w:val="005C12B0"/>
    <w:rsid w:val="005C12C6"/>
    <w:rsid w:val="005C1333"/>
    <w:rsid w:val="005C1365"/>
    <w:rsid w:val="005C13D8"/>
    <w:rsid w:val="005C141A"/>
    <w:rsid w:val="005C146B"/>
    <w:rsid w:val="005C156F"/>
    <w:rsid w:val="005C168C"/>
    <w:rsid w:val="005C1721"/>
    <w:rsid w:val="005C1835"/>
    <w:rsid w:val="005C18A3"/>
    <w:rsid w:val="005C195A"/>
    <w:rsid w:val="005C1A3A"/>
    <w:rsid w:val="005C1A84"/>
    <w:rsid w:val="005C1AE7"/>
    <w:rsid w:val="005C1CEB"/>
    <w:rsid w:val="005C1D67"/>
    <w:rsid w:val="005C1D6A"/>
    <w:rsid w:val="005C1DC4"/>
    <w:rsid w:val="005C1E0A"/>
    <w:rsid w:val="005C1E46"/>
    <w:rsid w:val="005C1F91"/>
    <w:rsid w:val="005C2013"/>
    <w:rsid w:val="005C205D"/>
    <w:rsid w:val="005C21E8"/>
    <w:rsid w:val="005C22F5"/>
    <w:rsid w:val="005C234E"/>
    <w:rsid w:val="005C2443"/>
    <w:rsid w:val="005C24FC"/>
    <w:rsid w:val="005C2526"/>
    <w:rsid w:val="005C25B7"/>
    <w:rsid w:val="005C2724"/>
    <w:rsid w:val="005C2789"/>
    <w:rsid w:val="005C27AE"/>
    <w:rsid w:val="005C2818"/>
    <w:rsid w:val="005C291A"/>
    <w:rsid w:val="005C29F0"/>
    <w:rsid w:val="005C2A1D"/>
    <w:rsid w:val="005C2B9F"/>
    <w:rsid w:val="005C2C10"/>
    <w:rsid w:val="005C2C41"/>
    <w:rsid w:val="005C2DAC"/>
    <w:rsid w:val="005C2DC2"/>
    <w:rsid w:val="005C2EBF"/>
    <w:rsid w:val="005C2ECD"/>
    <w:rsid w:val="005C2F1F"/>
    <w:rsid w:val="005C2F2D"/>
    <w:rsid w:val="005C2F47"/>
    <w:rsid w:val="005C2F53"/>
    <w:rsid w:val="005C2FF7"/>
    <w:rsid w:val="005C300C"/>
    <w:rsid w:val="005C3022"/>
    <w:rsid w:val="005C30BA"/>
    <w:rsid w:val="005C30D3"/>
    <w:rsid w:val="005C3129"/>
    <w:rsid w:val="005C314A"/>
    <w:rsid w:val="005C3153"/>
    <w:rsid w:val="005C31B5"/>
    <w:rsid w:val="005C31CD"/>
    <w:rsid w:val="005C33B7"/>
    <w:rsid w:val="005C33BF"/>
    <w:rsid w:val="005C3403"/>
    <w:rsid w:val="005C3574"/>
    <w:rsid w:val="005C36C2"/>
    <w:rsid w:val="005C3743"/>
    <w:rsid w:val="005C378A"/>
    <w:rsid w:val="005C37AE"/>
    <w:rsid w:val="005C37C1"/>
    <w:rsid w:val="005C37C2"/>
    <w:rsid w:val="005C383E"/>
    <w:rsid w:val="005C38E3"/>
    <w:rsid w:val="005C392F"/>
    <w:rsid w:val="005C39D6"/>
    <w:rsid w:val="005C3BBD"/>
    <w:rsid w:val="005C3D18"/>
    <w:rsid w:val="005C3DCD"/>
    <w:rsid w:val="005C3DDD"/>
    <w:rsid w:val="005C3E18"/>
    <w:rsid w:val="005C3E29"/>
    <w:rsid w:val="005C3E37"/>
    <w:rsid w:val="005C3EB3"/>
    <w:rsid w:val="005C3FA4"/>
    <w:rsid w:val="005C4057"/>
    <w:rsid w:val="005C4109"/>
    <w:rsid w:val="005C4140"/>
    <w:rsid w:val="005C41CE"/>
    <w:rsid w:val="005C43ED"/>
    <w:rsid w:val="005C440D"/>
    <w:rsid w:val="005C447F"/>
    <w:rsid w:val="005C44BC"/>
    <w:rsid w:val="005C44C7"/>
    <w:rsid w:val="005C4524"/>
    <w:rsid w:val="005C4614"/>
    <w:rsid w:val="005C4725"/>
    <w:rsid w:val="005C47BD"/>
    <w:rsid w:val="005C4852"/>
    <w:rsid w:val="005C4917"/>
    <w:rsid w:val="005C497D"/>
    <w:rsid w:val="005C4A61"/>
    <w:rsid w:val="005C4A73"/>
    <w:rsid w:val="005C4B6F"/>
    <w:rsid w:val="005C4CE5"/>
    <w:rsid w:val="005C4DD0"/>
    <w:rsid w:val="005C4F2C"/>
    <w:rsid w:val="005C52BF"/>
    <w:rsid w:val="005C5305"/>
    <w:rsid w:val="005C530D"/>
    <w:rsid w:val="005C534B"/>
    <w:rsid w:val="005C53A7"/>
    <w:rsid w:val="005C53BA"/>
    <w:rsid w:val="005C53F0"/>
    <w:rsid w:val="005C5437"/>
    <w:rsid w:val="005C5489"/>
    <w:rsid w:val="005C54D5"/>
    <w:rsid w:val="005C556F"/>
    <w:rsid w:val="005C55AF"/>
    <w:rsid w:val="005C560E"/>
    <w:rsid w:val="005C56A2"/>
    <w:rsid w:val="005C579B"/>
    <w:rsid w:val="005C586D"/>
    <w:rsid w:val="005C591B"/>
    <w:rsid w:val="005C5AEC"/>
    <w:rsid w:val="005C5BB6"/>
    <w:rsid w:val="005C5CF0"/>
    <w:rsid w:val="005C5D12"/>
    <w:rsid w:val="005C5D31"/>
    <w:rsid w:val="005C5DDC"/>
    <w:rsid w:val="005C5F37"/>
    <w:rsid w:val="005C5FE4"/>
    <w:rsid w:val="005C605D"/>
    <w:rsid w:val="005C6197"/>
    <w:rsid w:val="005C632A"/>
    <w:rsid w:val="005C6376"/>
    <w:rsid w:val="005C64A0"/>
    <w:rsid w:val="005C64E9"/>
    <w:rsid w:val="005C6666"/>
    <w:rsid w:val="005C6AFF"/>
    <w:rsid w:val="005C6B34"/>
    <w:rsid w:val="005C6B85"/>
    <w:rsid w:val="005C6BF1"/>
    <w:rsid w:val="005C6BF2"/>
    <w:rsid w:val="005C6CCB"/>
    <w:rsid w:val="005C6D0B"/>
    <w:rsid w:val="005C6D2B"/>
    <w:rsid w:val="005C6D61"/>
    <w:rsid w:val="005C6E9A"/>
    <w:rsid w:val="005C6EE4"/>
    <w:rsid w:val="005C713B"/>
    <w:rsid w:val="005C71B8"/>
    <w:rsid w:val="005C71BE"/>
    <w:rsid w:val="005C7244"/>
    <w:rsid w:val="005C725A"/>
    <w:rsid w:val="005C72BA"/>
    <w:rsid w:val="005C72CE"/>
    <w:rsid w:val="005C72D9"/>
    <w:rsid w:val="005C7421"/>
    <w:rsid w:val="005C7484"/>
    <w:rsid w:val="005C7485"/>
    <w:rsid w:val="005C76BA"/>
    <w:rsid w:val="005C76E1"/>
    <w:rsid w:val="005C77FA"/>
    <w:rsid w:val="005C7859"/>
    <w:rsid w:val="005C7A34"/>
    <w:rsid w:val="005C7A82"/>
    <w:rsid w:val="005C7BEB"/>
    <w:rsid w:val="005C7C98"/>
    <w:rsid w:val="005C7CC2"/>
    <w:rsid w:val="005C7CEC"/>
    <w:rsid w:val="005C7D10"/>
    <w:rsid w:val="005C7D47"/>
    <w:rsid w:val="005C7D94"/>
    <w:rsid w:val="005C7E45"/>
    <w:rsid w:val="005C7E91"/>
    <w:rsid w:val="005D0028"/>
    <w:rsid w:val="005D016A"/>
    <w:rsid w:val="005D017B"/>
    <w:rsid w:val="005D02BB"/>
    <w:rsid w:val="005D030A"/>
    <w:rsid w:val="005D03AD"/>
    <w:rsid w:val="005D0420"/>
    <w:rsid w:val="005D0471"/>
    <w:rsid w:val="005D04F3"/>
    <w:rsid w:val="005D0533"/>
    <w:rsid w:val="005D06E1"/>
    <w:rsid w:val="005D06F1"/>
    <w:rsid w:val="005D07FC"/>
    <w:rsid w:val="005D0819"/>
    <w:rsid w:val="005D09B2"/>
    <w:rsid w:val="005D0A72"/>
    <w:rsid w:val="005D0AB2"/>
    <w:rsid w:val="005D0BE2"/>
    <w:rsid w:val="005D0C5B"/>
    <w:rsid w:val="005D0D04"/>
    <w:rsid w:val="005D0E05"/>
    <w:rsid w:val="005D0EFF"/>
    <w:rsid w:val="005D10E9"/>
    <w:rsid w:val="005D116E"/>
    <w:rsid w:val="005D11F0"/>
    <w:rsid w:val="005D1217"/>
    <w:rsid w:val="005D12EB"/>
    <w:rsid w:val="005D1377"/>
    <w:rsid w:val="005D13E2"/>
    <w:rsid w:val="005D1540"/>
    <w:rsid w:val="005D1569"/>
    <w:rsid w:val="005D15EC"/>
    <w:rsid w:val="005D167A"/>
    <w:rsid w:val="005D1783"/>
    <w:rsid w:val="005D1790"/>
    <w:rsid w:val="005D195D"/>
    <w:rsid w:val="005D196C"/>
    <w:rsid w:val="005D1A7B"/>
    <w:rsid w:val="005D1A85"/>
    <w:rsid w:val="005D1BF2"/>
    <w:rsid w:val="005D1C4A"/>
    <w:rsid w:val="005D1C8D"/>
    <w:rsid w:val="005D1D5B"/>
    <w:rsid w:val="005D1D75"/>
    <w:rsid w:val="005D1E2D"/>
    <w:rsid w:val="005D1F06"/>
    <w:rsid w:val="005D1F25"/>
    <w:rsid w:val="005D1FBB"/>
    <w:rsid w:val="005D2007"/>
    <w:rsid w:val="005D21EC"/>
    <w:rsid w:val="005D2280"/>
    <w:rsid w:val="005D22BD"/>
    <w:rsid w:val="005D22CF"/>
    <w:rsid w:val="005D22D8"/>
    <w:rsid w:val="005D230B"/>
    <w:rsid w:val="005D239F"/>
    <w:rsid w:val="005D2538"/>
    <w:rsid w:val="005D25C1"/>
    <w:rsid w:val="005D25D3"/>
    <w:rsid w:val="005D27FF"/>
    <w:rsid w:val="005D2858"/>
    <w:rsid w:val="005D2906"/>
    <w:rsid w:val="005D29E0"/>
    <w:rsid w:val="005D2A9A"/>
    <w:rsid w:val="005D2AA7"/>
    <w:rsid w:val="005D2AFB"/>
    <w:rsid w:val="005D2C59"/>
    <w:rsid w:val="005D2D29"/>
    <w:rsid w:val="005D2D4F"/>
    <w:rsid w:val="005D2E2F"/>
    <w:rsid w:val="005D2F63"/>
    <w:rsid w:val="005D2F7B"/>
    <w:rsid w:val="005D2F88"/>
    <w:rsid w:val="005D2FE6"/>
    <w:rsid w:val="005D3154"/>
    <w:rsid w:val="005D3419"/>
    <w:rsid w:val="005D34A2"/>
    <w:rsid w:val="005D35D7"/>
    <w:rsid w:val="005D36D8"/>
    <w:rsid w:val="005D3718"/>
    <w:rsid w:val="005D38A3"/>
    <w:rsid w:val="005D38EE"/>
    <w:rsid w:val="005D3900"/>
    <w:rsid w:val="005D3988"/>
    <w:rsid w:val="005D3A40"/>
    <w:rsid w:val="005D3B3A"/>
    <w:rsid w:val="005D3D51"/>
    <w:rsid w:val="005D3DD2"/>
    <w:rsid w:val="005D3DF5"/>
    <w:rsid w:val="005D3E23"/>
    <w:rsid w:val="005D3F25"/>
    <w:rsid w:val="005D4005"/>
    <w:rsid w:val="005D41D5"/>
    <w:rsid w:val="005D42CC"/>
    <w:rsid w:val="005D435C"/>
    <w:rsid w:val="005D437D"/>
    <w:rsid w:val="005D4390"/>
    <w:rsid w:val="005D439D"/>
    <w:rsid w:val="005D449C"/>
    <w:rsid w:val="005D44C8"/>
    <w:rsid w:val="005D4545"/>
    <w:rsid w:val="005D4593"/>
    <w:rsid w:val="005D4597"/>
    <w:rsid w:val="005D45F0"/>
    <w:rsid w:val="005D4651"/>
    <w:rsid w:val="005D471C"/>
    <w:rsid w:val="005D4721"/>
    <w:rsid w:val="005D4746"/>
    <w:rsid w:val="005D47AA"/>
    <w:rsid w:val="005D4834"/>
    <w:rsid w:val="005D4865"/>
    <w:rsid w:val="005D488C"/>
    <w:rsid w:val="005D4917"/>
    <w:rsid w:val="005D49B2"/>
    <w:rsid w:val="005D4AF7"/>
    <w:rsid w:val="005D4B13"/>
    <w:rsid w:val="005D4B9B"/>
    <w:rsid w:val="005D4B9E"/>
    <w:rsid w:val="005D4C00"/>
    <w:rsid w:val="005D4C26"/>
    <w:rsid w:val="005D4C64"/>
    <w:rsid w:val="005D4CC3"/>
    <w:rsid w:val="005D4CC8"/>
    <w:rsid w:val="005D4DBE"/>
    <w:rsid w:val="005D4FCB"/>
    <w:rsid w:val="005D512E"/>
    <w:rsid w:val="005D5282"/>
    <w:rsid w:val="005D52C5"/>
    <w:rsid w:val="005D542E"/>
    <w:rsid w:val="005D5461"/>
    <w:rsid w:val="005D5539"/>
    <w:rsid w:val="005D55BC"/>
    <w:rsid w:val="005D55BF"/>
    <w:rsid w:val="005D5687"/>
    <w:rsid w:val="005D56FE"/>
    <w:rsid w:val="005D5721"/>
    <w:rsid w:val="005D5740"/>
    <w:rsid w:val="005D574D"/>
    <w:rsid w:val="005D5794"/>
    <w:rsid w:val="005D57AC"/>
    <w:rsid w:val="005D57CB"/>
    <w:rsid w:val="005D57D8"/>
    <w:rsid w:val="005D5865"/>
    <w:rsid w:val="005D5913"/>
    <w:rsid w:val="005D59B3"/>
    <w:rsid w:val="005D5AEF"/>
    <w:rsid w:val="005D5B25"/>
    <w:rsid w:val="005D5D61"/>
    <w:rsid w:val="005D5DB4"/>
    <w:rsid w:val="005D5E17"/>
    <w:rsid w:val="005D5F9C"/>
    <w:rsid w:val="005D5FB8"/>
    <w:rsid w:val="005D6014"/>
    <w:rsid w:val="005D6108"/>
    <w:rsid w:val="005D61B4"/>
    <w:rsid w:val="005D61CC"/>
    <w:rsid w:val="005D623E"/>
    <w:rsid w:val="005D626E"/>
    <w:rsid w:val="005D62F4"/>
    <w:rsid w:val="005D6447"/>
    <w:rsid w:val="005D6604"/>
    <w:rsid w:val="005D6613"/>
    <w:rsid w:val="005D673D"/>
    <w:rsid w:val="005D6791"/>
    <w:rsid w:val="005D67AA"/>
    <w:rsid w:val="005D6848"/>
    <w:rsid w:val="005D69A7"/>
    <w:rsid w:val="005D6A0A"/>
    <w:rsid w:val="005D6B50"/>
    <w:rsid w:val="005D6B66"/>
    <w:rsid w:val="005D6BCA"/>
    <w:rsid w:val="005D6C90"/>
    <w:rsid w:val="005D6D22"/>
    <w:rsid w:val="005D6D84"/>
    <w:rsid w:val="005D6DE4"/>
    <w:rsid w:val="005D6EE0"/>
    <w:rsid w:val="005D6F97"/>
    <w:rsid w:val="005D71C3"/>
    <w:rsid w:val="005D72DE"/>
    <w:rsid w:val="005D730C"/>
    <w:rsid w:val="005D7315"/>
    <w:rsid w:val="005D7325"/>
    <w:rsid w:val="005D741B"/>
    <w:rsid w:val="005D747C"/>
    <w:rsid w:val="005D7482"/>
    <w:rsid w:val="005D7490"/>
    <w:rsid w:val="005D74A4"/>
    <w:rsid w:val="005D74BB"/>
    <w:rsid w:val="005D7511"/>
    <w:rsid w:val="005D7522"/>
    <w:rsid w:val="005D756F"/>
    <w:rsid w:val="005D77F4"/>
    <w:rsid w:val="005D7842"/>
    <w:rsid w:val="005D78DD"/>
    <w:rsid w:val="005D78F5"/>
    <w:rsid w:val="005D7982"/>
    <w:rsid w:val="005D798F"/>
    <w:rsid w:val="005D79FB"/>
    <w:rsid w:val="005D7A32"/>
    <w:rsid w:val="005D7A42"/>
    <w:rsid w:val="005D7A5D"/>
    <w:rsid w:val="005D7BAB"/>
    <w:rsid w:val="005D7C3D"/>
    <w:rsid w:val="005D7CD0"/>
    <w:rsid w:val="005D7D0D"/>
    <w:rsid w:val="005D7E06"/>
    <w:rsid w:val="005D7EDE"/>
    <w:rsid w:val="005D7F38"/>
    <w:rsid w:val="005D7F92"/>
    <w:rsid w:val="005E02C9"/>
    <w:rsid w:val="005E02D4"/>
    <w:rsid w:val="005E0326"/>
    <w:rsid w:val="005E03A8"/>
    <w:rsid w:val="005E0559"/>
    <w:rsid w:val="005E0587"/>
    <w:rsid w:val="005E05FE"/>
    <w:rsid w:val="005E06B5"/>
    <w:rsid w:val="005E079E"/>
    <w:rsid w:val="005E0932"/>
    <w:rsid w:val="005E0942"/>
    <w:rsid w:val="005E0957"/>
    <w:rsid w:val="005E0988"/>
    <w:rsid w:val="005E09D3"/>
    <w:rsid w:val="005E0A10"/>
    <w:rsid w:val="005E0C88"/>
    <w:rsid w:val="005E0CA7"/>
    <w:rsid w:val="005E0D7D"/>
    <w:rsid w:val="005E0E0E"/>
    <w:rsid w:val="005E0FE3"/>
    <w:rsid w:val="005E1190"/>
    <w:rsid w:val="005E11E0"/>
    <w:rsid w:val="005E1243"/>
    <w:rsid w:val="005E12BA"/>
    <w:rsid w:val="005E12D9"/>
    <w:rsid w:val="005E1371"/>
    <w:rsid w:val="005E1463"/>
    <w:rsid w:val="005E14A0"/>
    <w:rsid w:val="005E15D1"/>
    <w:rsid w:val="005E15DD"/>
    <w:rsid w:val="005E15F3"/>
    <w:rsid w:val="005E1682"/>
    <w:rsid w:val="005E184E"/>
    <w:rsid w:val="005E18F7"/>
    <w:rsid w:val="005E1902"/>
    <w:rsid w:val="005E1949"/>
    <w:rsid w:val="005E1A84"/>
    <w:rsid w:val="005E1BE2"/>
    <w:rsid w:val="005E1C0A"/>
    <w:rsid w:val="005E1C7F"/>
    <w:rsid w:val="005E1C93"/>
    <w:rsid w:val="005E1D44"/>
    <w:rsid w:val="005E1DA5"/>
    <w:rsid w:val="005E1F5E"/>
    <w:rsid w:val="005E20C3"/>
    <w:rsid w:val="005E20D8"/>
    <w:rsid w:val="005E22AB"/>
    <w:rsid w:val="005E2302"/>
    <w:rsid w:val="005E2365"/>
    <w:rsid w:val="005E23A6"/>
    <w:rsid w:val="005E2551"/>
    <w:rsid w:val="005E2605"/>
    <w:rsid w:val="005E263B"/>
    <w:rsid w:val="005E26CB"/>
    <w:rsid w:val="005E26F6"/>
    <w:rsid w:val="005E270C"/>
    <w:rsid w:val="005E2746"/>
    <w:rsid w:val="005E275E"/>
    <w:rsid w:val="005E282B"/>
    <w:rsid w:val="005E2944"/>
    <w:rsid w:val="005E29F9"/>
    <w:rsid w:val="005E2B17"/>
    <w:rsid w:val="005E2BC0"/>
    <w:rsid w:val="005E2BEF"/>
    <w:rsid w:val="005E2D27"/>
    <w:rsid w:val="005E2ECB"/>
    <w:rsid w:val="005E3033"/>
    <w:rsid w:val="005E30F1"/>
    <w:rsid w:val="005E30FC"/>
    <w:rsid w:val="005E3195"/>
    <w:rsid w:val="005E31B2"/>
    <w:rsid w:val="005E33DD"/>
    <w:rsid w:val="005E33EC"/>
    <w:rsid w:val="005E3458"/>
    <w:rsid w:val="005E3482"/>
    <w:rsid w:val="005E34FA"/>
    <w:rsid w:val="005E3525"/>
    <w:rsid w:val="005E3592"/>
    <w:rsid w:val="005E35FF"/>
    <w:rsid w:val="005E3662"/>
    <w:rsid w:val="005E37F3"/>
    <w:rsid w:val="005E386B"/>
    <w:rsid w:val="005E388E"/>
    <w:rsid w:val="005E38A5"/>
    <w:rsid w:val="005E3923"/>
    <w:rsid w:val="005E3BBB"/>
    <w:rsid w:val="005E3C5A"/>
    <w:rsid w:val="005E3D0B"/>
    <w:rsid w:val="005E3DC3"/>
    <w:rsid w:val="005E3F2B"/>
    <w:rsid w:val="005E3F61"/>
    <w:rsid w:val="005E3FA3"/>
    <w:rsid w:val="005E41F5"/>
    <w:rsid w:val="005E425E"/>
    <w:rsid w:val="005E433F"/>
    <w:rsid w:val="005E455B"/>
    <w:rsid w:val="005E45A6"/>
    <w:rsid w:val="005E47BC"/>
    <w:rsid w:val="005E480F"/>
    <w:rsid w:val="005E4824"/>
    <w:rsid w:val="005E48BA"/>
    <w:rsid w:val="005E4969"/>
    <w:rsid w:val="005E49A0"/>
    <w:rsid w:val="005E49ED"/>
    <w:rsid w:val="005E4AA0"/>
    <w:rsid w:val="005E4ACB"/>
    <w:rsid w:val="005E4B62"/>
    <w:rsid w:val="005E4BBB"/>
    <w:rsid w:val="005E4BD1"/>
    <w:rsid w:val="005E4CC8"/>
    <w:rsid w:val="005E4D39"/>
    <w:rsid w:val="005E4DE4"/>
    <w:rsid w:val="005E4DE8"/>
    <w:rsid w:val="005E4DFF"/>
    <w:rsid w:val="005E4E1A"/>
    <w:rsid w:val="005E4E51"/>
    <w:rsid w:val="005E4E61"/>
    <w:rsid w:val="005E4E6F"/>
    <w:rsid w:val="005E4EF4"/>
    <w:rsid w:val="005E4EFA"/>
    <w:rsid w:val="005E4F21"/>
    <w:rsid w:val="005E4F25"/>
    <w:rsid w:val="005E4F2B"/>
    <w:rsid w:val="005E4F36"/>
    <w:rsid w:val="005E4F3E"/>
    <w:rsid w:val="005E4F80"/>
    <w:rsid w:val="005E4F8B"/>
    <w:rsid w:val="005E4FAA"/>
    <w:rsid w:val="005E508D"/>
    <w:rsid w:val="005E50BF"/>
    <w:rsid w:val="005E5171"/>
    <w:rsid w:val="005E522B"/>
    <w:rsid w:val="005E52D2"/>
    <w:rsid w:val="005E52FD"/>
    <w:rsid w:val="005E53BC"/>
    <w:rsid w:val="005E54C9"/>
    <w:rsid w:val="005E556E"/>
    <w:rsid w:val="005E557F"/>
    <w:rsid w:val="005E5671"/>
    <w:rsid w:val="005E56B8"/>
    <w:rsid w:val="005E5899"/>
    <w:rsid w:val="005E58DF"/>
    <w:rsid w:val="005E5908"/>
    <w:rsid w:val="005E59DD"/>
    <w:rsid w:val="005E5A0B"/>
    <w:rsid w:val="005E5A6B"/>
    <w:rsid w:val="005E5ADF"/>
    <w:rsid w:val="005E5B94"/>
    <w:rsid w:val="005E5C10"/>
    <w:rsid w:val="005E5C11"/>
    <w:rsid w:val="005E5CFA"/>
    <w:rsid w:val="005E5E4F"/>
    <w:rsid w:val="005E6011"/>
    <w:rsid w:val="005E60BF"/>
    <w:rsid w:val="005E61DC"/>
    <w:rsid w:val="005E64B1"/>
    <w:rsid w:val="005E650E"/>
    <w:rsid w:val="005E6685"/>
    <w:rsid w:val="005E668B"/>
    <w:rsid w:val="005E6693"/>
    <w:rsid w:val="005E68C9"/>
    <w:rsid w:val="005E68E8"/>
    <w:rsid w:val="005E6A0F"/>
    <w:rsid w:val="005E6A96"/>
    <w:rsid w:val="005E6ACA"/>
    <w:rsid w:val="005E6AD2"/>
    <w:rsid w:val="005E6AE0"/>
    <w:rsid w:val="005E6B59"/>
    <w:rsid w:val="005E6B7E"/>
    <w:rsid w:val="005E6BA8"/>
    <w:rsid w:val="005E6BEF"/>
    <w:rsid w:val="005E6DC1"/>
    <w:rsid w:val="005E6E94"/>
    <w:rsid w:val="005E6ECB"/>
    <w:rsid w:val="005E6F04"/>
    <w:rsid w:val="005E6F1C"/>
    <w:rsid w:val="005E6FBC"/>
    <w:rsid w:val="005E701C"/>
    <w:rsid w:val="005E7092"/>
    <w:rsid w:val="005E7156"/>
    <w:rsid w:val="005E721E"/>
    <w:rsid w:val="005E7240"/>
    <w:rsid w:val="005E72C0"/>
    <w:rsid w:val="005E73B1"/>
    <w:rsid w:val="005E7583"/>
    <w:rsid w:val="005E75E8"/>
    <w:rsid w:val="005E761B"/>
    <w:rsid w:val="005E7653"/>
    <w:rsid w:val="005E7693"/>
    <w:rsid w:val="005E7703"/>
    <w:rsid w:val="005E77B7"/>
    <w:rsid w:val="005E77D8"/>
    <w:rsid w:val="005E78C4"/>
    <w:rsid w:val="005E7AA3"/>
    <w:rsid w:val="005E7AA6"/>
    <w:rsid w:val="005E7C58"/>
    <w:rsid w:val="005E7D28"/>
    <w:rsid w:val="005E7DAB"/>
    <w:rsid w:val="005E7EAA"/>
    <w:rsid w:val="005E7EDE"/>
    <w:rsid w:val="005F021D"/>
    <w:rsid w:val="005F022E"/>
    <w:rsid w:val="005F0236"/>
    <w:rsid w:val="005F028B"/>
    <w:rsid w:val="005F0297"/>
    <w:rsid w:val="005F04FE"/>
    <w:rsid w:val="005F0534"/>
    <w:rsid w:val="005F05EB"/>
    <w:rsid w:val="005F0676"/>
    <w:rsid w:val="005F06B8"/>
    <w:rsid w:val="005F06DC"/>
    <w:rsid w:val="005F0871"/>
    <w:rsid w:val="005F08ED"/>
    <w:rsid w:val="005F0ABC"/>
    <w:rsid w:val="005F0C35"/>
    <w:rsid w:val="005F0DC7"/>
    <w:rsid w:val="005F0E65"/>
    <w:rsid w:val="005F0F9B"/>
    <w:rsid w:val="005F10CA"/>
    <w:rsid w:val="005F11C3"/>
    <w:rsid w:val="005F1358"/>
    <w:rsid w:val="005F1379"/>
    <w:rsid w:val="005F14A8"/>
    <w:rsid w:val="005F1533"/>
    <w:rsid w:val="005F1541"/>
    <w:rsid w:val="005F15C0"/>
    <w:rsid w:val="005F17B0"/>
    <w:rsid w:val="005F183D"/>
    <w:rsid w:val="005F186D"/>
    <w:rsid w:val="005F1897"/>
    <w:rsid w:val="005F18CD"/>
    <w:rsid w:val="005F191E"/>
    <w:rsid w:val="005F192A"/>
    <w:rsid w:val="005F1A40"/>
    <w:rsid w:val="005F1B1C"/>
    <w:rsid w:val="005F1BF8"/>
    <w:rsid w:val="005F1C7A"/>
    <w:rsid w:val="005F1D93"/>
    <w:rsid w:val="005F1E9F"/>
    <w:rsid w:val="005F204B"/>
    <w:rsid w:val="005F2114"/>
    <w:rsid w:val="005F21F4"/>
    <w:rsid w:val="005F22C9"/>
    <w:rsid w:val="005F22CA"/>
    <w:rsid w:val="005F2493"/>
    <w:rsid w:val="005F26A1"/>
    <w:rsid w:val="005F27CB"/>
    <w:rsid w:val="005F27DA"/>
    <w:rsid w:val="005F29AE"/>
    <w:rsid w:val="005F29DE"/>
    <w:rsid w:val="005F2CD7"/>
    <w:rsid w:val="005F2D35"/>
    <w:rsid w:val="005F2FBA"/>
    <w:rsid w:val="005F2FE8"/>
    <w:rsid w:val="005F300D"/>
    <w:rsid w:val="005F312D"/>
    <w:rsid w:val="005F31BF"/>
    <w:rsid w:val="005F31E4"/>
    <w:rsid w:val="005F31E6"/>
    <w:rsid w:val="005F3225"/>
    <w:rsid w:val="005F324D"/>
    <w:rsid w:val="005F32A0"/>
    <w:rsid w:val="005F331E"/>
    <w:rsid w:val="005F3398"/>
    <w:rsid w:val="005F33E6"/>
    <w:rsid w:val="005F34A6"/>
    <w:rsid w:val="005F34E5"/>
    <w:rsid w:val="005F3540"/>
    <w:rsid w:val="005F3586"/>
    <w:rsid w:val="005F35F1"/>
    <w:rsid w:val="005F36EE"/>
    <w:rsid w:val="005F3802"/>
    <w:rsid w:val="005F3AF5"/>
    <w:rsid w:val="005F3B1C"/>
    <w:rsid w:val="005F3B62"/>
    <w:rsid w:val="005F3D54"/>
    <w:rsid w:val="005F3D7F"/>
    <w:rsid w:val="005F3DD8"/>
    <w:rsid w:val="005F3DEC"/>
    <w:rsid w:val="005F4006"/>
    <w:rsid w:val="005F4032"/>
    <w:rsid w:val="005F4185"/>
    <w:rsid w:val="005F41AA"/>
    <w:rsid w:val="005F4202"/>
    <w:rsid w:val="005F4207"/>
    <w:rsid w:val="005F4546"/>
    <w:rsid w:val="005F45AE"/>
    <w:rsid w:val="005F45D5"/>
    <w:rsid w:val="005F46D1"/>
    <w:rsid w:val="005F47E1"/>
    <w:rsid w:val="005F4863"/>
    <w:rsid w:val="005F4943"/>
    <w:rsid w:val="005F4AD2"/>
    <w:rsid w:val="005F4AEC"/>
    <w:rsid w:val="005F4BB7"/>
    <w:rsid w:val="005F4D4D"/>
    <w:rsid w:val="005F4DA2"/>
    <w:rsid w:val="005F4F6D"/>
    <w:rsid w:val="005F4F8C"/>
    <w:rsid w:val="005F4FA9"/>
    <w:rsid w:val="005F501C"/>
    <w:rsid w:val="005F502F"/>
    <w:rsid w:val="005F50BC"/>
    <w:rsid w:val="005F50D4"/>
    <w:rsid w:val="005F514D"/>
    <w:rsid w:val="005F5198"/>
    <w:rsid w:val="005F51E9"/>
    <w:rsid w:val="005F51F0"/>
    <w:rsid w:val="005F5292"/>
    <w:rsid w:val="005F5322"/>
    <w:rsid w:val="005F535A"/>
    <w:rsid w:val="005F547B"/>
    <w:rsid w:val="005F55D3"/>
    <w:rsid w:val="005F55DE"/>
    <w:rsid w:val="005F5604"/>
    <w:rsid w:val="005F5684"/>
    <w:rsid w:val="005F583F"/>
    <w:rsid w:val="005F5840"/>
    <w:rsid w:val="005F5A71"/>
    <w:rsid w:val="005F5BC8"/>
    <w:rsid w:val="005F5C18"/>
    <w:rsid w:val="005F5DB4"/>
    <w:rsid w:val="005F5DC3"/>
    <w:rsid w:val="005F5F18"/>
    <w:rsid w:val="005F5F79"/>
    <w:rsid w:val="005F6175"/>
    <w:rsid w:val="005F62C4"/>
    <w:rsid w:val="005F6343"/>
    <w:rsid w:val="005F6361"/>
    <w:rsid w:val="005F63DB"/>
    <w:rsid w:val="005F6597"/>
    <w:rsid w:val="005F65AE"/>
    <w:rsid w:val="005F68A4"/>
    <w:rsid w:val="005F68BF"/>
    <w:rsid w:val="005F6930"/>
    <w:rsid w:val="005F6AA7"/>
    <w:rsid w:val="005F6BD2"/>
    <w:rsid w:val="005F6BF5"/>
    <w:rsid w:val="005F6CBA"/>
    <w:rsid w:val="005F6D20"/>
    <w:rsid w:val="005F6EA3"/>
    <w:rsid w:val="005F6EB9"/>
    <w:rsid w:val="005F6F7E"/>
    <w:rsid w:val="005F6FB3"/>
    <w:rsid w:val="005F715B"/>
    <w:rsid w:val="005F72F0"/>
    <w:rsid w:val="005F7308"/>
    <w:rsid w:val="005F7512"/>
    <w:rsid w:val="005F7577"/>
    <w:rsid w:val="005F75C0"/>
    <w:rsid w:val="005F76AD"/>
    <w:rsid w:val="005F76DA"/>
    <w:rsid w:val="005F774F"/>
    <w:rsid w:val="005F7860"/>
    <w:rsid w:val="005F7A46"/>
    <w:rsid w:val="005F7B11"/>
    <w:rsid w:val="005F7C17"/>
    <w:rsid w:val="005F7CBA"/>
    <w:rsid w:val="005F7D1F"/>
    <w:rsid w:val="005F7DC3"/>
    <w:rsid w:val="005F7F0D"/>
    <w:rsid w:val="005F7FEE"/>
    <w:rsid w:val="005F7FF8"/>
    <w:rsid w:val="006000A5"/>
    <w:rsid w:val="00600100"/>
    <w:rsid w:val="0060011B"/>
    <w:rsid w:val="006001A7"/>
    <w:rsid w:val="006002DA"/>
    <w:rsid w:val="0060035A"/>
    <w:rsid w:val="006003B9"/>
    <w:rsid w:val="00600457"/>
    <w:rsid w:val="006004DB"/>
    <w:rsid w:val="00600533"/>
    <w:rsid w:val="006005EB"/>
    <w:rsid w:val="0060068C"/>
    <w:rsid w:val="006008CD"/>
    <w:rsid w:val="00600900"/>
    <w:rsid w:val="00600BA5"/>
    <w:rsid w:val="00600C19"/>
    <w:rsid w:val="00600C95"/>
    <w:rsid w:val="00600D91"/>
    <w:rsid w:val="006010BD"/>
    <w:rsid w:val="006010E3"/>
    <w:rsid w:val="006013B3"/>
    <w:rsid w:val="00601457"/>
    <w:rsid w:val="00601576"/>
    <w:rsid w:val="0060157C"/>
    <w:rsid w:val="006015AF"/>
    <w:rsid w:val="006015B2"/>
    <w:rsid w:val="006015BC"/>
    <w:rsid w:val="006015E8"/>
    <w:rsid w:val="0060162D"/>
    <w:rsid w:val="0060163D"/>
    <w:rsid w:val="006018FB"/>
    <w:rsid w:val="00601975"/>
    <w:rsid w:val="006019BB"/>
    <w:rsid w:val="00601BF2"/>
    <w:rsid w:val="00601CF6"/>
    <w:rsid w:val="00601D2F"/>
    <w:rsid w:val="00601D93"/>
    <w:rsid w:val="00601EBC"/>
    <w:rsid w:val="00601ECC"/>
    <w:rsid w:val="00601EE6"/>
    <w:rsid w:val="00601F8E"/>
    <w:rsid w:val="00601FDA"/>
    <w:rsid w:val="00602179"/>
    <w:rsid w:val="0060217F"/>
    <w:rsid w:val="0060233D"/>
    <w:rsid w:val="0060239B"/>
    <w:rsid w:val="006024AB"/>
    <w:rsid w:val="006024CC"/>
    <w:rsid w:val="006024D9"/>
    <w:rsid w:val="00602511"/>
    <w:rsid w:val="00602522"/>
    <w:rsid w:val="0060254F"/>
    <w:rsid w:val="00602561"/>
    <w:rsid w:val="00602621"/>
    <w:rsid w:val="0060263D"/>
    <w:rsid w:val="00602652"/>
    <w:rsid w:val="00602683"/>
    <w:rsid w:val="006026B7"/>
    <w:rsid w:val="006026C2"/>
    <w:rsid w:val="0060272D"/>
    <w:rsid w:val="006028CC"/>
    <w:rsid w:val="00602A22"/>
    <w:rsid w:val="00602A65"/>
    <w:rsid w:val="00602B95"/>
    <w:rsid w:val="00602BCC"/>
    <w:rsid w:val="00602CD9"/>
    <w:rsid w:val="00602D47"/>
    <w:rsid w:val="00602D92"/>
    <w:rsid w:val="00602E99"/>
    <w:rsid w:val="00602E9A"/>
    <w:rsid w:val="00602F50"/>
    <w:rsid w:val="00602FC1"/>
    <w:rsid w:val="00603146"/>
    <w:rsid w:val="0060317B"/>
    <w:rsid w:val="006031DF"/>
    <w:rsid w:val="006031FB"/>
    <w:rsid w:val="00603206"/>
    <w:rsid w:val="006032EB"/>
    <w:rsid w:val="006034E8"/>
    <w:rsid w:val="00603611"/>
    <w:rsid w:val="00603736"/>
    <w:rsid w:val="00603821"/>
    <w:rsid w:val="0060386E"/>
    <w:rsid w:val="0060386F"/>
    <w:rsid w:val="006038BA"/>
    <w:rsid w:val="006038C2"/>
    <w:rsid w:val="00603961"/>
    <w:rsid w:val="00603A9B"/>
    <w:rsid w:val="00603B5F"/>
    <w:rsid w:val="00603B65"/>
    <w:rsid w:val="00603BE8"/>
    <w:rsid w:val="00603C31"/>
    <w:rsid w:val="00603DE9"/>
    <w:rsid w:val="0060400F"/>
    <w:rsid w:val="00604066"/>
    <w:rsid w:val="006040B1"/>
    <w:rsid w:val="00604106"/>
    <w:rsid w:val="0060422E"/>
    <w:rsid w:val="0060423F"/>
    <w:rsid w:val="006043CC"/>
    <w:rsid w:val="006043E4"/>
    <w:rsid w:val="0060442D"/>
    <w:rsid w:val="00604737"/>
    <w:rsid w:val="0060481A"/>
    <w:rsid w:val="0060488C"/>
    <w:rsid w:val="0060497A"/>
    <w:rsid w:val="00604A85"/>
    <w:rsid w:val="00604AB5"/>
    <w:rsid w:val="00604AC3"/>
    <w:rsid w:val="00604ADC"/>
    <w:rsid w:val="00604B27"/>
    <w:rsid w:val="00604B53"/>
    <w:rsid w:val="00604BE2"/>
    <w:rsid w:val="00604C35"/>
    <w:rsid w:val="00604C56"/>
    <w:rsid w:val="00604D28"/>
    <w:rsid w:val="00604EBD"/>
    <w:rsid w:val="00604EED"/>
    <w:rsid w:val="0060503C"/>
    <w:rsid w:val="00605312"/>
    <w:rsid w:val="006053DA"/>
    <w:rsid w:val="006054BA"/>
    <w:rsid w:val="00605520"/>
    <w:rsid w:val="0060563A"/>
    <w:rsid w:val="00605730"/>
    <w:rsid w:val="006057D8"/>
    <w:rsid w:val="00605809"/>
    <w:rsid w:val="00605852"/>
    <w:rsid w:val="006058A7"/>
    <w:rsid w:val="006058F4"/>
    <w:rsid w:val="00605919"/>
    <w:rsid w:val="00605A84"/>
    <w:rsid w:val="00605B7F"/>
    <w:rsid w:val="00605D3E"/>
    <w:rsid w:val="00605D96"/>
    <w:rsid w:val="00605DBC"/>
    <w:rsid w:val="00605F92"/>
    <w:rsid w:val="00606020"/>
    <w:rsid w:val="00606030"/>
    <w:rsid w:val="0060615B"/>
    <w:rsid w:val="006061EF"/>
    <w:rsid w:val="00606310"/>
    <w:rsid w:val="006063D0"/>
    <w:rsid w:val="00606445"/>
    <w:rsid w:val="0060646F"/>
    <w:rsid w:val="006064E4"/>
    <w:rsid w:val="006065F5"/>
    <w:rsid w:val="0060666A"/>
    <w:rsid w:val="00606782"/>
    <w:rsid w:val="006067E9"/>
    <w:rsid w:val="006068B2"/>
    <w:rsid w:val="0060696E"/>
    <w:rsid w:val="00606A5C"/>
    <w:rsid w:val="00606B06"/>
    <w:rsid w:val="00606B5E"/>
    <w:rsid w:val="00606B9C"/>
    <w:rsid w:val="00606C7E"/>
    <w:rsid w:val="006070EF"/>
    <w:rsid w:val="0060710D"/>
    <w:rsid w:val="00607117"/>
    <w:rsid w:val="00607248"/>
    <w:rsid w:val="00607313"/>
    <w:rsid w:val="0060736F"/>
    <w:rsid w:val="006073DE"/>
    <w:rsid w:val="00607449"/>
    <w:rsid w:val="0060755D"/>
    <w:rsid w:val="00607588"/>
    <w:rsid w:val="00607637"/>
    <w:rsid w:val="006076D4"/>
    <w:rsid w:val="00607751"/>
    <w:rsid w:val="006077CF"/>
    <w:rsid w:val="006077D2"/>
    <w:rsid w:val="00607816"/>
    <w:rsid w:val="0060782C"/>
    <w:rsid w:val="00607873"/>
    <w:rsid w:val="0060798A"/>
    <w:rsid w:val="00607A47"/>
    <w:rsid w:val="00607BC8"/>
    <w:rsid w:val="00607D7C"/>
    <w:rsid w:val="00607DA0"/>
    <w:rsid w:val="00607DC3"/>
    <w:rsid w:val="00607E0F"/>
    <w:rsid w:val="00607E15"/>
    <w:rsid w:val="00607E31"/>
    <w:rsid w:val="00607E96"/>
    <w:rsid w:val="00607EB1"/>
    <w:rsid w:val="00607EB7"/>
    <w:rsid w:val="00607F1F"/>
    <w:rsid w:val="00607FDB"/>
    <w:rsid w:val="00610059"/>
    <w:rsid w:val="006101DD"/>
    <w:rsid w:val="006101E8"/>
    <w:rsid w:val="00610263"/>
    <w:rsid w:val="00610267"/>
    <w:rsid w:val="00610477"/>
    <w:rsid w:val="00610562"/>
    <w:rsid w:val="006105D0"/>
    <w:rsid w:val="00610631"/>
    <w:rsid w:val="0061096E"/>
    <w:rsid w:val="006109B7"/>
    <w:rsid w:val="00610A88"/>
    <w:rsid w:val="00610B8D"/>
    <w:rsid w:val="00610C7A"/>
    <w:rsid w:val="00610D07"/>
    <w:rsid w:val="00610EA8"/>
    <w:rsid w:val="00610EF9"/>
    <w:rsid w:val="00610F93"/>
    <w:rsid w:val="00610FCE"/>
    <w:rsid w:val="00610FD2"/>
    <w:rsid w:val="0061108B"/>
    <w:rsid w:val="00611153"/>
    <w:rsid w:val="0061118B"/>
    <w:rsid w:val="006111E1"/>
    <w:rsid w:val="00611295"/>
    <w:rsid w:val="00611316"/>
    <w:rsid w:val="006117DC"/>
    <w:rsid w:val="00611894"/>
    <w:rsid w:val="0061192F"/>
    <w:rsid w:val="00611B34"/>
    <w:rsid w:val="00611C06"/>
    <w:rsid w:val="00611C51"/>
    <w:rsid w:val="00611C53"/>
    <w:rsid w:val="00611C93"/>
    <w:rsid w:val="00611D25"/>
    <w:rsid w:val="00611D34"/>
    <w:rsid w:val="00611D52"/>
    <w:rsid w:val="00611D93"/>
    <w:rsid w:val="00611ED5"/>
    <w:rsid w:val="0061212D"/>
    <w:rsid w:val="006121C4"/>
    <w:rsid w:val="006121D3"/>
    <w:rsid w:val="00612290"/>
    <w:rsid w:val="006122F6"/>
    <w:rsid w:val="00612369"/>
    <w:rsid w:val="00612564"/>
    <w:rsid w:val="00612566"/>
    <w:rsid w:val="006125EC"/>
    <w:rsid w:val="0061276B"/>
    <w:rsid w:val="006127A2"/>
    <w:rsid w:val="00612A7C"/>
    <w:rsid w:val="00612A9C"/>
    <w:rsid w:val="00612B47"/>
    <w:rsid w:val="00612B78"/>
    <w:rsid w:val="00612B96"/>
    <w:rsid w:val="00612BB3"/>
    <w:rsid w:val="00612C71"/>
    <w:rsid w:val="00612CD3"/>
    <w:rsid w:val="00612CF9"/>
    <w:rsid w:val="00612DB8"/>
    <w:rsid w:val="00612F86"/>
    <w:rsid w:val="00612F9C"/>
    <w:rsid w:val="00612FE0"/>
    <w:rsid w:val="00613078"/>
    <w:rsid w:val="006130DB"/>
    <w:rsid w:val="006130F3"/>
    <w:rsid w:val="00613114"/>
    <w:rsid w:val="006131FC"/>
    <w:rsid w:val="00613236"/>
    <w:rsid w:val="0061324C"/>
    <w:rsid w:val="00613254"/>
    <w:rsid w:val="006134F4"/>
    <w:rsid w:val="006134FF"/>
    <w:rsid w:val="00613548"/>
    <w:rsid w:val="0061354D"/>
    <w:rsid w:val="006137D9"/>
    <w:rsid w:val="00613824"/>
    <w:rsid w:val="00613856"/>
    <w:rsid w:val="0061390A"/>
    <w:rsid w:val="0061393C"/>
    <w:rsid w:val="00613A1A"/>
    <w:rsid w:val="00613C45"/>
    <w:rsid w:val="00613CA2"/>
    <w:rsid w:val="00613CB9"/>
    <w:rsid w:val="00613D47"/>
    <w:rsid w:val="00613E96"/>
    <w:rsid w:val="00613F20"/>
    <w:rsid w:val="00613F60"/>
    <w:rsid w:val="00614075"/>
    <w:rsid w:val="00614101"/>
    <w:rsid w:val="0061411D"/>
    <w:rsid w:val="006141A3"/>
    <w:rsid w:val="00614223"/>
    <w:rsid w:val="00614490"/>
    <w:rsid w:val="006144A9"/>
    <w:rsid w:val="006144DB"/>
    <w:rsid w:val="00614509"/>
    <w:rsid w:val="00614551"/>
    <w:rsid w:val="006145C7"/>
    <w:rsid w:val="006145CE"/>
    <w:rsid w:val="0061463C"/>
    <w:rsid w:val="006147C9"/>
    <w:rsid w:val="006147E5"/>
    <w:rsid w:val="006147E9"/>
    <w:rsid w:val="0061490E"/>
    <w:rsid w:val="00614914"/>
    <w:rsid w:val="00614924"/>
    <w:rsid w:val="0061496C"/>
    <w:rsid w:val="00614A15"/>
    <w:rsid w:val="00614AFE"/>
    <w:rsid w:val="00614B72"/>
    <w:rsid w:val="00614C17"/>
    <w:rsid w:val="00614CE2"/>
    <w:rsid w:val="00614D76"/>
    <w:rsid w:val="00614E3E"/>
    <w:rsid w:val="00614F15"/>
    <w:rsid w:val="00614F62"/>
    <w:rsid w:val="00614FCB"/>
    <w:rsid w:val="0061501C"/>
    <w:rsid w:val="00615117"/>
    <w:rsid w:val="006151E7"/>
    <w:rsid w:val="00615363"/>
    <w:rsid w:val="006153F5"/>
    <w:rsid w:val="00615435"/>
    <w:rsid w:val="00615486"/>
    <w:rsid w:val="0061554A"/>
    <w:rsid w:val="00615561"/>
    <w:rsid w:val="006156CE"/>
    <w:rsid w:val="006156F8"/>
    <w:rsid w:val="0061571E"/>
    <w:rsid w:val="00615730"/>
    <w:rsid w:val="006157E0"/>
    <w:rsid w:val="00615869"/>
    <w:rsid w:val="00615951"/>
    <w:rsid w:val="00615A2D"/>
    <w:rsid w:val="00615A4E"/>
    <w:rsid w:val="00615A80"/>
    <w:rsid w:val="00615AB6"/>
    <w:rsid w:val="00615B3C"/>
    <w:rsid w:val="00615BCC"/>
    <w:rsid w:val="00615C14"/>
    <w:rsid w:val="00615C28"/>
    <w:rsid w:val="00615C7A"/>
    <w:rsid w:val="00615CFB"/>
    <w:rsid w:val="00615D58"/>
    <w:rsid w:val="00615FEC"/>
    <w:rsid w:val="0061616C"/>
    <w:rsid w:val="0061624E"/>
    <w:rsid w:val="00616380"/>
    <w:rsid w:val="006163FE"/>
    <w:rsid w:val="0061666D"/>
    <w:rsid w:val="0061669E"/>
    <w:rsid w:val="006166D6"/>
    <w:rsid w:val="00616785"/>
    <w:rsid w:val="006168F0"/>
    <w:rsid w:val="00616965"/>
    <w:rsid w:val="00616A18"/>
    <w:rsid w:val="00616C41"/>
    <w:rsid w:val="00616C5B"/>
    <w:rsid w:val="00616D6E"/>
    <w:rsid w:val="00616F21"/>
    <w:rsid w:val="00616F47"/>
    <w:rsid w:val="00617051"/>
    <w:rsid w:val="00617072"/>
    <w:rsid w:val="0061708D"/>
    <w:rsid w:val="00617101"/>
    <w:rsid w:val="00617119"/>
    <w:rsid w:val="006172EB"/>
    <w:rsid w:val="00617344"/>
    <w:rsid w:val="006173A1"/>
    <w:rsid w:val="006174D1"/>
    <w:rsid w:val="00617577"/>
    <w:rsid w:val="00617781"/>
    <w:rsid w:val="0061778D"/>
    <w:rsid w:val="00617793"/>
    <w:rsid w:val="0061787F"/>
    <w:rsid w:val="0061788E"/>
    <w:rsid w:val="00617A3A"/>
    <w:rsid w:val="00617A72"/>
    <w:rsid w:val="00617AD5"/>
    <w:rsid w:val="00617B05"/>
    <w:rsid w:val="00617B89"/>
    <w:rsid w:val="00617C33"/>
    <w:rsid w:val="00617C52"/>
    <w:rsid w:val="00617DBE"/>
    <w:rsid w:val="00617E11"/>
    <w:rsid w:val="00617E91"/>
    <w:rsid w:val="00620148"/>
    <w:rsid w:val="006201C5"/>
    <w:rsid w:val="0062020B"/>
    <w:rsid w:val="00620419"/>
    <w:rsid w:val="00620517"/>
    <w:rsid w:val="00620801"/>
    <w:rsid w:val="00620879"/>
    <w:rsid w:val="00620890"/>
    <w:rsid w:val="006209A3"/>
    <w:rsid w:val="00620ABC"/>
    <w:rsid w:val="00620ADD"/>
    <w:rsid w:val="00620B27"/>
    <w:rsid w:val="00620B30"/>
    <w:rsid w:val="00620CD4"/>
    <w:rsid w:val="00620D1F"/>
    <w:rsid w:val="00620D47"/>
    <w:rsid w:val="00620EBB"/>
    <w:rsid w:val="00620EED"/>
    <w:rsid w:val="0062100B"/>
    <w:rsid w:val="00621316"/>
    <w:rsid w:val="00621575"/>
    <w:rsid w:val="0062183F"/>
    <w:rsid w:val="00621876"/>
    <w:rsid w:val="006218C5"/>
    <w:rsid w:val="00621A36"/>
    <w:rsid w:val="00621C02"/>
    <w:rsid w:val="00621C5E"/>
    <w:rsid w:val="00621CC5"/>
    <w:rsid w:val="00621CD0"/>
    <w:rsid w:val="00621D36"/>
    <w:rsid w:val="00621DD6"/>
    <w:rsid w:val="00621DDF"/>
    <w:rsid w:val="00621EB2"/>
    <w:rsid w:val="0062202E"/>
    <w:rsid w:val="006220D2"/>
    <w:rsid w:val="00622153"/>
    <w:rsid w:val="006221F7"/>
    <w:rsid w:val="006221FD"/>
    <w:rsid w:val="00622257"/>
    <w:rsid w:val="00622269"/>
    <w:rsid w:val="0062228F"/>
    <w:rsid w:val="00622293"/>
    <w:rsid w:val="00622456"/>
    <w:rsid w:val="00622471"/>
    <w:rsid w:val="006224BF"/>
    <w:rsid w:val="0062268C"/>
    <w:rsid w:val="006226A8"/>
    <w:rsid w:val="006226E9"/>
    <w:rsid w:val="006227ED"/>
    <w:rsid w:val="0062282F"/>
    <w:rsid w:val="006229EF"/>
    <w:rsid w:val="00622AF4"/>
    <w:rsid w:val="00622F4D"/>
    <w:rsid w:val="00622F51"/>
    <w:rsid w:val="00623032"/>
    <w:rsid w:val="00623088"/>
    <w:rsid w:val="0062308F"/>
    <w:rsid w:val="006230FF"/>
    <w:rsid w:val="00623145"/>
    <w:rsid w:val="00623150"/>
    <w:rsid w:val="00623161"/>
    <w:rsid w:val="006231C2"/>
    <w:rsid w:val="00623205"/>
    <w:rsid w:val="00623260"/>
    <w:rsid w:val="00623484"/>
    <w:rsid w:val="006234A8"/>
    <w:rsid w:val="00623639"/>
    <w:rsid w:val="0062371B"/>
    <w:rsid w:val="00623A05"/>
    <w:rsid w:val="00623A25"/>
    <w:rsid w:val="00623A59"/>
    <w:rsid w:val="00623B55"/>
    <w:rsid w:val="00623D00"/>
    <w:rsid w:val="00623D1F"/>
    <w:rsid w:val="00623E6E"/>
    <w:rsid w:val="00623E82"/>
    <w:rsid w:val="00623EC8"/>
    <w:rsid w:val="00623F10"/>
    <w:rsid w:val="00623F6C"/>
    <w:rsid w:val="006240C8"/>
    <w:rsid w:val="006241A0"/>
    <w:rsid w:val="0062437C"/>
    <w:rsid w:val="006243EE"/>
    <w:rsid w:val="006243F7"/>
    <w:rsid w:val="00624500"/>
    <w:rsid w:val="0062454C"/>
    <w:rsid w:val="00624743"/>
    <w:rsid w:val="006247D3"/>
    <w:rsid w:val="00624813"/>
    <w:rsid w:val="00624885"/>
    <w:rsid w:val="00624944"/>
    <w:rsid w:val="006249DF"/>
    <w:rsid w:val="00624A3C"/>
    <w:rsid w:val="00624ACA"/>
    <w:rsid w:val="00624B1C"/>
    <w:rsid w:val="00624C91"/>
    <w:rsid w:val="00624CF1"/>
    <w:rsid w:val="00624E5D"/>
    <w:rsid w:val="00624EFD"/>
    <w:rsid w:val="0062504C"/>
    <w:rsid w:val="006250EC"/>
    <w:rsid w:val="006251AE"/>
    <w:rsid w:val="006251D3"/>
    <w:rsid w:val="00625415"/>
    <w:rsid w:val="00625478"/>
    <w:rsid w:val="006255FB"/>
    <w:rsid w:val="00625602"/>
    <w:rsid w:val="0062566C"/>
    <w:rsid w:val="00625758"/>
    <w:rsid w:val="006257B1"/>
    <w:rsid w:val="006257C2"/>
    <w:rsid w:val="006257C6"/>
    <w:rsid w:val="0062582B"/>
    <w:rsid w:val="00625843"/>
    <w:rsid w:val="0062593A"/>
    <w:rsid w:val="00625AE8"/>
    <w:rsid w:val="00625B75"/>
    <w:rsid w:val="00625B7F"/>
    <w:rsid w:val="00625BE3"/>
    <w:rsid w:val="00625C67"/>
    <w:rsid w:val="00625C88"/>
    <w:rsid w:val="00625CE1"/>
    <w:rsid w:val="00625F80"/>
    <w:rsid w:val="0062605F"/>
    <w:rsid w:val="006260B1"/>
    <w:rsid w:val="006261A9"/>
    <w:rsid w:val="006261DB"/>
    <w:rsid w:val="006262A3"/>
    <w:rsid w:val="00626324"/>
    <w:rsid w:val="006264F3"/>
    <w:rsid w:val="00626514"/>
    <w:rsid w:val="00626724"/>
    <w:rsid w:val="006267CF"/>
    <w:rsid w:val="00626809"/>
    <w:rsid w:val="00626860"/>
    <w:rsid w:val="0062689E"/>
    <w:rsid w:val="00626999"/>
    <w:rsid w:val="0062699A"/>
    <w:rsid w:val="0062699B"/>
    <w:rsid w:val="00626A5E"/>
    <w:rsid w:val="00626A9E"/>
    <w:rsid w:val="00626B66"/>
    <w:rsid w:val="00626C41"/>
    <w:rsid w:val="00626C6D"/>
    <w:rsid w:val="00626CC7"/>
    <w:rsid w:val="00626CF2"/>
    <w:rsid w:val="00626D5E"/>
    <w:rsid w:val="00626DA7"/>
    <w:rsid w:val="00626DE6"/>
    <w:rsid w:val="00626E6A"/>
    <w:rsid w:val="00626E8D"/>
    <w:rsid w:val="00626EC5"/>
    <w:rsid w:val="00626EDF"/>
    <w:rsid w:val="00626F40"/>
    <w:rsid w:val="00626F9B"/>
    <w:rsid w:val="00627079"/>
    <w:rsid w:val="006270EB"/>
    <w:rsid w:val="006270F0"/>
    <w:rsid w:val="00627104"/>
    <w:rsid w:val="0062717E"/>
    <w:rsid w:val="006271E5"/>
    <w:rsid w:val="006273B4"/>
    <w:rsid w:val="0062742F"/>
    <w:rsid w:val="006275EC"/>
    <w:rsid w:val="00627697"/>
    <w:rsid w:val="0062781E"/>
    <w:rsid w:val="00627BEB"/>
    <w:rsid w:val="00627C5C"/>
    <w:rsid w:val="00627CE6"/>
    <w:rsid w:val="00627D8C"/>
    <w:rsid w:val="00627DDD"/>
    <w:rsid w:val="00627E99"/>
    <w:rsid w:val="00627ECF"/>
    <w:rsid w:val="00627F49"/>
    <w:rsid w:val="00627F83"/>
    <w:rsid w:val="00627FC4"/>
    <w:rsid w:val="0062FAAC"/>
    <w:rsid w:val="00630224"/>
    <w:rsid w:val="00630342"/>
    <w:rsid w:val="006303E7"/>
    <w:rsid w:val="006305E9"/>
    <w:rsid w:val="006307B2"/>
    <w:rsid w:val="006308D7"/>
    <w:rsid w:val="00630962"/>
    <w:rsid w:val="00630993"/>
    <w:rsid w:val="00630A4A"/>
    <w:rsid w:val="00630A8E"/>
    <w:rsid w:val="00630DC3"/>
    <w:rsid w:val="00630E7B"/>
    <w:rsid w:val="00630E99"/>
    <w:rsid w:val="00630F06"/>
    <w:rsid w:val="00630F26"/>
    <w:rsid w:val="00630FB4"/>
    <w:rsid w:val="0063100A"/>
    <w:rsid w:val="0063101D"/>
    <w:rsid w:val="0063108C"/>
    <w:rsid w:val="0063123E"/>
    <w:rsid w:val="00631325"/>
    <w:rsid w:val="0063132C"/>
    <w:rsid w:val="0063139D"/>
    <w:rsid w:val="0063139E"/>
    <w:rsid w:val="0063168F"/>
    <w:rsid w:val="00631699"/>
    <w:rsid w:val="006317F4"/>
    <w:rsid w:val="006318AD"/>
    <w:rsid w:val="006318CB"/>
    <w:rsid w:val="006318E1"/>
    <w:rsid w:val="00631945"/>
    <w:rsid w:val="00631974"/>
    <w:rsid w:val="00631A20"/>
    <w:rsid w:val="00631A47"/>
    <w:rsid w:val="00631A72"/>
    <w:rsid w:val="00631C26"/>
    <w:rsid w:val="00631C7B"/>
    <w:rsid w:val="00631D94"/>
    <w:rsid w:val="00631E0E"/>
    <w:rsid w:val="00631E41"/>
    <w:rsid w:val="00631EFF"/>
    <w:rsid w:val="00631FC2"/>
    <w:rsid w:val="00631FED"/>
    <w:rsid w:val="00632026"/>
    <w:rsid w:val="0063205F"/>
    <w:rsid w:val="00632288"/>
    <w:rsid w:val="006322F5"/>
    <w:rsid w:val="00632348"/>
    <w:rsid w:val="00632395"/>
    <w:rsid w:val="006323A4"/>
    <w:rsid w:val="00632424"/>
    <w:rsid w:val="0063245F"/>
    <w:rsid w:val="00632484"/>
    <w:rsid w:val="006325B3"/>
    <w:rsid w:val="006325BF"/>
    <w:rsid w:val="006326C9"/>
    <w:rsid w:val="00632738"/>
    <w:rsid w:val="0063274D"/>
    <w:rsid w:val="006327C9"/>
    <w:rsid w:val="006328A5"/>
    <w:rsid w:val="006328D5"/>
    <w:rsid w:val="00632A83"/>
    <w:rsid w:val="00632B2A"/>
    <w:rsid w:val="00632C38"/>
    <w:rsid w:val="00632CEB"/>
    <w:rsid w:val="00632D3A"/>
    <w:rsid w:val="00632E30"/>
    <w:rsid w:val="00632EB7"/>
    <w:rsid w:val="00632FD8"/>
    <w:rsid w:val="00632FF7"/>
    <w:rsid w:val="0063305D"/>
    <w:rsid w:val="006331C4"/>
    <w:rsid w:val="00633251"/>
    <w:rsid w:val="0063330F"/>
    <w:rsid w:val="0063345E"/>
    <w:rsid w:val="006334B5"/>
    <w:rsid w:val="0063357A"/>
    <w:rsid w:val="006336FC"/>
    <w:rsid w:val="00633795"/>
    <w:rsid w:val="0063382B"/>
    <w:rsid w:val="00633968"/>
    <w:rsid w:val="00633C7C"/>
    <w:rsid w:val="00633CF1"/>
    <w:rsid w:val="00633D0C"/>
    <w:rsid w:val="00633E97"/>
    <w:rsid w:val="00633EE4"/>
    <w:rsid w:val="00633F9D"/>
    <w:rsid w:val="00633FA9"/>
    <w:rsid w:val="00633FAE"/>
    <w:rsid w:val="00633FB1"/>
    <w:rsid w:val="0063400A"/>
    <w:rsid w:val="00634053"/>
    <w:rsid w:val="006340A1"/>
    <w:rsid w:val="006340A7"/>
    <w:rsid w:val="0063416F"/>
    <w:rsid w:val="00634230"/>
    <w:rsid w:val="006343E0"/>
    <w:rsid w:val="006344EC"/>
    <w:rsid w:val="00634516"/>
    <w:rsid w:val="00634588"/>
    <w:rsid w:val="006345BB"/>
    <w:rsid w:val="006345C7"/>
    <w:rsid w:val="0063462C"/>
    <w:rsid w:val="0063479D"/>
    <w:rsid w:val="0063482E"/>
    <w:rsid w:val="00634842"/>
    <w:rsid w:val="00634895"/>
    <w:rsid w:val="006348BA"/>
    <w:rsid w:val="00634903"/>
    <w:rsid w:val="006349A3"/>
    <w:rsid w:val="00634A0D"/>
    <w:rsid w:val="00634A91"/>
    <w:rsid w:val="00634B26"/>
    <w:rsid w:val="00634B3E"/>
    <w:rsid w:val="00634BCA"/>
    <w:rsid w:val="00634CDB"/>
    <w:rsid w:val="00634D21"/>
    <w:rsid w:val="00634E8C"/>
    <w:rsid w:val="00634EE2"/>
    <w:rsid w:val="00634F00"/>
    <w:rsid w:val="00634F2E"/>
    <w:rsid w:val="00634F45"/>
    <w:rsid w:val="00634FC8"/>
    <w:rsid w:val="00635073"/>
    <w:rsid w:val="006350A7"/>
    <w:rsid w:val="006350D4"/>
    <w:rsid w:val="006352EF"/>
    <w:rsid w:val="0063534A"/>
    <w:rsid w:val="006354D2"/>
    <w:rsid w:val="00635645"/>
    <w:rsid w:val="0063568D"/>
    <w:rsid w:val="006356B3"/>
    <w:rsid w:val="0063586D"/>
    <w:rsid w:val="00635883"/>
    <w:rsid w:val="006359E9"/>
    <w:rsid w:val="006359F6"/>
    <w:rsid w:val="00635A6A"/>
    <w:rsid w:val="00635A8D"/>
    <w:rsid w:val="00635AAF"/>
    <w:rsid w:val="00635B53"/>
    <w:rsid w:val="00635B75"/>
    <w:rsid w:val="00635D73"/>
    <w:rsid w:val="00635EF3"/>
    <w:rsid w:val="00635F95"/>
    <w:rsid w:val="00636076"/>
    <w:rsid w:val="00636093"/>
    <w:rsid w:val="00636124"/>
    <w:rsid w:val="006361A0"/>
    <w:rsid w:val="0063630E"/>
    <w:rsid w:val="00636368"/>
    <w:rsid w:val="006364BA"/>
    <w:rsid w:val="00636546"/>
    <w:rsid w:val="0063691B"/>
    <w:rsid w:val="006369A6"/>
    <w:rsid w:val="006369A8"/>
    <w:rsid w:val="00636BB2"/>
    <w:rsid w:val="00636C54"/>
    <w:rsid w:val="00636D03"/>
    <w:rsid w:val="00636D20"/>
    <w:rsid w:val="00637145"/>
    <w:rsid w:val="00637158"/>
    <w:rsid w:val="006371DE"/>
    <w:rsid w:val="0063726F"/>
    <w:rsid w:val="006372CD"/>
    <w:rsid w:val="0063738D"/>
    <w:rsid w:val="00637486"/>
    <w:rsid w:val="006375B2"/>
    <w:rsid w:val="006376C9"/>
    <w:rsid w:val="006376E5"/>
    <w:rsid w:val="00637702"/>
    <w:rsid w:val="0063774B"/>
    <w:rsid w:val="006377E7"/>
    <w:rsid w:val="00637823"/>
    <w:rsid w:val="0063798D"/>
    <w:rsid w:val="0063799E"/>
    <w:rsid w:val="006379DE"/>
    <w:rsid w:val="00637A17"/>
    <w:rsid w:val="00637A72"/>
    <w:rsid w:val="00637B0E"/>
    <w:rsid w:val="00637B70"/>
    <w:rsid w:val="00637B8A"/>
    <w:rsid w:val="00637C05"/>
    <w:rsid w:val="00637CE7"/>
    <w:rsid w:val="00637D7B"/>
    <w:rsid w:val="00637EB4"/>
    <w:rsid w:val="00637F78"/>
    <w:rsid w:val="006400AF"/>
    <w:rsid w:val="006404E0"/>
    <w:rsid w:val="00640523"/>
    <w:rsid w:val="006405BE"/>
    <w:rsid w:val="006405DF"/>
    <w:rsid w:val="006406AA"/>
    <w:rsid w:val="00640852"/>
    <w:rsid w:val="00640873"/>
    <w:rsid w:val="0064091A"/>
    <w:rsid w:val="0064091D"/>
    <w:rsid w:val="0064094D"/>
    <w:rsid w:val="00640A20"/>
    <w:rsid w:val="00640A5B"/>
    <w:rsid w:val="00640B95"/>
    <w:rsid w:val="00640C78"/>
    <w:rsid w:val="00640E39"/>
    <w:rsid w:val="00640E8D"/>
    <w:rsid w:val="00640ECC"/>
    <w:rsid w:val="00640F63"/>
    <w:rsid w:val="00641011"/>
    <w:rsid w:val="00641039"/>
    <w:rsid w:val="00641107"/>
    <w:rsid w:val="006411B2"/>
    <w:rsid w:val="00641280"/>
    <w:rsid w:val="006412BF"/>
    <w:rsid w:val="006412D1"/>
    <w:rsid w:val="00641359"/>
    <w:rsid w:val="006413CE"/>
    <w:rsid w:val="00641454"/>
    <w:rsid w:val="006414A4"/>
    <w:rsid w:val="0064157F"/>
    <w:rsid w:val="00641580"/>
    <w:rsid w:val="006416AF"/>
    <w:rsid w:val="0064171C"/>
    <w:rsid w:val="006417DD"/>
    <w:rsid w:val="006418CD"/>
    <w:rsid w:val="006419D9"/>
    <w:rsid w:val="00641A4F"/>
    <w:rsid w:val="00641B58"/>
    <w:rsid w:val="00641D5F"/>
    <w:rsid w:val="00641E17"/>
    <w:rsid w:val="00641F57"/>
    <w:rsid w:val="00641FEF"/>
    <w:rsid w:val="00642075"/>
    <w:rsid w:val="006420BB"/>
    <w:rsid w:val="006420C0"/>
    <w:rsid w:val="00642149"/>
    <w:rsid w:val="00642153"/>
    <w:rsid w:val="0064216D"/>
    <w:rsid w:val="0064222B"/>
    <w:rsid w:val="0064223B"/>
    <w:rsid w:val="0064226D"/>
    <w:rsid w:val="00642344"/>
    <w:rsid w:val="0064237B"/>
    <w:rsid w:val="006423D1"/>
    <w:rsid w:val="00642449"/>
    <w:rsid w:val="006424FA"/>
    <w:rsid w:val="0064254E"/>
    <w:rsid w:val="006425D5"/>
    <w:rsid w:val="006426E0"/>
    <w:rsid w:val="00642750"/>
    <w:rsid w:val="00642B17"/>
    <w:rsid w:val="00642BCF"/>
    <w:rsid w:val="00642C18"/>
    <w:rsid w:val="00642C63"/>
    <w:rsid w:val="00642CB5"/>
    <w:rsid w:val="00642CDC"/>
    <w:rsid w:val="00642D54"/>
    <w:rsid w:val="00642E1E"/>
    <w:rsid w:val="00642E1F"/>
    <w:rsid w:val="00642E5D"/>
    <w:rsid w:val="00642FBB"/>
    <w:rsid w:val="00642FC2"/>
    <w:rsid w:val="00643075"/>
    <w:rsid w:val="006430FB"/>
    <w:rsid w:val="0064313C"/>
    <w:rsid w:val="00643144"/>
    <w:rsid w:val="0064316C"/>
    <w:rsid w:val="0064329F"/>
    <w:rsid w:val="00643332"/>
    <w:rsid w:val="00643388"/>
    <w:rsid w:val="00643397"/>
    <w:rsid w:val="00643450"/>
    <w:rsid w:val="006435AD"/>
    <w:rsid w:val="006435B4"/>
    <w:rsid w:val="006436BE"/>
    <w:rsid w:val="00643812"/>
    <w:rsid w:val="00643865"/>
    <w:rsid w:val="00643954"/>
    <w:rsid w:val="006439B0"/>
    <w:rsid w:val="006439C0"/>
    <w:rsid w:val="00643A37"/>
    <w:rsid w:val="00643A48"/>
    <w:rsid w:val="00643AF4"/>
    <w:rsid w:val="00643B5B"/>
    <w:rsid w:val="00643BD7"/>
    <w:rsid w:val="00643BDF"/>
    <w:rsid w:val="00643C2C"/>
    <w:rsid w:val="00643C39"/>
    <w:rsid w:val="00643DB5"/>
    <w:rsid w:val="00643DB6"/>
    <w:rsid w:val="00643E74"/>
    <w:rsid w:val="00643EBE"/>
    <w:rsid w:val="00643F97"/>
    <w:rsid w:val="00643FF6"/>
    <w:rsid w:val="00644040"/>
    <w:rsid w:val="00644048"/>
    <w:rsid w:val="00644182"/>
    <w:rsid w:val="00644276"/>
    <w:rsid w:val="0064428C"/>
    <w:rsid w:val="006442BA"/>
    <w:rsid w:val="006442C1"/>
    <w:rsid w:val="00644396"/>
    <w:rsid w:val="0064442C"/>
    <w:rsid w:val="00644469"/>
    <w:rsid w:val="0064465C"/>
    <w:rsid w:val="006446E0"/>
    <w:rsid w:val="00644764"/>
    <w:rsid w:val="00644778"/>
    <w:rsid w:val="006447FE"/>
    <w:rsid w:val="0064480A"/>
    <w:rsid w:val="00644845"/>
    <w:rsid w:val="00644857"/>
    <w:rsid w:val="006449CF"/>
    <w:rsid w:val="006449D5"/>
    <w:rsid w:val="006449F5"/>
    <w:rsid w:val="00644B35"/>
    <w:rsid w:val="00644C24"/>
    <w:rsid w:val="00644C78"/>
    <w:rsid w:val="00644CDB"/>
    <w:rsid w:val="00644CE1"/>
    <w:rsid w:val="00644CF4"/>
    <w:rsid w:val="00644D19"/>
    <w:rsid w:val="00644DDD"/>
    <w:rsid w:val="00644F45"/>
    <w:rsid w:val="00645017"/>
    <w:rsid w:val="0064502A"/>
    <w:rsid w:val="0064503E"/>
    <w:rsid w:val="00645056"/>
    <w:rsid w:val="00645070"/>
    <w:rsid w:val="006450F2"/>
    <w:rsid w:val="00645119"/>
    <w:rsid w:val="00645255"/>
    <w:rsid w:val="006452D6"/>
    <w:rsid w:val="00645303"/>
    <w:rsid w:val="00645437"/>
    <w:rsid w:val="006454B8"/>
    <w:rsid w:val="006455DB"/>
    <w:rsid w:val="00645644"/>
    <w:rsid w:val="00645658"/>
    <w:rsid w:val="006456ED"/>
    <w:rsid w:val="006458FA"/>
    <w:rsid w:val="00645935"/>
    <w:rsid w:val="00645987"/>
    <w:rsid w:val="00645B57"/>
    <w:rsid w:val="00645BD8"/>
    <w:rsid w:val="00645D06"/>
    <w:rsid w:val="00645D32"/>
    <w:rsid w:val="00645DD5"/>
    <w:rsid w:val="00645E19"/>
    <w:rsid w:val="00645E9A"/>
    <w:rsid w:val="00645EAB"/>
    <w:rsid w:val="00645F05"/>
    <w:rsid w:val="00645F1C"/>
    <w:rsid w:val="00646005"/>
    <w:rsid w:val="006461C5"/>
    <w:rsid w:val="00646323"/>
    <w:rsid w:val="0064633D"/>
    <w:rsid w:val="00646445"/>
    <w:rsid w:val="00646448"/>
    <w:rsid w:val="00646495"/>
    <w:rsid w:val="006464C1"/>
    <w:rsid w:val="0064651F"/>
    <w:rsid w:val="00646564"/>
    <w:rsid w:val="00646744"/>
    <w:rsid w:val="00646747"/>
    <w:rsid w:val="00646778"/>
    <w:rsid w:val="006467E4"/>
    <w:rsid w:val="00646B74"/>
    <w:rsid w:val="00646BCB"/>
    <w:rsid w:val="00646D08"/>
    <w:rsid w:val="00646DA5"/>
    <w:rsid w:val="00646E61"/>
    <w:rsid w:val="00646E93"/>
    <w:rsid w:val="0064702B"/>
    <w:rsid w:val="00647040"/>
    <w:rsid w:val="00647132"/>
    <w:rsid w:val="006472D4"/>
    <w:rsid w:val="006472EB"/>
    <w:rsid w:val="0064740B"/>
    <w:rsid w:val="00647447"/>
    <w:rsid w:val="006475BC"/>
    <w:rsid w:val="006475ED"/>
    <w:rsid w:val="00647698"/>
    <w:rsid w:val="00647717"/>
    <w:rsid w:val="006477AE"/>
    <w:rsid w:val="00647802"/>
    <w:rsid w:val="0064789C"/>
    <w:rsid w:val="00647937"/>
    <w:rsid w:val="0064794F"/>
    <w:rsid w:val="006479F3"/>
    <w:rsid w:val="00647A02"/>
    <w:rsid w:val="00647A23"/>
    <w:rsid w:val="00647CDD"/>
    <w:rsid w:val="00647CEE"/>
    <w:rsid w:val="00647D7A"/>
    <w:rsid w:val="00647E07"/>
    <w:rsid w:val="00647E8E"/>
    <w:rsid w:val="00647F97"/>
    <w:rsid w:val="00647FB5"/>
    <w:rsid w:val="0065001F"/>
    <w:rsid w:val="006501B0"/>
    <w:rsid w:val="006503EC"/>
    <w:rsid w:val="006504E2"/>
    <w:rsid w:val="00650513"/>
    <w:rsid w:val="00650584"/>
    <w:rsid w:val="006505CF"/>
    <w:rsid w:val="00650621"/>
    <w:rsid w:val="006506C4"/>
    <w:rsid w:val="006507C8"/>
    <w:rsid w:val="006507E9"/>
    <w:rsid w:val="0065084D"/>
    <w:rsid w:val="0065088B"/>
    <w:rsid w:val="0065089D"/>
    <w:rsid w:val="006508D4"/>
    <w:rsid w:val="006509A6"/>
    <w:rsid w:val="00650AFE"/>
    <w:rsid w:val="00650B09"/>
    <w:rsid w:val="00650B27"/>
    <w:rsid w:val="00650B34"/>
    <w:rsid w:val="00650F96"/>
    <w:rsid w:val="00651015"/>
    <w:rsid w:val="0065102C"/>
    <w:rsid w:val="006510B5"/>
    <w:rsid w:val="00651101"/>
    <w:rsid w:val="006512B9"/>
    <w:rsid w:val="006514CB"/>
    <w:rsid w:val="00651549"/>
    <w:rsid w:val="00651574"/>
    <w:rsid w:val="00651666"/>
    <w:rsid w:val="0065169D"/>
    <w:rsid w:val="006516EB"/>
    <w:rsid w:val="006519F0"/>
    <w:rsid w:val="00651A04"/>
    <w:rsid w:val="00651A5F"/>
    <w:rsid w:val="00651CE6"/>
    <w:rsid w:val="00651DE1"/>
    <w:rsid w:val="00651E52"/>
    <w:rsid w:val="00651E86"/>
    <w:rsid w:val="00651EFB"/>
    <w:rsid w:val="00651F79"/>
    <w:rsid w:val="00651F9F"/>
    <w:rsid w:val="00651FAB"/>
    <w:rsid w:val="00651FCD"/>
    <w:rsid w:val="006520C5"/>
    <w:rsid w:val="00652146"/>
    <w:rsid w:val="0065219F"/>
    <w:rsid w:val="00652442"/>
    <w:rsid w:val="0065251D"/>
    <w:rsid w:val="00652568"/>
    <w:rsid w:val="006526FA"/>
    <w:rsid w:val="006527AA"/>
    <w:rsid w:val="0065282D"/>
    <w:rsid w:val="0065290C"/>
    <w:rsid w:val="0065291D"/>
    <w:rsid w:val="00652946"/>
    <w:rsid w:val="00652B07"/>
    <w:rsid w:val="00652B27"/>
    <w:rsid w:val="00652B31"/>
    <w:rsid w:val="00652B37"/>
    <w:rsid w:val="00652B78"/>
    <w:rsid w:val="00652BAD"/>
    <w:rsid w:val="00652C21"/>
    <w:rsid w:val="00652C82"/>
    <w:rsid w:val="00652DCD"/>
    <w:rsid w:val="00652E61"/>
    <w:rsid w:val="00652F93"/>
    <w:rsid w:val="00653006"/>
    <w:rsid w:val="00653258"/>
    <w:rsid w:val="006532A2"/>
    <w:rsid w:val="006533DC"/>
    <w:rsid w:val="006533F9"/>
    <w:rsid w:val="0065347D"/>
    <w:rsid w:val="00653603"/>
    <w:rsid w:val="006536A7"/>
    <w:rsid w:val="0065373D"/>
    <w:rsid w:val="00653762"/>
    <w:rsid w:val="006537D6"/>
    <w:rsid w:val="006537E1"/>
    <w:rsid w:val="00653850"/>
    <w:rsid w:val="00653918"/>
    <w:rsid w:val="006539AF"/>
    <w:rsid w:val="006539CF"/>
    <w:rsid w:val="00653A0A"/>
    <w:rsid w:val="00653A50"/>
    <w:rsid w:val="00653A97"/>
    <w:rsid w:val="00653AB1"/>
    <w:rsid w:val="00653AE4"/>
    <w:rsid w:val="00653B81"/>
    <w:rsid w:val="00653C0E"/>
    <w:rsid w:val="00653C33"/>
    <w:rsid w:val="00653CD2"/>
    <w:rsid w:val="00653E19"/>
    <w:rsid w:val="00653E7C"/>
    <w:rsid w:val="00653E94"/>
    <w:rsid w:val="00653EEB"/>
    <w:rsid w:val="006540F3"/>
    <w:rsid w:val="00654116"/>
    <w:rsid w:val="0065413B"/>
    <w:rsid w:val="006541B3"/>
    <w:rsid w:val="006542DD"/>
    <w:rsid w:val="0065434D"/>
    <w:rsid w:val="006543C7"/>
    <w:rsid w:val="0065449A"/>
    <w:rsid w:val="0065450F"/>
    <w:rsid w:val="0065457B"/>
    <w:rsid w:val="00654648"/>
    <w:rsid w:val="006546F0"/>
    <w:rsid w:val="006548A3"/>
    <w:rsid w:val="006548FE"/>
    <w:rsid w:val="00654935"/>
    <w:rsid w:val="0065494B"/>
    <w:rsid w:val="006549E4"/>
    <w:rsid w:val="00654A7D"/>
    <w:rsid w:val="00654BFE"/>
    <w:rsid w:val="00654C8C"/>
    <w:rsid w:val="00654C90"/>
    <w:rsid w:val="00654D4A"/>
    <w:rsid w:val="00654E6B"/>
    <w:rsid w:val="00654F96"/>
    <w:rsid w:val="00654FCE"/>
    <w:rsid w:val="0065521E"/>
    <w:rsid w:val="00655264"/>
    <w:rsid w:val="00655287"/>
    <w:rsid w:val="006552DB"/>
    <w:rsid w:val="00655351"/>
    <w:rsid w:val="00655370"/>
    <w:rsid w:val="0065544F"/>
    <w:rsid w:val="00655624"/>
    <w:rsid w:val="00655658"/>
    <w:rsid w:val="006556DE"/>
    <w:rsid w:val="00655739"/>
    <w:rsid w:val="0065578F"/>
    <w:rsid w:val="00655798"/>
    <w:rsid w:val="006557C3"/>
    <w:rsid w:val="006557D9"/>
    <w:rsid w:val="006559B3"/>
    <w:rsid w:val="00655B78"/>
    <w:rsid w:val="00655BD1"/>
    <w:rsid w:val="00655C54"/>
    <w:rsid w:val="00655E01"/>
    <w:rsid w:val="00655FDF"/>
    <w:rsid w:val="0065608E"/>
    <w:rsid w:val="0065622A"/>
    <w:rsid w:val="006562E9"/>
    <w:rsid w:val="0065635A"/>
    <w:rsid w:val="00656550"/>
    <w:rsid w:val="00656602"/>
    <w:rsid w:val="00656640"/>
    <w:rsid w:val="006566C0"/>
    <w:rsid w:val="006567F4"/>
    <w:rsid w:val="00656896"/>
    <w:rsid w:val="006569A8"/>
    <w:rsid w:val="00656A5C"/>
    <w:rsid w:val="00656AB3"/>
    <w:rsid w:val="00656C4D"/>
    <w:rsid w:val="00656C9D"/>
    <w:rsid w:val="00656CA2"/>
    <w:rsid w:val="00656DD8"/>
    <w:rsid w:val="00656DF5"/>
    <w:rsid w:val="00656F3E"/>
    <w:rsid w:val="00656F87"/>
    <w:rsid w:val="00656FD6"/>
    <w:rsid w:val="00657009"/>
    <w:rsid w:val="00657065"/>
    <w:rsid w:val="0065718B"/>
    <w:rsid w:val="0065722D"/>
    <w:rsid w:val="0065723F"/>
    <w:rsid w:val="00657260"/>
    <w:rsid w:val="0065734B"/>
    <w:rsid w:val="00657385"/>
    <w:rsid w:val="0065748F"/>
    <w:rsid w:val="00657542"/>
    <w:rsid w:val="00657549"/>
    <w:rsid w:val="0065758B"/>
    <w:rsid w:val="0065758F"/>
    <w:rsid w:val="00657644"/>
    <w:rsid w:val="0065779D"/>
    <w:rsid w:val="006577AE"/>
    <w:rsid w:val="006577BB"/>
    <w:rsid w:val="0065782E"/>
    <w:rsid w:val="006578DC"/>
    <w:rsid w:val="00657934"/>
    <w:rsid w:val="006579A9"/>
    <w:rsid w:val="006579E1"/>
    <w:rsid w:val="00657B0A"/>
    <w:rsid w:val="00657BAA"/>
    <w:rsid w:val="00657CEB"/>
    <w:rsid w:val="00657D98"/>
    <w:rsid w:val="00657DC3"/>
    <w:rsid w:val="00657DE4"/>
    <w:rsid w:val="00657F93"/>
    <w:rsid w:val="00657FD6"/>
    <w:rsid w:val="00660127"/>
    <w:rsid w:val="006602D7"/>
    <w:rsid w:val="00660328"/>
    <w:rsid w:val="00660334"/>
    <w:rsid w:val="00660347"/>
    <w:rsid w:val="0066039D"/>
    <w:rsid w:val="00660584"/>
    <w:rsid w:val="0066063A"/>
    <w:rsid w:val="00660826"/>
    <w:rsid w:val="00660934"/>
    <w:rsid w:val="0066093B"/>
    <w:rsid w:val="006609E5"/>
    <w:rsid w:val="00660B2A"/>
    <w:rsid w:val="00660B9E"/>
    <w:rsid w:val="00660BBE"/>
    <w:rsid w:val="00660BDA"/>
    <w:rsid w:val="00660C57"/>
    <w:rsid w:val="00660CF8"/>
    <w:rsid w:val="00660D1E"/>
    <w:rsid w:val="00660E36"/>
    <w:rsid w:val="00660F80"/>
    <w:rsid w:val="00660FBB"/>
    <w:rsid w:val="00661057"/>
    <w:rsid w:val="00661094"/>
    <w:rsid w:val="006610CC"/>
    <w:rsid w:val="0066118C"/>
    <w:rsid w:val="00661239"/>
    <w:rsid w:val="00661325"/>
    <w:rsid w:val="00661341"/>
    <w:rsid w:val="00661374"/>
    <w:rsid w:val="0066139E"/>
    <w:rsid w:val="00661443"/>
    <w:rsid w:val="0066151A"/>
    <w:rsid w:val="0066151B"/>
    <w:rsid w:val="00661538"/>
    <w:rsid w:val="00661686"/>
    <w:rsid w:val="006616AC"/>
    <w:rsid w:val="00661743"/>
    <w:rsid w:val="00661813"/>
    <w:rsid w:val="00661839"/>
    <w:rsid w:val="00661846"/>
    <w:rsid w:val="0066193D"/>
    <w:rsid w:val="006619A8"/>
    <w:rsid w:val="006619D4"/>
    <w:rsid w:val="00661A8D"/>
    <w:rsid w:val="00661A97"/>
    <w:rsid w:val="00661AC2"/>
    <w:rsid w:val="00661B36"/>
    <w:rsid w:val="00661D24"/>
    <w:rsid w:val="00661E0A"/>
    <w:rsid w:val="00661E19"/>
    <w:rsid w:val="00661E28"/>
    <w:rsid w:val="00661EAB"/>
    <w:rsid w:val="00661EBD"/>
    <w:rsid w:val="00661F3F"/>
    <w:rsid w:val="0066207A"/>
    <w:rsid w:val="006620DC"/>
    <w:rsid w:val="00662108"/>
    <w:rsid w:val="006621F7"/>
    <w:rsid w:val="00662218"/>
    <w:rsid w:val="00662267"/>
    <w:rsid w:val="006622E4"/>
    <w:rsid w:val="0066245E"/>
    <w:rsid w:val="00662582"/>
    <w:rsid w:val="0066271B"/>
    <w:rsid w:val="006627D7"/>
    <w:rsid w:val="006627E9"/>
    <w:rsid w:val="00662885"/>
    <w:rsid w:val="006628A2"/>
    <w:rsid w:val="006629D3"/>
    <w:rsid w:val="00662AAC"/>
    <w:rsid w:val="00662AE7"/>
    <w:rsid w:val="00662BFE"/>
    <w:rsid w:val="00662C0B"/>
    <w:rsid w:val="00662C11"/>
    <w:rsid w:val="00662C3F"/>
    <w:rsid w:val="00662F15"/>
    <w:rsid w:val="00663007"/>
    <w:rsid w:val="0066307B"/>
    <w:rsid w:val="006632EC"/>
    <w:rsid w:val="00663326"/>
    <w:rsid w:val="00663339"/>
    <w:rsid w:val="006633A6"/>
    <w:rsid w:val="006633F1"/>
    <w:rsid w:val="00663419"/>
    <w:rsid w:val="00663447"/>
    <w:rsid w:val="00663614"/>
    <w:rsid w:val="006636A6"/>
    <w:rsid w:val="0066373D"/>
    <w:rsid w:val="00663836"/>
    <w:rsid w:val="0066391D"/>
    <w:rsid w:val="00663933"/>
    <w:rsid w:val="00663934"/>
    <w:rsid w:val="006639D4"/>
    <w:rsid w:val="00663C81"/>
    <w:rsid w:val="00663DD2"/>
    <w:rsid w:val="00663FAE"/>
    <w:rsid w:val="00663FBA"/>
    <w:rsid w:val="00664121"/>
    <w:rsid w:val="00664147"/>
    <w:rsid w:val="006641D1"/>
    <w:rsid w:val="006641EE"/>
    <w:rsid w:val="0066429F"/>
    <w:rsid w:val="006643B0"/>
    <w:rsid w:val="0066441A"/>
    <w:rsid w:val="0066450A"/>
    <w:rsid w:val="006646C5"/>
    <w:rsid w:val="00664746"/>
    <w:rsid w:val="006647D1"/>
    <w:rsid w:val="00664A7D"/>
    <w:rsid w:val="00664B27"/>
    <w:rsid w:val="00664C42"/>
    <w:rsid w:val="00664DAA"/>
    <w:rsid w:val="00664E28"/>
    <w:rsid w:val="00664E47"/>
    <w:rsid w:val="00664F44"/>
    <w:rsid w:val="00664FA3"/>
    <w:rsid w:val="00665111"/>
    <w:rsid w:val="00665202"/>
    <w:rsid w:val="0066526D"/>
    <w:rsid w:val="0066537F"/>
    <w:rsid w:val="006655A7"/>
    <w:rsid w:val="00665612"/>
    <w:rsid w:val="00665805"/>
    <w:rsid w:val="006658B0"/>
    <w:rsid w:val="006659A4"/>
    <w:rsid w:val="00665B2A"/>
    <w:rsid w:val="00665E8E"/>
    <w:rsid w:val="00665F88"/>
    <w:rsid w:val="00665FAF"/>
    <w:rsid w:val="006660AD"/>
    <w:rsid w:val="00666158"/>
    <w:rsid w:val="00666343"/>
    <w:rsid w:val="0066658E"/>
    <w:rsid w:val="006665A0"/>
    <w:rsid w:val="006665A8"/>
    <w:rsid w:val="0066663E"/>
    <w:rsid w:val="00666657"/>
    <w:rsid w:val="00666788"/>
    <w:rsid w:val="006667BC"/>
    <w:rsid w:val="00666879"/>
    <w:rsid w:val="00666917"/>
    <w:rsid w:val="006669D4"/>
    <w:rsid w:val="006669E7"/>
    <w:rsid w:val="00666ABE"/>
    <w:rsid w:val="00666ACF"/>
    <w:rsid w:val="00666B0F"/>
    <w:rsid w:val="00666B3A"/>
    <w:rsid w:val="00666D93"/>
    <w:rsid w:val="00666E64"/>
    <w:rsid w:val="00667043"/>
    <w:rsid w:val="0066706A"/>
    <w:rsid w:val="0066711B"/>
    <w:rsid w:val="0066731B"/>
    <w:rsid w:val="006673A1"/>
    <w:rsid w:val="006673DE"/>
    <w:rsid w:val="00667502"/>
    <w:rsid w:val="006675E6"/>
    <w:rsid w:val="0066778D"/>
    <w:rsid w:val="006677C5"/>
    <w:rsid w:val="006677F1"/>
    <w:rsid w:val="00667810"/>
    <w:rsid w:val="0066784D"/>
    <w:rsid w:val="006678AD"/>
    <w:rsid w:val="0066798D"/>
    <w:rsid w:val="00667A18"/>
    <w:rsid w:val="00667C56"/>
    <w:rsid w:val="00667CB6"/>
    <w:rsid w:val="00667DF1"/>
    <w:rsid w:val="0067013A"/>
    <w:rsid w:val="0067015D"/>
    <w:rsid w:val="006701CF"/>
    <w:rsid w:val="0067027E"/>
    <w:rsid w:val="006702E8"/>
    <w:rsid w:val="006702F1"/>
    <w:rsid w:val="00670361"/>
    <w:rsid w:val="0067052B"/>
    <w:rsid w:val="006705ED"/>
    <w:rsid w:val="006706D1"/>
    <w:rsid w:val="006707A2"/>
    <w:rsid w:val="006708EB"/>
    <w:rsid w:val="00670AB3"/>
    <w:rsid w:val="00670B3D"/>
    <w:rsid w:val="00670B46"/>
    <w:rsid w:val="00670C41"/>
    <w:rsid w:val="00670C4B"/>
    <w:rsid w:val="00670C91"/>
    <w:rsid w:val="00670E6F"/>
    <w:rsid w:val="00671030"/>
    <w:rsid w:val="00671277"/>
    <w:rsid w:val="00671317"/>
    <w:rsid w:val="0067134D"/>
    <w:rsid w:val="006713F7"/>
    <w:rsid w:val="00671506"/>
    <w:rsid w:val="00671546"/>
    <w:rsid w:val="00671581"/>
    <w:rsid w:val="0067159B"/>
    <w:rsid w:val="006715F6"/>
    <w:rsid w:val="006716A2"/>
    <w:rsid w:val="0067180E"/>
    <w:rsid w:val="006718CA"/>
    <w:rsid w:val="00671A6F"/>
    <w:rsid w:val="00671AE3"/>
    <w:rsid w:val="00671B88"/>
    <w:rsid w:val="00671BB5"/>
    <w:rsid w:val="00671C19"/>
    <w:rsid w:val="00671C21"/>
    <w:rsid w:val="00671E0C"/>
    <w:rsid w:val="0067201D"/>
    <w:rsid w:val="006720CB"/>
    <w:rsid w:val="00672137"/>
    <w:rsid w:val="006721C8"/>
    <w:rsid w:val="006721E2"/>
    <w:rsid w:val="0067220C"/>
    <w:rsid w:val="0067239A"/>
    <w:rsid w:val="0067248C"/>
    <w:rsid w:val="006724CA"/>
    <w:rsid w:val="00672550"/>
    <w:rsid w:val="006726B6"/>
    <w:rsid w:val="00672781"/>
    <w:rsid w:val="00672814"/>
    <w:rsid w:val="0067285B"/>
    <w:rsid w:val="00672920"/>
    <w:rsid w:val="00672983"/>
    <w:rsid w:val="00672991"/>
    <w:rsid w:val="006729B2"/>
    <w:rsid w:val="006729E6"/>
    <w:rsid w:val="00672AE2"/>
    <w:rsid w:val="00672C60"/>
    <w:rsid w:val="00672CE9"/>
    <w:rsid w:val="00672D91"/>
    <w:rsid w:val="00672E79"/>
    <w:rsid w:val="00672EAF"/>
    <w:rsid w:val="00672EC3"/>
    <w:rsid w:val="0067300B"/>
    <w:rsid w:val="006731D0"/>
    <w:rsid w:val="00673372"/>
    <w:rsid w:val="0067337E"/>
    <w:rsid w:val="006733B0"/>
    <w:rsid w:val="006733E1"/>
    <w:rsid w:val="00673427"/>
    <w:rsid w:val="00673498"/>
    <w:rsid w:val="0067352A"/>
    <w:rsid w:val="0067358B"/>
    <w:rsid w:val="006735CE"/>
    <w:rsid w:val="006735E3"/>
    <w:rsid w:val="0067369F"/>
    <w:rsid w:val="006736E6"/>
    <w:rsid w:val="006736FA"/>
    <w:rsid w:val="00673731"/>
    <w:rsid w:val="00673790"/>
    <w:rsid w:val="00673834"/>
    <w:rsid w:val="00673967"/>
    <w:rsid w:val="006739E2"/>
    <w:rsid w:val="00673A53"/>
    <w:rsid w:val="00673BC7"/>
    <w:rsid w:val="00673C49"/>
    <w:rsid w:val="00673D5C"/>
    <w:rsid w:val="00673D72"/>
    <w:rsid w:val="00673F95"/>
    <w:rsid w:val="00673FF6"/>
    <w:rsid w:val="00674031"/>
    <w:rsid w:val="006742D1"/>
    <w:rsid w:val="006743EC"/>
    <w:rsid w:val="0067443E"/>
    <w:rsid w:val="00674604"/>
    <w:rsid w:val="00674628"/>
    <w:rsid w:val="006746D8"/>
    <w:rsid w:val="006747EA"/>
    <w:rsid w:val="00674966"/>
    <w:rsid w:val="00674972"/>
    <w:rsid w:val="006749C1"/>
    <w:rsid w:val="006749F6"/>
    <w:rsid w:val="00674AE7"/>
    <w:rsid w:val="00674B8C"/>
    <w:rsid w:val="00674B9C"/>
    <w:rsid w:val="00674C32"/>
    <w:rsid w:val="00674D9E"/>
    <w:rsid w:val="00674DC4"/>
    <w:rsid w:val="00674EB8"/>
    <w:rsid w:val="00674F90"/>
    <w:rsid w:val="006752A4"/>
    <w:rsid w:val="006752DD"/>
    <w:rsid w:val="0067533A"/>
    <w:rsid w:val="006753B9"/>
    <w:rsid w:val="0067546B"/>
    <w:rsid w:val="0067556E"/>
    <w:rsid w:val="006755DF"/>
    <w:rsid w:val="006755E8"/>
    <w:rsid w:val="006756F2"/>
    <w:rsid w:val="006756FE"/>
    <w:rsid w:val="0067573E"/>
    <w:rsid w:val="0067578D"/>
    <w:rsid w:val="006757D8"/>
    <w:rsid w:val="0067582A"/>
    <w:rsid w:val="006758AD"/>
    <w:rsid w:val="006758F0"/>
    <w:rsid w:val="00675919"/>
    <w:rsid w:val="00675994"/>
    <w:rsid w:val="00675A12"/>
    <w:rsid w:val="00675AAC"/>
    <w:rsid w:val="00675B0E"/>
    <w:rsid w:val="00675B96"/>
    <w:rsid w:val="00675D8F"/>
    <w:rsid w:val="00675DB8"/>
    <w:rsid w:val="00675DD0"/>
    <w:rsid w:val="00675F28"/>
    <w:rsid w:val="00675F90"/>
    <w:rsid w:val="00675F9A"/>
    <w:rsid w:val="00675FAB"/>
    <w:rsid w:val="00676031"/>
    <w:rsid w:val="00676092"/>
    <w:rsid w:val="006761F8"/>
    <w:rsid w:val="0067630F"/>
    <w:rsid w:val="00676395"/>
    <w:rsid w:val="006763FD"/>
    <w:rsid w:val="00676429"/>
    <w:rsid w:val="00676435"/>
    <w:rsid w:val="006764C2"/>
    <w:rsid w:val="006764D5"/>
    <w:rsid w:val="006765EE"/>
    <w:rsid w:val="006766BB"/>
    <w:rsid w:val="0067675B"/>
    <w:rsid w:val="00676853"/>
    <w:rsid w:val="00676929"/>
    <w:rsid w:val="006769D7"/>
    <w:rsid w:val="00676A22"/>
    <w:rsid w:val="00676AE5"/>
    <w:rsid w:val="00676B4F"/>
    <w:rsid w:val="00676B5D"/>
    <w:rsid w:val="00676C7A"/>
    <w:rsid w:val="00676E01"/>
    <w:rsid w:val="00676E55"/>
    <w:rsid w:val="00676F6A"/>
    <w:rsid w:val="006770A8"/>
    <w:rsid w:val="0067714F"/>
    <w:rsid w:val="00677189"/>
    <w:rsid w:val="006772A0"/>
    <w:rsid w:val="006772C8"/>
    <w:rsid w:val="00677342"/>
    <w:rsid w:val="006773A4"/>
    <w:rsid w:val="00677440"/>
    <w:rsid w:val="00677453"/>
    <w:rsid w:val="00677484"/>
    <w:rsid w:val="00677629"/>
    <w:rsid w:val="006776C3"/>
    <w:rsid w:val="0067778E"/>
    <w:rsid w:val="00677797"/>
    <w:rsid w:val="006777C3"/>
    <w:rsid w:val="006777CD"/>
    <w:rsid w:val="0067796B"/>
    <w:rsid w:val="006779D2"/>
    <w:rsid w:val="00677B77"/>
    <w:rsid w:val="00677BC1"/>
    <w:rsid w:val="00677C9E"/>
    <w:rsid w:val="00677CAE"/>
    <w:rsid w:val="00677F4E"/>
    <w:rsid w:val="0068006B"/>
    <w:rsid w:val="006800F4"/>
    <w:rsid w:val="0068014B"/>
    <w:rsid w:val="0068016F"/>
    <w:rsid w:val="0068028D"/>
    <w:rsid w:val="00680409"/>
    <w:rsid w:val="0068042F"/>
    <w:rsid w:val="0068043D"/>
    <w:rsid w:val="0068044B"/>
    <w:rsid w:val="00680675"/>
    <w:rsid w:val="006806D3"/>
    <w:rsid w:val="006807DB"/>
    <w:rsid w:val="006807F7"/>
    <w:rsid w:val="00680851"/>
    <w:rsid w:val="006809DE"/>
    <w:rsid w:val="00680B1A"/>
    <w:rsid w:val="00680B7C"/>
    <w:rsid w:val="00680D55"/>
    <w:rsid w:val="00680DCD"/>
    <w:rsid w:val="00680DCF"/>
    <w:rsid w:val="00680E11"/>
    <w:rsid w:val="00680E29"/>
    <w:rsid w:val="00680ED1"/>
    <w:rsid w:val="00680ED5"/>
    <w:rsid w:val="00680EF6"/>
    <w:rsid w:val="00680F1E"/>
    <w:rsid w:val="00680FCB"/>
    <w:rsid w:val="00680FDB"/>
    <w:rsid w:val="00681053"/>
    <w:rsid w:val="006810FB"/>
    <w:rsid w:val="00681309"/>
    <w:rsid w:val="0068130A"/>
    <w:rsid w:val="0068141E"/>
    <w:rsid w:val="00681461"/>
    <w:rsid w:val="006814ED"/>
    <w:rsid w:val="00681607"/>
    <w:rsid w:val="00681639"/>
    <w:rsid w:val="00681672"/>
    <w:rsid w:val="0068179B"/>
    <w:rsid w:val="006817D8"/>
    <w:rsid w:val="006819E0"/>
    <w:rsid w:val="00681A16"/>
    <w:rsid w:val="00681AD1"/>
    <w:rsid w:val="00681ADF"/>
    <w:rsid w:val="00681B93"/>
    <w:rsid w:val="00681CA1"/>
    <w:rsid w:val="00681D4F"/>
    <w:rsid w:val="00681DBC"/>
    <w:rsid w:val="00681DD3"/>
    <w:rsid w:val="00682021"/>
    <w:rsid w:val="00682138"/>
    <w:rsid w:val="006821EF"/>
    <w:rsid w:val="00682461"/>
    <w:rsid w:val="00682532"/>
    <w:rsid w:val="006825B7"/>
    <w:rsid w:val="00682621"/>
    <w:rsid w:val="00682649"/>
    <w:rsid w:val="006826C3"/>
    <w:rsid w:val="00682756"/>
    <w:rsid w:val="0068282C"/>
    <w:rsid w:val="0068284F"/>
    <w:rsid w:val="0068287C"/>
    <w:rsid w:val="00682940"/>
    <w:rsid w:val="00682949"/>
    <w:rsid w:val="00682A35"/>
    <w:rsid w:val="00682A70"/>
    <w:rsid w:val="00682B43"/>
    <w:rsid w:val="00682D30"/>
    <w:rsid w:val="00682DF5"/>
    <w:rsid w:val="006830DD"/>
    <w:rsid w:val="00683284"/>
    <w:rsid w:val="00683291"/>
    <w:rsid w:val="006832A5"/>
    <w:rsid w:val="00683302"/>
    <w:rsid w:val="006833C1"/>
    <w:rsid w:val="00683525"/>
    <w:rsid w:val="00683581"/>
    <w:rsid w:val="006835D7"/>
    <w:rsid w:val="00683636"/>
    <w:rsid w:val="006836B0"/>
    <w:rsid w:val="00683701"/>
    <w:rsid w:val="0068385B"/>
    <w:rsid w:val="006838D1"/>
    <w:rsid w:val="0068396B"/>
    <w:rsid w:val="006839BC"/>
    <w:rsid w:val="00683B94"/>
    <w:rsid w:val="00683CBD"/>
    <w:rsid w:val="00683D1B"/>
    <w:rsid w:val="00683E54"/>
    <w:rsid w:val="00683FD0"/>
    <w:rsid w:val="00684267"/>
    <w:rsid w:val="0068433D"/>
    <w:rsid w:val="00684354"/>
    <w:rsid w:val="00684514"/>
    <w:rsid w:val="006845F1"/>
    <w:rsid w:val="0068464D"/>
    <w:rsid w:val="00684867"/>
    <w:rsid w:val="006848C8"/>
    <w:rsid w:val="0068491D"/>
    <w:rsid w:val="0068494C"/>
    <w:rsid w:val="00684A42"/>
    <w:rsid w:val="00684C22"/>
    <w:rsid w:val="00684C81"/>
    <w:rsid w:val="00684DB5"/>
    <w:rsid w:val="00684E30"/>
    <w:rsid w:val="00684EB3"/>
    <w:rsid w:val="00684EB6"/>
    <w:rsid w:val="00684F0F"/>
    <w:rsid w:val="00684F2A"/>
    <w:rsid w:val="00684F61"/>
    <w:rsid w:val="0068508A"/>
    <w:rsid w:val="00685117"/>
    <w:rsid w:val="006851BB"/>
    <w:rsid w:val="00685241"/>
    <w:rsid w:val="0068529A"/>
    <w:rsid w:val="006855FC"/>
    <w:rsid w:val="0068565B"/>
    <w:rsid w:val="006856C1"/>
    <w:rsid w:val="00685766"/>
    <w:rsid w:val="0068581B"/>
    <w:rsid w:val="00685858"/>
    <w:rsid w:val="00685977"/>
    <w:rsid w:val="006859C3"/>
    <w:rsid w:val="00685A19"/>
    <w:rsid w:val="00685A25"/>
    <w:rsid w:val="00685A97"/>
    <w:rsid w:val="00685B20"/>
    <w:rsid w:val="00685C3A"/>
    <w:rsid w:val="00685C59"/>
    <w:rsid w:val="00685CCB"/>
    <w:rsid w:val="00685CE8"/>
    <w:rsid w:val="00685DAA"/>
    <w:rsid w:val="00685F65"/>
    <w:rsid w:val="0068606C"/>
    <w:rsid w:val="00686271"/>
    <w:rsid w:val="006862BE"/>
    <w:rsid w:val="00686526"/>
    <w:rsid w:val="006865E4"/>
    <w:rsid w:val="006866D3"/>
    <w:rsid w:val="00686776"/>
    <w:rsid w:val="006869D7"/>
    <w:rsid w:val="00686A2C"/>
    <w:rsid w:val="00686AD2"/>
    <w:rsid w:val="00686BC8"/>
    <w:rsid w:val="00686BD6"/>
    <w:rsid w:val="00686C71"/>
    <w:rsid w:val="00686D7D"/>
    <w:rsid w:val="00686D8D"/>
    <w:rsid w:val="00686DA2"/>
    <w:rsid w:val="00686DF4"/>
    <w:rsid w:val="00687030"/>
    <w:rsid w:val="00687090"/>
    <w:rsid w:val="00687102"/>
    <w:rsid w:val="0068722A"/>
    <w:rsid w:val="006872E2"/>
    <w:rsid w:val="00687372"/>
    <w:rsid w:val="006873E1"/>
    <w:rsid w:val="00687418"/>
    <w:rsid w:val="0068750E"/>
    <w:rsid w:val="0068753D"/>
    <w:rsid w:val="006875DA"/>
    <w:rsid w:val="00687683"/>
    <w:rsid w:val="00687759"/>
    <w:rsid w:val="006878CA"/>
    <w:rsid w:val="00687906"/>
    <w:rsid w:val="006879FE"/>
    <w:rsid w:val="00687A6C"/>
    <w:rsid w:val="00687AE1"/>
    <w:rsid w:val="00687C36"/>
    <w:rsid w:val="00687C9F"/>
    <w:rsid w:val="00687CDB"/>
    <w:rsid w:val="00687CDD"/>
    <w:rsid w:val="00687E46"/>
    <w:rsid w:val="00687EDA"/>
    <w:rsid w:val="00687F24"/>
    <w:rsid w:val="00687F98"/>
    <w:rsid w:val="0069011A"/>
    <w:rsid w:val="0069022F"/>
    <w:rsid w:val="00690240"/>
    <w:rsid w:val="006904CE"/>
    <w:rsid w:val="006904D6"/>
    <w:rsid w:val="006905E6"/>
    <w:rsid w:val="006906CE"/>
    <w:rsid w:val="006906E6"/>
    <w:rsid w:val="006906FF"/>
    <w:rsid w:val="00690784"/>
    <w:rsid w:val="006907B3"/>
    <w:rsid w:val="006907EF"/>
    <w:rsid w:val="00690823"/>
    <w:rsid w:val="00690925"/>
    <w:rsid w:val="0069093F"/>
    <w:rsid w:val="00690950"/>
    <w:rsid w:val="00690955"/>
    <w:rsid w:val="00690AC6"/>
    <w:rsid w:val="00690B4C"/>
    <w:rsid w:val="00690C27"/>
    <w:rsid w:val="00690C69"/>
    <w:rsid w:val="00690CA5"/>
    <w:rsid w:val="00690D86"/>
    <w:rsid w:val="00690ECC"/>
    <w:rsid w:val="00690F16"/>
    <w:rsid w:val="00690F50"/>
    <w:rsid w:val="00690F9E"/>
    <w:rsid w:val="00691002"/>
    <w:rsid w:val="006910AC"/>
    <w:rsid w:val="006911DE"/>
    <w:rsid w:val="00691291"/>
    <w:rsid w:val="006912FA"/>
    <w:rsid w:val="006914C7"/>
    <w:rsid w:val="006914CC"/>
    <w:rsid w:val="006915F3"/>
    <w:rsid w:val="006915F5"/>
    <w:rsid w:val="0069169F"/>
    <w:rsid w:val="006916F9"/>
    <w:rsid w:val="00691AA3"/>
    <w:rsid w:val="00691B62"/>
    <w:rsid w:val="00691BDC"/>
    <w:rsid w:val="00691C1F"/>
    <w:rsid w:val="00691D6A"/>
    <w:rsid w:val="00691EF4"/>
    <w:rsid w:val="00691F94"/>
    <w:rsid w:val="006921AF"/>
    <w:rsid w:val="006921D4"/>
    <w:rsid w:val="00692205"/>
    <w:rsid w:val="0069225B"/>
    <w:rsid w:val="006922BD"/>
    <w:rsid w:val="0069230A"/>
    <w:rsid w:val="00692355"/>
    <w:rsid w:val="00692373"/>
    <w:rsid w:val="006924BF"/>
    <w:rsid w:val="00692575"/>
    <w:rsid w:val="00692593"/>
    <w:rsid w:val="006925C2"/>
    <w:rsid w:val="0069266C"/>
    <w:rsid w:val="006927C0"/>
    <w:rsid w:val="00692827"/>
    <w:rsid w:val="00692856"/>
    <w:rsid w:val="006928F5"/>
    <w:rsid w:val="00692A59"/>
    <w:rsid w:val="00692AFF"/>
    <w:rsid w:val="00692B15"/>
    <w:rsid w:val="00692B57"/>
    <w:rsid w:val="00692B67"/>
    <w:rsid w:val="00692B97"/>
    <w:rsid w:val="00692C35"/>
    <w:rsid w:val="00692D36"/>
    <w:rsid w:val="00692D86"/>
    <w:rsid w:val="00692DE6"/>
    <w:rsid w:val="00693160"/>
    <w:rsid w:val="00693175"/>
    <w:rsid w:val="00693180"/>
    <w:rsid w:val="006932CB"/>
    <w:rsid w:val="00693435"/>
    <w:rsid w:val="00693443"/>
    <w:rsid w:val="0069352A"/>
    <w:rsid w:val="00693541"/>
    <w:rsid w:val="00693776"/>
    <w:rsid w:val="00693793"/>
    <w:rsid w:val="006937C0"/>
    <w:rsid w:val="006937EE"/>
    <w:rsid w:val="00693831"/>
    <w:rsid w:val="006939D0"/>
    <w:rsid w:val="00693A6D"/>
    <w:rsid w:val="00693AA8"/>
    <w:rsid w:val="00693AC7"/>
    <w:rsid w:val="00693B85"/>
    <w:rsid w:val="00693D79"/>
    <w:rsid w:val="00693D7C"/>
    <w:rsid w:val="00693E0C"/>
    <w:rsid w:val="00694181"/>
    <w:rsid w:val="006941D4"/>
    <w:rsid w:val="006942BE"/>
    <w:rsid w:val="006942C4"/>
    <w:rsid w:val="006943BC"/>
    <w:rsid w:val="006943FD"/>
    <w:rsid w:val="00694562"/>
    <w:rsid w:val="00694587"/>
    <w:rsid w:val="006945B6"/>
    <w:rsid w:val="006946B8"/>
    <w:rsid w:val="006949BF"/>
    <w:rsid w:val="00694A34"/>
    <w:rsid w:val="00694AD6"/>
    <w:rsid w:val="00694C05"/>
    <w:rsid w:val="00694C0F"/>
    <w:rsid w:val="00694CF1"/>
    <w:rsid w:val="00694CF2"/>
    <w:rsid w:val="00694D3E"/>
    <w:rsid w:val="00694E17"/>
    <w:rsid w:val="00694E3D"/>
    <w:rsid w:val="00694E78"/>
    <w:rsid w:val="00694FCB"/>
    <w:rsid w:val="006950B8"/>
    <w:rsid w:val="0069513A"/>
    <w:rsid w:val="00695201"/>
    <w:rsid w:val="006952B7"/>
    <w:rsid w:val="006952C0"/>
    <w:rsid w:val="00695367"/>
    <w:rsid w:val="0069541D"/>
    <w:rsid w:val="00695497"/>
    <w:rsid w:val="00695559"/>
    <w:rsid w:val="006955E2"/>
    <w:rsid w:val="006957AD"/>
    <w:rsid w:val="006959E5"/>
    <w:rsid w:val="00695A92"/>
    <w:rsid w:val="00695B4F"/>
    <w:rsid w:val="00695BF0"/>
    <w:rsid w:val="00695C2A"/>
    <w:rsid w:val="00695C72"/>
    <w:rsid w:val="00695C9A"/>
    <w:rsid w:val="00695CFE"/>
    <w:rsid w:val="00695DF3"/>
    <w:rsid w:val="00695ECD"/>
    <w:rsid w:val="00695FAC"/>
    <w:rsid w:val="00696158"/>
    <w:rsid w:val="006961BF"/>
    <w:rsid w:val="006961ED"/>
    <w:rsid w:val="00696201"/>
    <w:rsid w:val="0069624C"/>
    <w:rsid w:val="0069624E"/>
    <w:rsid w:val="00696362"/>
    <w:rsid w:val="006964DD"/>
    <w:rsid w:val="006964EF"/>
    <w:rsid w:val="00696512"/>
    <w:rsid w:val="00696587"/>
    <w:rsid w:val="006965C7"/>
    <w:rsid w:val="0069670B"/>
    <w:rsid w:val="006967A4"/>
    <w:rsid w:val="006967E5"/>
    <w:rsid w:val="0069684C"/>
    <w:rsid w:val="00696923"/>
    <w:rsid w:val="00696932"/>
    <w:rsid w:val="006969EA"/>
    <w:rsid w:val="00696A51"/>
    <w:rsid w:val="00696C96"/>
    <w:rsid w:val="00696DBF"/>
    <w:rsid w:val="00696EA3"/>
    <w:rsid w:val="00696EF6"/>
    <w:rsid w:val="00696FE6"/>
    <w:rsid w:val="006970A1"/>
    <w:rsid w:val="00697273"/>
    <w:rsid w:val="0069743B"/>
    <w:rsid w:val="006974DB"/>
    <w:rsid w:val="006975AD"/>
    <w:rsid w:val="00697701"/>
    <w:rsid w:val="006977E7"/>
    <w:rsid w:val="006977F4"/>
    <w:rsid w:val="00697839"/>
    <w:rsid w:val="00697883"/>
    <w:rsid w:val="0069788B"/>
    <w:rsid w:val="00697BE7"/>
    <w:rsid w:val="00697CBB"/>
    <w:rsid w:val="00697D6B"/>
    <w:rsid w:val="00697D72"/>
    <w:rsid w:val="00697DE4"/>
    <w:rsid w:val="00697E55"/>
    <w:rsid w:val="00697E56"/>
    <w:rsid w:val="00697EE3"/>
    <w:rsid w:val="00697FCD"/>
    <w:rsid w:val="00697FDD"/>
    <w:rsid w:val="00697FFA"/>
    <w:rsid w:val="006A0045"/>
    <w:rsid w:val="006A0074"/>
    <w:rsid w:val="006A02C2"/>
    <w:rsid w:val="006A02C3"/>
    <w:rsid w:val="006A03A3"/>
    <w:rsid w:val="006A046A"/>
    <w:rsid w:val="006A057A"/>
    <w:rsid w:val="006A0688"/>
    <w:rsid w:val="006A0716"/>
    <w:rsid w:val="006A0724"/>
    <w:rsid w:val="006A079A"/>
    <w:rsid w:val="006A07D0"/>
    <w:rsid w:val="006A087A"/>
    <w:rsid w:val="006A0883"/>
    <w:rsid w:val="006A09CB"/>
    <w:rsid w:val="006A0AB0"/>
    <w:rsid w:val="006A0BAA"/>
    <w:rsid w:val="006A0BEF"/>
    <w:rsid w:val="006A0CA9"/>
    <w:rsid w:val="006A0CDC"/>
    <w:rsid w:val="006A0D6B"/>
    <w:rsid w:val="006A0E42"/>
    <w:rsid w:val="006A0E8F"/>
    <w:rsid w:val="006A0ED3"/>
    <w:rsid w:val="006A0F09"/>
    <w:rsid w:val="006A0F33"/>
    <w:rsid w:val="006A0F8D"/>
    <w:rsid w:val="006A1037"/>
    <w:rsid w:val="006A10E1"/>
    <w:rsid w:val="006A10F0"/>
    <w:rsid w:val="006A1275"/>
    <w:rsid w:val="006A1284"/>
    <w:rsid w:val="006A137D"/>
    <w:rsid w:val="006A1381"/>
    <w:rsid w:val="006A13DC"/>
    <w:rsid w:val="006A14ED"/>
    <w:rsid w:val="006A16AC"/>
    <w:rsid w:val="006A17AF"/>
    <w:rsid w:val="006A17B7"/>
    <w:rsid w:val="006A183F"/>
    <w:rsid w:val="006A1BED"/>
    <w:rsid w:val="006A1C3C"/>
    <w:rsid w:val="006A1D21"/>
    <w:rsid w:val="006A1DE2"/>
    <w:rsid w:val="006A1DF4"/>
    <w:rsid w:val="006A1E06"/>
    <w:rsid w:val="006A1E3C"/>
    <w:rsid w:val="006A1E84"/>
    <w:rsid w:val="006A1F2F"/>
    <w:rsid w:val="006A1F72"/>
    <w:rsid w:val="006A1FD7"/>
    <w:rsid w:val="006A20E7"/>
    <w:rsid w:val="006A21E8"/>
    <w:rsid w:val="006A22C5"/>
    <w:rsid w:val="006A238B"/>
    <w:rsid w:val="006A23A9"/>
    <w:rsid w:val="006A23E2"/>
    <w:rsid w:val="006A2428"/>
    <w:rsid w:val="006A2473"/>
    <w:rsid w:val="006A2E65"/>
    <w:rsid w:val="006A2EB3"/>
    <w:rsid w:val="006A2F3E"/>
    <w:rsid w:val="006A2F4A"/>
    <w:rsid w:val="006A2FF5"/>
    <w:rsid w:val="006A3090"/>
    <w:rsid w:val="006A3262"/>
    <w:rsid w:val="006A3286"/>
    <w:rsid w:val="006A3367"/>
    <w:rsid w:val="006A33F7"/>
    <w:rsid w:val="006A3440"/>
    <w:rsid w:val="006A347E"/>
    <w:rsid w:val="006A353E"/>
    <w:rsid w:val="006A354B"/>
    <w:rsid w:val="006A35A6"/>
    <w:rsid w:val="006A36A5"/>
    <w:rsid w:val="006A36F6"/>
    <w:rsid w:val="006A379C"/>
    <w:rsid w:val="006A37A4"/>
    <w:rsid w:val="006A38A8"/>
    <w:rsid w:val="006A3A21"/>
    <w:rsid w:val="006A3AC7"/>
    <w:rsid w:val="006A3AD7"/>
    <w:rsid w:val="006A3B3A"/>
    <w:rsid w:val="006A3B53"/>
    <w:rsid w:val="006A3BBF"/>
    <w:rsid w:val="006A3C28"/>
    <w:rsid w:val="006A3C6A"/>
    <w:rsid w:val="006A3CE9"/>
    <w:rsid w:val="006A3DA6"/>
    <w:rsid w:val="006A3DBD"/>
    <w:rsid w:val="006A3DF3"/>
    <w:rsid w:val="006A400F"/>
    <w:rsid w:val="006A4116"/>
    <w:rsid w:val="006A4220"/>
    <w:rsid w:val="006A432B"/>
    <w:rsid w:val="006A4494"/>
    <w:rsid w:val="006A44E1"/>
    <w:rsid w:val="006A450B"/>
    <w:rsid w:val="006A45C4"/>
    <w:rsid w:val="006A468B"/>
    <w:rsid w:val="006A4702"/>
    <w:rsid w:val="006A4711"/>
    <w:rsid w:val="006A480C"/>
    <w:rsid w:val="006A48CA"/>
    <w:rsid w:val="006A4911"/>
    <w:rsid w:val="006A4B8F"/>
    <w:rsid w:val="006A4BFB"/>
    <w:rsid w:val="006A4C04"/>
    <w:rsid w:val="006A4C13"/>
    <w:rsid w:val="006A4D67"/>
    <w:rsid w:val="006A4DE3"/>
    <w:rsid w:val="006A4E43"/>
    <w:rsid w:val="006A4E97"/>
    <w:rsid w:val="006A4E98"/>
    <w:rsid w:val="006A4EC0"/>
    <w:rsid w:val="006A4EEE"/>
    <w:rsid w:val="006A4FE9"/>
    <w:rsid w:val="006A4FEB"/>
    <w:rsid w:val="006A5002"/>
    <w:rsid w:val="006A5038"/>
    <w:rsid w:val="006A5063"/>
    <w:rsid w:val="006A50AE"/>
    <w:rsid w:val="006A518A"/>
    <w:rsid w:val="006A527D"/>
    <w:rsid w:val="006A52EB"/>
    <w:rsid w:val="006A5438"/>
    <w:rsid w:val="006A5573"/>
    <w:rsid w:val="006A5689"/>
    <w:rsid w:val="006A56BB"/>
    <w:rsid w:val="006A5808"/>
    <w:rsid w:val="006A5849"/>
    <w:rsid w:val="006A58CB"/>
    <w:rsid w:val="006A5AAC"/>
    <w:rsid w:val="006A5AD8"/>
    <w:rsid w:val="006A5B2F"/>
    <w:rsid w:val="006A5B3D"/>
    <w:rsid w:val="006A5BD4"/>
    <w:rsid w:val="006A5C0B"/>
    <w:rsid w:val="006A5CE4"/>
    <w:rsid w:val="006A5D1F"/>
    <w:rsid w:val="006A5D4D"/>
    <w:rsid w:val="006A5E02"/>
    <w:rsid w:val="006A6064"/>
    <w:rsid w:val="006A610E"/>
    <w:rsid w:val="006A6189"/>
    <w:rsid w:val="006A61A1"/>
    <w:rsid w:val="006A6283"/>
    <w:rsid w:val="006A62BB"/>
    <w:rsid w:val="006A62CF"/>
    <w:rsid w:val="006A642B"/>
    <w:rsid w:val="006A6509"/>
    <w:rsid w:val="006A6554"/>
    <w:rsid w:val="006A684D"/>
    <w:rsid w:val="006A68EC"/>
    <w:rsid w:val="006A6953"/>
    <w:rsid w:val="006A6AC5"/>
    <w:rsid w:val="006A6B3F"/>
    <w:rsid w:val="006A6B5D"/>
    <w:rsid w:val="006A6B74"/>
    <w:rsid w:val="006A6C6E"/>
    <w:rsid w:val="006A6CDD"/>
    <w:rsid w:val="006A6D4F"/>
    <w:rsid w:val="006A6DE8"/>
    <w:rsid w:val="006A6E6F"/>
    <w:rsid w:val="006A6ED0"/>
    <w:rsid w:val="006A6EE5"/>
    <w:rsid w:val="006A709F"/>
    <w:rsid w:val="006A70F1"/>
    <w:rsid w:val="006A7112"/>
    <w:rsid w:val="006A7169"/>
    <w:rsid w:val="006A71A2"/>
    <w:rsid w:val="006A71C8"/>
    <w:rsid w:val="006A7385"/>
    <w:rsid w:val="006A74F3"/>
    <w:rsid w:val="006A7595"/>
    <w:rsid w:val="006A7617"/>
    <w:rsid w:val="006A7789"/>
    <w:rsid w:val="006A783A"/>
    <w:rsid w:val="006A7A21"/>
    <w:rsid w:val="006A7A55"/>
    <w:rsid w:val="006A7C06"/>
    <w:rsid w:val="006A7DF2"/>
    <w:rsid w:val="006A7E5F"/>
    <w:rsid w:val="006A7E84"/>
    <w:rsid w:val="006A7F43"/>
    <w:rsid w:val="006A7FC1"/>
    <w:rsid w:val="006B00B4"/>
    <w:rsid w:val="006B0113"/>
    <w:rsid w:val="006B012F"/>
    <w:rsid w:val="006B02B0"/>
    <w:rsid w:val="006B04E2"/>
    <w:rsid w:val="006B04F6"/>
    <w:rsid w:val="006B0600"/>
    <w:rsid w:val="006B080C"/>
    <w:rsid w:val="006B0824"/>
    <w:rsid w:val="006B0A04"/>
    <w:rsid w:val="006B0A9C"/>
    <w:rsid w:val="006B0AFA"/>
    <w:rsid w:val="006B0B35"/>
    <w:rsid w:val="006B0C21"/>
    <w:rsid w:val="006B0D41"/>
    <w:rsid w:val="006B0DA5"/>
    <w:rsid w:val="006B0DDB"/>
    <w:rsid w:val="006B0F8E"/>
    <w:rsid w:val="006B0FAF"/>
    <w:rsid w:val="006B0FD0"/>
    <w:rsid w:val="006B115B"/>
    <w:rsid w:val="006B12D0"/>
    <w:rsid w:val="006B12F9"/>
    <w:rsid w:val="006B132D"/>
    <w:rsid w:val="006B1395"/>
    <w:rsid w:val="006B13D0"/>
    <w:rsid w:val="006B13F5"/>
    <w:rsid w:val="006B141B"/>
    <w:rsid w:val="006B143B"/>
    <w:rsid w:val="006B14E0"/>
    <w:rsid w:val="006B14FA"/>
    <w:rsid w:val="006B1533"/>
    <w:rsid w:val="006B169B"/>
    <w:rsid w:val="006B16ED"/>
    <w:rsid w:val="006B17CA"/>
    <w:rsid w:val="006B1803"/>
    <w:rsid w:val="006B1831"/>
    <w:rsid w:val="006B183C"/>
    <w:rsid w:val="006B18E9"/>
    <w:rsid w:val="006B1937"/>
    <w:rsid w:val="006B1ABC"/>
    <w:rsid w:val="006B1B6A"/>
    <w:rsid w:val="006B1B6B"/>
    <w:rsid w:val="006B1DA8"/>
    <w:rsid w:val="006B1E95"/>
    <w:rsid w:val="006B1F7C"/>
    <w:rsid w:val="006B1FFD"/>
    <w:rsid w:val="006B2092"/>
    <w:rsid w:val="006B209B"/>
    <w:rsid w:val="006B219B"/>
    <w:rsid w:val="006B230E"/>
    <w:rsid w:val="006B2405"/>
    <w:rsid w:val="006B2406"/>
    <w:rsid w:val="006B24D8"/>
    <w:rsid w:val="006B255F"/>
    <w:rsid w:val="006B2579"/>
    <w:rsid w:val="006B25D1"/>
    <w:rsid w:val="006B2612"/>
    <w:rsid w:val="006B2757"/>
    <w:rsid w:val="006B28D5"/>
    <w:rsid w:val="006B2927"/>
    <w:rsid w:val="006B2971"/>
    <w:rsid w:val="006B2973"/>
    <w:rsid w:val="006B2B1F"/>
    <w:rsid w:val="006B2B22"/>
    <w:rsid w:val="006B2BB0"/>
    <w:rsid w:val="006B2C4D"/>
    <w:rsid w:val="006B2CCD"/>
    <w:rsid w:val="006B2DA0"/>
    <w:rsid w:val="006B2DC6"/>
    <w:rsid w:val="006B2E10"/>
    <w:rsid w:val="006B2E55"/>
    <w:rsid w:val="006B3129"/>
    <w:rsid w:val="006B31E2"/>
    <w:rsid w:val="006B3233"/>
    <w:rsid w:val="006B32C2"/>
    <w:rsid w:val="006B338C"/>
    <w:rsid w:val="006B3768"/>
    <w:rsid w:val="006B3884"/>
    <w:rsid w:val="006B38D0"/>
    <w:rsid w:val="006B38D7"/>
    <w:rsid w:val="006B38E0"/>
    <w:rsid w:val="006B392E"/>
    <w:rsid w:val="006B39B7"/>
    <w:rsid w:val="006B39D2"/>
    <w:rsid w:val="006B39D7"/>
    <w:rsid w:val="006B3A26"/>
    <w:rsid w:val="006B3A9B"/>
    <w:rsid w:val="006B3AC2"/>
    <w:rsid w:val="006B3B90"/>
    <w:rsid w:val="006B3C29"/>
    <w:rsid w:val="006B3C6A"/>
    <w:rsid w:val="006B3D02"/>
    <w:rsid w:val="006B3D1C"/>
    <w:rsid w:val="006B3D2F"/>
    <w:rsid w:val="006B3DF9"/>
    <w:rsid w:val="006B3EAF"/>
    <w:rsid w:val="006B3F5D"/>
    <w:rsid w:val="006B3F76"/>
    <w:rsid w:val="006B3FE6"/>
    <w:rsid w:val="006B4187"/>
    <w:rsid w:val="006B4376"/>
    <w:rsid w:val="006B43E6"/>
    <w:rsid w:val="006B446A"/>
    <w:rsid w:val="006B44FE"/>
    <w:rsid w:val="006B459E"/>
    <w:rsid w:val="006B45DF"/>
    <w:rsid w:val="006B4625"/>
    <w:rsid w:val="006B4642"/>
    <w:rsid w:val="006B4714"/>
    <w:rsid w:val="006B4792"/>
    <w:rsid w:val="006B47AE"/>
    <w:rsid w:val="006B48CF"/>
    <w:rsid w:val="006B4A1B"/>
    <w:rsid w:val="006B4A5D"/>
    <w:rsid w:val="006B4B8E"/>
    <w:rsid w:val="006B4BB1"/>
    <w:rsid w:val="006B4C0F"/>
    <w:rsid w:val="006B4CC5"/>
    <w:rsid w:val="006B4DEE"/>
    <w:rsid w:val="006B4E6E"/>
    <w:rsid w:val="006B4EF0"/>
    <w:rsid w:val="006B4F6E"/>
    <w:rsid w:val="006B4FE0"/>
    <w:rsid w:val="006B50BF"/>
    <w:rsid w:val="006B513C"/>
    <w:rsid w:val="006B5146"/>
    <w:rsid w:val="006B519F"/>
    <w:rsid w:val="006B5286"/>
    <w:rsid w:val="006B53A2"/>
    <w:rsid w:val="006B53E8"/>
    <w:rsid w:val="006B557F"/>
    <w:rsid w:val="006B5580"/>
    <w:rsid w:val="006B55A9"/>
    <w:rsid w:val="006B575A"/>
    <w:rsid w:val="006B5762"/>
    <w:rsid w:val="006B57CB"/>
    <w:rsid w:val="006B582B"/>
    <w:rsid w:val="006B5979"/>
    <w:rsid w:val="006B59F9"/>
    <w:rsid w:val="006B5B69"/>
    <w:rsid w:val="006B5C06"/>
    <w:rsid w:val="006B5CEA"/>
    <w:rsid w:val="006B5D07"/>
    <w:rsid w:val="006B5EBB"/>
    <w:rsid w:val="006B5EC7"/>
    <w:rsid w:val="006B5FCB"/>
    <w:rsid w:val="006B61CA"/>
    <w:rsid w:val="006B6224"/>
    <w:rsid w:val="006B647D"/>
    <w:rsid w:val="006B64B7"/>
    <w:rsid w:val="006B65B6"/>
    <w:rsid w:val="006B6666"/>
    <w:rsid w:val="006B686B"/>
    <w:rsid w:val="006B6922"/>
    <w:rsid w:val="006B6966"/>
    <w:rsid w:val="006B6C38"/>
    <w:rsid w:val="006B6D8A"/>
    <w:rsid w:val="006B6D96"/>
    <w:rsid w:val="006B6E81"/>
    <w:rsid w:val="006B6F12"/>
    <w:rsid w:val="006B7017"/>
    <w:rsid w:val="006B709D"/>
    <w:rsid w:val="006B71A0"/>
    <w:rsid w:val="006B71CE"/>
    <w:rsid w:val="006B73BB"/>
    <w:rsid w:val="006B74CF"/>
    <w:rsid w:val="006B74D0"/>
    <w:rsid w:val="006B7572"/>
    <w:rsid w:val="006B760E"/>
    <w:rsid w:val="006B77BC"/>
    <w:rsid w:val="006B7995"/>
    <w:rsid w:val="006B79EF"/>
    <w:rsid w:val="006B7A0E"/>
    <w:rsid w:val="006B7A5C"/>
    <w:rsid w:val="006B7B08"/>
    <w:rsid w:val="006B7B77"/>
    <w:rsid w:val="006B7C4A"/>
    <w:rsid w:val="006B7C97"/>
    <w:rsid w:val="006B7DF8"/>
    <w:rsid w:val="006B7E6A"/>
    <w:rsid w:val="006B7F16"/>
    <w:rsid w:val="006C00C6"/>
    <w:rsid w:val="006C0211"/>
    <w:rsid w:val="006C02A5"/>
    <w:rsid w:val="006C03F2"/>
    <w:rsid w:val="006C048E"/>
    <w:rsid w:val="006C0582"/>
    <w:rsid w:val="006C0625"/>
    <w:rsid w:val="006C06B7"/>
    <w:rsid w:val="006C07AA"/>
    <w:rsid w:val="006C07E6"/>
    <w:rsid w:val="006C0816"/>
    <w:rsid w:val="006C094F"/>
    <w:rsid w:val="006C09E2"/>
    <w:rsid w:val="006C0AC7"/>
    <w:rsid w:val="006C0B2D"/>
    <w:rsid w:val="006C0BB4"/>
    <w:rsid w:val="006C0CC5"/>
    <w:rsid w:val="006C0D2F"/>
    <w:rsid w:val="006C0E8F"/>
    <w:rsid w:val="006C0EFB"/>
    <w:rsid w:val="006C10EB"/>
    <w:rsid w:val="006C114A"/>
    <w:rsid w:val="006C11E4"/>
    <w:rsid w:val="006C130F"/>
    <w:rsid w:val="006C1315"/>
    <w:rsid w:val="006C136E"/>
    <w:rsid w:val="006C13F1"/>
    <w:rsid w:val="006C153E"/>
    <w:rsid w:val="006C1757"/>
    <w:rsid w:val="006C1765"/>
    <w:rsid w:val="006C177A"/>
    <w:rsid w:val="006C17BC"/>
    <w:rsid w:val="006C182F"/>
    <w:rsid w:val="006C1898"/>
    <w:rsid w:val="006C18D0"/>
    <w:rsid w:val="006C1A78"/>
    <w:rsid w:val="006C1BDA"/>
    <w:rsid w:val="006C1BE1"/>
    <w:rsid w:val="006C1C51"/>
    <w:rsid w:val="006C1CB2"/>
    <w:rsid w:val="006C1D0B"/>
    <w:rsid w:val="006C1E0E"/>
    <w:rsid w:val="006C1EB8"/>
    <w:rsid w:val="006C1F5C"/>
    <w:rsid w:val="006C1F94"/>
    <w:rsid w:val="006C1FA2"/>
    <w:rsid w:val="006C1FDF"/>
    <w:rsid w:val="006C20FC"/>
    <w:rsid w:val="006C2143"/>
    <w:rsid w:val="006C21DA"/>
    <w:rsid w:val="006C224A"/>
    <w:rsid w:val="006C242A"/>
    <w:rsid w:val="006C245F"/>
    <w:rsid w:val="006C2570"/>
    <w:rsid w:val="006C25B4"/>
    <w:rsid w:val="006C25BF"/>
    <w:rsid w:val="006C266A"/>
    <w:rsid w:val="006C26C5"/>
    <w:rsid w:val="006C27C9"/>
    <w:rsid w:val="006C27EC"/>
    <w:rsid w:val="006C2878"/>
    <w:rsid w:val="006C28F3"/>
    <w:rsid w:val="006C2A03"/>
    <w:rsid w:val="006C2ADA"/>
    <w:rsid w:val="006C2B02"/>
    <w:rsid w:val="006C2D6B"/>
    <w:rsid w:val="006C2D86"/>
    <w:rsid w:val="006C2FCA"/>
    <w:rsid w:val="006C31BE"/>
    <w:rsid w:val="006C321E"/>
    <w:rsid w:val="006C33AE"/>
    <w:rsid w:val="006C33D2"/>
    <w:rsid w:val="006C33E4"/>
    <w:rsid w:val="006C33F6"/>
    <w:rsid w:val="006C3459"/>
    <w:rsid w:val="006C351B"/>
    <w:rsid w:val="006C3560"/>
    <w:rsid w:val="006C36C6"/>
    <w:rsid w:val="006C372F"/>
    <w:rsid w:val="006C38AE"/>
    <w:rsid w:val="006C39D1"/>
    <w:rsid w:val="006C3A7A"/>
    <w:rsid w:val="006C3B7A"/>
    <w:rsid w:val="006C3B90"/>
    <w:rsid w:val="006C3D05"/>
    <w:rsid w:val="006C3D2B"/>
    <w:rsid w:val="006C3D6D"/>
    <w:rsid w:val="006C3DE2"/>
    <w:rsid w:val="006C3E0D"/>
    <w:rsid w:val="006C3E66"/>
    <w:rsid w:val="006C3F26"/>
    <w:rsid w:val="006C3F86"/>
    <w:rsid w:val="006C3F94"/>
    <w:rsid w:val="006C41A5"/>
    <w:rsid w:val="006C41AF"/>
    <w:rsid w:val="006C42D7"/>
    <w:rsid w:val="006C43D4"/>
    <w:rsid w:val="006C4474"/>
    <w:rsid w:val="006C454A"/>
    <w:rsid w:val="006C45F5"/>
    <w:rsid w:val="006C4718"/>
    <w:rsid w:val="006C48A0"/>
    <w:rsid w:val="006C4983"/>
    <w:rsid w:val="006C49EE"/>
    <w:rsid w:val="006C4A4F"/>
    <w:rsid w:val="006C4A78"/>
    <w:rsid w:val="006C4DB5"/>
    <w:rsid w:val="006C4F8F"/>
    <w:rsid w:val="006C50C2"/>
    <w:rsid w:val="006C50F3"/>
    <w:rsid w:val="006C511C"/>
    <w:rsid w:val="006C51AF"/>
    <w:rsid w:val="006C535B"/>
    <w:rsid w:val="006C5465"/>
    <w:rsid w:val="006C5528"/>
    <w:rsid w:val="006C554A"/>
    <w:rsid w:val="006C55A6"/>
    <w:rsid w:val="006C56A9"/>
    <w:rsid w:val="006C5774"/>
    <w:rsid w:val="006C57DD"/>
    <w:rsid w:val="006C5992"/>
    <w:rsid w:val="006C59BB"/>
    <w:rsid w:val="006C59BC"/>
    <w:rsid w:val="006C5A6D"/>
    <w:rsid w:val="006C5B1A"/>
    <w:rsid w:val="006C5B62"/>
    <w:rsid w:val="006C5BE4"/>
    <w:rsid w:val="006C5CB5"/>
    <w:rsid w:val="006C5EC4"/>
    <w:rsid w:val="006C5F34"/>
    <w:rsid w:val="006C61D4"/>
    <w:rsid w:val="006C62BA"/>
    <w:rsid w:val="006C65E4"/>
    <w:rsid w:val="006C6630"/>
    <w:rsid w:val="006C67CB"/>
    <w:rsid w:val="006C67F7"/>
    <w:rsid w:val="006C68E5"/>
    <w:rsid w:val="006C6A12"/>
    <w:rsid w:val="006C6A13"/>
    <w:rsid w:val="006C6A4C"/>
    <w:rsid w:val="006C6B26"/>
    <w:rsid w:val="006C6B81"/>
    <w:rsid w:val="006C6BBC"/>
    <w:rsid w:val="006C6C59"/>
    <w:rsid w:val="006C6CFB"/>
    <w:rsid w:val="006C6D53"/>
    <w:rsid w:val="006C6E48"/>
    <w:rsid w:val="006C6EB1"/>
    <w:rsid w:val="006C6F42"/>
    <w:rsid w:val="006C6F55"/>
    <w:rsid w:val="006C70A7"/>
    <w:rsid w:val="006C7109"/>
    <w:rsid w:val="006C7183"/>
    <w:rsid w:val="006C727C"/>
    <w:rsid w:val="006C7380"/>
    <w:rsid w:val="006C738E"/>
    <w:rsid w:val="006C74E0"/>
    <w:rsid w:val="006C7649"/>
    <w:rsid w:val="006C766F"/>
    <w:rsid w:val="006C76FE"/>
    <w:rsid w:val="006C779B"/>
    <w:rsid w:val="006C77C8"/>
    <w:rsid w:val="006C78F0"/>
    <w:rsid w:val="006C78FE"/>
    <w:rsid w:val="006C790D"/>
    <w:rsid w:val="006C79AE"/>
    <w:rsid w:val="006C7A50"/>
    <w:rsid w:val="006C7AC4"/>
    <w:rsid w:val="006C7B26"/>
    <w:rsid w:val="006C7B4F"/>
    <w:rsid w:val="006C7CFA"/>
    <w:rsid w:val="006C7D05"/>
    <w:rsid w:val="006C7D55"/>
    <w:rsid w:val="006C7E1D"/>
    <w:rsid w:val="006C7E2A"/>
    <w:rsid w:val="006C7EF9"/>
    <w:rsid w:val="006C7F22"/>
    <w:rsid w:val="006D02C2"/>
    <w:rsid w:val="006D02D7"/>
    <w:rsid w:val="006D0313"/>
    <w:rsid w:val="006D0471"/>
    <w:rsid w:val="006D05ED"/>
    <w:rsid w:val="006D05FB"/>
    <w:rsid w:val="006D07A5"/>
    <w:rsid w:val="006D083E"/>
    <w:rsid w:val="006D0850"/>
    <w:rsid w:val="006D085A"/>
    <w:rsid w:val="006D0889"/>
    <w:rsid w:val="006D088D"/>
    <w:rsid w:val="006D0937"/>
    <w:rsid w:val="006D0997"/>
    <w:rsid w:val="006D09A4"/>
    <w:rsid w:val="006D09F4"/>
    <w:rsid w:val="006D09F8"/>
    <w:rsid w:val="006D0A54"/>
    <w:rsid w:val="006D0AD9"/>
    <w:rsid w:val="006D0B54"/>
    <w:rsid w:val="006D0BB6"/>
    <w:rsid w:val="006D0BF2"/>
    <w:rsid w:val="006D0C1A"/>
    <w:rsid w:val="006D0DE3"/>
    <w:rsid w:val="006D0DE7"/>
    <w:rsid w:val="006D0EBB"/>
    <w:rsid w:val="006D0F0F"/>
    <w:rsid w:val="006D0FCF"/>
    <w:rsid w:val="006D102B"/>
    <w:rsid w:val="006D1062"/>
    <w:rsid w:val="006D10D8"/>
    <w:rsid w:val="006D11DE"/>
    <w:rsid w:val="006D1294"/>
    <w:rsid w:val="006D1449"/>
    <w:rsid w:val="006D1505"/>
    <w:rsid w:val="006D16CD"/>
    <w:rsid w:val="006D16FC"/>
    <w:rsid w:val="006D1808"/>
    <w:rsid w:val="006D18D0"/>
    <w:rsid w:val="006D18F6"/>
    <w:rsid w:val="006D19B8"/>
    <w:rsid w:val="006D19FA"/>
    <w:rsid w:val="006D1B41"/>
    <w:rsid w:val="006D1B58"/>
    <w:rsid w:val="006D1C2C"/>
    <w:rsid w:val="006D1C55"/>
    <w:rsid w:val="006D1C79"/>
    <w:rsid w:val="006D1CAB"/>
    <w:rsid w:val="006D1E32"/>
    <w:rsid w:val="006D1E62"/>
    <w:rsid w:val="006D1F4C"/>
    <w:rsid w:val="006D1FE9"/>
    <w:rsid w:val="006D2002"/>
    <w:rsid w:val="006D2007"/>
    <w:rsid w:val="006D20BF"/>
    <w:rsid w:val="006D212A"/>
    <w:rsid w:val="006D21D2"/>
    <w:rsid w:val="006D21FA"/>
    <w:rsid w:val="006D23DA"/>
    <w:rsid w:val="006D23F5"/>
    <w:rsid w:val="006D244A"/>
    <w:rsid w:val="006D25A8"/>
    <w:rsid w:val="006D25AC"/>
    <w:rsid w:val="006D25B8"/>
    <w:rsid w:val="006D260B"/>
    <w:rsid w:val="006D2694"/>
    <w:rsid w:val="006D270A"/>
    <w:rsid w:val="006D2714"/>
    <w:rsid w:val="006D282A"/>
    <w:rsid w:val="006D2830"/>
    <w:rsid w:val="006D283E"/>
    <w:rsid w:val="006D288A"/>
    <w:rsid w:val="006D2A2D"/>
    <w:rsid w:val="006D2A5D"/>
    <w:rsid w:val="006D2AC0"/>
    <w:rsid w:val="006D2BAC"/>
    <w:rsid w:val="006D2BE6"/>
    <w:rsid w:val="006D2D7C"/>
    <w:rsid w:val="006D2D7E"/>
    <w:rsid w:val="006D2E12"/>
    <w:rsid w:val="006D2E3F"/>
    <w:rsid w:val="006D2EE5"/>
    <w:rsid w:val="006D2F25"/>
    <w:rsid w:val="006D2F89"/>
    <w:rsid w:val="006D30D7"/>
    <w:rsid w:val="006D31AB"/>
    <w:rsid w:val="006D31C6"/>
    <w:rsid w:val="006D32D8"/>
    <w:rsid w:val="006D3334"/>
    <w:rsid w:val="006D337D"/>
    <w:rsid w:val="006D3421"/>
    <w:rsid w:val="006D3468"/>
    <w:rsid w:val="006D35FA"/>
    <w:rsid w:val="006D3621"/>
    <w:rsid w:val="006D371C"/>
    <w:rsid w:val="006D37C6"/>
    <w:rsid w:val="006D37DB"/>
    <w:rsid w:val="006D3826"/>
    <w:rsid w:val="006D3829"/>
    <w:rsid w:val="006D39C9"/>
    <w:rsid w:val="006D3AF6"/>
    <w:rsid w:val="006D3B7B"/>
    <w:rsid w:val="006D3DB9"/>
    <w:rsid w:val="006D3E66"/>
    <w:rsid w:val="006D3EEB"/>
    <w:rsid w:val="006D3FA6"/>
    <w:rsid w:val="006D402D"/>
    <w:rsid w:val="006D404D"/>
    <w:rsid w:val="006D412C"/>
    <w:rsid w:val="006D4234"/>
    <w:rsid w:val="006D4246"/>
    <w:rsid w:val="006D4312"/>
    <w:rsid w:val="006D438C"/>
    <w:rsid w:val="006D4393"/>
    <w:rsid w:val="006D43B6"/>
    <w:rsid w:val="006D43BC"/>
    <w:rsid w:val="006D4408"/>
    <w:rsid w:val="006D442C"/>
    <w:rsid w:val="006D44B1"/>
    <w:rsid w:val="006D45E3"/>
    <w:rsid w:val="006D46EA"/>
    <w:rsid w:val="006D48FF"/>
    <w:rsid w:val="006D49FD"/>
    <w:rsid w:val="006D4B5E"/>
    <w:rsid w:val="006D4BA6"/>
    <w:rsid w:val="006D4BE1"/>
    <w:rsid w:val="006D4C29"/>
    <w:rsid w:val="006D4C4A"/>
    <w:rsid w:val="006D4C54"/>
    <w:rsid w:val="006D4DB1"/>
    <w:rsid w:val="006D4EB2"/>
    <w:rsid w:val="006D4ECC"/>
    <w:rsid w:val="006D4EF3"/>
    <w:rsid w:val="006D4F05"/>
    <w:rsid w:val="006D4F8D"/>
    <w:rsid w:val="006D4FC4"/>
    <w:rsid w:val="006D5001"/>
    <w:rsid w:val="006D505B"/>
    <w:rsid w:val="006D51BF"/>
    <w:rsid w:val="006D5292"/>
    <w:rsid w:val="006D52DC"/>
    <w:rsid w:val="006D54C4"/>
    <w:rsid w:val="006D54C6"/>
    <w:rsid w:val="006D54E1"/>
    <w:rsid w:val="006D54FD"/>
    <w:rsid w:val="006D5523"/>
    <w:rsid w:val="006D5657"/>
    <w:rsid w:val="006D5841"/>
    <w:rsid w:val="006D5A72"/>
    <w:rsid w:val="006D5BE4"/>
    <w:rsid w:val="006D5C7F"/>
    <w:rsid w:val="006D5FA8"/>
    <w:rsid w:val="006D6036"/>
    <w:rsid w:val="006D6082"/>
    <w:rsid w:val="006D62AF"/>
    <w:rsid w:val="006D62FC"/>
    <w:rsid w:val="006D63AB"/>
    <w:rsid w:val="006D63BB"/>
    <w:rsid w:val="006D647D"/>
    <w:rsid w:val="006D653A"/>
    <w:rsid w:val="006D65B4"/>
    <w:rsid w:val="006D667B"/>
    <w:rsid w:val="006D6791"/>
    <w:rsid w:val="006D6809"/>
    <w:rsid w:val="006D68C0"/>
    <w:rsid w:val="006D68E9"/>
    <w:rsid w:val="006D6904"/>
    <w:rsid w:val="006D6916"/>
    <w:rsid w:val="006D6964"/>
    <w:rsid w:val="006D6976"/>
    <w:rsid w:val="006D69BE"/>
    <w:rsid w:val="006D6A32"/>
    <w:rsid w:val="006D6A78"/>
    <w:rsid w:val="006D6BB1"/>
    <w:rsid w:val="006D6D66"/>
    <w:rsid w:val="006D6DE8"/>
    <w:rsid w:val="006D6ED2"/>
    <w:rsid w:val="006D6F91"/>
    <w:rsid w:val="006D705E"/>
    <w:rsid w:val="006D70C9"/>
    <w:rsid w:val="006D70D1"/>
    <w:rsid w:val="006D7229"/>
    <w:rsid w:val="006D7327"/>
    <w:rsid w:val="006D740A"/>
    <w:rsid w:val="006D75D4"/>
    <w:rsid w:val="006D75DB"/>
    <w:rsid w:val="006D7601"/>
    <w:rsid w:val="006D7658"/>
    <w:rsid w:val="006D7763"/>
    <w:rsid w:val="006D79CA"/>
    <w:rsid w:val="006D7A4E"/>
    <w:rsid w:val="006D7B7A"/>
    <w:rsid w:val="006D7D0F"/>
    <w:rsid w:val="006D7FA5"/>
    <w:rsid w:val="006E0066"/>
    <w:rsid w:val="006E00B7"/>
    <w:rsid w:val="006E00C8"/>
    <w:rsid w:val="006E021F"/>
    <w:rsid w:val="006E027C"/>
    <w:rsid w:val="006E0312"/>
    <w:rsid w:val="006E0416"/>
    <w:rsid w:val="006E0559"/>
    <w:rsid w:val="006E059E"/>
    <w:rsid w:val="006E0636"/>
    <w:rsid w:val="006E0744"/>
    <w:rsid w:val="006E075C"/>
    <w:rsid w:val="006E0799"/>
    <w:rsid w:val="006E09FE"/>
    <w:rsid w:val="006E0A3F"/>
    <w:rsid w:val="006E0A7F"/>
    <w:rsid w:val="006E0A81"/>
    <w:rsid w:val="006E0AAB"/>
    <w:rsid w:val="006E0ACE"/>
    <w:rsid w:val="006E0C2D"/>
    <w:rsid w:val="006E0C7B"/>
    <w:rsid w:val="006E0E09"/>
    <w:rsid w:val="006E0F52"/>
    <w:rsid w:val="006E0F72"/>
    <w:rsid w:val="006E0F7A"/>
    <w:rsid w:val="006E1177"/>
    <w:rsid w:val="006E120B"/>
    <w:rsid w:val="006E1240"/>
    <w:rsid w:val="006E1241"/>
    <w:rsid w:val="006E12B3"/>
    <w:rsid w:val="006E153F"/>
    <w:rsid w:val="006E1559"/>
    <w:rsid w:val="006E157A"/>
    <w:rsid w:val="006E15FB"/>
    <w:rsid w:val="006E1609"/>
    <w:rsid w:val="006E161E"/>
    <w:rsid w:val="006E1717"/>
    <w:rsid w:val="006E184A"/>
    <w:rsid w:val="006E1911"/>
    <w:rsid w:val="006E1B2F"/>
    <w:rsid w:val="006E1C4D"/>
    <w:rsid w:val="006E1C75"/>
    <w:rsid w:val="006E1CA6"/>
    <w:rsid w:val="006E1D00"/>
    <w:rsid w:val="006E1F2A"/>
    <w:rsid w:val="006E1F92"/>
    <w:rsid w:val="006E201D"/>
    <w:rsid w:val="006E204C"/>
    <w:rsid w:val="006E2060"/>
    <w:rsid w:val="006E234A"/>
    <w:rsid w:val="006E2352"/>
    <w:rsid w:val="006E24D8"/>
    <w:rsid w:val="006E24F4"/>
    <w:rsid w:val="006E2608"/>
    <w:rsid w:val="006E263B"/>
    <w:rsid w:val="006E2650"/>
    <w:rsid w:val="006E26BD"/>
    <w:rsid w:val="006E273A"/>
    <w:rsid w:val="006E279D"/>
    <w:rsid w:val="006E27D4"/>
    <w:rsid w:val="006E27F2"/>
    <w:rsid w:val="006E2838"/>
    <w:rsid w:val="006E28B1"/>
    <w:rsid w:val="006E28CC"/>
    <w:rsid w:val="006E2A48"/>
    <w:rsid w:val="006E2AE3"/>
    <w:rsid w:val="006E2D19"/>
    <w:rsid w:val="006E2F95"/>
    <w:rsid w:val="006E3103"/>
    <w:rsid w:val="006E3126"/>
    <w:rsid w:val="006E312F"/>
    <w:rsid w:val="006E3178"/>
    <w:rsid w:val="006E33D0"/>
    <w:rsid w:val="006E3420"/>
    <w:rsid w:val="006E3482"/>
    <w:rsid w:val="006E35E6"/>
    <w:rsid w:val="006E37C7"/>
    <w:rsid w:val="006E37DD"/>
    <w:rsid w:val="006E37ED"/>
    <w:rsid w:val="006E387D"/>
    <w:rsid w:val="006E3927"/>
    <w:rsid w:val="006E39D5"/>
    <w:rsid w:val="006E3A91"/>
    <w:rsid w:val="006E3E4E"/>
    <w:rsid w:val="006E3E6A"/>
    <w:rsid w:val="006E3E7D"/>
    <w:rsid w:val="006E3EC7"/>
    <w:rsid w:val="006E40B2"/>
    <w:rsid w:val="006E4167"/>
    <w:rsid w:val="006E41C9"/>
    <w:rsid w:val="006E41F1"/>
    <w:rsid w:val="006E4229"/>
    <w:rsid w:val="006E42E5"/>
    <w:rsid w:val="006E4320"/>
    <w:rsid w:val="006E45C4"/>
    <w:rsid w:val="006E47D4"/>
    <w:rsid w:val="006E482C"/>
    <w:rsid w:val="006E491F"/>
    <w:rsid w:val="006E4AF1"/>
    <w:rsid w:val="006E4B49"/>
    <w:rsid w:val="006E4BA2"/>
    <w:rsid w:val="006E4BCD"/>
    <w:rsid w:val="006E4BCF"/>
    <w:rsid w:val="006E4CD1"/>
    <w:rsid w:val="006E4E95"/>
    <w:rsid w:val="006E4EC2"/>
    <w:rsid w:val="006E506E"/>
    <w:rsid w:val="006E5191"/>
    <w:rsid w:val="006E5274"/>
    <w:rsid w:val="006E537F"/>
    <w:rsid w:val="006E545C"/>
    <w:rsid w:val="006E5620"/>
    <w:rsid w:val="006E564F"/>
    <w:rsid w:val="006E56AF"/>
    <w:rsid w:val="006E56E8"/>
    <w:rsid w:val="006E572A"/>
    <w:rsid w:val="006E580C"/>
    <w:rsid w:val="006E5825"/>
    <w:rsid w:val="006E5879"/>
    <w:rsid w:val="006E59B1"/>
    <w:rsid w:val="006E5C6C"/>
    <w:rsid w:val="006E5DD9"/>
    <w:rsid w:val="006E5FCD"/>
    <w:rsid w:val="006E600D"/>
    <w:rsid w:val="006E610E"/>
    <w:rsid w:val="006E625F"/>
    <w:rsid w:val="006E6291"/>
    <w:rsid w:val="006E6451"/>
    <w:rsid w:val="006E64A7"/>
    <w:rsid w:val="006E66A1"/>
    <w:rsid w:val="006E676B"/>
    <w:rsid w:val="006E68D2"/>
    <w:rsid w:val="006E68DC"/>
    <w:rsid w:val="006E6A4B"/>
    <w:rsid w:val="006E6C74"/>
    <w:rsid w:val="006E7034"/>
    <w:rsid w:val="006E70BF"/>
    <w:rsid w:val="006E7130"/>
    <w:rsid w:val="006E71AB"/>
    <w:rsid w:val="006E7297"/>
    <w:rsid w:val="006E72E6"/>
    <w:rsid w:val="006E742D"/>
    <w:rsid w:val="006E7462"/>
    <w:rsid w:val="006E7571"/>
    <w:rsid w:val="006E7735"/>
    <w:rsid w:val="006E7795"/>
    <w:rsid w:val="006E77C1"/>
    <w:rsid w:val="006E7815"/>
    <w:rsid w:val="006E786C"/>
    <w:rsid w:val="006E7B46"/>
    <w:rsid w:val="006E7B73"/>
    <w:rsid w:val="006E7B85"/>
    <w:rsid w:val="006E7BAE"/>
    <w:rsid w:val="006E7C20"/>
    <w:rsid w:val="006E7FF0"/>
    <w:rsid w:val="006E7FFA"/>
    <w:rsid w:val="006F008E"/>
    <w:rsid w:val="006F01B2"/>
    <w:rsid w:val="006F01B4"/>
    <w:rsid w:val="006F01B6"/>
    <w:rsid w:val="006F0236"/>
    <w:rsid w:val="006F0261"/>
    <w:rsid w:val="006F02CE"/>
    <w:rsid w:val="006F03F1"/>
    <w:rsid w:val="006F0404"/>
    <w:rsid w:val="006F0570"/>
    <w:rsid w:val="006F0610"/>
    <w:rsid w:val="006F0797"/>
    <w:rsid w:val="006F0841"/>
    <w:rsid w:val="006F08DF"/>
    <w:rsid w:val="006F08F8"/>
    <w:rsid w:val="006F0978"/>
    <w:rsid w:val="006F0AD7"/>
    <w:rsid w:val="006F0ADC"/>
    <w:rsid w:val="006F0B66"/>
    <w:rsid w:val="006F0C0A"/>
    <w:rsid w:val="006F0D82"/>
    <w:rsid w:val="006F0DD6"/>
    <w:rsid w:val="006F0F8E"/>
    <w:rsid w:val="006F12A3"/>
    <w:rsid w:val="006F14BC"/>
    <w:rsid w:val="006F1682"/>
    <w:rsid w:val="006F1685"/>
    <w:rsid w:val="006F168F"/>
    <w:rsid w:val="006F1734"/>
    <w:rsid w:val="006F176C"/>
    <w:rsid w:val="006F17A0"/>
    <w:rsid w:val="006F17DF"/>
    <w:rsid w:val="006F190F"/>
    <w:rsid w:val="006F1920"/>
    <w:rsid w:val="006F1944"/>
    <w:rsid w:val="006F19FF"/>
    <w:rsid w:val="006F1A73"/>
    <w:rsid w:val="006F1AA9"/>
    <w:rsid w:val="006F1CBA"/>
    <w:rsid w:val="006F1CE5"/>
    <w:rsid w:val="006F1E5C"/>
    <w:rsid w:val="006F1EF4"/>
    <w:rsid w:val="006F1F7A"/>
    <w:rsid w:val="006F2116"/>
    <w:rsid w:val="006F211B"/>
    <w:rsid w:val="006F2124"/>
    <w:rsid w:val="006F2255"/>
    <w:rsid w:val="006F239B"/>
    <w:rsid w:val="006F2427"/>
    <w:rsid w:val="006F2435"/>
    <w:rsid w:val="006F24D4"/>
    <w:rsid w:val="006F256F"/>
    <w:rsid w:val="006F26C5"/>
    <w:rsid w:val="006F271B"/>
    <w:rsid w:val="006F2727"/>
    <w:rsid w:val="006F272C"/>
    <w:rsid w:val="006F2826"/>
    <w:rsid w:val="006F288B"/>
    <w:rsid w:val="006F29B2"/>
    <w:rsid w:val="006F2BB5"/>
    <w:rsid w:val="006F2C19"/>
    <w:rsid w:val="006F2CD6"/>
    <w:rsid w:val="006F2D57"/>
    <w:rsid w:val="006F2E35"/>
    <w:rsid w:val="006F2E7F"/>
    <w:rsid w:val="006F30BD"/>
    <w:rsid w:val="006F30EE"/>
    <w:rsid w:val="006F3262"/>
    <w:rsid w:val="006F3450"/>
    <w:rsid w:val="006F3497"/>
    <w:rsid w:val="006F363E"/>
    <w:rsid w:val="006F36F3"/>
    <w:rsid w:val="006F37B4"/>
    <w:rsid w:val="006F3843"/>
    <w:rsid w:val="006F3911"/>
    <w:rsid w:val="006F3A05"/>
    <w:rsid w:val="006F3A61"/>
    <w:rsid w:val="006F3AB6"/>
    <w:rsid w:val="006F3C0F"/>
    <w:rsid w:val="006F3C9C"/>
    <w:rsid w:val="006F3DBA"/>
    <w:rsid w:val="006F3DEF"/>
    <w:rsid w:val="006F3E29"/>
    <w:rsid w:val="006F3ECF"/>
    <w:rsid w:val="006F3F88"/>
    <w:rsid w:val="006F3FDB"/>
    <w:rsid w:val="006F3FE5"/>
    <w:rsid w:val="006F4038"/>
    <w:rsid w:val="006F4039"/>
    <w:rsid w:val="006F40CC"/>
    <w:rsid w:val="006F41E3"/>
    <w:rsid w:val="006F424B"/>
    <w:rsid w:val="006F42A8"/>
    <w:rsid w:val="006F440A"/>
    <w:rsid w:val="006F4432"/>
    <w:rsid w:val="006F4555"/>
    <w:rsid w:val="006F45E1"/>
    <w:rsid w:val="006F4692"/>
    <w:rsid w:val="006F46F1"/>
    <w:rsid w:val="006F4701"/>
    <w:rsid w:val="006F47AC"/>
    <w:rsid w:val="006F4866"/>
    <w:rsid w:val="006F4883"/>
    <w:rsid w:val="006F49E3"/>
    <w:rsid w:val="006F4A3E"/>
    <w:rsid w:val="006F4A86"/>
    <w:rsid w:val="006F4B7E"/>
    <w:rsid w:val="006F4C6A"/>
    <w:rsid w:val="006F4D24"/>
    <w:rsid w:val="006F4DA7"/>
    <w:rsid w:val="006F4EBC"/>
    <w:rsid w:val="006F4F51"/>
    <w:rsid w:val="006F51A6"/>
    <w:rsid w:val="006F51AA"/>
    <w:rsid w:val="006F533D"/>
    <w:rsid w:val="006F5368"/>
    <w:rsid w:val="006F53F9"/>
    <w:rsid w:val="006F54DF"/>
    <w:rsid w:val="006F55BF"/>
    <w:rsid w:val="006F56BF"/>
    <w:rsid w:val="006F56CD"/>
    <w:rsid w:val="006F57AB"/>
    <w:rsid w:val="006F5803"/>
    <w:rsid w:val="006F59C6"/>
    <w:rsid w:val="006F5A63"/>
    <w:rsid w:val="006F5AEC"/>
    <w:rsid w:val="006F5BB1"/>
    <w:rsid w:val="006F5CFD"/>
    <w:rsid w:val="006F5D6A"/>
    <w:rsid w:val="006F5DF2"/>
    <w:rsid w:val="006F5FCD"/>
    <w:rsid w:val="006F6045"/>
    <w:rsid w:val="006F606D"/>
    <w:rsid w:val="006F60CA"/>
    <w:rsid w:val="006F60E1"/>
    <w:rsid w:val="006F61B7"/>
    <w:rsid w:val="006F61EF"/>
    <w:rsid w:val="006F6206"/>
    <w:rsid w:val="006F6260"/>
    <w:rsid w:val="006F6316"/>
    <w:rsid w:val="006F631A"/>
    <w:rsid w:val="006F636B"/>
    <w:rsid w:val="006F63F6"/>
    <w:rsid w:val="006F6550"/>
    <w:rsid w:val="006F659B"/>
    <w:rsid w:val="006F66A4"/>
    <w:rsid w:val="006F66BB"/>
    <w:rsid w:val="006F66C5"/>
    <w:rsid w:val="006F66CB"/>
    <w:rsid w:val="006F6714"/>
    <w:rsid w:val="006F685D"/>
    <w:rsid w:val="006F68F8"/>
    <w:rsid w:val="006F6950"/>
    <w:rsid w:val="006F6985"/>
    <w:rsid w:val="006F6B35"/>
    <w:rsid w:val="006F6B64"/>
    <w:rsid w:val="006F6B96"/>
    <w:rsid w:val="006F6CB9"/>
    <w:rsid w:val="006F6CE1"/>
    <w:rsid w:val="006F6D5C"/>
    <w:rsid w:val="006F6E79"/>
    <w:rsid w:val="006F6ED8"/>
    <w:rsid w:val="006F704D"/>
    <w:rsid w:val="006F70E7"/>
    <w:rsid w:val="006F71D1"/>
    <w:rsid w:val="006F7225"/>
    <w:rsid w:val="006F7233"/>
    <w:rsid w:val="006F72FD"/>
    <w:rsid w:val="006F730A"/>
    <w:rsid w:val="006F7339"/>
    <w:rsid w:val="006F7471"/>
    <w:rsid w:val="006F7558"/>
    <w:rsid w:val="006F75B7"/>
    <w:rsid w:val="006F75CF"/>
    <w:rsid w:val="006F76CA"/>
    <w:rsid w:val="006F7769"/>
    <w:rsid w:val="006F792C"/>
    <w:rsid w:val="006F7944"/>
    <w:rsid w:val="006F7A05"/>
    <w:rsid w:val="006F7A07"/>
    <w:rsid w:val="006F7A42"/>
    <w:rsid w:val="006F7CB8"/>
    <w:rsid w:val="006F7CED"/>
    <w:rsid w:val="006F7E4A"/>
    <w:rsid w:val="006F7EEC"/>
    <w:rsid w:val="006F7EF0"/>
    <w:rsid w:val="006F7F34"/>
    <w:rsid w:val="006F7F68"/>
    <w:rsid w:val="006F7F86"/>
    <w:rsid w:val="006F7F88"/>
    <w:rsid w:val="007000F9"/>
    <w:rsid w:val="0070012D"/>
    <w:rsid w:val="0070014F"/>
    <w:rsid w:val="007001D8"/>
    <w:rsid w:val="007001E9"/>
    <w:rsid w:val="0070021C"/>
    <w:rsid w:val="0070025E"/>
    <w:rsid w:val="007002C5"/>
    <w:rsid w:val="007002D0"/>
    <w:rsid w:val="007005DD"/>
    <w:rsid w:val="00700614"/>
    <w:rsid w:val="0070070D"/>
    <w:rsid w:val="007007DA"/>
    <w:rsid w:val="0070086C"/>
    <w:rsid w:val="007009BD"/>
    <w:rsid w:val="00700ACA"/>
    <w:rsid w:val="00700AE1"/>
    <w:rsid w:val="00700C11"/>
    <w:rsid w:val="00700C96"/>
    <w:rsid w:val="00700FD7"/>
    <w:rsid w:val="00701095"/>
    <w:rsid w:val="007010B5"/>
    <w:rsid w:val="00701143"/>
    <w:rsid w:val="00701157"/>
    <w:rsid w:val="00701302"/>
    <w:rsid w:val="00701368"/>
    <w:rsid w:val="00701385"/>
    <w:rsid w:val="00701511"/>
    <w:rsid w:val="00701562"/>
    <w:rsid w:val="007015AC"/>
    <w:rsid w:val="00701624"/>
    <w:rsid w:val="00701632"/>
    <w:rsid w:val="007016AE"/>
    <w:rsid w:val="00701725"/>
    <w:rsid w:val="0070174F"/>
    <w:rsid w:val="00701B87"/>
    <w:rsid w:val="00701F25"/>
    <w:rsid w:val="00701F58"/>
    <w:rsid w:val="00701FB7"/>
    <w:rsid w:val="00702160"/>
    <w:rsid w:val="007021B1"/>
    <w:rsid w:val="00702278"/>
    <w:rsid w:val="007023AC"/>
    <w:rsid w:val="00702419"/>
    <w:rsid w:val="00702439"/>
    <w:rsid w:val="00702459"/>
    <w:rsid w:val="007025CF"/>
    <w:rsid w:val="0070266D"/>
    <w:rsid w:val="00702743"/>
    <w:rsid w:val="007028C5"/>
    <w:rsid w:val="00702971"/>
    <w:rsid w:val="00702A34"/>
    <w:rsid w:val="00702B85"/>
    <w:rsid w:val="00702F3D"/>
    <w:rsid w:val="00702F74"/>
    <w:rsid w:val="00703037"/>
    <w:rsid w:val="007030B7"/>
    <w:rsid w:val="007033B0"/>
    <w:rsid w:val="007034B8"/>
    <w:rsid w:val="007035A6"/>
    <w:rsid w:val="007035E7"/>
    <w:rsid w:val="00703649"/>
    <w:rsid w:val="00703653"/>
    <w:rsid w:val="0070369B"/>
    <w:rsid w:val="0070382B"/>
    <w:rsid w:val="007038CB"/>
    <w:rsid w:val="00703AB5"/>
    <w:rsid w:val="00703CFF"/>
    <w:rsid w:val="00703D7A"/>
    <w:rsid w:val="00703D93"/>
    <w:rsid w:val="00703F20"/>
    <w:rsid w:val="00703F92"/>
    <w:rsid w:val="00703FDF"/>
    <w:rsid w:val="0070406B"/>
    <w:rsid w:val="00704308"/>
    <w:rsid w:val="0070432F"/>
    <w:rsid w:val="0070433D"/>
    <w:rsid w:val="0070451F"/>
    <w:rsid w:val="007045F9"/>
    <w:rsid w:val="00704682"/>
    <w:rsid w:val="007046E3"/>
    <w:rsid w:val="00704A01"/>
    <w:rsid w:val="00704ACD"/>
    <w:rsid w:val="00704B54"/>
    <w:rsid w:val="00704E1F"/>
    <w:rsid w:val="00704FB4"/>
    <w:rsid w:val="00704FCC"/>
    <w:rsid w:val="0070506A"/>
    <w:rsid w:val="007050F4"/>
    <w:rsid w:val="00705173"/>
    <w:rsid w:val="00705353"/>
    <w:rsid w:val="00705403"/>
    <w:rsid w:val="00705419"/>
    <w:rsid w:val="0070541B"/>
    <w:rsid w:val="00705511"/>
    <w:rsid w:val="00705573"/>
    <w:rsid w:val="007055A9"/>
    <w:rsid w:val="00705627"/>
    <w:rsid w:val="00705637"/>
    <w:rsid w:val="007056D7"/>
    <w:rsid w:val="007057FD"/>
    <w:rsid w:val="0070588A"/>
    <w:rsid w:val="0070595C"/>
    <w:rsid w:val="00705A9C"/>
    <w:rsid w:val="00705B3C"/>
    <w:rsid w:val="00705C31"/>
    <w:rsid w:val="00705D08"/>
    <w:rsid w:val="00705EFE"/>
    <w:rsid w:val="00705F80"/>
    <w:rsid w:val="0070601D"/>
    <w:rsid w:val="00706086"/>
    <w:rsid w:val="0070609B"/>
    <w:rsid w:val="007060A5"/>
    <w:rsid w:val="00706143"/>
    <w:rsid w:val="007061FA"/>
    <w:rsid w:val="00706257"/>
    <w:rsid w:val="00706267"/>
    <w:rsid w:val="007062DC"/>
    <w:rsid w:val="00706354"/>
    <w:rsid w:val="007064D1"/>
    <w:rsid w:val="00706544"/>
    <w:rsid w:val="00706588"/>
    <w:rsid w:val="0070667B"/>
    <w:rsid w:val="00706740"/>
    <w:rsid w:val="00706843"/>
    <w:rsid w:val="007068A3"/>
    <w:rsid w:val="007068AA"/>
    <w:rsid w:val="007068DA"/>
    <w:rsid w:val="00706911"/>
    <w:rsid w:val="00706925"/>
    <w:rsid w:val="00706A5E"/>
    <w:rsid w:val="00706AF8"/>
    <w:rsid w:val="00706BE0"/>
    <w:rsid w:val="00706C77"/>
    <w:rsid w:val="00706E3A"/>
    <w:rsid w:val="00706F3E"/>
    <w:rsid w:val="007070DA"/>
    <w:rsid w:val="0070711A"/>
    <w:rsid w:val="0070716D"/>
    <w:rsid w:val="007073E7"/>
    <w:rsid w:val="00707450"/>
    <w:rsid w:val="0070754E"/>
    <w:rsid w:val="0070756E"/>
    <w:rsid w:val="007076C7"/>
    <w:rsid w:val="007079F1"/>
    <w:rsid w:val="00707A6B"/>
    <w:rsid w:val="00707A91"/>
    <w:rsid w:val="00707A9A"/>
    <w:rsid w:val="00707CC4"/>
    <w:rsid w:val="00707DDA"/>
    <w:rsid w:val="00707E1F"/>
    <w:rsid w:val="00707E66"/>
    <w:rsid w:val="00707EA5"/>
    <w:rsid w:val="00707F1C"/>
    <w:rsid w:val="00707F22"/>
    <w:rsid w:val="00710273"/>
    <w:rsid w:val="0071027F"/>
    <w:rsid w:val="0071052B"/>
    <w:rsid w:val="00710566"/>
    <w:rsid w:val="007105B2"/>
    <w:rsid w:val="0071063A"/>
    <w:rsid w:val="007106E4"/>
    <w:rsid w:val="0071073B"/>
    <w:rsid w:val="0071076B"/>
    <w:rsid w:val="00710827"/>
    <w:rsid w:val="00710951"/>
    <w:rsid w:val="00710991"/>
    <w:rsid w:val="0071099E"/>
    <w:rsid w:val="007109D7"/>
    <w:rsid w:val="00710ABF"/>
    <w:rsid w:val="00710ACD"/>
    <w:rsid w:val="00710AF7"/>
    <w:rsid w:val="00710B51"/>
    <w:rsid w:val="00710EFA"/>
    <w:rsid w:val="00710F31"/>
    <w:rsid w:val="00710FF9"/>
    <w:rsid w:val="00711091"/>
    <w:rsid w:val="007112B8"/>
    <w:rsid w:val="007112CA"/>
    <w:rsid w:val="00711347"/>
    <w:rsid w:val="0071139D"/>
    <w:rsid w:val="007113F0"/>
    <w:rsid w:val="007115E4"/>
    <w:rsid w:val="00711731"/>
    <w:rsid w:val="007117CB"/>
    <w:rsid w:val="00711880"/>
    <w:rsid w:val="0071190A"/>
    <w:rsid w:val="00711997"/>
    <w:rsid w:val="007119B1"/>
    <w:rsid w:val="00711A29"/>
    <w:rsid w:val="00711B47"/>
    <w:rsid w:val="00711CDE"/>
    <w:rsid w:val="00711DCF"/>
    <w:rsid w:val="00711E7B"/>
    <w:rsid w:val="00711EC3"/>
    <w:rsid w:val="00711FED"/>
    <w:rsid w:val="007120BE"/>
    <w:rsid w:val="00712202"/>
    <w:rsid w:val="007122AA"/>
    <w:rsid w:val="007123C0"/>
    <w:rsid w:val="0071241A"/>
    <w:rsid w:val="00712502"/>
    <w:rsid w:val="007125DE"/>
    <w:rsid w:val="00712728"/>
    <w:rsid w:val="0071278E"/>
    <w:rsid w:val="007127BB"/>
    <w:rsid w:val="00712835"/>
    <w:rsid w:val="0071288B"/>
    <w:rsid w:val="007129B7"/>
    <w:rsid w:val="007129BA"/>
    <w:rsid w:val="00712AB7"/>
    <w:rsid w:val="00712B43"/>
    <w:rsid w:val="00712C3E"/>
    <w:rsid w:val="00712D02"/>
    <w:rsid w:val="00712D8F"/>
    <w:rsid w:val="00712EA4"/>
    <w:rsid w:val="007130F7"/>
    <w:rsid w:val="0071317B"/>
    <w:rsid w:val="0071331E"/>
    <w:rsid w:val="007133CA"/>
    <w:rsid w:val="007133D4"/>
    <w:rsid w:val="007134B2"/>
    <w:rsid w:val="007137BC"/>
    <w:rsid w:val="007138EB"/>
    <w:rsid w:val="0071390E"/>
    <w:rsid w:val="0071399B"/>
    <w:rsid w:val="007139A6"/>
    <w:rsid w:val="007139A7"/>
    <w:rsid w:val="00713A1E"/>
    <w:rsid w:val="00713BC8"/>
    <w:rsid w:val="00713BDF"/>
    <w:rsid w:val="00713C97"/>
    <w:rsid w:val="00713ECA"/>
    <w:rsid w:val="00713FA2"/>
    <w:rsid w:val="0071408F"/>
    <w:rsid w:val="00714164"/>
    <w:rsid w:val="007142A6"/>
    <w:rsid w:val="0071432C"/>
    <w:rsid w:val="0071434A"/>
    <w:rsid w:val="0071448A"/>
    <w:rsid w:val="007144A8"/>
    <w:rsid w:val="007145B1"/>
    <w:rsid w:val="00714600"/>
    <w:rsid w:val="0071476F"/>
    <w:rsid w:val="0071483C"/>
    <w:rsid w:val="007148FC"/>
    <w:rsid w:val="00714A21"/>
    <w:rsid w:val="00714B05"/>
    <w:rsid w:val="00714B40"/>
    <w:rsid w:val="00714CA5"/>
    <w:rsid w:val="00714CB7"/>
    <w:rsid w:val="00714D0F"/>
    <w:rsid w:val="00714D75"/>
    <w:rsid w:val="00714EAE"/>
    <w:rsid w:val="00714EF4"/>
    <w:rsid w:val="00714FDA"/>
    <w:rsid w:val="00715161"/>
    <w:rsid w:val="007151D2"/>
    <w:rsid w:val="00715326"/>
    <w:rsid w:val="0071538B"/>
    <w:rsid w:val="007153BF"/>
    <w:rsid w:val="007154AB"/>
    <w:rsid w:val="007154C8"/>
    <w:rsid w:val="00715511"/>
    <w:rsid w:val="00715567"/>
    <w:rsid w:val="007155B8"/>
    <w:rsid w:val="0071560A"/>
    <w:rsid w:val="0071560D"/>
    <w:rsid w:val="007156DD"/>
    <w:rsid w:val="0071576D"/>
    <w:rsid w:val="0071595E"/>
    <w:rsid w:val="00715981"/>
    <w:rsid w:val="00715A63"/>
    <w:rsid w:val="00715A8A"/>
    <w:rsid w:val="00715B7A"/>
    <w:rsid w:val="00715BCA"/>
    <w:rsid w:val="00715C5A"/>
    <w:rsid w:val="00715E53"/>
    <w:rsid w:val="00715EAB"/>
    <w:rsid w:val="00715F78"/>
    <w:rsid w:val="007160D8"/>
    <w:rsid w:val="00716201"/>
    <w:rsid w:val="00716239"/>
    <w:rsid w:val="00716247"/>
    <w:rsid w:val="007162B7"/>
    <w:rsid w:val="007163EC"/>
    <w:rsid w:val="00716466"/>
    <w:rsid w:val="00716481"/>
    <w:rsid w:val="007166ED"/>
    <w:rsid w:val="007167ED"/>
    <w:rsid w:val="00716944"/>
    <w:rsid w:val="007169CD"/>
    <w:rsid w:val="00716A97"/>
    <w:rsid w:val="00716B20"/>
    <w:rsid w:val="00716B86"/>
    <w:rsid w:val="00716C69"/>
    <w:rsid w:val="00716CA9"/>
    <w:rsid w:val="00716D71"/>
    <w:rsid w:val="00716D72"/>
    <w:rsid w:val="00716DC2"/>
    <w:rsid w:val="00716DC7"/>
    <w:rsid w:val="00716E0E"/>
    <w:rsid w:val="00716E3C"/>
    <w:rsid w:val="00716E76"/>
    <w:rsid w:val="00716F18"/>
    <w:rsid w:val="00716F1B"/>
    <w:rsid w:val="00716F8E"/>
    <w:rsid w:val="007170E4"/>
    <w:rsid w:val="0071715E"/>
    <w:rsid w:val="00717218"/>
    <w:rsid w:val="00717227"/>
    <w:rsid w:val="0071756A"/>
    <w:rsid w:val="007175AE"/>
    <w:rsid w:val="007175BC"/>
    <w:rsid w:val="0071762B"/>
    <w:rsid w:val="00717641"/>
    <w:rsid w:val="007177CC"/>
    <w:rsid w:val="0071787F"/>
    <w:rsid w:val="00717B92"/>
    <w:rsid w:val="00717C74"/>
    <w:rsid w:val="00717DD2"/>
    <w:rsid w:val="00717E4B"/>
    <w:rsid w:val="00717E62"/>
    <w:rsid w:val="00717E83"/>
    <w:rsid w:val="00717FA2"/>
    <w:rsid w:val="00717FAA"/>
    <w:rsid w:val="00720010"/>
    <w:rsid w:val="0072003C"/>
    <w:rsid w:val="007200B4"/>
    <w:rsid w:val="00720123"/>
    <w:rsid w:val="00720136"/>
    <w:rsid w:val="007202C6"/>
    <w:rsid w:val="007203C5"/>
    <w:rsid w:val="007204C8"/>
    <w:rsid w:val="00720545"/>
    <w:rsid w:val="0072064E"/>
    <w:rsid w:val="0072065A"/>
    <w:rsid w:val="0072068D"/>
    <w:rsid w:val="00720807"/>
    <w:rsid w:val="00720B30"/>
    <w:rsid w:val="00720C1B"/>
    <w:rsid w:val="00720CF8"/>
    <w:rsid w:val="00720D71"/>
    <w:rsid w:val="00720E6F"/>
    <w:rsid w:val="00720F0E"/>
    <w:rsid w:val="0072113D"/>
    <w:rsid w:val="007211C8"/>
    <w:rsid w:val="00721234"/>
    <w:rsid w:val="007213CA"/>
    <w:rsid w:val="007213F2"/>
    <w:rsid w:val="00721535"/>
    <w:rsid w:val="00721596"/>
    <w:rsid w:val="0072179D"/>
    <w:rsid w:val="00721A30"/>
    <w:rsid w:val="00721A61"/>
    <w:rsid w:val="00721ABC"/>
    <w:rsid w:val="00721B4F"/>
    <w:rsid w:val="00721C15"/>
    <w:rsid w:val="00721C6A"/>
    <w:rsid w:val="00721E2E"/>
    <w:rsid w:val="00721E65"/>
    <w:rsid w:val="00721ECC"/>
    <w:rsid w:val="00722095"/>
    <w:rsid w:val="007220BB"/>
    <w:rsid w:val="007220BE"/>
    <w:rsid w:val="00722134"/>
    <w:rsid w:val="0072215C"/>
    <w:rsid w:val="00722183"/>
    <w:rsid w:val="007221FE"/>
    <w:rsid w:val="00722352"/>
    <w:rsid w:val="007223CA"/>
    <w:rsid w:val="0072244C"/>
    <w:rsid w:val="007224A5"/>
    <w:rsid w:val="007224BC"/>
    <w:rsid w:val="00722586"/>
    <w:rsid w:val="00722705"/>
    <w:rsid w:val="00722745"/>
    <w:rsid w:val="00722780"/>
    <w:rsid w:val="00722892"/>
    <w:rsid w:val="007228F7"/>
    <w:rsid w:val="00722906"/>
    <w:rsid w:val="00722A91"/>
    <w:rsid w:val="00722AA6"/>
    <w:rsid w:val="00722ABE"/>
    <w:rsid w:val="00722B35"/>
    <w:rsid w:val="00722B52"/>
    <w:rsid w:val="00722B6D"/>
    <w:rsid w:val="00722C33"/>
    <w:rsid w:val="00722D77"/>
    <w:rsid w:val="00722F89"/>
    <w:rsid w:val="00723114"/>
    <w:rsid w:val="00723190"/>
    <w:rsid w:val="0072324D"/>
    <w:rsid w:val="007234FF"/>
    <w:rsid w:val="0072353E"/>
    <w:rsid w:val="0072355B"/>
    <w:rsid w:val="00723586"/>
    <w:rsid w:val="007235BF"/>
    <w:rsid w:val="007236EE"/>
    <w:rsid w:val="00723749"/>
    <w:rsid w:val="007237E3"/>
    <w:rsid w:val="0072381C"/>
    <w:rsid w:val="00723906"/>
    <w:rsid w:val="007239DB"/>
    <w:rsid w:val="007239F0"/>
    <w:rsid w:val="00723A3D"/>
    <w:rsid w:val="00723A66"/>
    <w:rsid w:val="00723AFA"/>
    <w:rsid w:val="00723B2D"/>
    <w:rsid w:val="00723C58"/>
    <w:rsid w:val="00723D9D"/>
    <w:rsid w:val="00723E32"/>
    <w:rsid w:val="00723E99"/>
    <w:rsid w:val="00723ED0"/>
    <w:rsid w:val="00723FF0"/>
    <w:rsid w:val="00724074"/>
    <w:rsid w:val="007241AD"/>
    <w:rsid w:val="00724266"/>
    <w:rsid w:val="0072429A"/>
    <w:rsid w:val="007242A8"/>
    <w:rsid w:val="0072432C"/>
    <w:rsid w:val="00724420"/>
    <w:rsid w:val="007244D9"/>
    <w:rsid w:val="00724655"/>
    <w:rsid w:val="007247F2"/>
    <w:rsid w:val="00724887"/>
    <w:rsid w:val="00724889"/>
    <w:rsid w:val="00724A16"/>
    <w:rsid w:val="00724AFF"/>
    <w:rsid w:val="00724B24"/>
    <w:rsid w:val="00724BE4"/>
    <w:rsid w:val="00724EA3"/>
    <w:rsid w:val="00724EDF"/>
    <w:rsid w:val="00724F47"/>
    <w:rsid w:val="00724F5E"/>
    <w:rsid w:val="00724F7C"/>
    <w:rsid w:val="00724F94"/>
    <w:rsid w:val="00724FE3"/>
    <w:rsid w:val="0072519C"/>
    <w:rsid w:val="0072526E"/>
    <w:rsid w:val="00725374"/>
    <w:rsid w:val="00725428"/>
    <w:rsid w:val="00725439"/>
    <w:rsid w:val="007254FB"/>
    <w:rsid w:val="0072562E"/>
    <w:rsid w:val="007256C8"/>
    <w:rsid w:val="00725728"/>
    <w:rsid w:val="0072592D"/>
    <w:rsid w:val="007259E4"/>
    <w:rsid w:val="00725D92"/>
    <w:rsid w:val="00725DA0"/>
    <w:rsid w:val="00725EB3"/>
    <w:rsid w:val="00725FB4"/>
    <w:rsid w:val="0072620C"/>
    <w:rsid w:val="00726294"/>
    <w:rsid w:val="00726410"/>
    <w:rsid w:val="0072647F"/>
    <w:rsid w:val="007264C2"/>
    <w:rsid w:val="00726546"/>
    <w:rsid w:val="007265D3"/>
    <w:rsid w:val="0072669C"/>
    <w:rsid w:val="0072676B"/>
    <w:rsid w:val="007267BB"/>
    <w:rsid w:val="007269DF"/>
    <w:rsid w:val="00726A16"/>
    <w:rsid w:val="00726BEA"/>
    <w:rsid w:val="00726C9E"/>
    <w:rsid w:val="00726D32"/>
    <w:rsid w:val="00726E8A"/>
    <w:rsid w:val="00726EA1"/>
    <w:rsid w:val="00726FDB"/>
    <w:rsid w:val="00726FDE"/>
    <w:rsid w:val="0072702C"/>
    <w:rsid w:val="007270F0"/>
    <w:rsid w:val="00727370"/>
    <w:rsid w:val="007273F9"/>
    <w:rsid w:val="00727445"/>
    <w:rsid w:val="00727472"/>
    <w:rsid w:val="007274C5"/>
    <w:rsid w:val="0072754D"/>
    <w:rsid w:val="00727572"/>
    <w:rsid w:val="007275B9"/>
    <w:rsid w:val="007275C6"/>
    <w:rsid w:val="007278EB"/>
    <w:rsid w:val="0072792F"/>
    <w:rsid w:val="00727979"/>
    <w:rsid w:val="007279BB"/>
    <w:rsid w:val="00727A1E"/>
    <w:rsid w:val="00727A4C"/>
    <w:rsid w:val="00727ABB"/>
    <w:rsid w:val="00727ADA"/>
    <w:rsid w:val="00727D7C"/>
    <w:rsid w:val="00727DD5"/>
    <w:rsid w:val="00727E1E"/>
    <w:rsid w:val="00727E42"/>
    <w:rsid w:val="00727F24"/>
    <w:rsid w:val="0073015E"/>
    <w:rsid w:val="0073022A"/>
    <w:rsid w:val="007303E4"/>
    <w:rsid w:val="007306CD"/>
    <w:rsid w:val="00730841"/>
    <w:rsid w:val="007308C3"/>
    <w:rsid w:val="007308F3"/>
    <w:rsid w:val="00730906"/>
    <w:rsid w:val="00730B38"/>
    <w:rsid w:val="00730B39"/>
    <w:rsid w:val="00730B48"/>
    <w:rsid w:val="00730B64"/>
    <w:rsid w:val="00730C23"/>
    <w:rsid w:val="00730C9A"/>
    <w:rsid w:val="00730D3A"/>
    <w:rsid w:val="00730D76"/>
    <w:rsid w:val="00730E95"/>
    <w:rsid w:val="00730F85"/>
    <w:rsid w:val="007310FA"/>
    <w:rsid w:val="0073110C"/>
    <w:rsid w:val="0073113B"/>
    <w:rsid w:val="007311E3"/>
    <w:rsid w:val="007313AC"/>
    <w:rsid w:val="007314EB"/>
    <w:rsid w:val="007316E1"/>
    <w:rsid w:val="00731801"/>
    <w:rsid w:val="007318AD"/>
    <w:rsid w:val="007319B0"/>
    <w:rsid w:val="007319D8"/>
    <w:rsid w:val="00731A0F"/>
    <w:rsid w:val="00731A40"/>
    <w:rsid w:val="00731A49"/>
    <w:rsid w:val="00731AF0"/>
    <w:rsid w:val="00731B75"/>
    <w:rsid w:val="00731BA1"/>
    <w:rsid w:val="00731C71"/>
    <w:rsid w:val="00731C91"/>
    <w:rsid w:val="00731CF4"/>
    <w:rsid w:val="00731E63"/>
    <w:rsid w:val="00731EE8"/>
    <w:rsid w:val="00732045"/>
    <w:rsid w:val="00732109"/>
    <w:rsid w:val="00732205"/>
    <w:rsid w:val="0073226D"/>
    <w:rsid w:val="00732346"/>
    <w:rsid w:val="007324D4"/>
    <w:rsid w:val="007325C9"/>
    <w:rsid w:val="00732619"/>
    <w:rsid w:val="0073263A"/>
    <w:rsid w:val="00732727"/>
    <w:rsid w:val="0073283E"/>
    <w:rsid w:val="00732852"/>
    <w:rsid w:val="0073285C"/>
    <w:rsid w:val="0073292C"/>
    <w:rsid w:val="00732946"/>
    <w:rsid w:val="0073294D"/>
    <w:rsid w:val="007329A4"/>
    <w:rsid w:val="00732A07"/>
    <w:rsid w:val="00732B64"/>
    <w:rsid w:val="00732C80"/>
    <w:rsid w:val="00732D7D"/>
    <w:rsid w:val="00732D97"/>
    <w:rsid w:val="00732E3F"/>
    <w:rsid w:val="00732EC2"/>
    <w:rsid w:val="00732F7A"/>
    <w:rsid w:val="00733067"/>
    <w:rsid w:val="007330FD"/>
    <w:rsid w:val="00733173"/>
    <w:rsid w:val="00733330"/>
    <w:rsid w:val="00733369"/>
    <w:rsid w:val="007333CF"/>
    <w:rsid w:val="007333F0"/>
    <w:rsid w:val="0073342A"/>
    <w:rsid w:val="00733507"/>
    <w:rsid w:val="00733520"/>
    <w:rsid w:val="007336AA"/>
    <w:rsid w:val="007338A5"/>
    <w:rsid w:val="007338E6"/>
    <w:rsid w:val="007339D1"/>
    <w:rsid w:val="00733B2C"/>
    <w:rsid w:val="00733BC0"/>
    <w:rsid w:val="00733C2C"/>
    <w:rsid w:val="00733D94"/>
    <w:rsid w:val="00733D95"/>
    <w:rsid w:val="00733F01"/>
    <w:rsid w:val="00733FDB"/>
    <w:rsid w:val="00734015"/>
    <w:rsid w:val="0073402D"/>
    <w:rsid w:val="007340BA"/>
    <w:rsid w:val="007340FF"/>
    <w:rsid w:val="0073413F"/>
    <w:rsid w:val="007343BB"/>
    <w:rsid w:val="0073448A"/>
    <w:rsid w:val="0073466D"/>
    <w:rsid w:val="007346A5"/>
    <w:rsid w:val="007346C7"/>
    <w:rsid w:val="00734708"/>
    <w:rsid w:val="00734750"/>
    <w:rsid w:val="007347BF"/>
    <w:rsid w:val="007348B0"/>
    <w:rsid w:val="00734A11"/>
    <w:rsid w:val="00734B08"/>
    <w:rsid w:val="00734C10"/>
    <w:rsid w:val="00734CC6"/>
    <w:rsid w:val="00734CEF"/>
    <w:rsid w:val="00734D6B"/>
    <w:rsid w:val="00734D97"/>
    <w:rsid w:val="00734DDE"/>
    <w:rsid w:val="00734F56"/>
    <w:rsid w:val="00735278"/>
    <w:rsid w:val="0073529C"/>
    <w:rsid w:val="00735486"/>
    <w:rsid w:val="007354B6"/>
    <w:rsid w:val="007355D8"/>
    <w:rsid w:val="007355E1"/>
    <w:rsid w:val="0073566A"/>
    <w:rsid w:val="00735953"/>
    <w:rsid w:val="00735979"/>
    <w:rsid w:val="00735A2C"/>
    <w:rsid w:val="00735A37"/>
    <w:rsid w:val="00735A60"/>
    <w:rsid w:val="00736026"/>
    <w:rsid w:val="00736091"/>
    <w:rsid w:val="007360AA"/>
    <w:rsid w:val="007361D7"/>
    <w:rsid w:val="0073623A"/>
    <w:rsid w:val="00736347"/>
    <w:rsid w:val="00736493"/>
    <w:rsid w:val="007365FD"/>
    <w:rsid w:val="00736601"/>
    <w:rsid w:val="00736725"/>
    <w:rsid w:val="00736745"/>
    <w:rsid w:val="007367CC"/>
    <w:rsid w:val="0073682B"/>
    <w:rsid w:val="007369B5"/>
    <w:rsid w:val="00736A6E"/>
    <w:rsid w:val="00736B02"/>
    <w:rsid w:val="00736C1D"/>
    <w:rsid w:val="00736C6F"/>
    <w:rsid w:val="00736CDB"/>
    <w:rsid w:val="00736D78"/>
    <w:rsid w:val="00736FFF"/>
    <w:rsid w:val="00737023"/>
    <w:rsid w:val="00737217"/>
    <w:rsid w:val="00737267"/>
    <w:rsid w:val="007372DF"/>
    <w:rsid w:val="0073743F"/>
    <w:rsid w:val="0073745F"/>
    <w:rsid w:val="007375C3"/>
    <w:rsid w:val="007375FA"/>
    <w:rsid w:val="00737601"/>
    <w:rsid w:val="0073761A"/>
    <w:rsid w:val="00737633"/>
    <w:rsid w:val="00737890"/>
    <w:rsid w:val="007378EB"/>
    <w:rsid w:val="00737908"/>
    <w:rsid w:val="007379D4"/>
    <w:rsid w:val="00737A24"/>
    <w:rsid w:val="00737B85"/>
    <w:rsid w:val="00737C9C"/>
    <w:rsid w:val="00737CF6"/>
    <w:rsid w:val="00737D77"/>
    <w:rsid w:val="00737D89"/>
    <w:rsid w:val="00737E0E"/>
    <w:rsid w:val="00737E96"/>
    <w:rsid w:val="00737F46"/>
    <w:rsid w:val="007400BE"/>
    <w:rsid w:val="007400CD"/>
    <w:rsid w:val="007400D7"/>
    <w:rsid w:val="007401D6"/>
    <w:rsid w:val="0074037E"/>
    <w:rsid w:val="00740415"/>
    <w:rsid w:val="007404D0"/>
    <w:rsid w:val="0074069B"/>
    <w:rsid w:val="007406E3"/>
    <w:rsid w:val="00740702"/>
    <w:rsid w:val="00740764"/>
    <w:rsid w:val="007407C4"/>
    <w:rsid w:val="0074090C"/>
    <w:rsid w:val="00740AE2"/>
    <w:rsid w:val="00740BA3"/>
    <w:rsid w:val="00740C54"/>
    <w:rsid w:val="00740C8D"/>
    <w:rsid w:val="00740CAA"/>
    <w:rsid w:val="00740D8A"/>
    <w:rsid w:val="00740F65"/>
    <w:rsid w:val="00741037"/>
    <w:rsid w:val="00741111"/>
    <w:rsid w:val="0074123C"/>
    <w:rsid w:val="007412EE"/>
    <w:rsid w:val="00741301"/>
    <w:rsid w:val="007413C2"/>
    <w:rsid w:val="007413D2"/>
    <w:rsid w:val="00741424"/>
    <w:rsid w:val="00741585"/>
    <w:rsid w:val="007415A7"/>
    <w:rsid w:val="007415F7"/>
    <w:rsid w:val="0074168E"/>
    <w:rsid w:val="0074172D"/>
    <w:rsid w:val="007417AF"/>
    <w:rsid w:val="007417B0"/>
    <w:rsid w:val="007417D3"/>
    <w:rsid w:val="0074182E"/>
    <w:rsid w:val="00741847"/>
    <w:rsid w:val="00741876"/>
    <w:rsid w:val="00741885"/>
    <w:rsid w:val="0074197D"/>
    <w:rsid w:val="00741A25"/>
    <w:rsid w:val="00741A4B"/>
    <w:rsid w:val="00741BA2"/>
    <w:rsid w:val="00741C87"/>
    <w:rsid w:val="00741CD6"/>
    <w:rsid w:val="00741D44"/>
    <w:rsid w:val="00741DC2"/>
    <w:rsid w:val="00741DE3"/>
    <w:rsid w:val="00741DF7"/>
    <w:rsid w:val="00741DF8"/>
    <w:rsid w:val="00741E7E"/>
    <w:rsid w:val="00741EE4"/>
    <w:rsid w:val="00741F45"/>
    <w:rsid w:val="00741F66"/>
    <w:rsid w:val="00741FEB"/>
    <w:rsid w:val="00741FFA"/>
    <w:rsid w:val="00742048"/>
    <w:rsid w:val="00742177"/>
    <w:rsid w:val="00742225"/>
    <w:rsid w:val="00742440"/>
    <w:rsid w:val="00742457"/>
    <w:rsid w:val="00742493"/>
    <w:rsid w:val="00742577"/>
    <w:rsid w:val="00742589"/>
    <w:rsid w:val="007426F2"/>
    <w:rsid w:val="007427BD"/>
    <w:rsid w:val="00742885"/>
    <w:rsid w:val="0074296B"/>
    <w:rsid w:val="00742A11"/>
    <w:rsid w:val="00742B13"/>
    <w:rsid w:val="00742BB2"/>
    <w:rsid w:val="00742C64"/>
    <w:rsid w:val="00742C93"/>
    <w:rsid w:val="00742D38"/>
    <w:rsid w:val="00742D3E"/>
    <w:rsid w:val="00742F17"/>
    <w:rsid w:val="00742F60"/>
    <w:rsid w:val="00742F91"/>
    <w:rsid w:val="00742FAE"/>
    <w:rsid w:val="00742FBA"/>
    <w:rsid w:val="00743130"/>
    <w:rsid w:val="00743281"/>
    <w:rsid w:val="007432F7"/>
    <w:rsid w:val="007433C3"/>
    <w:rsid w:val="007434AF"/>
    <w:rsid w:val="007434B7"/>
    <w:rsid w:val="007434E6"/>
    <w:rsid w:val="00743638"/>
    <w:rsid w:val="0074371B"/>
    <w:rsid w:val="007437BE"/>
    <w:rsid w:val="0074382C"/>
    <w:rsid w:val="007438B4"/>
    <w:rsid w:val="00743934"/>
    <w:rsid w:val="00743978"/>
    <w:rsid w:val="00743988"/>
    <w:rsid w:val="007439C0"/>
    <w:rsid w:val="00743A3F"/>
    <w:rsid w:val="00743A65"/>
    <w:rsid w:val="00743A66"/>
    <w:rsid w:val="00743A71"/>
    <w:rsid w:val="00743A96"/>
    <w:rsid w:val="00743B48"/>
    <w:rsid w:val="00743B63"/>
    <w:rsid w:val="00743C8B"/>
    <w:rsid w:val="00743CD6"/>
    <w:rsid w:val="00743D51"/>
    <w:rsid w:val="00743D6A"/>
    <w:rsid w:val="00743DA2"/>
    <w:rsid w:val="00743DB6"/>
    <w:rsid w:val="00743DC9"/>
    <w:rsid w:val="00743F80"/>
    <w:rsid w:val="007441BE"/>
    <w:rsid w:val="00744487"/>
    <w:rsid w:val="0074451A"/>
    <w:rsid w:val="00744571"/>
    <w:rsid w:val="00744750"/>
    <w:rsid w:val="00744776"/>
    <w:rsid w:val="007447D9"/>
    <w:rsid w:val="0074485D"/>
    <w:rsid w:val="007449B8"/>
    <w:rsid w:val="007449C5"/>
    <w:rsid w:val="00744A0D"/>
    <w:rsid w:val="00744BA2"/>
    <w:rsid w:val="00744BC1"/>
    <w:rsid w:val="00744C09"/>
    <w:rsid w:val="00744E61"/>
    <w:rsid w:val="00744F36"/>
    <w:rsid w:val="00744F3A"/>
    <w:rsid w:val="00744FED"/>
    <w:rsid w:val="007451F8"/>
    <w:rsid w:val="0074520F"/>
    <w:rsid w:val="00745212"/>
    <w:rsid w:val="00745318"/>
    <w:rsid w:val="00745393"/>
    <w:rsid w:val="007454A9"/>
    <w:rsid w:val="007454C6"/>
    <w:rsid w:val="00745572"/>
    <w:rsid w:val="0074568E"/>
    <w:rsid w:val="007456C5"/>
    <w:rsid w:val="007456FA"/>
    <w:rsid w:val="00745718"/>
    <w:rsid w:val="0074579B"/>
    <w:rsid w:val="007457AE"/>
    <w:rsid w:val="007457BA"/>
    <w:rsid w:val="00745935"/>
    <w:rsid w:val="007459EE"/>
    <w:rsid w:val="00745A83"/>
    <w:rsid w:val="00745AAA"/>
    <w:rsid w:val="00745AB6"/>
    <w:rsid w:val="00745B13"/>
    <w:rsid w:val="00745B17"/>
    <w:rsid w:val="00745B34"/>
    <w:rsid w:val="00745B9D"/>
    <w:rsid w:val="00745CA5"/>
    <w:rsid w:val="00745EAC"/>
    <w:rsid w:val="00745EBC"/>
    <w:rsid w:val="0074603D"/>
    <w:rsid w:val="007461EB"/>
    <w:rsid w:val="00746280"/>
    <w:rsid w:val="007464CF"/>
    <w:rsid w:val="007464E9"/>
    <w:rsid w:val="00746565"/>
    <w:rsid w:val="00746597"/>
    <w:rsid w:val="007466A9"/>
    <w:rsid w:val="007466CD"/>
    <w:rsid w:val="00746838"/>
    <w:rsid w:val="0074687D"/>
    <w:rsid w:val="00746995"/>
    <w:rsid w:val="007469D3"/>
    <w:rsid w:val="00746A3F"/>
    <w:rsid w:val="00746A41"/>
    <w:rsid w:val="00746B2B"/>
    <w:rsid w:val="00746B8C"/>
    <w:rsid w:val="00746B91"/>
    <w:rsid w:val="00746BA8"/>
    <w:rsid w:val="00746C6C"/>
    <w:rsid w:val="00746E5B"/>
    <w:rsid w:val="00746F32"/>
    <w:rsid w:val="00747057"/>
    <w:rsid w:val="00747125"/>
    <w:rsid w:val="00747138"/>
    <w:rsid w:val="0074718D"/>
    <w:rsid w:val="007471B2"/>
    <w:rsid w:val="00747239"/>
    <w:rsid w:val="00747387"/>
    <w:rsid w:val="007474C1"/>
    <w:rsid w:val="007475F4"/>
    <w:rsid w:val="00747629"/>
    <w:rsid w:val="007476AB"/>
    <w:rsid w:val="0074774E"/>
    <w:rsid w:val="00747778"/>
    <w:rsid w:val="00747793"/>
    <w:rsid w:val="0074783C"/>
    <w:rsid w:val="007478C2"/>
    <w:rsid w:val="00747A0A"/>
    <w:rsid w:val="00747A0E"/>
    <w:rsid w:val="00747A71"/>
    <w:rsid w:val="00747AE3"/>
    <w:rsid w:val="00747C9F"/>
    <w:rsid w:val="00747CAC"/>
    <w:rsid w:val="00747D9D"/>
    <w:rsid w:val="00747DD5"/>
    <w:rsid w:val="00747E1C"/>
    <w:rsid w:val="00747E96"/>
    <w:rsid w:val="00747EA9"/>
    <w:rsid w:val="00747EBC"/>
    <w:rsid w:val="00747EF2"/>
    <w:rsid w:val="00747F62"/>
    <w:rsid w:val="007500CD"/>
    <w:rsid w:val="00750160"/>
    <w:rsid w:val="00750240"/>
    <w:rsid w:val="0075026E"/>
    <w:rsid w:val="00750361"/>
    <w:rsid w:val="0075045E"/>
    <w:rsid w:val="0075054A"/>
    <w:rsid w:val="007505AD"/>
    <w:rsid w:val="007506A8"/>
    <w:rsid w:val="00750813"/>
    <w:rsid w:val="00750845"/>
    <w:rsid w:val="007508BB"/>
    <w:rsid w:val="0075097A"/>
    <w:rsid w:val="00750A2A"/>
    <w:rsid w:val="00750A51"/>
    <w:rsid w:val="00750A5B"/>
    <w:rsid w:val="00750B64"/>
    <w:rsid w:val="00750B84"/>
    <w:rsid w:val="00750B93"/>
    <w:rsid w:val="00750BFA"/>
    <w:rsid w:val="00750C4D"/>
    <w:rsid w:val="00750CC8"/>
    <w:rsid w:val="00750D8A"/>
    <w:rsid w:val="00750D8B"/>
    <w:rsid w:val="00751032"/>
    <w:rsid w:val="00751094"/>
    <w:rsid w:val="007511A5"/>
    <w:rsid w:val="007511BF"/>
    <w:rsid w:val="0075128E"/>
    <w:rsid w:val="007512B8"/>
    <w:rsid w:val="007512C4"/>
    <w:rsid w:val="00751314"/>
    <w:rsid w:val="0075138F"/>
    <w:rsid w:val="007513BC"/>
    <w:rsid w:val="00751452"/>
    <w:rsid w:val="00751458"/>
    <w:rsid w:val="007514C5"/>
    <w:rsid w:val="007514D8"/>
    <w:rsid w:val="007514F8"/>
    <w:rsid w:val="0075150B"/>
    <w:rsid w:val="00751710"/>
    <w:rsid w:val="007517D3"/>
    <w:rsid w:val="00751881"/>
    <w:rsid w:val="0075197F"/>
    <w:rsid w:val="00751991"/>
    <w:rsid w:val="007519AD"/>
    <w:rsid w:val="00751A53"/>
    <w:rsid w:val="00751A83"/>
    <w:rsid w:val="00751B34"/>
    <w:rsid w:val="00751B84"/>
    <w:rsid w:val="00751B96"/>
    <w:rsid w:val="00751D6B"/>
    <w:rsid w:val="00751FE7"/>
    <w:rsid w:val="00752067"/>
    <w:rsid w:val="00752078"/>
    <w:rsid w:val="0075218D"/>
    <w:rsid w:val="007521B6"/>
    <w:rsid w:val="00752207"/>
    <w:rsid w:val="00752285"/>
    <w:rsid w:val="007522E3"/>
    <w:rsid w:val="007523F9"/>
    <w:rsid w:val="00752403"/>
    <w:rsid w:val="00752412"/>
    <w:rsid w:val="00752486"/>
    <w:rsid w:val="007524B0"/>
    <w:rsid w:val="0075258C"/>
    <w:rsid w:val="007525AE"/>
    <w:rsid w:val="007526DA"/>
    <w:rsid w:val="0075276C"/>
    <w:rsid w:val="0075283B"/>
    <w:rsid w:val="007528A5"/>
    <w:rsid w:val="007528EB"/>
    <w:rsid w:val="00752953"/>
    <w:rsid w:val="00752A6F"/>
    <w:rsid w:val="00752AE6"/>
    <w:rsid w:val="00752B69"/>
    <w:rsid w:val="00752CAF"/>
    <w:rsid w:val="00752D00"/>
    <w:rsid w:val="00752D8B"/>
    <w:rsid w:val="00752E9A"/>
    <w:rsid w:val="00752F27"/>
    <w:rsid w:val="00752F89"/>
    <w:rsid w:val="00752FA4"/>
    <w:rsid w:val="007530A9"/>
    <w:rsid w:val="00753196"/>
    <w:rsid w:val="00753253"/>
    <w:rsid w:val="007533F1"/>
    <w:rsid w:val="007534FB"/>
    <w:rsid w:val="0075350C"/>
    <w:rsid w:val="0075358C"/>
    <w:rsid w:val="007535B4"/>
    <w:rsid w:val="007535DB"/>
    <w:rsid w:val="0075362D"/>
    <w:rsid w:val="007539F1"/>
    <w:rsid w:val="00753A12"/>
    <w:rsid w:val="00753A3D"/>
    <w:rsid w:val="00753A48"/>
    <w:rsid w:val="00753A71"/>
    <w:rsid w:val="00753B8B"/>
    <w:rsid w:val="00753C63"/>
    <w:rsid w:val="00753C65"/>
    <w:rsid w:val="00753D2E"/>
    <w:rsid w:val="00753D41"/>
    <w:rsid w:val="00753D86"/>
    <w:rsid w:val="00753DDA"/>
    <w:rsid w:val="00753DE4"/>
    <w:rsid w:val="00753E70"/>
    <w:rsid w:val="00753E8C"/>
    <w:rsid w:val="00753F51"/>
    <w:rsid w:val="00753FC0"/>
    <w:rsid w:val="00754043"/>
    <w:rsid w:val="00754091"/>
    <w:rsid w:val="00754228"/>
    <w:rsid w:val="0075427B"/>
    <w:rsid w:val="00754293"/>
    <w:rsid w:val="007542CF"/>
    <w:rsid w:val="00754301"/>
    <w:rsid w:val="00754336"/>
    <w:rsid w:val="0075434C"/>
    <w:rsid w:val="00754359"/>
    <w:rsid w:val="00754401"/>
    <w:rsid w:val="00754431"/>
    <w:rsid w:val="0075448A"/>
    <w:rsid w:val="007544C3"/>
    <w:rsid w:val="00754548"/>
    <w:rsid w:val="007545FA"/>
    <w:rsid w:val="00754669"/>
    <w:rsid w:val="0075468C"/>
    <w:rsid w:val="00754925"/>
    <w:rsid w:val="00754937"/>
    <w:rsid w:val="007549D7"/>
    <w:rsid w:val="007549DE"/>
    <w:rsid w:val="00754B9F"/>
    <w:rsid w:val="00754BA2"/>
    <w:rsid w:val="00754BCE"/>
    <w:rsid w:val="00754E0D"/>
    <w:rsid w:val="00754E3A"/>
    <w:rsid w:val="00754E52"/>
    <w:rsid w:val="00754E73"/>
    <w:rsid w:val="00754EA5"/>
    <w:rsid w:val="00754FED"/>
    <w:rsid w:val="0075507B"/>
    <w:rsid w:val="0075513E"/>
    <w:rsid w:val="007552A7"/>
    <w:rsid w:val="007554AA"/>
    <w:rsid w:val="0075556D"/>
    <w:rsid w:val="0075558C"/>
    <w:rsid w:val="00755726"/>
    <w:rsid w:val="007557E1"/>
    <w:rsid w:val="007558C4"/>
    <w:rsid w:val="00755B98"/>
    <w:rsid w:val="00755E1D"/>
    <w:rsid w:val="00755E22"/>
    <w:rsid w:val="00755FA3"/>
    <w:rsid w:val="00756031"/>
    <w:rsid w:val="0075609E"/>
    <w:rsid w:val="007560BA"/>
    <w:rsid w:val="007560C9"/>
    <w:rsid w:val="00756116"/>
    <w:rsid w:val="0075618F"/>
    <w:rsid w:val="007561C6"/>
    <w:rsid w:val="0075621C"/>
    <w:rsid w:val="0075622A"/>
    <w:rsid w:val="0075632A"/>
    <w:rsid w:val="007564E9"/>
    <w:rsid w:val="0075654D"/>
    <w:rsid w:val="0075657B"/>
    <w:rsid w:val="00756669"/>
    <w:rsid w:val="00756687"/>
    <w:rsid w:val="007566D3"/>
    <w:rsid w:val="00756705"/>
    <w:rsid w:val="00756776"/>
    <w:rsid w:val="00756857"/>
    <w:rsid w:val="007568D0"/>
    <w:rsid w:val="0075690A"/>
    <w:rsid w:val="00756A8F"/>
    <w:rsid w:val="00756ACE"/>
    <w:rsid w:val="00756BFF"/>
    <w:rsid w:val="00756C9F"/>
    <w:rsid w:val="00756D23"/>
    <w:rsid w:val="00756DC4"/>
    <w:rsid w:val="00756E4B"/>
    <w:rsid w:val="00756E78"/>
    <w:rsid w:val="00756FAB"/>
    <w:rsid w:val="0075707B"/>
    <w:rsid w:val="00757141"/>
    <w:rsid w:val="00757305"/>
    <w:rsid w:val="0075744C"/>
    <w:rsid w:val="00757464"/>
    <w:rsid w:val="0075759C"/>
    <w:rsid w:val="007575C3"/>
    <w:rsid w:val="00757651"/>
    <w:rsid w:val="0075766F"/>
    <w:rsid w:val="0075771E"/>
    <w:rsid w:val="0075772C"/>
    <w:rsid w:val="007577EA"/>
    <w:rsid w:val="007578C3"/>
    <w:rsid w:val="00757A74"/>
    <w:rsid w:val="00757A8A"/>
    <w:rsid w:val="00757B0C"/>
    <w:rsid w:val="00757B0D"/>
    <w:rsid w:val="00757B3E"/>
    <w:rsid w:val="00757BAF"/>
    <w:rsid w:val="00757C3A"/>
    <w:rsid w:val="00757C6D"/>
    <w:rsid w:val="00757D4F"/>
    <w:rsid w:val="00757D6D"/>
    <w:rsid w:val="00757E7B"/>
    <w:rsid w:val="0076004E"/>
    <w:rsid w:val="00760051"/>
    <w:rsid w:val="007600AF"/>
    <w:rsid w:val="007600FE"/>
    <w:rsid w:val="0076015E"/>
    <w:rsid w:val="007601EE"/>
    <w:rsid w:val="00760381"/>
    <w:rsid w:val="0076042B"/>
    <w:rsid w:val="00760466"/>
    <w:rsid w:val="00760478"/>
    <w:rsid w:val="0076056E"/>
    <w:rsid w:val="00760625"/>
    <w:rsid w:val="007606B6"/>
    <w:rsid w:val="007607D2"/>
    <w:rsid w:val="00760807"/>
    <w:rsid w:val="00760838"/>
    <w:rsid w:val="007608DD"/>
    <w:rsid w:val="007609C7"/>
    <w:rsid w:val="00760A55"/>
    <w:rsid w:val="00760B66"/>
    <w:rsid w:val="00760C5A"/>
    <w:rsid w:val="00760E51"/>
    <w:rsid w:val="00760EB8"/>
    <w:rsid w:val="00760F09"/>
    <w:rsid w:val="00760F15"/>
    <w:rsid w:val="007610C3"/>
    <w:rsid w:val="0076111A"/>
    <w:rsid w:val="00761150"/>
    <w:rsid w:val="007611E6"/>
    <w:rsid w:val="00761233"/>
    <w:rsid w:val="00761269"/>
    <w:rsid w:val="007612BB"/>
    <w:rsid w:val="0076136A"/>
    <w:rsid w:val="00761392"/>
    <w:rsid w:val="007613CA"/>
    <w:rsid w:val="007613FC"/>
    <w:rsid w:val="0076140D"/>
    <w:rsid w:val="00761433"/>
    <w:rsid w:val="00761578"/>
    <w:rsid w:val="007617A3"/>
    <w:rsid w:val="007618B8"/>
    <w:rsid w:val="0076199C"/>
    <w:rsid w:val="00761A16"/>
    <w:rsid w:val="00761AF2"/>
    <w:rsid w:val="00761B1D"/>
    <w:rsid w:val="00761B50"/>
    <w:rsid w:val="00761C15"/>
    <w:rsid w:val="00761C3F"/>
    <w:rsid w:val="00761C62"/>
    <w:rsid w:val="00761CBB"/>
    <w:rsid w:val="00761CBE"/>
    <w:rsid w:val="00761D45"/>
    <w:rsid w:val="00761DBF"/>
    <w:rsid w:val="00761DC5"/>
    <w:rsid w:val="00761E07"/>
    <w:rsid w:val="00761E4A"/>
    <w:rsid w:val="00761E86"/>
    <w:rsid w:val="00761ED3"/>
    <w:rsid w:val="00762000"/>
    <w:rsid w:val="00762070"/>
    <w:rsid w:val="0076223A"/>
    <w:rsid w:val="007622C5"/>
    <w:rsid w:val="007622FA"/>
    <w:rsid w:val="00762355"/>
    <w:rsid w:val="007624A9"/>
    <w:rsid w:val="007624FA"/>
    <w:rsid w:val="007624FC"/>
    <w:rsid w:val="00762568"/>
    <w:rsid w:val="00762578"/>
    <w:rsid w:val="00762599"/>
    <w:rsid w:val="00762688"/>
    <w:rsid w:val="007626F1"/>
    <w:rsid w:val="007627BA"/>
    <w:rsid w:val="00762821"/>
    <w:rsid w:val="00762866"/>
    <w:rsid w:val="007628F1"/>
    <w:rsid w:val="007629A3"/>
    <w:rsid w:val="007629EA"/>
    <w:rsid w:val="007629F9"/>
    <w:rsid w:val="00762A7E"/>
    <w:rsid w:val="00762CC7"/>
    <w:rsid w:val="00762DAD"/>
    <w:rsid w:val="00762DB6"/>
    <w:rsid w:val="00762DE1"/>
    <w:rsid w:val="00763038"/>
    <w:rsid w:val="0076308F"/>
    <w:rsid w:val="00763168"/>
    <w:rsid w:val="0076326D"/>
    <w:rsid w:val="00763372"/>
    <w:rsid w:val="00763377"/>
    <w:rsid w:val="00763570"/>
    <w:rsid w:val="00763582"/>
    <w:rsid w:val="007635A1"/>
    <w:rsid w:val="0076364C"/>
    <w:rsid w:val="0076368F"/>
    <w:rsid w:val="00763729"/>
    <w:rsid w:val="00763869"/>
    <w:rsid w:val="00763910"/>
    <w:rsid w:val="00763B77"/>
    <w:rsid w:val="00763E2B"/>
    <w:rsid w:val="00763ECE"/>
    <w:rsid w:val="00763ED8"/>
    <w:rsid w:val="007640B3"/>
    <w:rsid w:val="007640F6"/>
    <w:rsid w:val="007643CC"/>
    <w:rsid w:val="00764420"/>
    <w:rsid w:val="00764470"/>
    <w:rsid w:val="0076465C"/>
    <w:rsid w:val="007646F7"/>
    <w:rsid w:val="00764757"/>
    <w:rsid w:val="007648A4"/>
    <w:rsid w:val="007649A0"/>
    <w:rsid w:val="00764D79"/>
    <w:rsid w:val="00764E65"/>
    <w:rsid w:val="00764E94"/>
    <w:rsid w:val="00764EE1"/>
    <w:rsid w:val="0076507E"/>
    <w:rsid w:val="007650EB"/>
    <w:rsid w:val="0076512C"/>
    <w:rsid w:val="0076514F"/>
    <w:rsid w:val="00765152"/>
    <w:rsid w:val="007651FD"/>
    <w:rsid w:val="007652C9"/>
    <w:rsid w:val="007652D2"/>
    <w:rsid w:val="007653AC"/>
    <w:rsid w:val="007653C2"/>
    <w:rsid w:val="0076540E"/>
    <w:rsid w:val="00765410"/>
    <w:rsid w:val="007654DA"/>
    <w:rsid w:val="0076582F"/>
    <w:rsid w:val="00765877"/>
    <w:rsid w:val="007659CB"/>
    <w:rsid w:val="00765A27"/>
    <w:rsid w:val="00765BA0"/>
    <w:rsid w:val="00765C24"/>
    <w:rsid w:val="00765C73"/>
    <w:rsid w:val="00765CC8"/>
    <w:rsid w:val="00765CF3"/>
    <w:rsid w:val="00765D36"/>
    <w:rsid w:val="00765D42"/>
    <w:rsid w:val="00765EF4"/>
    <w:rsid w:val="00765EF5"/>
    <w:rsid w:val="00765F36"/>
    <w:rsid w:val="00765F6F"/>
    <w:rsid w:val="00765FDB"/>
    <w:rsid w:val="0076609B"/>
    <w:rsid w:val="0076616A"/>
    <w:rsid w:val="00766528"/>
    <w:rsid w:val="007665ED"/>
    <w:rsid w:val="00766832"/>
    <w:rsid w:val="007668CD"/>
    <w:rsid w:val="007669C8"/>
    <w:rsid w:val="007669CA"/>
    <w:rsid w:val="00766A0C"/>
    <w:rsid w:val="00766AB2"/>
    <w:rsid w:val="00766CDD"/>
    <w:rsid w:val="00766D3D"/>
    <w:rsid w:val="00766DB3"/>
    <w:rsid w:val="00766DDC"/>
    <w:rsid w:val="00766E6A"/>
    <w:rsid w:val="00766E6F"/>
    <w:rsid w:val="00766ECC"/>
    <w:rsid w:val="00766F84"/>
    <w:rsid w:val="00766F88"/>
    <w:rsid w:val="00766FF2"/>
    <w:rsid w:val="00766FF6"/>
    <w:rsid w:val="0076702D"/>
    <w:rsid w:val="00767049"/>
    <w:rsid w:val="0076704E"/>
    <w:rsid w:val="007670DC"/>
    <w:rsid w:val="00767166"/>
    <w:rsid w:val="00767391"/>
    <w:rsid w:val="007674AD"/>
    <w:rsid w:val="00767611"/>
    <w:rsid w:val="00767660"/>
    <w:rsid w:val="007676FB"/>
    <w:rsid w:val="00767796"/>
    <w:rsid w:val="007677B6"/>
    <w:rsid w:val="0076790C"/>
    <w:rsid w:val="00767948"/>
    <w:rsid w:val="00767A7F"/>
    <w:rsid w:val="00767C07"/>
    <w:rsid w:val="00767D92"/>
    <w:rsid w:val="00767DB9"/>
    <w:rsid w:val="00767EC2"/>
    <w:rsid w:val="00767F5B"/>
    <w:rsid w:val="007700A9"/>
    <w:rsid w:val="0077010E"/>
    <w:rsid w:val="0077014E"/>
    <w:rsid w:val="00770189"/>
    <w:rsid w:val="00770353"/>
    <w:rsid w:val="0077037E"/>
    <w:rsid w:val="007703D8"/>
    <w:rsid w:val="00770524"/>
    <w:rsid w:val="0077058F"/>
    <w:rsid w:val="007705AB"/>
    <w:rsid w:val="00770673"/>
    <w:rsid w:val="007706E4"/>
    <w:rsid w:val="007708BE"/>
    <w:rsid w:val="00770A4F"/>
    <w:rsid w:val="00770B56"/>
    <w:rsid w:val="00770D18"/>
    <w:rsid w:val="00770D99"/>
    <w:rsid w:val="00770E6F"/>
    <w:rsid w:val="00770EC3"/>
    <w:rsid w:val="00770F11"/>
    <w:rsid w:val="00770F63"/>
    <w:rsid w:val="0077100A"/>
    <w:rsid w:val="00771183"/>
    <w:rsid w:val="00771288"/>
    <w:rsid w:val="0077130A"/>
    <w:rsid w:val="00771338"/>
    <w:rsid w:val="00771383"/>
    <w:rsid w:val="00771408"/>
    <w:rsid w:val="007714C6"/>
    <w:rsid w:val="0077165B"/>
    <w:rsid w:val="00771698"/>
    <w:rsid w:val="00771894"/>
    <w:rsid w:val="007718DD"/>
    <w:rsid w:val="007718EF"/>
    <w:rsid w:val="00771911"/>
    <w:rsid w:val="00771930"/>
    <w:rsid w:val="007719A8"/>
    <w:rsid w:val="007719B1"/>
    <w:rsid w:val="00771B58"/>
    <w:rsid w:val="00771B8C"/>
    <w:rsid w:val="00771C1B"/>
    <w:rsid w:val="00771C6D"/>
    <w:rsid w:val="00771F76"/>
    <w:rsid w:val="00771FE8"/>
    <w:rsid w:val="00772053"/>
    <w:rsid w:val="007721C3"/>
    <w:rsid w:val="007722A1"/>
    <w:rsid w:val="0077235C"/>
    <w:rsid w:val="007723AD"/>
    <w:rsid w:val="00772432"/>
    <w:rsid w:val="00772562"/>
    <w:rsid w:val="00772614"/>
    <w:rsid w:val="0077261A"/>
    <w:rsid w:val="00772626"/>
    <w:rsid w:val="00772697"/>
    <w:rsid w:val="007726C1"/>
    <w:rsid w:val="007726E0"/>
    <w:rsid w:val="00772702"/>
    <w:rsid w:val="00772787"/>
    <w:rsid w:val="00772A9E"/>
    <w:rsid w:val="00772B40"/>
    <w:rsid w:val="00772C5B"/>
    <w:rsid w:val="00772C82"/>
    <w:rsid w:val="00772C83"/>
    <w:rsid w:val="00772CE6"/>
    <w:rsid w:val="00772D0B"/>
    <w:rsid w:val="00772D45"/>
    <w:rsid w:val="00772D6B"/>
    <w:rsid w:val="00772F3A"/>
    <w:rsid w:val="00772FBF"/>
    <w:rsid w:val="007730C2"/>
    <w:rsid w:val="00773237"/>
    <w:rsid w:val="007732AE"/>
    <w:rsid w:val="0077334B"/>
    <w:rsid w:val="00773437"/>
    <w:rsid w:val="007734E0"/>
    <w:rsid w:val="00773516"/>
    <w:rsid w:val="007735F9"/>
    <w:rsid w:val="007736A4"/>
    <w:rsid w:val="007736E1"/>
    <w:rsid w:val="00773778"/>
    <w:rsid w:val="00773986"/>
    <w:rsid w:val="007739FA"/>
    <w:rsid w:val="00773C56"/>
    <w:rsid w:val="00773DE0"/>
    <w:rsid w:val="00773EB9"/>
    <w:rsid w:val="00773F38"/>
    <w:rsid w:val="00774003"/>
    <w:rsid w:val="007740EB"/>
    <w:rsid w:val="0077415C"/>
    <w:rsid w:val="00774478"/>
    <w:rsid w:val="00774486"/>
    <w:rsid w:val="007744FC"/>
    <w:rsid w:val="0077455A"/>
    <w:rsid w:val="00774654"/>
    <w:rsid w:val="00774704"/>
    <w:rsid w:val="00774779"/>
    <w:rsid w:val="00774857"/>
    <w:rsid w:val="00774909"/>
    <w:rsid w:val="00774912"/>
    <w:rsid w:val="007749D2"/>
    <w:rsid w:val="00774AF3"/>
    <w:rsid w:val="00774B75"/>
    <w:rsid w:val="00774C2D"/>
    <w:rsid w:val="00774CA0"/>
    <w:rsid w:val="00774D22"/>
    <w:rsid w:val="00774D3B"/>
    <w:rsid w:val="00774D7A"/>
    <w:rsid w:val="00774DED"/>
    <w:rsid w:val="00774FAD"/>
    <w:rsid w:val="00774FD1"/>
    <w:rsid w:val="007751D9"/>
    <w:rsid w:val="007752BE"/>
    <w:rsid w:val="007752FF"/>
    <w:rsid w:val="00775485"/>
    <w:rsid w:val="007754C3"/>
    <w:rsid w:val="00775670"/>
    <w:rsid w:val="00775712"/>
    <w:rsid w:val="00775777"/>
    <w:rsid w:val="00775791"/>
    <w:rsid w:val="007757E5"/>
    <w:rsid w:val="0077581A"/>
    <w:rsid w:val="007758F8"/>
    <w:rsid w:val="00775978"/>
    <w:rsid w:val="00775B11"/>
    <w:rsid w:val="00775BBC"/>
    <w:rsid w:val="00775BFA"/>
    <w:rsid w:val="00775C06"/>
    <w:rsid w:val="00775C34"/>
    <w:rsid w:val="00775D79"/>
    <w:rsid w:val="00775DF5"/>
    <w:rsid w:val="00775ED2"/>
    <w:rsid w:val="007760C8"/>
    <w:rsid w:val="00776184"/>
    <w:rsid w:val="0077621B"/>
    <w:rsid w:val="00776253"/>
    <w:rsid w:val="00776273"/>
    <w:rsid w:val="0077645D"/>
    <w:rsid w:val="007764D8"/>
    <w:rsid w:val="00776512"/>
    <w:rsid w:val="0077652B"/>
    <w:rsid w:val="007765A1"/>
    <w:rsid w:val="007765A8"/>
    <w:rsid w:val="007765CC"/>
    <w:rsid w:val="00776675"/>
    <w:rsid w:val="007766A7"/>
    <w:rsid w:val="007766E5"/>
    <w:rsid w:val="00776769"/>
    <w:rsid w:val="00776886"/>
    <w:rsid w:val="0077698C"/>
    <w:rsid w:val="0077698D"/>
    <w:rsid w:val="007769E9"/>
    <w:rsid w:val="00776A7D"/>
    <w:rsid w:val="00776AB5"/>
    <w:rsid w:val="00776AC3"/>
    <w:rsid w:val="00776AF4"/>
    <w:rsid w:val="00776B14"/>
    <w:rsid w:val="00776C29"/>
    <w:rsid w:val="00776D11"/>
    <w:rsid w:val="00776D53"/>
    <w:rsid w:val="00776E55"/>
    <w:rsid w:val="00776FF2"/>
    <w:rsid w:val="0077704A"/>
    <w:rsid w:val="007770E2"/>
    <w:rsid w:val="0077712C"/>
    <w:rsid w:val="007771F4"/>
    <w:rsid w:val="007772B8"/>
    <w:rsid w:val="007772E6"/>
    <w:rsid w:val="00777352"/>
    <w:rsid w:val="007773CC"/>
    <w:rsid w:val="0077757C"/>
    <w:rsid w:val="0077763E"/>
    <w:rsid w:val="00777695"/>
    <w:rsid w:val="0077778D"/>
    <w:rsid w:val="007777B3"/>
    <w:rsid w:val="007777FF"/>
    <w:rsid w:val="00777903"/>
    <w:rsid w:val="00777913"/>
    <w:rsid w:val="0077792A"/>
    <w:rsid w:val="00777943"/>
    <w:rsid w:val="007779A6"/>
    <w:rsid w:val="00777A62"/>
    <w:rsid w:val="00777B43"/>
    <w:rsid w:val="00777B67"/>
    <w:rsid w:val="00777B9C"/>
    <w:rsid w:val="00777BDA"/>
    <w:rsid w:val="00777D09"/>
    <w:rsid w:val="00777DFC"/>
    <w:rsid w:val="00777E35"/>
    <w:rsid w:val="00777EB3"/>
    <w:rsid w:val="00780076"/>
    <w:rsid w:val="007800DE"/>
    <w:rsid w:val="0078044C"/>
    <w:rsid w:val="007804B5"/>
    <w:rsid w:val="00780534"/>
    <w:rsid w:val="00780586"/>
    <w:rsid w:val="00780605"/>
    <w:rsid w:val="0078087E"/>
    <w:rsid w:val="007808FF"/>
    <w:rsid w:val="0078097A"/>
    <w:rsid w:val="00780A83"/>
    <w:rsid w:val="00780B46"/>
    <w:rsid w:val="00780BBB"/>
    <w:rsid w:val="00780C14"/>
    <w:rsid w:val="00780C1D"/>
    <w:rsid w:val="00780C9D"/>
    <w:rsid w:val="00780D68"/>
    <w:rsid w:val="00780F28"/>
    <w:rsid w:val="00780F99"/>
    <w:rsid w:val="00781039"/>
    <w:rsid w:val="007810CB"/>
    <w:rsid w:val="007810DC"/>
    <w:rsid w:val="007811FA"/>
    <w:rsid w:val="007812E4"/>
    <w:rsid w:val="007812E5"/>
    <w:rsid w:val="00781343"/>
    <w:rsid w:val="00781386"/>
    <w:rsid w:val="00781433"/>
    <w:rsid w:val="00781501"/>
    <w:rsid w:val="007815D9"/>
    <w:rsid w:val="007815DB"/>
    <w:rsid w:val="0078169C"/>
    <w:rsid w:val="00781716"/>
    <w:rsid w:val="007817B0"/>
    <w:rsid w:val="007817F7"/>
    <w:rsid w:val="00781818"/>
    <w:rsid w:val="00781850"/>
    <w:rsid w:val="00781882"/>
    <w:rsid w:val="00781908"/>
    <w:rsid w:val="00781986"/>
    <w:rsid w:val="007819F1"/>
    <w:rsid w:val="00781A0A"/>
    <w:rsid w:val="00781A38"/>
    <w:rsid w:val="00781B1D"/>
    <w:rsid w:val="00781B97"/>
    <w:rsid w:val="00781BC7"/>
    <w:rsid w:val="00781CDE"/>
    <w:rsid w:val="00781CF4"/>
    <w:rsid w:val="00781DF4"/>
    <w:rsid w:val="00781EDC"/>
    <w:rsid w:val="00781F3F"/>
    <w:rsid w:val="007820AD"/>
    <w:rsid w:val="007820F6"/>
    <w:rsid w:val="0078225C"/>
    <w:rsid w:val="0078241A"/>
    <w:rsid w:val="00782451"/>
    <w:rsid w:val="00782467"/>
    <w:rsid w:val="007824EF"/>
    <w:rsid w:val="0078262A"/>
    <w:rsid w:val="0078265C"/>
    <w:rsid w:val="00782727"/>
    <w:rsid w:val="0078286F"/>
    <w:rsid w:val="007829A8"/>
    <w:rsid w:val="00782A86"/>
    <w:rsid w:val="00782D36"/>
    <w:rsid w:val="00782E86"/>
    <w:rsid w:val="00782ED7"/>
    <w:rsid w:val="00782F5E"/>
    <w:rsid w:val="00782FA3"/>
    <w:rsid w:val="00782FD9"/>
    <w:rsid w:val="0078305C"/>
    <w:rsid w:val="007832D7"/>
    <w:rsid w:val="00783377"/>
    <w:rsid w:val="00783490"/>
    <w:rsid w:val="00783495"/>
    <w:rsid w:val="0078351D"/>
    <w:rsid w:val="0078353A"/>
    <w:rsid w:val="0078369C"/>
    <w:rsid w:val="007836B0"/>
    <w:rsid w:val="007836CF"/>
    <w:rsid w:val="007836D8"/>
    <w:rsid w:val="00783765"/>
    <w:rsid w:val="007837E0"/>
    <w:rsid w:val="007837FA"/>
    <w:rsid w:val="007838B8"/>
    <w:rsid w:val="00783932"/>
    <w:rsid w:val="00783950"/>
    <w:rsid w:val="00783987"/>
    <w:rsid w:val="00783A11"/>
    <w:rsid w:val="00783A87"/>
    <w:rsid w:val="00783AA1"/>
    <w:rsid w:val="00783AD7"/>
    <w:rsid w:val="00783B9A"/>
    <w:rsid w:val="00783BAB"/>
    <w:rsid w:val="00783C61"/>
    <w:rsid w:val="00783C96"/>
    <w:rsid w:val="00783EEF"/>
    <w:rsid w:val="00783EF3"/>
    <w:rsid w:val="00784083"/>
    <w:rsid w:val="0078418F"/>
    <w:rsid w:val="007841C6"/>
    <w:rsid w:val="007841E2"/>
    <w:rsid w:val="00784219"/>
    <w:rsid w:val="00784239"/>
    <w:rsid w:val="007842F2"/>
    <w:rsid w:val="00784355"/>
    <w:rsid w:val="007844BC"/>
    <w:rsid w:val="00784645"/>
    <w:rsid w:val="007846CE"/>
    <w:rsid w:val="00784719"/>
    <w:rsid w:val="00784728"/>
    <w:rsid w:val="00784779"/>
    <w:rsid w:val="00784799"/>
    <w:rsid w:val="0078485B"/>
    <w:rsid w:val="007848D1"/>
    <w:rsid w:val="007848D8"/>
    <w:rsid w:val="007848EF"/>
    <w:rsid w:val="00784A63"/>
    <w:rsid w:val="00784B55"/>
    <w:rsid w:val="00784C0A"/>
    <w:rsid w:val="00784C26"/>
    <w:rsid w:val="00784C7E"/>
    <w:rsid w:val="00784D35"/>
    <w:rsid w:val="00784DF3"/>
    <w:rsid w:val="00784DF7"/>
    <w:rsid w:val="00784E78"/>
    <w:rsid w:val="00784F31"/>
    <w:rsid w:val="00784FA8"/>
    <w:rsid w:val="00785143"/>
    <w:rsid w:val="007852EC"/>
    <w:rsid w:val="0078531B"/>
    <w:rsid w:val="00785529"/>
    <w:rsid w:val="00785545"/>
    <w:rsid w:val="00785556"/>
    <w:rsid w:val="007855A8"/>
    <w:rsid w:val="0078582E"/>
    <w:rsid w:val="007858E8"/>
    <w:rsid w:val="007859B2"/>
    <w:rsid w:val="007859C7"/>
    <w:rsid w:val="00785B61"/>
    <w:rsid w:val="00785C29"/>
    <w:rsid w:val="00785CD4"/>
    <w:rsid w:val="00785DB2"/>
    <w:rsid w:val="00785DDD"/>
    <w:rsid w:val="00785E22"/>
    <w:rsid w:val="00785E75"/>
    <w:rsid w:val="00785EDD"/>
    <w:rsid w:val="00785EFE"/>
    <w:rsid w:val="00785F67"/>
    <w:rsid w:val="00785FF8"/>
    <w:rsid w:val="0078604B"/>
    <w:rsid w:val="0078619E"/>
    <w:rsid w:val="00786302"/>
    <w:rsid w:val="00786368"/>
    <w:rsid w:val="00786378"/>
    <w:rsid w:val="0078638C"/>
    <w:rsid w:val="007863CA"/>
    <w:rsid w:val="007863EF"/>
    <w:rsid w:val="00786452"/>
    <w:rsid w:val="00786505"/>
    <w:rsid w:val="007865D9"/>
    <w:rsid w:val="007868F9"/>
    <w:rsid w:val="00786939"/>
    <w:rsid w:val="00786A80"/>
    <w:rsid w:val="00786ACC"/>
    <w:rsid w:val="00786C43"/>
    <w:rsid w:val="00786DA3"/>
    <w:rsid w:val="00787185"/>
    <w:rsid w:val="00787288"/>
    <w:rsid w:val="007872A5"/>
    <w:rsid w:val="007872FD"/>
    <w:rsid w:val="00787305"/>
    <w:rsid w:val="007873B5"/>
    <w:rsid w:val="00787451"/>
    <w:rsid w:val="007875D4"/>
    <w:rsid w:val="0078768F"/>
    <w:rsid w:val="007876A2"/>
    <w:rsid w:val="0078773C"/>
    <w:rsid w:val="00787740"/>
    <w:rsid w:val="0078779D"/>
    <w:rsid w:val="007877D6"/>
    <w:rsid w:val="00787862"/>
    <w:rsid w:val="007878CE"/>
    <w:rsid w:val="00787910"/>
    <w:rsid w:val="007879B5"/>
    <w:rsid w:val="00787B7E"/>
    <w:rsid w:val="00787C26"/>
    <w:rsid w:val="00787D44"/>
    <w:rsid w:val="00787D77"/>
    <w:rsid w:val="00787E6D"/>
    <w:rsid w:val="00787FFA"/>
    <w:rsid w:val="00790138"/>
    <w:rsid w:val="007901B5"/>
    <w:rsid w:val="00790233"/>
    <w:rsid w:val="007903F4"/>
    <w:rsid w:val="007904BC"/>
    <w:rsid w:val="007906A8"/>
    <w:rsid w:val="00790738"/>
    <w:rsid w:val="0079075F"/>
    <w:rsid w:val="0079083C"/>
    <w:rsid w:val="007908C8"/>
    <w:rsid w:val="00790975"/>
    <w:rsid w:val="0079098C"/>
    <w:rsid w:val="00790B6E"/>
    <w:rsid w:val="00790C99"/>
    <w:rsid w:val="00790CA7"/>
    <w:rsid w:val="00790CDD"/>
    <w:rsid w:val="00790DA6"/>
    <w:rsid w:val="00790E4E"/>
    <w:rsid w:val="00790F05"/>
    <w:rsid w:val="00790F40"/>
    <w:rsid w:val="00790FEB"/>
    <w:rsid w:val="0079104C"/>
    <w:rsid w:val="0079110A"/>
    <w:rsid w:val="0079111C"/>
    <w:rsid w:val="0079115B"/>
    <w:rsid w:val="007911A9"/>
    <w:rsid w:val="007911AB"/>
    <w:rsid w:val="007911EA"/>
    <w:rsid w:val="00791334"/>
    <w:rsid w:val="00791425"/>
    <w:rsid w:val="007914A3"/>
    <w:rsid w:val="007915F0"/>
    <w:rsid w:val="00791612"/>
    <w:rsid w:val="00791780"/>
    <w:rsid w:val="0079191B"/>
    <w:rsid w:val="00791921"/>
    <w:rsid w:val="00791B70"/>
    <w:rsid w:val="00791B88"/>
    <w:rsid w:val="00791BFD"/>
    <w:rsid w:val="00791C09"/>
    <w:rsid w:val="00791CD5"/>
    <w:rsid w:val="00791DB6"/>
    <w:rsid w:val="00791E98"/>
    <w:rsid w:val="00791F01"/>
    <w:rsid w:val="00791F46"/>
    <w:rsid w:val="00791F4C"/>
    <w:rsid w:val="0079210B"/>
    <w:rsid w:val="00792141"/>
    <w:rsid w:val="00792214"/>
    <w:rsid w:val="007922E1"/>
    <w:rsid w:val="00792382"/>
    <w:rsid w:val="007924FA"/>
    <w:rsid w:val="00792517"/>
    <w:rsid w:val="0079256F"/>
    <w:rsid w:val="00792651"/>
    <w:rsid w:val="0079267A"/>
    <w:rsid w:val="00792747"/>
    <w:rsid w:val="0079278D"/>
    <w:rsid w:val="0079288C"/>
    <w:rsid w:val="00792A50"/>
    <w:rsid w:val="00792BE6"/>
    <w:rsid w:val="00792C0C"/>
    <w:rsid w:val="00792C44"/>
    <w:rsid w:val="00792CEA"/>
    <w:rsid w:val="00792D41"/>
    <w:rsid w:val="00792D54"/>
    <w:rsid w:val="00792DBC"/>
    <w:rsid w:val="00792FC9"/>
    <w:rsid w:val="00792FD9"/>
    <w:rsid w:val="00792FF6"/>
    <w:rsid w:val="00793025"/>
    <w:rsid w:val="00793125"/>
    <w:rsid w:val="0079319D"/>
    <w:rsid w:val="00793264"/>
    <w:rsid w:val="0079338F"/>
    <w:rsid w:val="007933FB"/>
    <w:rsid w:val="007934B7"/>
    <w:rsid w:val="00793605"/>
    <w:rsid w:val="0079365B"/>
    <w:rsid w:val="007936EE"/>
    <w:rsid w:val="007937C1"/>
    <w:rsid w:val="007937CF"/>
    <w:rsid w:val="007937DC"/>
    <w:rsid w:val="0079383F"/>
    <w:rsid w:val="00793879"/>
    <w:rsid w:val="00793946"/>
    <w:rsid w:val="0079397D"/>
    <w:rsid w:val="00793A40"/>
    <w:rsid w:val="00793AE5"/>
    <w:rsid w:val="00793BDE"/>
    <w:rsid w:val="00793C16"/>
    <w:rsid w:val="00793C70"/>
    <w:rsid w:val="00793D7A"/>
    <w:rsid w:val="00793DF1"/>
    <w:rsid w:val="00793E71"/>
    <w:rsid w:val="00793EAF"/>
    <w:rsid w:val="00793F94"/>
    <w:rsid w:val="00793FA8"/>
    <w:rsid w:val="00794069"/>
    <w:rsid w:val="00794075"/>
    <w:rsid w:val="007940A7"/>
    <w:rsid w:val="007940D8"/>
    <w:rsid w:val="0079435C"/>
    <w:rsid w:val="00794435"/>
    <w:rsid w:val="007944CA"/>
    <w:rsid w:val="0079450D"/>
    <w:rsid w:val="0079456F"/>
    <w:rsid w:val="00794591"/>
    <w:rsid w:val="007945A2"/>
    <w:rsid w:val="007945B2"/>
    <w:rsid w:val="0079470B"/>
    <w:rsid w:val="0079482D"/>
    <w:rsid w:val="0079486E"/>
    <w:rsid w:val="0079494F"/>
    <w:rsid w:val="00794AEE"/>
    <w:rsid w:val="00794B27"/>
    <w:rsid w:val="00794B9C"/>
    <w:rsid w:val="00794BDE"/>
    <w:rsid w:val="00794D01"/>
    <w:rsid w:val="00794D28"/>
    <w:rsid w:val="00794E13"/>
    <w:rsid w:val="00794EB5"/>
    <w:rsid w:val="00794F28"/>
    <w:rsid w:val="00794F38"/>
    <w:rsid w:val="00794F81"/>
    <w:rsid w:val="00794FA8"/>
    <w:rsid w:val="0079502D"/>
    <w:rsid w:val="00795059"/>
    <w:rsid w:val="007950B6"/>
    <w:rsid w:val="007951F5"/>
    <w:rsid w:val="0079522F"/>
    <w:rsid w:val="0079529F"/>
    <w:rsid w:val="007952A7"/>
    <w:rsid w:val="007952BE"/>
    <w:rsid w:val="007952CD"/>
    <w:rsid w:val="007952D6"/>
    <w:rsid w:val="00795305"/>
    <w:rsid w:val="007953CC"/>
    <w:rsid w:val="00795434"/>
    <w:rsid w:val="0079546B"/>
    <w:rsid w:val="0079556D"/>
    <w:rsid w:val="00795599"/>
    <w:rsid w:val="007955E4"/>
    <w:rsid w:val="0079568E"/>
    <w:rsid w:val="00795793"/>
    <w:rsid w:val="0079583F"/>
    <w:rsid w:val="00795BE2"/>
    <w:rsid w:val="00795C05"/>
    <w:rsid w:val="00795C6F"/>
    <w:rsid w:val="00795E08"/>
    <w:rsid w:val="00795E6B"/>
    <w:rsid w:val="00795FDB"/>
    <w:rsid w:val="0079606C"/>
    <w:rsid w:val="007960E0"/>
    <w:rsid w:val="00796175"/>
    <w:rsid w:val="007961CB"/>
    <w:rsid w:val="00796208"/>
    <w:rsid w:val="00796249"/>
    <w:rsid w:val="007962FF"/>
    <w:rsid w:val="0079641A"/>
    <w:rsid w:val="00796620"/>
    <w:rsid w:val="0079676C"/>
    <w:rsid w:val="0079689C"/>
    <w:rsid w:val="0079698D"/>
    <w:rsid w:val="00796A13"/>
    <w:rsid w:val="00796CC7"/>
    <w:rsid w:val="00796D21"/>
    <w:rsid w:val="00796D78"/>
    <w:rsid w:val="00796F12"/>
    <w:rsid w:val="007970A8"/>
    <w:rsid w:val="007970B2"/>
    <w:rsid w:val="007970E0"/>
    <w:rsid w:val="007970EE"/>
    <w:rsid w:val="00797182"/>
    <w:rsid w:val="007971D9"/>
    <w:rsid w:val="0079727A"/>
    <w:rsid w:val="00797294"/>
    <w:rsid w:val="007972FD"/>
    <w:rsid w:val="00797343"/>
    <w:rsid w:val="00797391"/>
    <w:rsid w:val="0079750D"/>
    <w:rsid w:val="00797521"/>
    <w:rsid w:val="00797569"/>
    <w:rsid w:val="007975E9"/>
    <w:rsid w:val="0079761C"/>
    <w:rsid w:val="00797634"/>
    <w:rsid w:val="00797681"/>
    <w:rsid w:val="0079778A"/>
    <w:rsid w:val="00797823"/>
    <w:rsid w:val="0079785F"/>
    <w:rsid w:val="00797888"/>
    <w:rsid w:val="00797904"/>
    <w:rsid w:val="00797A72"/>
    <w:rsid w:val="00797A97"/>
    <w:rsid w:val="00797B41"/>
    <w:rsid w:val="00797BBC"/>
    <w:rsid w:val="00797C96"/>
    <w:rsid w:val="00797E34"/>
    <w:rsid w:val="007A01EF"/>
    <w:rsid w:val="007A0262"/>
    <w:rsid w:val="007A02BB"/>
    <w:rsid w:val="007A0318"/>
    <w:rsid w:val="007A0320"/>
    <w:rsid w:val="007A0497"/>
    <w:rsid w:val="007A0580"/>
    <w:rsid w:val="007A05AD"/>
    <w:rsid w:val="007A05B3"/>
    <w:rsid w:val="007A0641"/>
    <w:rsid w:val="007A064B"/>
    <w:rsid w:val="007A06AF"/>
    <w:rsid w:val="007A0719"/>
    <w:rsid w:val="007A0766"/>
    <w:rsid w:val="007A0809"/>
    <w:rsid w:val="007A0849"/>
    <w:rsid w:val="007A095A"/>
    <w:rsid w:val="007A0AC3"/>
    <w:rsid w:val="007A0AF2"/>
    <w:rsid w:val="007A0E47"/>
    <w:rsid w:val="007A0FD5"/>
    <w:rsid w:val="007A1136"/>
    <w:rsid w:val="007A1181"/>
    <w:rsid w:val="007A1182"/>
    <w:rsid w:val="007A134B"/>
    <w:rsid w:val="007A13B7"/>
    <w:rsid w:val="007A140B"/>
    <w:rsid w:val="007A1446"/>
    <w:rsid w:val="007A145C"/>
    <w:rsid w:val="007A1539"/>
    <w:rsid w:val="007A158D"/>
    <w:rsid w:val="007A161C"/>
    <w:rsid w:val="007A16B9"/>
    <w:rsid w:val="007A171C"/>
    <w:rsid w:val="007A17F6"/>
    <w:rsid w:val="007A1882"/>
    <w:rsid w:val="007A1BCF"/>
    <w:rsid w:val="007A1C60"/>
    <w:rsid w:val="007A1E54"/>
    <w:rsid w:val="007A1F04"/>
    <w:rsid w:val="007A1FD9"/>
    <w:rsid w:val="007A207A"/>
    <w:rsid w:val="007A21AA"/>
    <w:rsid w:val="007A21BA"/>
    <w:rsid w:val="007A21EE"/>
    <w:rsid w:val="007A225E"/>
    <w:rsid w:val="007A2263"/>
    <w:rsid w:val="007A22A0"/>
    <w:rsid w:val="007A22D8"/>
    <w:rsid w:val="007A23E5"/>
    <w:rsid w:val="007A23F5"/>
    <w:rsid w:val="007A24A2"/>
    <w:rsid w:val="007A2532"/>
    <w:rsid w:val="007A2552"/>
    <w:rsid w:val="007A269A"/>
    <w:rsid w:val="007A26A9"/>
    <w:rsid w:val="007A2746"/>
    <w:rsid w:val="007A27A3"/>
    <w:rsid w:val="007A27EB"/>
    <w:rsid w:val="007A27FC"/>
    <w:rsid w:val="007A2822"/>
    <w:rsid w:val="007A2824"/>
    <w:rsid w:val="007A2954"/>
    <w:rsid w:val="007A298E"/>
    <w:rsid w:val="007A2B57"/>
    <w:rsid w:val="007A2BC8"/>
    <w:rsid w:val="007A2BF2"/>
    <w:rsid w:val="007A2C72"/>
    <w:rsid w:val="007A2E14"/>
    <w:rsid w:val="007A2E1D"/>
    <w:rsid w:val="007A2E71"/>
    <w:rsid w:val="007A2E8D"/>
    <w:rsid w:val="007A2F02"/>
    <w:rsid w:val="007A2F3D"/>
    <w:rsid w:val="007A2F62"/>
    <w:rsid w:val="007A3020"/>
    <w:rsid w:val="007A30C4"/>
    <w:rsid w:val="007A30F4"/>
    <w:rsid w:val="007A3104"/>
    <w:rsid w:val="007A318A"/>
    <w:rsid w:val="007A3220"/>
    <w:rsid w:val="007A3231"/>
    <w:rsid w:val="007A330A"/>
    <w:rsid w:val="007A332A"/>
    <w:rsid w:val="007A348D"/>
    <w:rsid w:val="007A34DE"/>
    <w:rsid w:val="007A361B"/>
    <w:rsid w:val="007A37FC"/>
    <w:rsid w:val="007A382F"/>
    <w:rsid w:val="007A3846"/>
    <w:rsid w:val="007A3930"/>
    <w:rsid w:val="007A3B0A"/>
    <w:rsid w:val="007A3B20"/>
    <w:rsid w:val="007A3B93"/>
    <w:rsid w:val="007A3E4E"/>
    <w:rsid w:val="007A3EF4"/>
    <w:rsid w:val="007A3F3D"/>
    <w:rsid w:val="007A3FA3"/>
    <w:rsid w:val="007A417D"/>
    <w:rsid w:val="007A4222"/>
    <w:rsid w:val="007A44FD"/>
    <w:rsid w:val="007A4532"/>
    <w:rsid w:val="007A4636"/>
    <w:rsid w:val="007A466B"/>
    <w:rsid w:val="007A47C3"/>
    <w:rsid w:val="007A47E6"/>
    <w:rsid w:val="007A47F0"/>
    <w:rsid w:val="007A4913"/>
    <w:rsid w:val="007A49FC"/>
    <w:rsid w:val="007A4A65"/>
    <w:rsid w:val="007A4B3B"/>
    <w:rsid w:val="007A4BAD"/>
    <w:rsid w:val="007A4C48"/>
    <w:rsid w:val="007A4C54"/>
    <w:rsid w:val="007A4CCD"/>
    <w:rsid w:val="007A4D81"/>
    <w:rsid w:val="007A4E41"/>
    <w:rsid w:val="007A4E60"/>
    <w:rsid w:val="007A4EE3"/>
    <w:rsid w:val="007A5074"/>
    <w:rsid w:val="007A50FA"/>
    <w:rsid w:val="007A5171"/>
    <w:rsid w:val="007A52A7"/>
    <w:rsid w:val="007A52F9"/>
    <w:rsid w:val="007A543F"/>
    <w:rsid w:val="007A5446"/>
    <w:rsid w:val="007A5581"/>
    <w:rsid w:val="007A5648"/>
    <w:rsid w:val="007A5653"/>
    <w:rsid w:val="007A5845"/>
    <w:rsid w:val="007A58DB"/>
    <w:rsid w:val="007A5B13"/>
    <w:rsid w:val="007A5B3A"/>
    <w:rsid w:val="007A5D2A"/>
    <w:rsid w:val="007A5D34"/>
    <w:rsid w:val="007A5DA2"/>
    <w:rsid w:val="007A5DAE"/>
    <w:rsid w:val="007A5EF8"/>
    <w:rsid w:val="007A5F5B"/>
    <w:rsid w:val="007A5FE0"/>
    <w:rsid w:val="007A603D"/>
    <w:rsid w:val="007A60DE"/>
    <w:rsid w:val="007A6110"/>
    <w:rsid w:val="007A6176"/>
    <w:rsid w:val="007A61AA"/>
    <w:rsid w:val="007A61F7"/>
    <w:rsid w:val="007A628C"/>
    <w:rsid w:val="007A630E"/>
    <w:rsid w:val="007A63BD"/>
    <w:rsid w:val="007A660A"/>
    <w:rsid w:val="007A66EB"/>
    <w:rsid w:val="007A6888"/>
    <w:rsid w:val="007A691F"/>
    <w:rsid w:val="007A6A30"/>
    <w:rsid w:val="007A6A60"/>
    <w:rsid w:val="007A6AF2"/>
    <w:rsid w:val="007A6C16"/>
    <w:rsid w:val="007A6C81"/>
    <w:rsid w:val="007A6D5C"/>
    <w:rsid w:val="007A6DCB"/>
    <w:rsid w:val="007A6DDB"/>
    <w:rsid w:val="007A6E5E"/>
    <w:rsid w:val="007A6F10"/>
    <w:rsid w:val="007A6F17"/>
    <w:rsid w:val="007A6FF5"/>
    <w:rsid w:val="007A6FFA"/>
    <w:rsid w:val="007A703C"/>
    <w:rsid w:val="007A709E"/>
    <w:rsid w:val="007A70B4"/>
    <w:rsid w:val="007A7181"/>
    <w:rsid w:val="007A72C1"/>
    <w:rsid w:val="007A738A"/>
    <w:rsid w:val="007A7473"/>
    <w:rsid w:val="007A7477"/>
    <w:rsid w:val="007A7481"/>
    <w:rsid w:val="007A7534"/>
    <w:rsid w:val="007A75B2"/>
    <w:rsid w:val="007A75B5"/>
    <w:rsid w:val="007A75C3"/>
    <w:rsid w:val="007A768C"/>
    <w:rsid w:val="007A77D8"/>
    <w:rsid w:val="007A7822"/>
    <w:rsid w:val="007A78E0"/>
    <w:rsid w:val="007A7924"/>
    <w:rsid w:val="007A7991"/>
    <w:rsid w:val="007A79FA"/>
    <w:rsid w:val="007A7B32"/>
    <w:rsid w:val="007A7B71"/>
    <w:rsid w:val="007A7BB6"/>
    <w:rsid w:val="007A7D99"/>
    <w:rsid w:val="007A7F37"/>
    <w:rsid w:val="007A7F9E"/>
    <w:rsid w:val="007B010E"/>
    <w:rsid w:val="007B0248"/>
    <w:rsid w:val="007B04C1"/>
    <w:rsid w:val="007B0526"/>
    <w:rsid w:val="007B055C"/>
    <w:rsid w:val="007B0624"/>
    <w:rsid w:val="007B06AA"/>
    <w:rsid w:val="007B0900"/>
    <w:rsid w:val="007B09D6"/>
    <w:rsid w:val="007B0AA6"/>
    <w:rsid w:val="007B0AF2"/>
    <w:rsid w:val="007B0C97"/>
    <w:rsid w:val="007B0D22"/>
    <w:rsid w:val="007B0D71"/>
    <w:rsid w:val="007B0F0D"/>
    <w:rsid w:val="007B0F73"/>
    <w:rsid w:val="007B0FE4"/>
    <w:rsid w:val="007B10F4"/>
    <w:rsid w:val="007B123A"/>
    <w:rsid w:val="007B14C5"/>
    <w:rsid w:val="007B1521"/>
    <w:rsid w:val="007B153D"/>
    <w:rsid w:val="007B156A"/>
    <w:rsid w:val="007B16A5"/>
    <w:rsid w:val="007B1851"/>
    <w:rsid w:val="007B199D"/>
    <w:rsid w:val="007B1C58"/>
    <w:rsid w:val="007B1C5E"/>
    <w:rsid w:val="007B1CAA"/>
    <w:rsid w:val="007B1E0D"/>
    <w:rsid w:val="007B1F20"/>
    <w:rsid w:val="007B2027"/>
    <w:rsid w:val="007B2038"/>
    <w:rsid w:val="007B206D"/>
    <w:rsid w:val="007B20A2"/>
    <w:rsid w:val="007B218F"/>
    <w:rsid w:val="007B21A4"/>
    <w:rsid w:val="007B2220"/>
    <w:rsid w:val="007B2256"/>
    <w:rsid w:val="007B235E"/>
    <w:rsid w:val="007B24A9"/>
    <w:rsid w:val="007B26B1"/>
    <w:rsid w:val="007B26B4"/>
    <w:rsid w:val="007B2700"/>
    <w:rsid w:val="007B2743"/>
    <w:rsid w:val="007B290A"/>
    <w:rsid w:val="007B2929"/>
    <w:rsid w:val="007B2A51"/>
    <w:rsid w:val="007B2A8F"/>
    <w:rsid w:val="007B2B9B"/>
    <w:rsid w:val="007B2D3E"/>
    <w:rsid w:val="007B2D42"/>
    <w:rsid w:val="007B2DD8"/>
    <w:rsid w:val="007B2E43"/>
    <w:rsid w:val="007B2F9F"/>
    <w:rsid w:val="007B2FC9"/>
    <w:rsid w:val="007B2FD3"/>
    <w:rsid w:val="007B3012"/>
    <w:rsid w:val="007B31D6"/>
    <w:rsid w:val="007B31EE"/>
    <w:rsid w:val="007B3249"/>
    <w:rsid w:val="007B33F7"/>
    <w:rsid w:val="007B3405"/>
    <w:rsid w:val="007B3413"/>
    <w:rsid w:val="007B345D"/>
    <w:rsid w:val="007B34C1"/>
    <w:rsid w:val="007B34EF"/>
    <w:rsid w:val="007B352E"/>
    <w:rsid w:val="007B35AC"/>
    <w:rsid w:val="007B35F2"/>
    <w:rsid w:val="007B370F"/>
    <w:rsid w:val="007B3730"/>
    <w:rsid w:val="007B37F7"/>
    <w:rsid w:val="007B385B"/>
    <w:rsid w:val="007B39DA"/>
    <w:rsid w:val="007B3A04"/>
    <w:rsid w:val="007B3A32"/>
    <w:rsid w:val="007B3A72"/>
    <w:rsid w:val="007B3AA1"/>
    <w:rsid w:val="007B3CB9"/>
    <w:rsid w:val="007B3D24"/>
    <w:rsid w:val="007B3D29"/>
    <w:rsid w:val="007B3D3F"/>
    <w:rsid w:val="007B3F71"/>
    <w:rsid w:val="007B3FFB"/>
    <w:rsid w:val="007B42DB"/>
    <w:rsid w:val="007B435F"/>
    <w:rsid w:val="007B43B7"/>
    <w:rsid w:val="007B45C1"/>
    <w:rsid w:val="007B461E"/>
    <w:rsid w:val="007B4669"/>
    <w:rsid w:val="007B480B"/>
    <w:rsid w:val="007B4837"/>
    <w:rsid w:val="007B4963"/>
    <w:rsid w:val="007B4BBF"/>
    <w:rsid w:val="007B4BC6"/>
    <w:rsid w:val="007B4CF8"/>
    <w:rsid w:val="007B4DCB"/>
    <w:rsid w:val="007B4F4B"/>
    <w:rsid w:val="007B4FB8"/>
    <w:rsid w:val="007B5086"/>
    <w:rsid w:val="007B50D9"/>
    <w:rsid w:val="007B518C"/>
    <w:rsid w:val="007B51A8"/>
    <w:rsid w:val="007B529C"/>
    <w:rsid w:val="007B52F6"/>
    <w:rsid w:val="007B537D"/>
    <w:rsid w:val="007B53EB"/>
    <w:rsid w:val="007B554E"/>
    <w:rsid w:val="007B5732"/>
    <w:rsid w:val="007B583C"/>
    <w:rsid w:val="007B5A3B"/>
    <w:rsid w:val="007B5A75"/>
    <w:rsid w:val="007B5A79"/>
    <w:rsid w:val="007B5AED"/>
    <w:rsid w:val="007B5B65"/>
    <w:rsid w:val="007B5B99"/>
    <w:rsid w:val="007B5CA9"/>
    <w:rsid w:val="007B5E66"/>
    <w:rsid w:val="007B5F30"/>
    <w:rsid w:val="007B5F53"/>
    <w:rsid w:val="007B60ED"/>
    <w:rsid w:val="007B6175"/>
    <w:rsid w:val="007B62B2"/>
    <w:rsid w:val="007B6381"/>
    <w:rsid w:val="007B6496"/>
    <w:rsid w:val="007B6644"/>
    <w:rsid w:val="007B6647"/>
    <w:rsid w:val="007B66CA"/>
    <w:rsid w:val="007B68D0"/>
    <w:rsid w:val="007B68D6"/>
    <w:rsid w:val="007B691A"/>
    <w:rsid w:val="007B69F2"/>
    <w:rsid w:val="007B69F5"/>
    <w:rsid w:val="007B6A3E"/>
    <w:rsid w:val="007B6A74"/>
    <w:rsid w:val="007B6B53"/>
    <w:rsid w:val="007B6B6C"/>
    <w:rsid w:val="007B6C25"/>
    <w:rsid w:val="007B6C3F"/>
    <w:rsid w:val="007B6C54"/>
    <w:rsid w:val="007B6D00"/>
    <w:rsid w:val="007B6ED2"/>
    <w:rsid w:val="007B6F0A"/>
    <w:rsid w:val="007B6F3A"/>
    <w:rsid w:val="007B705E"/>
    <w:rsid w:val="007B70DA"/>
    <w:rsid w:val="007B728B"/>
    <w:rsid w:val="007B729D"/>
    <w:rsid w:val="007B72B9"/>
    <w:rsid w:val="007B72C8"/>
    <w:rsid w:val="007B7307"/>
    <w:rsid w:val="007B743C"/>
    <w:rsid w:val="007B750B"/>
    <w:rsid w:val="007B7520"/>
    <w:rsid w:val="007B75C4"/>
    <w:rsid w:val="007B7645"/>
    <w:rsid w:val="007B7660"/>
    <w:rsid w:val="007B774E"/>
    <w:rsid w:val="007B7794"/>
    <w:rsid w:val="007B77EA"/>
    <w:rsid w:val="007B77F4"/>
    <w:rsid w:val="007B790E"/>
    <w:rsid w:val="007B7950"/>
    <w:rsid w:val="007B79FD"/>
    <w:rsid w:val="007B7A3C"/>
    <w:rsid w:val="007B7B63"/>
    <w:rsid w:val="007B7C25"/>
    <w:rsid w:val="007B7D75"/>
    <w:rsid w:val="007B7D96"/>
    <w:rsid w:val="007B7E5E"/>
    <w:rsid w:val="007B7F18"/>
    <w:rsid w:val="007B7FC0"/>
    <w:rsid w:val="007C0189"/>
    <w:rsid w:val="007C01DB"/>
    <w:rsid w:val="007C0329"/>
    <w:rsid w:val="007C0366"/>
    <w:rsid w:val="007C0451"/>
    <w:rsid w:val="007C0517"/>
    <w:rsid w:val="007C06A2"/>
    <w:rsid w:val="007C06A9"/>
    <w:rsid w:val="007C07AF"/>
    <w:rsid w:val="007C082C"/>
    <w:rsid w:val="007C09B6"/>
    <w:rsid w:val="007C0CC7"/>
    <w:rsid w:val="007C0D7C"/>
    <w:rsid w:val="007C0DCC"/>
    <w:rsid w:val="007C0DDF"/>
    <w:rsid w:val="007C0E11"/>
    <w:rsid w:val="007C0E1A"/>
    <w:rsid w:val="007C13FB"/>
    <w:rsid w:val="007C144A"/>
    <w:rsid w:val="007C145E"/>
    <w:rsid w:val="007C162E"/>
    <w:rsid w:val="007C168D"/>
    <w:rsid w:val="007C1695"/>
    <w:rsid w:val="007C193D"/>
    <w:rsid w:val="007C1A11"/>
    <w:rsid w:val="007C1ABB"/>
    <w:rsid w:val="007C1B16"/>
    <w:rsid w:val="007C1BB5"/>
    <w:rsid w:val="007C1BF0"/>
    <w:rsid w:val="007C1C71"/>
    <w:rsid w:val="007C1CD2"/>
    <w:rsid w:val="007C1CE2"/>
    <w:rsid w:val="007C1E48"/>
    <w:rsid w:val="007C1F47"/>
    <w:rsid w:val="007C1F67"/>
    <w:rsid w:val="007C200D"/>
    <w:rsid w:val="007C2017"/>
    <w:rsid w:val="007C21D3"/>
    <w:rsid w:val="007C21EA"/>
    <w:rsid w:val="007C2271"/>
    <w:rsid w:val="007C22A8"/>
    <w:rsid w:val="007C22BD"/>
    <w:rsid w:val="007C2305"/>
    <w:rsid w:val="007C257A"/>
    <w:rsid w:val="007C26C1"/>
    <w:rsid w:val="007C26FA"/>
    <w:rsid w:val="007C278E"/>
    <w:rsid w:val="007C2791"/>
    <w:rsid w:val="007C27F1"/>
    <w:rsid w:val="007C281B"/>
    <w:rsid w:val="007C284B"/>
    <w:rsid w:val="007C28F9"/>
    <w:rsid w:val="007C29B8"/>
    <w:rsid w:val="007C29BD"/>
    <w:rsid w:val="007C29F0"/>
    <w:rsid w:val="007C2A3A"/>
    <w:rsid w:val="007C2AB5"/>
    <w:rsid w:val="007C2BBB"/>
    <w:rsid w:val="007C2D13"/>
    <w:rsid w:val="007C2DDD"/>
    <w:rsid w:val="007C2E18"/>
    <w:rsid w:val="007C2F14"/>
    <w:rsid w:val="007C2F94"/>
    <w:rsid w:val="007C304C"/>
    <w:rsid w:val="007C309F"/>
    <w:rsid w:val="007C317C"/>
    <w:rsid w:val="007C3232"/>
    <w:rsid w:val="007C327A"/>
    <w:rsid w:val="007C33AB"/>
    <w:rsid w:val="007C3492"/>
    <w:rsid w:val="007C3497"/>
    <w:rsid w:val="007C35A5"/>
    <w:rsid w:val="007C35F7"/>
    <w:rsid w:val="007C363B"/>
    <w:rsid w:val="007C3723"/>
    <w:rsid w:val="007C3746"/>
    <w:rsid w:val="007C37D4"/>
    <w:rsid w:val="007C3905"/>
    <w:rsid w:val="007C3941"/>
    <w:rsid w:val="007C3B6B"/>
    <w:rsid w:val="007C3BF2"/>
    <w:rsid w:val="007C3CCD"/>
    <w:rsid w:val="007C3D1D"/>
    <w:rsid w:val="007C3D8D"/>
    <w:rsid w:val="007C3DC0"/>
    <w:rsid w:val="007C3E09"/>
    <w:rsid w:val="007C3E3D"/>
    <w:rsid w:val="007C3E4F"/>
    <w:rsid w:val="007C3F13"/>
    <w:rsid w:val="007C4048"/>
    <w:rsid w:val="007C4069"/>
    <w:rsid w:val="007C406F"/>
    <w:rsid w:val="007C40B6"/>
    <w:rsid w:val="007C4186"/>
    <w:rsid w:val="007C4256"/>
    <w:rsid w:val="007C44E4"/>
    <w:rsid w:val="007C4744"/>
    <w:rsid w:val="007C4859"/>
    <w:rsid w:val="007C49DD"/>
    <w:rsid w:val="007C4A49"/>
    <w:rsid w:val="007C4A81"/>
    <w:rsid w:val="007C4AA0"/>
    <w:rsid w:val="007C4B51"/>
    <w:rsid w:val="007C4BB6"/>
    <w:rsid w:val="007C4C09"/>
    <w:rsid w:val="007C4D13"/>
    <w:rsid w:val="007C4DAF"/>
    <w:rsid w:val="007C4DB2"/>
    <w:rsid w:val="007C5042"/>
    <w:rsid w:val="007C50FF"/>
    <w:rsid w:val="007C5182"/>
    <w:rsid w:val="007C51E5"/>
    <w:rsid w:val="007C5230"/>
    <w:rsid w:val="007C53A7"/>
    <w:rsid w:val="007C5430"/>
    <w:rsid w:val="007C54F8"/>
    <w:rsid w:val="007C5525"/>
    <w:rsid w:val="007C552E"/>
    <w:rsid w:val="007C562C"/>
    <w:rsid w:val="007C56E3"/>
    <w:rsid w:val="007C57F0"/>
    <w:rsid w:val="007C588B"/>
    <w:rsid w:val="007C58B5"/>
    <w:rsid w:val="007C5C5D"/>
    <w:rsid w:val="007C5C6D"/>
    <w:rsid w:val="007C5D36"/>
    <w:rsid w:val="007C5FE7"/>
    <w:rsid w:val="007C5FEC"/>
    <w:rsid w:val="007C5FF0"/>
    <w:rsid w:val="007C60AB"/>
    <w:rsid w:val="007C61B9"/>
    <w:rsid w:val="007C6232"/>
    <w:rsid w:val="007C627E"/>
    <w:rsid w:val="007C62B4"/>
    <w:rsid w:val="007C64F9"/>
    <w:rsid w:val="007C6552"/>
    <w:rsid w:val="007C6566"/>
    <w:rsid w:val="007C66B1"/>
    <w:rsid w:val="007C66BC"/>
    <w:rsid w:val="007C67C3"/>
    <w:rsid w:val="007C690F"/>
    <w:rsid w:val="007C6B28"/>
    <w:rsid w:val="007C6BAD"/>
    <w:rsid w:val="007C6CDE"/>
    <w:rsid w:val="007C6DB1"/>
    <w:rsid w:val="007C6E8A"/>
    <w:rsid w:val="007C6EBA"/>
    <w:rsid w:val="007C6F88"/>
    <w:rsid w:val="007C6F9C"/>
    <w:rsid w:val="007C6FF8"/>
    <w:rsid w:val="007C7036"/>
    <w:rsid w:val="007C7122"/>
    <w:rsid w:val="007C71E9"/>
    <w:rsid w:val="007C72C8"/>
    <w:rsid w:val="007C7300"/>
    <w:rsid w:val="007C735B"/>
    <w:rsid w:val="007C7363"/>
    <w:rsid w:val="007C744C"/>
    <w:rsid w:val="007C7476"/>
    <w:rsid w:val="007C749F"/>
    <w:rsid w:val="007C753E"/>
    <w:rsid w:val="007C7709"/>
    <w:rsid w:val="007C770C"/>
    <w:rsid w:val="007C77A7"/>
    <w:rsid w:val="007C77BB"/>
    <w:rsid w:val="007C78C8"/>
    <w:rsid w:val="007C79CC"/>
    <w:rsid w:val="007C7A2B"/>
    <w:rsid w:val="007C7A9C"/>
    <w:rsid w:val="007C7AA6"/>
    <w:rsid w:val="007C7B08"/>
    <w:rsid w:val="007C7BD5"/>
    <w:rsid w:val="007C7C25"/>
    <w:rsid w:val="007C7CD1"/>
    <w:rsid w:val="007C7D78"/>
    <w:rsid w:val="007C7E19"/>
    <w:rsid w:val="007C7E39"/>
    <w:rsid w:val="007C7EDA"/>
    <w:rsid w:val="007D03B8"/>
    <w:rsid w:val="007D0548"/>
    <w:rsid w:val="007D0587"/>
    <w:rsid w:val="007D05EE"/>
    <w:rsid w:val="007D05FA"/>
    <w:rsid w:val="007D0656"/>
    <w:rsid w:val="007D06D3"/>
    <w:rsid w:val="007D0733"/>
    <w:rsid w:val="007D078F"/>
    <w:rsid w:val="007D07F4"/>
    <w:rsid w:val="007D08D7"/>
    <w:rsid w:val="007D0B52"/>
    <w:rsid w:val="007D0B82"/>
    <w:rsid w:val="007D0C09"/>
    <w:rsid w:val="007D0C5D"/>
    <w:rsid w:val="007D0D49"/>
    <w:rsid w:val="007D0D90"/>
    <w:rsid w:val="007D0E4B"/>
    <w:rsid w:val="007D0F1A"/>
    <w:rsid w:val="007D0F54"/>
    <w:rsid w:val="007D10A5"/>
    <w:rsid w:val="007D1114"/>
    <w:rsid w:val="007D1149"/>
    <w:rsid w:val="007D12CD"/>
    <w:rsid w:val="007D13B1"/>
    <w:rsid w:val="007D149C"/>
    <w:rsid w:val="007D17C1"/>
    <w:rsid w:val="007D17EC"/>
    <w:rsid w:val="007D1804"/>
    <w:rsid w:val="007D1955"/>
    <w:rsid w:val="007D1ABA"/>
    <w:rsid w:val="007D1B24"/>
    <w:rsid w:val="007D1C8D"/>
    <w:rsid w:val="007D1DF2"/>
    <w:rsid w:val="007D1E42"/>
    <w:rsid w:val="007D1EA5"/>
    <w:rsid w:val="007D1FA0"/>
    <w:rsid w:val="007D20CE"/>
    <w:rsid w:val="007D2151"/>
    <w:rsid w:val="007D21BB"/>
    <w:rsid w:val="007D223A"/>
    <w:rsid w:val="007D2268"/>
    <w:rsid w:val="007D22AF"/>
    <w:rsid w:val="007D23F5"/>
    <w:rsid w:val="007D2466"/>
    <w:rsid w:val="007D248E"/>
    <w:rsid w:val="007D24D4"/>
    <w:rsid w:val="007D253D"/>
    <w:rsid w:val="007D2562"/>
    <w:rsid w:val="007D256B"/>
    <w:rsid w:val="007D2575"/>
    <w:rsid w:val="007D26A8"/>
    <w:rsid w:val="007D2794"/>
    <w:rsid w:val="007D2798"/>
    <w:rsid w:val="007D2837"/>
    <w:rsid w:val="007D2B2B"/>
    <w:rsid w:val="007D2BF3"/>
    <w:rsid w:val="007D2C1A"/>
    <w:rsid w:val="007D2C33"/>
    <w:rsid w:val="007D2DB9"/>
    <w:rsid w:val="007D2F23"/>
    <w:rsid w:val="007D2FD3"/>
    <w:rsid w:val="007D30DB"/>
    <w:rsid w:val="007D3191"/>
    <w:rsid w:val="007D3300"/>
    <w:rsid w:val="007D3324"/>
    <w:rsid w:val="007D337F"/>
    <w:rsid w:val="007D350D"/>
    <w:rsid w:val="007D35BB"/>
    <w:rsid w:val="007D35F2"/>
    <w:rsid w:val="007D3629"/>
    <w:rsid w:val="007D3637"/>
    <w:rsid w:val="007D367F"/>
    <w:rsid w:val="007D38F1"/>
    <w:rsid w:val="007D3988"/>
    <w:rsid w:val="007D3998"/>
    <w:rsid w:val="007D39D4"/>
    <w:rsid w:val="007D3BA6"/>
    <w:rsid w:val="007D3BB0"/>
    <w:rsid w:val="007D3C23"/>
    <w:rsid w:val="007D3CD8"/>
    <w:rsid w:val="007D3D67"/>
    <w:rsid w:val="007D3DBE"/>
    <w:rsid w:val="007D3DCF"/>
    <w:rsid w:val="007D3E56"/>
    <w:rsid w:val="007D3E8C"/>
    <w:rsid w:val="007D3EB2"/>
    <w:rsid w:val="007D4020"/>
    <w:rsid w:val="007D4057"/>
    <w:rsid w:val="007D42FA"/>
    <w:rsid w:val="007D4441"/>
    <w:rsid w:val="007D4815"/>
    <w:rsid w:val="007D49BD"/>
    <w:rsid w:val="007D4A27"/>
    <w:rsid w:val="007D4D39"/>
    <w:rsid w:val="007D4E2C"/>
    <w:rsid w:val="007D4ECD"/>
    <w:rsid w:val="007D5039"/>
    <w:rsid w:val="007D508F"/>
    <w:rsid w:val="007D50CB"/>
    <w:rsid w:val="007D51DF"/>
    <w:rsid w:val="007D5228"/>
    <w:rsid w:val="007D52EF"/>
    <w:rsid w:val="007D5357"/>
    <w:rsid w:val="007D53CF"/>
    <w:rsid w:val="007D55AD"/>
    <w:rsid w:val="007D5657"/>
    <w:rsid w:val="007D5788"/>
    <w:rsid w:val="007D57C9"/>
    <w:rsid w:val="007D58DA"/>
    <w:rsid w:val="007D595B"/>
    <w:rsid w:val="007D595E"/>
    <w:rsid w:val="007D5ABC"/>
    <w:rsid w:val="007D5C80"/>
    <w:rsid w:val="007D5CC1"/>
    <w:rsid w:val="007D5D32"/>
    <w:rsid w:val="007D5D46"/>
    <w:rsid w:val="007D5EBC"/>
    <w:rsid w:val="007D5EC3"/>
    <w:rsid w:val="007D5FB7"/>
    <w:rsid w:val="007D605A"/>
    <w:rsid w:val="007D60C2"/>
    <w:rsid w:val="007D60F4"/>
    <w:rsid w:val="007D61E8"/>
    <w:rsid w:val="007D6246"/>
    <w:rsid w:val="007D626F"/>
    <w:rsid w:val="007D6295"/>
    <w:rsid w:val="007D6348"/>
    <w:rsid w:val="007D6426"/>
    <w:rsid w:val="007D6473"/>
    <w:rsid w:val="007D648F"/>
    <w:rsid w:val="007D64DB"/>
    <w:rsid w:val="007D6858"/>
    <w:rsid w:val="007D68EB"/>
    <w:rsid w:val="007D6A5B"/>
    <w:rsid w:val="007D6A9B"/>
    <w:rsid w:val="007D6AB4"/>
    <w:rsid w:val="007D6B31"/>
    <w:rsid w:val="007D6B3F"/>
    <w:rsid w:val="007D6C40"/>
    <w:rsid w:val="007D6CAF"/>
    <w:rsid w:val="007D6CE4"/>
    <w:rsid w:val="007D6D78"/>
    <w:rsid w:val="007D6E21"/>
    <w:rsid w:val="007D6F19"/>
    <w:rsid w:val="007D6FB5"/>
    <w:rsid w:val="007D711E"/>
    <w:rsid w:val="007D7168"/>
    <w:rsid w:val="007D720C"/>
    <w:rsid w:val="007D7227"/>
    <w:rsid w:val="007D7245"/>
    <w:rsid w:val="007D736B"/>
    <w:rsid w:val="007D74CC"/>
    <w:rsid w:val="007D74EF"/>
    <w:rsid w:val="007D75F1"/>
    <w:rsid w:val="007D7753"/>
    <w:rsid w:val="007D780F"/>
    <w:rsid w:val="007D78A2"/>
    <w:rsid w:val="007D79BE"/>
    <w:rsid w:val="007D7B7B"/>
    <w:rsid w:val="007D7C19"/>
    <w:rsid w:val="007D7C61"/>
    <w:rsid w:val="007D7CE9"/>
    <w:rsid w:val="007D7DBF"/>
    <w:rsid w:val="007D7E05"/>
    <w:rsid w:val="007D7E41"/>
    <w:rsid w:val="007D7E99"/>
    <w:rsid w:val="007D7EDA"/>
    <w:rsid w:val="007D7FC4"/>
    <w:rsid w:val="007D7FFA"/>
    <w:rsid w:val="007D7FFE"/>
    <w:rsid w:val="007E005D"/>
    <w:rsid w:val="007E00A6"/>
    <w:rsid w:val="007E0138"/>
    <w:rsid w:val="007E0152"/>
    <w:rsid w:val="007E01B1"/>
    <w:rsid w:val="007E01E3"/>
    <w:rsid w:val="007E02A7"/>
    <w:rsid w:val="007E0306"/>
    <w:rsid w:val="007E03F6"/>
    <w:rsid w:val="007E03FB"/>
    <w:rsid w:val="007E044E"/>
    <w:rsid w:val="007E04CA"/>
    <w:rsid w:val="007E04CC"/>
    <w:rsid w:val="007E0529"/>
    <w:rsid w:val="007E0538"/>
    <w:rsid w:val="007E058E"/>
    <w:rsid w:val="007E0590"/>
    <w:rsid w:val="007E0632"/>
    <w:rsid w:val="007E0646"/>
    <w:rsid w:val="007E0707"/>
    <w:rsid w:val="007E0814"/>
    <w:rsid w:val="007E08E8"/>
    <w:rsid w:val="007E0962"/>
    <w:rsid w:val="007E0A2D"/>
    <w:rsid w:val="007E0B12"/>
    <w:rsid w:val="007E0B84"/>
    <w:rsid w:val="007E0C33"/>
    <w:rsid w:val="007E0D9C"/>
    <w:rsid w:val="007E0DB0"/>
    <w:rsid w:val="007E0DCB"/>
    <w:rsid w:val="007E0E08"/>
    <w:rsid w:val="007E0E44"/>
    <w:rsid w:val="007E0E49"/>
    <w:rsid w:val="007E0F20"/>
    <w:rsid w:val="007E11A0"/>
    <w:rsid w:val="007E124D"/>
    <w:rsid w:val="007E133E"/>
    <w:rsid w:val="007E1375"/>
    <w:rsid w:val="007E13A5"/>
    <w:rsid w:val="007E14C3"/>
    <w:rsid w:val="007E14C5"/>
    <w:rsid w:val="007E14F2"/>
    <w:rsid w:val="007E14F3"/>
    <w:rsid w:val="007E16BF"/>
    <w:rsid w:val="007E1725"/>
    <w:rsid w:val="007E1774"/>
    <w:rsid w:val="007E17E1"/>
    <w:rsid w:val="007E18D0"/>
    <w:rsid w:val="007E18E6"/>
    <w:rsid w:val="007E1B6D"/>
    <w:rsid w:val="007E1B92"/>
    <w:rsid w:val="007E1BBD"/>
    <w:rsid w:val="007E1C6E"/>
    <w:rsid w:val="007E1F01"/>
    <w:rsid w:val="007E1F0E"/>
    <w:rsid w:val="007E1FDB"/>
    <w:rsid w:val="007E2114"/>
    <w:rsid w:val="007E2158"/>
    <w:rsid w:val="007E23E5"/>
    <w:rsid w:val="007E247E"/>
    <w:rsid w:val="007E2525"/>
    <w:rsid w:val="007E2560"/>
    <w:rsid w:val="007E25E7"/>
    <w:rsid w:val="007E2723"/>
    <w:rsid w:val="007E281E"/>
    <w:rsid w:val="007E2821"/>
    <w:rsid w:val="007E2941"/>
    <w:rsid w:val="007E2A2B"/>
    <w:rsid w:val="007E2AFD"/>
    <w:rsid w:val="007E2B60"/>
    <w:rsid w:val="007E2BB1"/>
    <w:rsid w:val="007E2D35"/>
    <w:rsid w:val="007E2F3A"/>
    <w:rsid w:val="007E3033"/>
    <w:rsid w:val="007E311E"/>
    <w:rsid w:val="007E3236"/>
    <w:rsid w:val="007E3278"/>
    <w:rsid w:val="007E32A0"/>
    <w:rsid w:val="007E3322"/>
    <w:rsid w:val="007E3387"/>
    <w:rsid w:val="007E33FD"/>
    <w:rsid w:val="007E343A"/>
    <w:rsid w:val="007E34F0"/>
    <w:rsid w:val="007E3550"/>
    <w:rsid w:val="007E3553"/>
    <w:rsid w:val="007E3768"/>
    <w:rsid w:val="007E376D"/>
    <w:rsid w:val="007E37F7"/>
    <w:rsid w:val="007E3837"/>
    <w:rsid w:val="007E3848"/>
    <w:rsid w:val="007E3849"/>
    <w:rsid w:val="007E3856"/>
    <w:rsid w:val="007E3921"/>
    <w:rsid w:val="007E3A6C"/>
    <w:rsid w:val="007E3A73"/>
    <w:rsid w:val="007E3BFB"/>
    <w:rsid w:val="007E3C83"/>
    <w:rsid w:val="007E3DC0"/>
    <w:rsid w:val="007E3F48"/>
    <w:rsid w:val="007E42A8"/>
    <w:rsid w:val="007E433F"/>
    <w:rsid w:val="007E45FF"/>
    <w:rsid w:val="007E4676"/>
    <w:rsid w:val="007E4693"/>
    <w:rsid w:val="007E474B"/>
    <w:rsid w:val="007E4758"/>
    <w:rsid w:val="007E4772"/>
    <w:rsid w:val="007E481F"/>
    <w:rsid w:val="007E4878"/>
    <w:rsid w:val="007E499B"/>
    <w:rsid w:val="007E4AD8"/>
    <w:rsid w:val="007E4B2F"/>
    <w:rsid w:val="007E4BFB"/>
    <w:rsid w:val="007E4C6A"/>
    <w:rsid w:val="007E4DA0"/>
    <w:rsid w:val="007E4DF6"/>
    <w:rsid w:val="007E4ED6"/>
    <w:rsid w:val="007E4FC2"/>
    <w:rsid w:val="007E4FCC"/>
    <w:rsid w:val="007E501F"/>
    <w:rsid w:val="007E50BE"/>
    <w:rsid w:val="007E51A3"/>
    <w:rsid w:val="007E51C9"/>
    <w:rsid w:val="007E51DB"/>
    <w:rsid w:val="007E5262"/>
    <w:rsid w:val="007E52A1"/>
    <w:rsid w:val="007E52B1"/>
    <w:rsid w:val="007E53AF"/>
    <w:rsid w:val="007E540E"/>
    <w:rsid w:val="007E546A"/>
    <w:rsid w:val="007E5765"/>
    <w:rsid w:val="007E5869"/>
    <w:rsid w:val="007E58D3"/>
    <w:rsid w:val="007E59BE"/>
    <w:rsid w:val="007E5AB2"/>
    <w:rsid w:val="007E5B37"/>
    <w:rsid w:val="007E5BD9"/>
    <w:rsid w:val="007E5C1A"/>
    <w:rsid w:val="007E5E2B"/>
    <w:rsid w:val="007E5F68"/>
    <w:rsid w:val="007E6007"/>
    <w:rsid w:val="007E6058"/>
    <w:rsid w:val="007E605D"/>
    <w:rsid w:val="007E6155"/>
    <w:rsid w:val="007E6165"/>
    <w:rsid w:val="007E6272"/>
    <w:rsid w:val="007E63BD"/>
    <w:rsid w:val="007E63FE"/>
    <w:rsid w:val="007E64B8"/>
    <w:rsid w:val="007E6531"/>
    <w:rsid w:val="007E6600"/>
    <w:rsid w:val="007E671A"/>
    <w:rsid w:val="007E6797"/>
    <w:rsid w:val="007E6912"/>
    <w:rsid w:val="007E6A18"/>
    <w:rsid w:val="007E6AAF"/>
    <w:rsid w:val="007E6B11"/>
    <w:rsid w:val="007E6CDA"/>
    <w:rsid w:val="007E6E04"/>
    <w:rsid w:val="007E70C4"/>
    <w:rsid w:val="007E7162"/>
    <w:rsid w:val="007E716D"/>
    <w:rsid w:val="007E739B"/>
    <w:rsid w:val="007E73A2"/>
    <w:rsid w:val="007E73EC"/>
    <w:rsid w:val="007E7434"/>
    <w:rsid w:val="007E743F"/>
    <w:rsid w:val="007E7499"/>
    <w:rsid w:val="007E75C7"/>
    <w:rsid w:val="007E75F3"/>
    <w:rsid w:val="007E766B"/>
    <w:rsid w:val="007E7787"/>
    <w:rsid w:val="007E7839"/>
    <w:rsid w:val="007E7985"/>
    <w:rsid w:val="007E79EA"/>
    <w:rsid w:val="007E7A07"/>
    <w:rsid w:val="007E7ADF"/>
    <w:rsid w:val="007E7B5B"/>
    <w:rsid w:val="007E7D66"/>
    <w:rsid w:val="007E7E9E"/>
    <w:rsid w:val="007F0064"/>
    <w:rsid w:val="007F0152"/>
    <w:rsid w:val="007F019E"/>
    <w:rsid w:val="007F01CD"/>
    <w:rsid w:val="007F0379"/>
    <w:rsid w:val="007F03BA"/>
    <w:rsid w:val="007F03D6"/>
    <w:rsid w:val="007F03E8"/>
    <w:rsid w:val="007F0541"/>
    <w:rsid w:val="007F0576"/>
    <w:rsid w:val="007F0718"/>
    <w:rsid w:val="007F074B"/>
    <w:rsid w:val="007F079D"/>
    <w:rsid w:val="007F0949"/>
    <w:rsid w:val="007F0951"/>
    <w:rsid w:val="007F0953"/>
    <w:rsid w:val="007F0A48"/>
    <w:rsid w:val="007F0A8A"/>
    <w:rsid w:val="007F0C92"/>
    <w:rsid w:val="007F0CA3"/>
    <w:rsid w:val="007F0CBF"/>
    <w:rsid w:val="007F0CFD"/>
    <w:rsid w:val="007F0D1D"/>
    <w:rsid w:val="007F0DAE"/>
    <w:rsid w:val="007F0DEB"/>
    <w:rsid w:val="007F0EE1"/>
    <w:rsid w:val="007F1060"/>
    <w:rsid w:val="007F11A2"/>
    <w:rsid w:val="007F11A4"/>
    <w:rsid w:val="007F124F"/>
    <w:rsid w:val="007F12D0"/>
    <w:rsid w:val="007F12EC"/>
    <w:rsid w:val="007F1436"/>
    <w:rsid w:val="007F1474"/>
    <w:rsid w:val="007F1578"/>
    <w:rsid w:val="007F16EF"/>
    <w:rsid w:val="007F1731"/>
    <w:rsid w:val="007F173D"/>
    <w:rsid w:val="007F174A"/>
    <w:rsid w:val="007F17E3"/>
    <w:rsid w:val="007F1AF8"/>
    <w:rsid w:val="007F1AFC"/>
    <w:rsid w:val="007F1B0A"/>
    <w:rsid w:val="007F1B17"/>
    <w:rsid w:val="007F1B96"/>
    <w:rsid w:val="007F1E36"/>
    <w:rsid w:val="007F1EB1"/>
    <w:rsid w:val="007F1EE8"/>
    <w:rsid w:val="007F1EFD"/>
    <w:rsid w:val="007F1F61"/>
    <w:rsid w:val="007F1F72"/>
    <w:rsid w:val="007F1FFA"/>
    <w:rsid w:val="007F20B1"/>
    <w:rsid w:val="007F21B4"/>
    <w:rsid w:val="007F240B"/>
    <w:rsid w:val="007F24B8"/>
    <w:rsid w:val="007F263C"/>
    <w:rsid w:val="007F26A0"/>
    <w:rsid w:val="007F2724"/>
    <w:rsid w:val="007F2769"/>
    <w:rsid w:val="007F28E0"/>
    <w:rsid w:val="007F29A2"/>
    <w:rsid w:val="007F29CA"/>
    <w:rsid w:val="007F29DE"/>
    <w:rsid w:val="007F2A9A"/>
    <w:rsid w:val="007F2B12"/>
    <w:rsid w:val="007F2B3A"/>
    <w:rsid w:val="007F2B5C"/>
    <w:rsid w:val="007F2BC0"/>
    <w:rsid w:val="007F2C64"/>
    <w:rsid w:val="007F2CDD"/>
    <w:rsid w:val="007F2D1C"/>
    <w:rsid w:val="007F2D2C"/>
    <w:rsid w:val="007F2D48"/>
    <w:rsid w:val="007F2E2D"/>
    <w:rsid w:val="007F2EAA"/>
    <w:rsid w:val="007F2EAB"/>
    <w:rsid w:val="007F2F79"/>
    <w:rsid w:val="007F2F9A"/>
    <w:rsid w:val="007F300C"/>
    <w:rsid w:val="007F3074"/>
    <w:rsid w:val="007F3144"/>
    <w:rsid w:val="007F314F"/>
    <w:rsid w:val="007F31BB"/>
    <w:rsid w:val="007F31E3"/>
    <w:rsid w:val="007F3444"/>
    <w:rsid w:val="007F34FA"/>
    <w:rsid w:val="007F354A"/>
    <w:rsid w:val="007F364B"/>
    <w:rsid w:val="007F3882"/>
    <w:rsid w:val="007F38A9"/>
    <w:rsid w:val="007F38F6"/>
    <w:rsid w:val="007F3960"/>
    <w:rsid w:val="007F3988"/>
    <w:rsid w:val="007F39C4"/>
    <w:rsid w:val="007F3B16"/>
    <w:rsid w:val="007F3B8A"/>
    <w:rsid w:val="007F3BDE"/>
    <w:rsid w:val="007F3CC5"/>
    <w:rsid w:val="007F3CFF"/>
    <w:rsid w:val="007F3D18"/>
    <w:rsid w:val="007F3D7E"/>
    <w:rsid w:val="007F3D8A"/>
    <w:rsid w:val="007F3DC3"/>
    <w:rsid w:val="007F3E35"/>
    <w:rsid w:val="007F3EC0"/>
    <w:rsid w:val="007F3F57"/>
    <w:rsid w:val="007F3F8E"/>
    <w:rsid w:val="007F4134"/>
    <w:rsid w:val="007F41DB"/>
    <w:rsid w:val="007F42D9"/>
    <w:rsid w:val="007F4375"/>
    <w:rsid w:val="007F43EE"/>
    <w:rsid w:val="007F442A"/>
    <w:rsid w:val="007F444F"/>
    <w:rsid w:val="007F4460"/>
    <w:rsid w:val="007F4480"/>
    <w:rsid w:val="007F448E"/>
    <w:rsid w:val="007F4495"/>
    <w:rsid w:val="007F45F9"/>
    <w:rsid w:val="007F467E"/>
    <w:rsid w:val="007F46F3"/>
    <w:rsid w:val="007F4819"/>
    <w:rsid w:val="007F4849"/>
    <w:rsid w:val="007F48AA"/>
    <w:rsid w:val="007F491D"/>
    <w:rsid w:val="007F4BBD"/>
    <w:rsid w:val="007F4C19"/>
    <w:rsid w:val="007F4DA6"/>
    <w:rsid w:val="007F4DC0"/>
    <w:rsid w:val="007F4DDC"/>
    <w:rsid w:val="007F5023"/>
    <w:rsid w:val="007F5097"/>
    <w:rsid w:val="007F5134"/>
    <w:rsid w:val="007F51AC"/>
    <w:rsid w:val="007F5278"/>
    <w:rsid w:val="007F5283"/>
    <w:rsid w:val="007F52BF"/>
    <w:rsid w:val="007F52CC"/>
    <w:rsid w:val="007F52F1"/>
    <w:rsid w:val="007F52F4"/>
    <w:rsid w:val="007F5380"/>
    <w:rsid w:val="007F53A1"/>
    <w:rsid w:val="007F5562"/>
    <w:rsid w:val="007F59A6"/>
    <w:rsid w:val="007F5B7C"/>
    <w:rsid w:val="007F5D09"/>
    <w:rsid w:val="007F5FB3"/>
    <w:rsid w:val="007F6220"/>
    <w:rsid w:val="007F62A1"/>
    <w:rsid w:val="007F6450"/>
    <w:rsid w:val="007F65C3"/>
    <w:rsid w:val="007F66CE"/>
    <w:rsid w:val="007F6809"/>
    <w:rsid w:val="007F6833"/>
    <w:rsid w:val="007F687D"/>
    <w:rsid w:val="007F6A5D"/>
    <w:rsid w:val="007F6CB0"/>
    <w:rsid w:val="007F6CE6"/>
    <w:rsid w:val="007F6D36"/>
    <w:rsid w:val="007F6DC9"/>
    <w:rsid w:val="007F6E43"/>
    <w:rsid w:val="007F6EEF"/>
    <w:rsid w:val="007F6FA6"/>
    <w:rsid w:val="007F7028"/>
    <w:rsid w:val="007F7072"/>
    <w:rsid w:val="007F70C1"/>
    <w:rsid w:val="007F70E0"/>
    <w:rsid w:val="007F710E"/>
    <w:rsid w:val="007F727B"/>
    <w:rsid w:val="007F737C"/>
    <w:rsid w:val="007F73A7"/>
    <w:rsid w:val="007F73CD"/>
    <w:rsid w:val="007F74E8"/>
    <w:rsid w:val="007F7548"/>
    <w:rsid w:val="007F7690"/>
    <w:rsid w:val="007F76FB"/>
    <w:rsid w:val="007F783F"/>
    <w:rsid w:val="007F797D"/>
    <w:rsid w:val="007F7AE6"/>
    <w:rsid w:val="007F7BF9"/>
    <w:rsid w:val="007F7C10"/>
    <w:rsid w:val="007F7C46"/>
    <w:rsid w:val="007F7F25"/>
    <w:rsid w:val="007F7FF4"/>
    <w:rsid w:val="00800073"/>
    <w:rsid w:val="0080036B"/>
    <w:rsid w:val="008003BB"/>
    <w:rsid w:val="00800471"/>
    <w:rsid w:val="008005BD"/>
    <w:rsid w:val="00800766"/>
    <w:rsid w:val="00800773"/>
    <w:rsid w:val="00800887"/>
    <w:rsid w:val="008008DD"/>
    <w:rsid w:val="00800909"/>
    <w:rsid w:val="00800918"/>
    <w:rsid w:val="008009F9"/>
    <w:rsid w:val="00800A05"/>
    <w:rsid w:val="00800C53"/>
    <w:rsid w:val="00800DBB"/>
    <w:rsid w:val="00800E4D"/>
    <w:rsid w:val="00800E69"/>
    <w:rsid w:val="00800EC0"/>
    <w:rsid w:val="00800F1F"/>
    <w:rsid w:val="00800FE6"/>
    <w:rsid w:val="008010FE"/>
    <w:rsid w:val="00801148"/>
    <w:rsid w:val="00801190"/>
    <w:rsid w:val="0080132A"/>
    <w:rsid w:val="00801508"/>
    <w:rsid w:val="0080150C"/>
    <w:rsid w:val="00801563"/>
    <w:rsid w:val="00801588"/>
    <w:rsid w:val="008016BB"/>
    <w:rsid w:val="008016CC"/>
    <w:rsid w:val="00801721"/>
    <w:rsid w:val="008017EF"/>
    <w:rsid w:val="0080180B"/>
    <w:rsid w:val="00801815"/>
    <w:rsid w:val="00801853"/>
    <w:rsid w:val="00801AC3"/>
    <w:rsid w:val="00801B30"/>
    <w:rsid w:val="00801C5A"/>
    <w:rsid w:val="00801D5E"/>
    <w:rsid w:val="00801D6F"/>
    <w:rsid w:val="00801EAE"/>
    <w:rsid w:val="00801EFD"/>
    <w:rsid w:val="00801F93"/>
    <w:rsid w:val="00801FA7"/>
    <w:rsid w:val="00801FC7"/>
    <w:rsid w:val="00801FCC"/>
    <w:rsid w:val="00801FDA"/>
    <w:rsid w:val="00802056"/>
    <w:rsid w:val="008021FE"/>
    <w:rsid w:val="008022E1"/>
    <w:rsid w:val="008024C9"/>
    <w:rsid w:val="008024D1"/>
    <w:rsid w:val="00802623"/>
    <w:rsid w:val="0080268E"/>
    <w:rsid w:val="0080273B"/>
    <w:rsid w:val="008027DA"/>
    <w:rsid w:val="008027FC"/>
    <w:rsid w:val="00802879"/>
    <w:rsid w:val="00802A40"/>
    <w:rsid w:val="00802C5B"/>
    <w:rsid w:val="00802C73"/>
    <w:rsid w:val="00802CE3"/>
    <w:rsid w:val="00802D19"/>
    <w:rsid w:val="00802DD3"/>
    <w:rsid w:val="00802E65"/>
    <w:rsid w:val="00802EB5"/>
    <w:rsid w:val="00802F4B"/>
    <w:rsid w:val="00802F82"/>
    <w:rsid w:val="0080305E"/>
    <w:rsid w:val="00803166"/>
    <w:rsid w:val="008033A3"/>
    <w:rsid w:val="00803469"/>
    <w:rsid w:val="008034E2"/>
    <w:rsid w:val="0080357F"/>
    <w:rsid w:val="00803593"/>
    <w:rsid w:val="00803631"/>
    <w:rsid w:val="008036CD"/>
    <w:rsid w:val="0080375C"/>
    <w:rsid w:val="008037D1"/>
    <w:rsid w:val="0080392A"/>
    <w:rsid w:val="00803936"/>
    <w:rsid w:val="00803955"/>
    <w:rsid w:val="00803984"/>
    <w:rsid w:val="00803996"/>
    <w:rsid w:val="0080399E"/>
    <w:rsid w:val="008039EE"/>
    <w:rsid w:val="00803AA1"/>
    <w:rsid w:val="00803BB0"/>
    <w:rsid w:val="00803BC4"/>
    <w:rsid w:val="00803C36"/>
    <w:rsid w:val="00803C7C"/>
    <w:rsid w:val="00803D15"/>
    <w:rsid w:val="00803D8C"/>
    <w:rsid w:val="00803E14"/>
    <w:rsid w:val="00804180"/>
    <w:rsid w:val="0080423B"/>
    <w:rsid w:val="00804240"/>
    <w:rsid w:val="00804359"/>
    <w:rsid w:val="00804409"/>
    <w:rsid w:val="00804485"/>
    <w:rsid w:val="00804504"/>
    <w:rsid w:val="00804532"/>
    <w:rsid w:val="008045B4"/>
    <w:rsid w:val="008045D4"/>
    <w:rsid w:val="008046CC"/>
    <w:rsid w:val="00804761"/>
    <w:rsid w:val="00804798"/>
    <w:rsid w:val="008047A2"/>
    <w:rsid w:val="00804945"/>
    <w:rsid w:val="008049B4"/>
    <w:rsid w:val="00804A02"/>
    <w:rsid w:val="00804A83"/>
    <w:rsid w:val="00804A9A"/>
    <w:rsid w:val="00804AA9"/>
    <w:rsid w:val="00804B04"/>
    <w:rsid w:val="00804CBF"/>
    <w:rsid w:val="00804D41"/>
    <w:rsid w:val="00804DC9"/>
    <w:rsid w:val="00804E16"/>
    <w:rsid w:val="00804E2C"/>
    <w:rsid w:val="00804E50"/>
    <w:rsid w:val="00804F3F"/>
    <w:rsid w:val="008051CE"/>
    <w:rsid w:val="008052F0"/>
    <w:rsid w:val="00805321"/>
    <w:rsid w:val="008053F8"/>
    <w:rsid w:val="0080555B"/>
    <w:rsid w:val="008056BE"/>
    <w:rsid w:val="00805797"/>
    <w:rsid w:val="00805836"/>
    <w:rsid w:val="00805907"/>
    <w:rsid w:val="00805A19"/>
    <w:rsid w:val="00805B21"/>
    <w:rsid w:val="00805CA2"/>
    <w:rsid w:val="00805E12"/>
    <w:rsid w:val="00805E5A"/>
    <w:rsid w:val="00805E84"/>
    <w:rsid w:val="00805F38"/>
    <w:rsid w:val="00805F7C"/>
    <w:rsid w:val="00806030"/>
    <w:rsid w:val="00806100"/>
    <w:rsid w:val="00806275"/>
    <w:rsid w:val="00806481"/>
    <w:rsid w:val="008064C6"/>
    <w:rsid w:val="008064F4"/>
    <w:rsid w:val="00806622"/>
    <w:rsid w:val="0080665A"/>
    <w:rsid w:val="0080686A"/>
    <w:rsid w:val="00806887"/>
    <w:rsid w:val="008068C0"/>
    <w:rsid w:val="008068CB"/>
    <w:rsid w:val="00806978"/>
    <w:rsid w:val="00806A21"/>
    <w:rsid w:val="00806A9F"/>
    <w:rsid w:val="00806AD4"/>
    <w:rsid w:val="00806B05"/>
    <w:rsid w:val="00806BD8"/>
    <w:rsid w:val="00806C9F"/>
    <w:rsid w:val="00806DF6"/>
    <w:rsid w:val="00806E03"/>
    <w:rsid w:val="00806E2D"/>
    <w:rsid w:val="00806E4A"/>
    <w:rsid w:val="00806E50"/>
    <w:rsid w:val="00807135"/>
    <w:rsid w:val="00807163"/>
    <w:rsid w:val="008072B8"/>
    <w:rsid w:val="008072C7"/>
    <w:rsid w:val="00807328"/>
    <w:rsid w:val="008074A7"/>
    <w:rsid w:val="008074FC"/>
    <w:rsid w:val="00807600"/>
    <w:rsid w:val="0080762E"/>
    <w:rsid w:val="008076A3"/>
    <w:rsid w:val="008076FF"/>
    <w:rsid w:val="00807744"/>
    <w:rsid w:val="00807796"/>
    <w:rsid w:val="008077E0"/>
    <w:rsid w:val="0080799A"/>
    <w:rsid w:val="008079FC"/>
    <w:rsid w:val="00807AE7"/>
    <w:rsid w:val="00807BC6"/>
    <w:rsid w:val="00807C09"/>
    <w:rsid w:val="00807D64"/>
    <w:rsid w:val="00807D72"/>
    <w:rsid w:val="00807DA6"/>
    <w:rsid w:val="00807F11"/>
    <w:rsid w:val="00807F2B"/>
    <w:rsid w:val="00807FBE"/>
    <w:rsid w:val="00810032"/>
    <w:rsid w:val="0081019A"/>
    <w:rsid w:val="008101FC"/>
    <w:rsid w:val="00810317"/>
    <w:rsid w:val="008104A0"/>
    <w:rsid w:val="008104D3"/>
    <w:rsid w:val="008104E9"/>
    <w:rsid w:val="0081063D"/>
    <w:rsid w:val="008106AD"/>
    <w:rsid w:val="008106BD"/>
    <w:rsid w:val="0081073E"/>
    <w:rsid w:val="0081086A"/>
    <w:rsid w:val="008108BD"/>
    <w:rsid w:val="00810978"/>
    <w:rsid w:val="0081099C"/>
    <w:rsid w:val="00810BB3"/>
    <w:rsid w:val="00810CE3"/>
    <w:rsid w:val="00810DD3"/>
    <w:rsid w:val="00810F32"/>
    <w:rsid w:val="00811021"/>
    <w:rsid w:val="0081108A"/>
    <w:rsid w:val="0081123F"/>
    <w:rsid w:val="008112C8"/>
    <w:rsid w:val="008112F6"/>
    <w:rsid w:val="00811452"/>
    <w:rsid w:val="008115AC"/>
    <w:rsid w:val="0081170A"/>
    <w:rsid w:val="00811755"/>
    <w:rsid w:val="00811A89"/>
    <w:rsid w:val="00811C5D"/>
    <w:rsid w:val="00811C9B"/>
    <w:rsid w:val="00811CD4"/>
    <w:rsid w:val="00811CF2"/>
    <w:rsid w:val="00811D09"/>
    <w:rsid w:val="00811D1E"/>
    <w:rsid w:val="00811D68"/>
    <w:rsid w:val="00811D82"/>
    <w:rsid w:val="00811E39"/>
    <w:rsid w:val="00811E43"/>
    <w:rsid w:val="00812004"/>
    <w:rsid w:val="00812038"/>
    <w:rsid w:val="00812074"/>
    <w:rsid w:val="00812194"/>
    <w:rsid w:val="00812279"/>
    <w:rsid w:val="0081230B"/>
    <w:rsid w:val="0081232D"/>
    <w:rsid w:val="00812532"/>
    <w:rsid w:val="008125A8"/>
    <w:rsid w:val="008125AC"/>
    <w:rsid w:val="008126EE"/>
    <w:rsid w:val="00812800"/>
    <w:rsid w:val="008128E5"/>
    <w:rsid w:val="0081296F"/>
    <w:rsid w:val="008129CA"/>
    <w:rsid w:val="00812A49"/>
    <w:rsid w:val="00812B25"/>
    <w:rsid w:val="00812B38"/>
    <w:rsid w:val="00812B3E"/>
    <w:rsid w:val="00812B87"/>
    <w:rsid w:val="00812CA0"/>
    <w:rsid w:val="00812E52"/>
    <w:rsid w:val="00812F4A"/>
    <w:rsid w:val="00812F64"/>
    <w:rsid w:val="0081301A"/>
    <w:rsid w:val="00813035"/>
    <w:rsid w:val="00813153"/>
    <w:rsid w:val="00813157"/>
    <w:rsid w:val="008131A6"/>
    <w:rsid w:val="00813259"/>
    <w:rsid w:val="0081327D"/>
    <w:rsid w:val="008132EC"/>
    <w:rsid w:val="00813366"/>
    <w:rsid w:val="008133A4"/>
    <w:rsid w:val="008133AF"/>
    <w:rsid w:val="008133EE"/>
    <w:rsid w:val="008134AB"/>
    <w:rsid w:val="008134BA"/>
    <w:rsid w:val="008134D3"/>
    <w:rsid w:val="008135A8"/>
    <w:rsid w:val="00813644"/>
    <w:rsid w:val="008138D1"/>
    <w:rsid w:val="008138D6"/>
    <w:rsid w:val="008138F0"/>
    <w:rsid w:val="0081391F"/>
    <w:rsid w:val="0081392D"/>
    <w:rsid w:val="008139D5"/>
    <w:rsid w:val="00813B1A"/>
    <w:rsid w:val="00813B72"/>
    <w:rsid w:val="00813BCF"/>
    <w:rsid w:val="00813F3A"/>
    <w:rsid w:val="00813FCD"/>
    <w:rsid w:val="008140C1"/>
    <w:rsid w:val="008140CC"/>
    <w:rsid w:val="00814172"/>
    <w:rsid w:val="00814263"/>
    <w:rsid w:val="0081426C"/>
    <w:rsid w:val="008143B0"/>
    <w:rsid w:val="008143F5"/>
    <w:rsid w:val="00814410"/>
    <w:rsid w:val="00814416"/>
    <w:rsid w:val="0081443F"/>
    <w:rsid w:val="00814478"/>
    <w:rsid w:val="008144E1"/>
    <w:rsid w:val="008145C6"/>
    <w:rsid w:val="00814752"/>
    <w:rsid w:val="008148E1"/>
    <w:rsid w:val="00814C3E"/>
    <w:rsid w:val="00814CA3"/>
    <w:rsid w:val="00814E0E"/>
    <w:rsid w:val="008150AA"/>
    <w:rsid w:val="008150D7"/>
    <w:rsid w:val="0081522F"/>
    <w:rsid w:val="00815301"/>
    <w:rsid w:val="00815318"/>
    <w:rsid w:val="00815360"/>
    <w:rsid w:val="00815384"/>
    <w:rsid w:val="008154B5"/>
    <w:rsid w:val="0081552E"/>
    <w:rsid w:val="0081553D"/>
    <w:rsid w:val="0081569B"/>
    <w:rsid w:val="0081570D"/>
    <w:rsid w:val="00815A94"/>
    <w:rsid w:val="00815B44"/>
    <w:rsid w:val="00815B50"/>
    <w:rsid w:val="00815B6C"/>
    <w:rsid w:val="00815B87"/>
    <w:rsid w:val="00815C5B"/>
    <w:rsid w:val="00815D46"/>
    <w:rsid w:val="00815D70"/>
    <w:rsid w:val="00815E48"/>
    <w:rsid w:val="00815E67"/>
    <w:rsid w:val="00816073"/>
    <w:rsid w:val="0081611C"/>
    <w:rsid w:val="008161E4"/>
    <w:rsid w:val="008162C9"/>
    <w:rsid w:val="008163D6"/>
    <w:rsid w:val="00816469"/>
    <w:rsid w:val="00816701"/>
    <w:rsid w:val="008168DE"/>
    <w:rsid w:val="008169E7"/>
    <w:rsid w:val="00816BB6"/>
    <w:rsid w:val="00816CB8"/>
    <w:rsid w:val="00816CFD"/>
    <w:rsid w:val="00816D0A"/>
    <w:rsid w:val="00816D0B"/>
    <w:rsid w:val="00816F05"/>
    <w:rsid w:val="00817187"/>
    <w:rsid w:val="0081719E"/>
    <w:rsid w:val="00817248"/>
    <w:rsid w:val="00817263"/>
    <w:rsid w:val="00817376"/>
    <w:rsid w:val="00817513"/>
    <w:rsid w:val="00817620"/>
    <w:rsid w:val="008176AA"/>
    <w:rsid w:val="00817835"/>
    <w:rsid w:val="0081792E"/>
    <w:rsid w:val="00817959"/>
    <w:rsid w:val="00817B04"/>
    <w:rsid w:val="00817B52"/>
    <w:rsid w:val="00817B59"/>
    <w:rsid w:val="00817C05"/>
    <w:rsid w:val="00817C55"/>
    <w:rsid w:val="00817CC3"/>
    <w:rsid w:val="00817CEC"/>
    <w:rsid w:val="00817D17"/>
    <w:rsid w:val="00817D37"/>
    <w:rsid w:val="00817E3B"/>
    <w:rsid w:val="00817EAC"/>
    <w:rsid w:val="0082003E"/>
    <w:rsid w:val="00820044"/>
    <w:rsid w:val="00820160"/>
    <w:rsid w:val="00820215"/>
    <w:rsid w:val="00820435"/>
    <w:rsid w:val="0082045C"/>
    <w:rsid w:val="008207DD"/>
    <w:rsid w:val="00820877"/>
    <w:rsid w:val="00820ACE"/>
    <w:rsid w:val="00820B6A"/>
    <w:rsid w:val="00820BC5"/>
    <w:rsid w:val="00820C3E"/>
    <w:rsid w:val="00820C61"/>
    <w:rsid w:val="00820DFE"/>
    <w:rsid w:val="00820E1C"/>
    <w:rsid w:val="00820E1E"/>
    <w:rsid w:val="00820E58"/>
    <w:rsid w:val="00820EFE"/>
    <w:rsid w:val="00821036"/>
    <w:rsid w:val="0082109E"/>
    <w:rsid w:val="00821124"/>
    <w:rsid w:val="00821141"/>
    <w:rsid w:val="0082117A"/>
    <w:rsid w:val="008213EE"/>
    <w:rsid w:val="00821406"/>
    <w:rsid w:val="00821476"/>
    <w:rsid w:val="00821509"/>
    <w:rsid w:val="00821568"/>
    <w:rsid w:val="00821605"/>
    <w:rsid w:val="0082163D"/>
    <w:rsid w:val="0082167E"/>
    <w:rsid w:val="008217D0"/>
    <w:rsid w:val="008217E4"/>
    <w:rsid w:val="008217F2"/>
    <w:rsid w:val="00821839"/>
    <w:rsid w:val="008218F2"/>
    <w:rsid w:val="0082197A"/>
    <w:rsid w:val="00821988"/>
    <w:rsid w:val="008219AA"/>
    <w:rsid w:val="008219E9"/>
    <w:rsid w:val="008219F3"/>
    <w:rsid w:val="00821AAD"/>
    <w:rsid w:val="00821C96"/>
    <w:rsid w:val="00821CB5"/>
    <w:rsid w:val="00821DD4"/>
    <w:rsid w:val="00821EE9"/>
    <w:rsid w:val="00821F4B"/>
    <w:rsid w:val="00821FD2"/>
    <w:rsid w:val="008220D7"/>
    <w:rsid w:val="008220DE"/>
    <w:rsid w:val="00822148"/>
    <w:rsid w:val="0082216E"/>
    <w:rsid w:val="0082217E"/>
    <w:rsid w:val="008222BB"/>
    <w:rsid w:val="00822479"/>
    <w:rsid w:val="0082257E"/>
    <w:rsid w:val="00822586"/>
    <w:rsid w:val="00822590"/>
    <w:rsid w:val="00822593"/>
    <w:rsid w:val="00822654"/>
    <w:rsid w:val="0082271B"/>
    <w:rsid w:val="0082279D"/>
    <w:rsid w:val="00822804"/>
    <w:rsid w:val="00822835"/>
    <w:rsid w:val="00822924"/>
    <w:rsid w:val="0082296D"/>
    <w:rsid w:val="00822AE2"/>
    <w:rsid w:val="00822BAD"/>
    <w:rsid w:val="00822BBB"/>
    <w:rsid w:val="00822C31"/>
    <w:rsid w:val="00822CB7"/>
    <w:rsid w:val="00822D11"/>
    <w:rsid w:val="00822E52"/>
    <w:rsid w:val="00822F37"/>
    <w:rsid w:val="00822F3B"/>
    <w:rsid w:val="008230A3"/>
    <w:rsid w:val="008230B2"/>
    <w:rsid w:val="0082317A"/>
    <w:rsid w:val="0082332B"/>
    <w:rsid w:val="00823415"/>
    <w:rsid w:val="00823513"/>
    <w:rsid w:val="0082359E"/>
    <w:rsid w:val="008235D5"/>
    <w:rsid w:val="0082372C"/>
    <w:rsid w:val="00823AAF"/>
    <w:rsid w:val="00823B66"/>
    <w:rsid w:val="00823B86"/>
    <w:rsid w:val="00823B98"/>
    <w:rsid w:val="00823B9A"/>
    <w:rsid w:val="00823C13"/>
    <w:rsid w:val="00823C68"/>
    <w:rsid w:val="00823C6E"/>
    <w:rsid w:val="00823DB6"/>
    <w:rsid w:val="00823E4E"/>
    <w:rsid w:val="00823E76"/>
    <w:rsid w:val="00823EC2"/>
    <w:rsid w:val="00823EC3"/>
    <w:rsid w:val="00823EF0"/>
    <w:rsid w:val="00823FB4"/>
    <w:rsid w:val="00824054"/>
    <w:rsid w:val="008240D8"/>
    <w:rsid w:val="00824101"/>
    <w:rsid w:val="008241A2"/>
    <w:rsid w:val="008241C2"/>
    <w:rsid w:val="00824399"/>
    <w:rsid w:val="008243C7"/>
    <w:rsid w:val="00824431"/>
    <w:rsid w:val="0082447E"/>
    <w:rsid w:val="0082448C"/>
    <w:rsid w:val="008244C1"/>
    <w:rsid w:val="0082455E"/>
    <w:rsid w:val="008245EC"/>
    <w:rsid w:val="00824681"/>
    <w:rsid w:val="00824743"/>
    <w:rsid w:val="00824786"/>
    <w:rsid w:val="0082482B"/>
    <w:rsid w:val="00824875"/>
    <w:rsid w:val="00824A1A"/>
    <w:rsid w:val="00824A55"/>
    <w:rsid w:val="00824CEB"/>
    <w:rsid w:val="00824CFB"/>
    <w:rsid w:val="00824D2B"/>
    <w:rsid w:val="00824D42"/>
    <w:rsid w:val="00824DBC"/>
    <w:rsid w:val="00824E1A"/>
    <w:rsid w:val="00824F20"/>
    <w:rsid w:val="008251F7"/>
    <w:rsid w:val="0082523C"/>
    <w:rsid w:val="00825261"/>
    <w:rsid w:val="0082532B"/>
    <w:rsid w:val="008253B9"/>
    <w:rsid w:val="00825403"/>
    <w:rsid w:val="00825488"/>
    <w:rsid w:val="008254EC"/>
    <w:rsid w:val="0082567D"/>
    <w:rsid w:val="00825717"/>
    <w:rsid w:val="0082575B"/>
    <w:rsid w:val="0082596F"/>
    <w:rsid w:val="008259D8"/>
    <w:rsid w:val="00825BCE"/>
    <w:rsid w:val="00825C42"/>
    <w:rsid w:val="00825D11"/>
    <w:rsid w:val="00825D36"/>
    <w:rsid w:val="00825E56"/>
    <w:rsid w:val="00825F20"/>
    <w:rsid w:val="00825F38"/>
    <w:rsid w:val="00825F48"/>
    <w:rsid w:val="0082605C"/>
    <w:rsid w:val="00826098"/>
    <w:rsid w:val="00826120"/>
    <w:rsid w:val="00826124"/>
    <w:rsid w:val="0082612D"/>
    <w:rsid w:val="008261A5"/>
    <w:rsid w:val="008261C3"/>
    <w:rsid w:val="00826550"/>
    <w:rsid w:val="0082660C"/>
    <w:rsid w:val="00826639"/>
    <w:rsid w:val="00826663"/>
    <w:rsid w:val="00826717"/>
    <w:rsid w:val="0082696B"/>
    <w:rsid w:val="00826A2C"/>
    <w:rsid w:val="00826A42"/>
    <w:rsid w:val="00826AB0"/>
    <w:rsid w:val="00826AF1"/>
    <w:rsid w:val="00826D79"/>
    <w:rsid w:val="00826E61"/>
    <w:rsid w:val="00826E8B"/>
    <w:rsid w:val="00826EC8"/>
    <w:rsid w:val="00826EF8"/>
    <w:rsid w:val="00826F67"/>
    <w:rsid w:val="0082715D"/>
    <w:rsid w:val="00827191"/>
    <w:rsid w:val="008271AA"/>
    <w:rsid w:val="008272C4"/>
    <w:rsid w:val="00827385"/>
    <w:rsid w:val="00827468"/>
    <w:rsid w:val="008274A6"/>
    <w:rsid w:val="008276BD"/>
    <w:rsid w:val="00827928"/>
    <w:rsid w:val="00827960"/>
    <w:rsid w:val="00827B9A"/>
    <w:rsid w:val="00827C6A"/>
    <w:rsid w:val="00827D21"/>
    <w:rsid w:val="00827D57"/>
    <w:rsid w:val="00827E6F"/>
    <w:rsid w:val="00827F37"/>
    <w:rsid w:val="00830029"/>
    <w:rsid w:val="008301E3"/>
    <w:rsid w:val="008301E5"/>
    <w:rsid w:val="008301F2"/>
    <w:rsid w:val="00830260"/>
    <w:rsid w:val="00830344"/>
    <w:rsid w:val="0083050B"/>
    <w:rsid w:val="00830512"/>
    <w:rsid w:val="008305BC"/>
    <w:rsid w:val="008309D8"/>
    <w:rsid w:val="00830B98"/>
    <w:rsid w:val="00830D61"/>
    <w:rsid w:val="00830E25"/>
    <w:rsid w:val="00830EEC"/>
    <w:rsid w:val="00830FB1"/>
    <w:rsid w:val="0083103C"/>
    <w:rsid w:val="00831053"/>
    <w:rsid w:val="0083125A"/>
    <w:rsid w:val="00831326"/>
    <w:rsid w:val="00831582"/>
    <w:rsid w:val="008316A1"/>
    <w:rsid w:val="008317BB"/>
    <w:rsid w:val="00831804"/>
    <w:rsid w:val="008318ED"/>
    <w:rsid w:val="00831973"/>
    <w:rsid w:val="008319A7"/>
    <w:rsid w:val="00831A16"/>
    <w:rsid w:val="00831B98"/>
    <w:rsid w:val="00831C3E"/>
    <w:rsid w:val="00831C82"/>
    <w:rsid w:val="00831CC7"/>
    <w:rsid w:val="00831D74"/>
    <w:rsid w:val="00831D86"/>
    <w:rsid w:val="00831D97"/>
    <w:rsid w:val="00831E6C"/>
    <w:rsid w:val="00831EB5"/>
    <w:rsid w:val="00831EBF"/>
    <w:rsid w:val="00831F0F"/>
    <w:rsid w:val="00831FCD"/>
    <w:rsid w:val="00832024"/>
    <w:rsid w:val="00832079"/>
    <w:rsid w:val="008320B5"/>
    <w:rsid w:val="008320F6"/>
    <w:rsid w:val="00832221"/>
    <w:rsid w:val="0083222B"/>
    <w:rsid w:val="0083225B"/>
    <w:rsid w:val="0083233B"/>
    <w:rsid w:val="00832521"/>
    <w:rsid w:val="008325DD"/>
    <w:rsid w:val="00832795"/>
    <w:rsid w:val="008327F5"/>
    <w:rsid w:val="00832837"/>
    <w:rsid w:val="00832914"/>
    <w:rsid w:val="00832995"/>
    <w:rsid w:val="00832A57"/>
    <w:rsid w:val="00832A58"/>
    <w:rsid w:val="00832B2D"/>
    <w:rsid w:val="00832BD3"/>
    <w:rsid w:val="00832D64"/>
    <w:rsid w:val="00832F05"/>
    <w:rsid w:val="00832F9A"/>
    <w:rsid w:val="00833021"/>
    <w:rsid w:val="00833106"/>
    <w:rsid w:val="008331BC"/>
    <w:rsid w:val="008331D0"/>
    <w:rsid w:val="008331F1"/>
    <w:rsid w:val="008332E7"/>
    <w:rsid w:val="008333F4"/>
    <w:rsid w:val="008333F5"/>
    <w:rsid w:val="0083360E"/>
    <w:rsid w:val="00833760"/>
    <w:rsid w:val="00833788"/>
    <w:rsid w:val="008338F7"/>
    <w:rsid w:val="00833A2A"/>
    <w:rsid w:val="00833A5F"/>
    <w:rsid w:val="00833AF4"/>
    <w:rsid w:val="00833C89"/>
    <w:rsid w:val="00833D9D"/>
    <w:rsid w:val="00833F8D"/>
    <w:rsid w:val="00833FB0"/>
    <w:rsid w:val="00833FC2"/>
    <w:rsid w:val="0083427A"/>
    <w:rsid w:val="008342AF"/>
    <w:rsid w:val="0083439D"/>
    <w:rsid w:val="00834509"/>
    <w:rsid w:val="0083450F"/>
    <w:rsid w:val="008345D6"/>
    <w:rsid w:val="00834604"/>
    <w:rsid w:val="0083466B"/>
    <w:rsid w:val="008346F7"/>
    <w:rsid w:val="008347FB"/>
    <w:rsid w:val="008348BE"/>
    <w:rsid w:val="00834A82"/>
    <w:rsid w:val="00834BB0"/>
    <w:rsid w:val="00834BC5"/>
    <w:rsid w:val="00834C34"/>
    <w:rsid w:val="00834C49"/>
    <w:rsid w:val="00834CB4"/>
    <w:rsid w:val="00834D79"/>
    <w:rsid w:val="00834D96"/>
    <w:rsid w:val="00834E99"/>
    <w:rsid w:val="00834ED0"/>
    <w:rsid w:val="00834F43"/>
    <w:rsid w:val="00834FB1"/>
    <w:rsid w:val="00835095"/>
    <w:rsid w:val="00835252"/>
    <w:rsid w:val="00835367"/>
    <w:rsid w:val="00835446"/>
    <w:rsid w:val="0083548F"/>
    <w:rsid w:val="008354D2"/>
    <w:rsid w:val="008354D4"/>
    <w:rsid w:val="00835676"/>
    <w:rsid w:val="008356D2"/>
    <w:rsid w:val="0083571A"/>
    <w:rsid w:val="0083578F"/>
    <w:rsid w:val="00835885"/>
    <w:rsid w:val="008358AB"/>
    <w:rsid w:val="008358B7"/>
    <w:rsid w:val="00835A7A"/>
    <w:rsid w:val="00835AB2"/>
    <w:rsid w:val="00835B6D"/>
    <w:rsid w:val="00835B79"/>
    <w:rsid w:val="00835BC0"/>
    <w:rsid w:val="00835CEA"/>
    <w:rsid w:val="00835EFE"/>
    <w:rsid w:val="00835F1A"/>
    <w:rsid w:val="00835FE1"/>
    <w:rsid w:val="008360EB"/>
    <w:rsid w:val="00836120"/>
    <w:rsid w:val="00836155"/>
    <w:rsid w:val="008361D1"/>
    <w:rsid w:val="0083621E"/>
    <w:rsid w:val="00836316"/>
    <w:rsid w:val="008363DE"/>
    <w:rsid w:val="00836460"/>
    <w:rsid w:val="00836499"/>
    <w:rsid w:val="008364A7"/>
    <w:rsid w:val="00836589"/>
    <w:rsid w:val="008365A7"/>
    <w:rsid w:val="008365F6"/>
    <w:rsid w:val="0083668C"/>
    <w:rsid w:val="008367F4"/>
    <w:rsid w:val="008368DF"/>
    <w:rsid w:val="00836A04"/>
    <w:rsid w:val="00836ACC"/>
    <w:rsid w:val="00836B7E"/>
    <w:rsid w:val="00836D68"/>
    <w:rsid w:val="00836EE5"/>
    <w:rsid w:val="00836F26"/>
    <w:rsid w:val="00836FD8"/>
    <w:rsid w:val="008370F2"/>
    <w:rsid w:val="0083727B"/>
    <w:rsid w:val="00837383"/>
    <w:rsid w:val="008373BF"/>
    <w:rsid w:val="008373C3"/>
    <w:rsid w:val="00837423"/>
    <w:rsid w:val="008374EC"/>
    <w:rsid w:val="00837512"/>
    <w:rsid w:val="008375BE"/>
    <w:rsid w:val="0083766B"/>
    <w:rsid w:val="008377D3"/>
    <w:rsid w:val="00837829"/>
    <w:rsid w:val="00837897"/>
    <w:rsid w:val="008378E0"/>
    <w:rsid w:val="008378F5"/>
    <w:rsid w:val="008379AA"/>
    <w:rsid w:val="00837AF0"/>
    <w:rsid w:val="00837B4F"/>
    <w:rsid w:val="00837B66"/>
    <w:rsid w:val="00837C6D"/>
    <w:rsid w:val="00837CBA"/>
    <w:rsid w:val="00837DD3"/>
    <w:rsid w:val="00837E47"/>
    <w:rsid w:val="00837EC7"/>
    <w:rsid w:val="00837EFD"/>
    <w:rsid w:val="00837F72"/>
    <w:rsid w:val="0084011D"/>
    <w:rsid w:val="00840157"/>
    <w:rsid w:val="0084021E"/>
    <w:rsid w:val="00840378"/>
    <w:rsid w:val="0084045C"/>
    <w:rsid w:val="008405B0"/>
    <w:rsid w:val="008406C4"/>
    <w:rsid w:val="008406D4"/>
    <w:rsid w:val="008406DD"/>
    <w:rsid w:val="008406F0"/>
    <w:rsid w:val="00840740"/>
    <w:rsid w:val="008408BE"/>
    <w:rsid w:val="00840975"/>
    <w:rsid w:val="00840A32"/>
    <w:rsid w:val="00840B25"/>
    <w:rsid w:val="00840B52"/>
    <w:rsid w:val="00840C1E"/>
    <w:rsid w:val="00840CC7"/>
    <w:rsid w:val="00840D46"/>
    <w:rsid w:val="00840E1F"/>
    <w:rsid w:val="00840E2B"/>
    <w:rsid w:val="00840FD0"/>
    <w:rsid w:val="00841073"/>
    <w:rsid w:val="0084129C"/>
    <w:rsid w:val="008413F9"/>
    <w:rsid w:val="00841443"/>
    <w:rsid w:val="008415FF"/>
    <w:rsid w:val="008416B5"/>
    <w:rsid w:val="00841799"/>
    <w:rsid w:val="008417B8"/>
    <w:rsid w:val="0084186A"/>
    <w:rsid w:val="008418C7"/>
    <w:rsid w:val="0084192B"/>
    <w:rsid w:val="00841974"/>
    <w:rsid w:val="00841A8B"/>
    <w:rsid w:val="00841A90"/>
    <w:rsid w:val="00841B0C"/>
    <w:rsid w:val="00841B10"/>
    <w:rsid w:val="00841BCE"/>
    <w:rsid w:val="00841E45"/>
    <w:rsid w:val="00841F09"/>
    <w:rsid w:val="00841F79"/>
    <w:rsid w:val="00842085"/>
    <w:rsid w:val="00842139"/>
    <w:rsid w:val="0084223C"/>
    <w:rsid w:val="008422EE"/>
    <w:rsid w:val="0084242B"/>
    <w:rsid w:val="008424CE"/>
    <w:rsid w:val="008425C8"/>
    <w:rsid w:val="0084269F"/>
    <w:rsid w:val="008427A4"/>
    <w:rsid w:val="008429C4"/>
    <w:rsid w:val="00842B5A"/>
    <w:rsid w:val="00842BF6"/>
    <w:rsid w:val="00842C76"/>
    <w:rsid w:val="00842C97"/>
    <w:rsid w:val="00842D12"/>
    <w:rsid w:val="00842EB6"/>
    <w:rsid w:val="00842EFC"/>
    <w:rsid w:val="00842F56"/>
    <w:rsid w:val="00843039"/>
    <w:rsid w:val="0084308B"/>
    <w:rsid w:val="008430B4"/>
    <w:rsid w:val="00843126"/>
    <w:rsid w:val="00843384"/>
    <w:rsid w:val="008433F4"/>
    <w:rsid w:val="00843422"/>
    <w:rsid w:val="00843493"/>
    <w:rsid w:val="008435DC"/>
    <w:rsid w:val="00843606"/>
    <w:rsid w:val="00843707"/>
    <w:rsid w:val="00843729"/>
    <w:rsid w:val="00843763"/>
    <w:rsid w:val="00843838"/>
    <w:rsid w:val="00843853"/>
    <w:rsid w:val="008439B1"/>
    <w:rsid w:val="00843A16"/>
    <w:rsid w:val="00843A61"/>
    <w:rsid w:val="00843ADF"/>
    <w:rsid w:val="00843B04"/>
    <w:rsid w:val="00843CFC"/>
    <w:rsid w:val="00843D3A"/>
    <w:rsid w:val="00843D4D"/>
    <w:rsid w:val="00843E72"/>
    <w:rsid w:val="00843F5D"/>
    <w:rsid w:val="00843FC2"/>
    <w:rsid w:val="00843FEC"/>
    <w:rsid w:val="00844063"/>
    <w:rsid w:val="008441A4"/>
    <w:rsid w:val="0084430C"/>
    <w:rsid w:val="0084430D"/>
    <w:rsid w:val="0084448F"/>
    <w:rsid w:val="00844543"/>
    <w:rsid w:val="00844592"/>
    <w:rsid w:val="008445D2"/>
    <w:rsid w:val="00844687"/>
    <w:rsid w:val="00844783"/>
    <w:rsid w:val="00844807"/>
    <w:rsid w:val="00844885"/>
    <w:rsid w:val="008448EC"/>
    <w:rsid w:val="00844910"/>
    <w:rsid w:val="00844990"/>
    <w:rsid w:val="00844A4A"/>
    <w:rsid w:val="00844A52"/>
    <w:rsid w:val="00844B35"/>
    <w:rsid w:val="00844B3A"/>
    <w:rsid w:val="00844F82"/>
    <w:rsid w:val="00844FFE"/>
    <w:rsid w:val="00845090"/>
    <w:rsid w:val="00845276"/>
    <w:rsid w:val="00845320"/>
    <w:rsid w:val="00845362"/>
    <w:rsid w:val="00845422"/>
    <w:rsid w:val="00845457"/>
    <w:rsid w:val="00845501"/>
    <w:rsid w:val="00845556"/>
    <w:rsid w:val="00845636"/>
    <w:rsid w:val="008456D7"/>
    <w:rsid w:val="00845779"/>
    <w:rsid w:val="008458DE"/>
    <w:rsid w:val="00845A39"/>
    <w:rsid w:val="00845A61"/>
    <w:rsid w:val="00845B0E"/>
    <w:rsid w:val="00845B69"/>
    <w:rsid w:val="00845C3B"/>
    <w:rsid w:val="00845CF6"/>
    <w:rsid w:val="00845D8E"/>
    <w:rsid w:val="00845D97"/>
    <w:rsid w:val="00845E2E"/>
    <w:rsid w:val="00845F07"/>
    <w:rsid w:val="00845F87"/>
    <w:rsid w:val="00845F9D"/>
    <w:rsid w:val="00845FC4"/>
    <w:rsid w:val="00846000"/>
    <w:rsid w:val="0084606C"/>
    <w:rsid w:val="008460A9"/>
    <w:rsid w:val="00846478"/>
    <w:rsid w:val="008465B7"/>
    <w:rsid w:val="00846609"/>
    <w:rsid w:val="00846660"/>
    <w:rsid w:val="008466BF"/>
    <w:rsid w:val="00846781"/>
    <w:rsid w:val="008467F6"/>
    <w:rsid w:val="00846A08"/>
    <w:rsid w:val="00846B36"/>
    <w:rsid w:val="00846C5C"/>
    <w:rsid w:val="00846C76"/>
    <w:rsid w:val="0084725C"/>
    <w:rsid w:val="008474BE"/>
    <w:rsid w:val="008475A1"/>
    <w:rsid w:val="00847616"/>
    <w:rsid w:val="00847670"/>
    <w:rsid w:val="008476BB"/>
    <w:rsid w:val="0084775E"/>
    <w:rsid w:val="0084777C"/>
    <w:rsid w:val="00847830"/>
    <w:rsid w:val="008478DF"/>
    <w:rsid w:val="008478EC"/>
    <w:rsid w:val="00847924"/>
    <w:rsid w:val="00847928"/>
    <w:rsid w:val="008479B1"/>
    <w:rsid w:val="00847A61"/>
    <w:rsid w:val="00847A73"/>
    <w:rsid w:val="00847B78"/>
    <w:rsid w:val="00847B8F"/>
    <w:rsid w:val="00847BA8"/>
    <w:rsid w:val="00847DF3"/>
    <w:rsid w:val="00847E4D"/>
    <w:rsid w:val="00847F16"/>
    <w:rsid w:val="00847FCD"/>
    <w:rsid w:val="00850035"/>
    <w:rsid w:val="008500BE"/>
    <w:rsid w:val="00850273"/>
    <w:rsid w:val="00850290"/>
    <w:rsid w:val="00850348"/>
    <w:rsid w:val="00850358"/>
    <w:rsid w:val="0085036B"/>
    <w:rsid w:val="00850448"/>
    <w:rsid w:val="008504C6"/>
    <w:rsid w:val="008504CB"/>
    <w:rsid w:val="008504CC"/>
    <w:rsid w:val="008505CC"/>
    <w:rsid w:val="008508A1"/>
    <w:rsid w:val="008508A5"/>
    <w:rsid w:val="0085099B"/>
    <w:rsid w:val="00850A3A"/>
    <w:rsid w:val="00850A3B"/>
    <w:rsid w:val="00850A43"/>
    <w:rsid w:val="00850A47"/>
    <w:rsid w:val="00850A88"/>
    <w:rsid w:val="00850A9F"/>
    <w:rsid w:val="00850B70"/>
    <w:rsid w:val="00850B80"/>
    <w:rsid w:val="00850BF4"/>
    <w:rsid w:val="00850C07"/>
    <w:rsid w:val="00850C0A"/>
    <w:rsid w:val="00850DCE"/>
    <w:rsid w:val="00850E8C"/>
    <w:rsid w:val="00850EBA"/>
    <w:rsid w:val="00850EF2"/>
    <w:rsid w:val="00850EF5"/>
    <w:rsid w:val="00850EFB"/>
    <w:rsid w:val="00851000"/>
    <w:rsid w:val="00851007"/>
    <w:rsid w:val="0085101F"/>
    <w:rsid w:val="00851050"/>
    <w:rsid w:val="00851070"/>
    <w:rsid w:val="00851290"/>
    <w:rsid w:val="0085132A"/>
    <w:rsid w:val="0085158B"/>
    <w:rsid w:val="00851638"/>
    <w:rsid w:val="00851798"/>
    <w:rsid w:val="008517B9"/>
    <w:rsid w:val="0085180E"/>
    <w:rsid w:val="0085192B"/>
    <w:rsid w:val="00851A63"/>
    <w:rsid w:val="00851A69"/>
    <w:rsid w:val="00851BCF"/>
    <w:rsid w:val="00851C50"/>
    <w:rsid w:val="00851C74"/>
    <w:rsid w:val="00851CAA"/>
    <w:rsid w:val="00851DDE"/>
    <w:rsid w:val="00851FF9"/>
    <w:rsid w:val="00852050"/>
    <w:rsid w:val="00852088"/>
    <w:rsid w:val="00852160"/>
    <w:rsid w:val="0085220F"/>
    <w:rsid w:val="008522D5"/>
    <w:rsid w:val="0085234E"/>
    <w:rsid w:val="008523EE"/>
    <w:rsid w:val="0085246F"/>
    <w:rsid w:val="00852499"/>
    <w:rsid w:val="008524B1"/>
    <w:rsid w:val="008527F8"/>
    <w:rsid w:val="00852A1D"/>
    <w:rsid w:val="00852A47"/>
    <w:rsid w:val="00852AB8"/>
    <w:rsid w:val="00852BA3"/>
    <w:rsid w:val="00852C1B"/>
    <w:rsid w:val="00852CB8"/>
    <w:rsid w:val="00852CBD"/>
    <w:rsid w:val="00852D4C"/>
    <w:rsid w:val="00852ED0"/>
    <w:rsid w:val="00852FFD"/>
    <w:rsid w:val="008530EA"/>
    <w:rsid w:val="0085334A"/>
    <w:rsid w:val="00853387"/>
    <w:rsid w:val="008533D3"/>
    <w:rsid w:val="008535E0"/>
    <w:rsid w:val="008536D9"/>
    <w:rsid w:val="0085379A"/>
    <w:rsid w:val="008537BD"/>
    <w:rsid w:val="0085388B"/>
    <w:rsid w:val="0085390D"/>
    <w:rsid w:val="00853946"/>
    <w:rsid w:val="00853B42"/>
    <w:rsid w:val="00853BD7"/>
    <w:rsid w:val="00853BF9"/>
    <w:rsid w:val="00853C7B"/>
    <w:rsid w:val="00853CC9"/>
    <w:rsid w:val="00853D64"/>
    <w:rsid w:val="00853DB0"/>
    <w:rsid w:val="00853E22"/>
    <w:rsid w:val="00853E62"/>
    <w:rsid w:val="00853EB9"/>
    <w:rsid w:val="00853F53"/>
    <w:rsid w:val="00853F6D"/>
    <w:rsid w:val="0085405B"/>
    <w:rsid w:val="008540A2"/>
    <w:rsid w:val="0085418C"/>
    <w:rsid w:val="008541AE"/>
    <w:rsid w:val="008542FF"/>
    <w:rsid w:val="0085434E"/>
    <w:rsid w:val="00854394"/>
    <w:rsid w:val="00854492"/>
    <w:rsid w:val="00854524"/>
    <w:rsid w:val="00854595"/>
    <w:rsid w:val="00854602"/>
    <w:rsid w:val="00854714"/>
    <w:rsid w:val="0085491D"/>
    <w:rsid w:val="00854975"/>
    <w:rsid w:val="008549EC"/>
    <w:rsid w:val="00854A05"/>
    <w:rsid w:val="00854A39"/>
    <w:rsid w:val="00854A94"/>
    <w:rsid w:val="00854A9D"/>
    <w:rsid w:val="00854B1A"/>
    <w:rsid w:val="00854B33"/>
    <w:rsid w:val="00854B49"/>
    <w:rsid w:val="00854B72"/>
    <w:rsid w:val="00854B97"/>
    <w:rsid w:val="00854BF5"/>
    <w:rsid w:val="00854D6E"/>
    <w:rsid w:val="00854DDF"/>
    <w:rsid w:val="00854EC5"/>
    <w:rsid w:val="00854F43"/>
    <w:rsid w:val="00855038"/>
    <w:rsid w:val="00855078"/>
    <w:rsid w:val="008550A8"/>
    <w:rsid w:val="0085521B"/>
    <w:rsid w:val="008552CD"/>
    <w:rsid w:val="0085551D"/>
    <w:rsid w:val="0085566A"/>
    <w:rsid w:val="0085572E"/>
    <w:rsid w:val="00855783"/>
    <w:rsid w:val="008558E1"/>
    <w:rsid w:val="00855916"/>
    <w:rsid w:val="008559C3"/>
    <w:rsid w:val="00855A68"/>
    <w:rsid w:val="00855B20"/>
    <w:rsid w:val="00855D9E"/>
    <w:rsid w:val="00855DC9"/>
    <w:rsid w:val="00855DD5"/>
    <w:rsid w:val="00855E0B"/>
    <w:rsid w:val="00855E51"/>
    <w:rsid w:val="00855E84"/>
    <w:rsid w:val="00855E8D"/>
    <w:rsid w:val="00856104"/>
    <w:rsid w:val="00856197"/>
    <w:rsid w:val="00856201"/>
    <w:rsid w:val="008563D5"/>
    <w:rsid w:val="00856453"/>
    <w:rsid w:val="008564B7"/>
    <w:rsid w:val="008564D2"/>
    <w:rsid w:val="008564EA"/>
    <w:rsid w:val="0085658B"/>
    <w:rsid w:val="00856595"/>
    <w:rsid w:val="00856625"/>
    <w:rsid w:val="008567AA"/>
    <w:rsid w:val="008568DB"/>
    <w:rsid w:val="00856989"/>
    <w:rsid w:val="00856A80"/>
    <w:rsid w:val="00856A84"/>
    <w:rsid w:val="00856B5D"/>
    <w:rsid w:val="00856C24"/>
    <w:rsid w:val="00856C76"/>
    <w:rsid w:val="00856CA5"/>
    <w:rsid w:val="00856CC3"/>
    <w:rsid w:val="00857193"/>
    <w:rsid w:val="0085720C"/>
    <w:rsid w:val="0085769E"/>
    <w:rsid w:val="008576B1"/>
    <w:rsid w:val="00857723"/>
    <w:rsid w:val="00857842"/>
    <w:rsid w:val="0085784D"/>
    <w:rsid w:val="00857934"/>
    <w:rsid w:val="0085797A"/>
    <w:rsid w:val="00857A0E"/>
    <w:rsid w:val="00857C57"/>
    <w:rsid w:val="00857C7E"/>
    <w:rsid w:val="00857CF4"/>
    <w:rsid w:val="00857D53"/>
    <w:rsid w:val="00857D71"/>
    <w:rsid w:val="00857FEC"/>
    <w:rsid w:val="00860000"/>
    <w:rsid w:val="00860028"/>
    <w:rsid w:val="00860089"/>
    <w:rsid w:val="008600A4"/>
    <w:rsid w:val="008601CF"/>
    <w:rsid w:val="008602EA"/>
    <w:rsid w:val="00860304"/>
    <w:rsid w:val="0086033D"/>
    <w:rsid w:val="008603DF"/>
    <w:rsid w:val="008604EB"/>
    <w:rsid w:val="00860514"/>
    <w:rsid w:val="0086064A"/>
    <w:rsid w:val="00860680"/>
    <w:rsid w:val="00860B14"/>
    <w:rsid w:val="00860C45"/>
    <w:rsid w:val="00860CAF"/>
    <w:rsid w:val="00860E13"/>
    <w:rsid w:val="00860E69"/>
    <w:rsid w:val="00860F15"/>
    <w:rsid w:val="00861056"/>
    <w:rsid w:val="008610FE"/>
    <w:rsid w:val="00861185"/>
    <w:rsid w:val="00861317"/>
    <w:rsid w:val="0086134B"/>
    <w:rsid w:val="00861573"/>
    <w:rsid w:val="00861731"/>
    <w:rsid w:val="008617A9"/>
    <w:rsid w:val="0086183D"/>
    <w:rsid w:val="008618EF"/>
    <w:rsid w:val="008619E2"/>
    <w:rsid w:val="00861BA3"/>
    <w:rsid w:val="00861C18"/>
    <w:rsid w:val="00861C70"/>
    <w:rsid w:val="00861CDC"/>
    <w:rsid w:val="00861D9C"/>
    <w:rsid w:val="00861E2D"/>
    <w:rsid w:val="00861E7E"/>
    <w:rsid w:val="00861F49"/>
    <w:rsid w:val="00861F99"/>
    <w:rsid w:val="0086210B"/>
    <w:rsid w:val="008621A3"/>
    <w:rsid w:val="00862254"/>
    <w:rsid w:val="00862318"/>
    <w:rsid w:val="00862644"/>
    <w:rsid w:val="0086268E"/>
    <w:rsid w:val="00862721"/>
    <w:rsid w:val="008627A2"/>
    <w:rsid w:val="00862899"/>
    <w:rsid w:val="008628BB"/>
    <w:rsid w:val="008629A2"/>
    <w:rsid w:val="008629B5"/>
    <w:rsid w:val="00862A0B"/>
    <w:rsid w:val="00862BFD"/>
    <w:rsid w:val="00862C5B"/>
    <w:rsid w:val="00862CEC"/>
    <w:rsid w:val="00862E44"/>
    <w:rsid w:val="00862F21"/>
    <w:rsid w:val="0086313B"/>
    <w:rsid w:val="008631FC"/>
    <w:rsid w:val="008632A4"/>
    <w:rsid w:val="0086334A"/>
    <w:rsid w:val="00863662"/>
    <w:rsid w:val="008636B6"/>
    <w:rsid w:val="008637F6"/>
    <w:rsid w:val="008637F9"/>
    <w:rsid w:val="00863855"/>
    <w:rsid w:val="00863962"/>
    <w:rsid w:val="0086397E"/>
    <w:rsid w:val="00863C27"/>
    <w:rsid w:val="00863C5F"/>
    <w:rsid w:val="00863CD4"/>
    <w:rsid w:val="00863F10"/>
    <w:rsid w:val="00863FA9"/>
    <w:rsid w:val="00863FD3"/>
    <w:rsid w:val="0086409E"/>
    <w:rsid w:val="00864190"/>
    <w:rsid w:val="00864237"/>
    <w:rsid w:val="00864346"/>
    <w:rsid w:val="0086453D"/>
    <w:rsid w:val="008645F7"/>
    <w:rsid w:val="008646B0"/>
    <w:rsid w:val="008646EF"/>
    <w:rsid w:val="0086490E"/>
    <w:rsid w:val="00864A16"/>
    <w:rsid w:val="00864A4C"/>
    <w:rsid w:val="00864A7F"/>
    <w:rsid w:val="00864AE8"/>
    <w:rsid w:val="00864BC7"/>
    <w:rsid w:val="00864BDF"/>
    <w:rsid w:val="00864CBA"/>
    <w:rsid w:val="00864CBD"/>
    <w:rsid w:val="00864CC9"/>
    <w:rsid w:val="00864CF5"/>
    <w:rsid w:val="00864E36"/>
    <w:rsid w:val="00864E60"/>
    <w:rsid w:val="00864EAB"/>
    <w:rsid w:val="00864F66"/>
    <w:rsid w:val="00864FCC"/>
    <w:rsid w:val="00865203"/>
    <w:rsid w:val="00865247"/>
    <w:rsid w:val="00865251"/>
    <w:rsid w:val="00865258"/>
    <w:rsid w:val="0086528C"/>
    <w:rsid w:val="0086531B"/>
    <w:rsid w:val="0086543C"/>
    <w:rsid w:val="0086544A"/>
    <w:rsid w:val="0086546F"/>
    <w:rsid w:val="00865523"/>
    <w:rsid w:val="008655BA"/>
    <w:rsid w:val="008657C7"/>
    <w:rsid w:val="008658F9"/>
    <w:rsid w:val="008659A2"/>
    <w:rsid w:val="00865A14"/>
    <w:rsid w:val="00865AB4"/>
    <w:rsid w:val="00865B1F"/>
    <w:rsid w:val="00865D06"/>
    <w:rsid w:val="00865F1B"/>
    <w:rsid w:val="00865F49"/>
    <w:rsid w:val="00865FE9"/>
    <w:rsid w:val="00866293"/>
    <w:rsid w:val="00866350"/>
    <w:rsid w:val="00866543"/>
    <w:rsid w:val="008665AD"/>
    <w:rsid w:val="008665FC"/>
    <w:rsid w:val="0086673B"/>
    <w:rsid w:val="00866787"/>
    <w:rsid w:val="008667C3"/>
    <w:rsid w:val="008668DE"/>
    <w:rsid w:val="00866A89"/>
    <w:rsid w:val="00866CB6"/>
    <w:rsid w:val="00866E37"/>
    <w:rsid w:val="00866F2C"/>
    <w:rsid w:val="00866F2D"/>
    <w:rsid w:val="00866F44"/>
    <w:rsid w:val="00867048"/>
    <w:rsid w:val="0086717C"/>
    <w:rsid w:val="0086722B"/>
    <w:rsid w:val="00867243"/>
    <w:rsid w:val="008672BB"/>
    <w:rsid w:val="00867460"/>
    <w:rsid w:val="0086748F"/>
    <w:rsid w:val="00867702"/>
    <w:rsid w:val="00867760"/>
    <w:rsid w:val="008677F4"/>
    <w:rsid w:val="008677FD"/>
    <w:rsid w:val="0086788C"/>
    <w:rsid w:val="008678F3"/>
    <w:rsid w:val="00867960"/>
    <w:rsid w:val="00867981"/>
    <w:rsid w:val="008679CE"/>
    <w:rsid w:val="00867A1D"/>
    <w:rsid w:val="00867A7C"/>
    <w:rsid w:val="00867ACB"/>
    <w:rsid w:val="00867B1B"/>
    <w:rsid w:val="00867BAC"/>
    <w:rsid w:val="00867BB6"/>
    <w:rsid w:val="00867CA8"/>
    <w:rsid w:val="00867CAB"/>
    <w:rsid w:val="00867D6D"/>
    <w:rsid w:val="00867FC2"/>
    <w:rsid w:val="008701F4"/>
    <w:rsid w:val="0087033A"/>
    <w:rsid w:val="00870355"/>
    <w:rsid w:val="008703EE"/>
    <w:rsid w:val="00870414"/>
    <w:rsid w:val="00870478"/>
    <w:rsid w:val="0087061A"/>
    <w:rsid w:val="0087064D"/>
    <w:rsid w:val="008706AB"/>
    <w:rsid w:val="008708C9"/>
    <w:rsid w:val="0087098A"/>
    <w:rsid w:val="008709A3"/>
    <w:rsid w:val="00870A8F"/>
    <w:rsid w:val="00870AD2"/>
    <w:rsid w:val="00870B2F"/>
    <w:rsid w:val="00870FB1"/>
    <w:rsid w:val="008711C6"/>
    <w:rsid w:val="008712C2"/>
    <w:rsid w:val="00871358"/>
    <w:rsid w:val="008713AD"/>
    <w:rsid w:val="008714A3"/>
    <w:rsid w:val="008714CB"/>
    <w:rsid w:val="00871549"/>
    <w:rsid w:val="00871554"/>
    <w:rsid w:val="008715A6"/>
    <w:rsid w:val="00871613"/>
    <w:rsid w:val="0087163C"/>
    <w:rsid w:val="00871656"/>
    <w:rsid w:val="00871689"/>
    <w:rsid w:val="0087186F"/>
    <w:rsid w:val="008718BB"/>
    <w:rsid w:val="00871943"/>
    <w:rsid w:val="0087195B"/>
    <w:rsid w:val="008719A2"/>
    <w:rsid w:val="00871D3D"/>
    <w:rsid w:val="00871E1A"/>
    <w:rsid w:val="00871ED9"/>
    <w:rsid w:val="00871F8F"/>
    <w:rsid w:val="00872004"/>
    <w:rsid w:val="0087215E"/>
    <w:rsid w:val="0087236E"/>
    <w:rsid w:val="00872374"/>
    <w:rsid w:val="008723A9"/>
    <w:rsid w:val="008724E0"/>
    <w:rsid w:val="00872535"/>
    <w:rsid w:val="00872591"/>
    <w:rsid w:val="008725A1"/>
    <w:rsid w:val="008725AD"/>
    <w:rsid w:val="008725D4"/>
    <w:rsid w:val="00872764"/>
    <w:rsid w:val="008727F2"/>
    <w:rsid w:val="00872A82"/>
    <w:rsid w:val="00872B5F"/>
    <w:rsid w:val="00872C72"/>
    <w:rsid w:val="00872CA9"/>
    <w:rsid w:val="00872D96"/>
    <w:rsid w:val="00872E85"/>
    <w:rsid w:val="00872F21"/>
    <w:rsid w:val="00872F36"/>
    <w:rsid w:val="008730DA"/>
    <w:rsid w:val="008730FC"/>
    <w:rsid w:val="0087317F"/>
    <w:rsid w:val="00873236"/>
    <w:rsid w:val="0087329A"/>
    <w:rsid w:val="00873546"/>
    <w:rsid w:val="008735F9"/>
    <w:rsid w:val="008735FF"/>
    <w:rsid w:val="008736CE"/>
    <w:rsid w:val="008737A1"/>
    <w:rsid w:val="00873836"/>
    <w:rsid w:val="008738A5"/>
    <w:rsid w:val="008738AD"/>
    <w:rsid w:val="00873911"/>
    <w:rsid w:val="0087399F"/>
    <w:rsid w:val="00873A73"/>
    <w:rsid w:val="00873AD1"/>
    <w:rsid w:val="00873B5A"/>
    <w:rsid w:val="00873B69"/>
    <w:rsid w:val="00873BBD"/>
    <w:rsid w:val="00873D19"/>
    <w:rsid w:val="00873DE5"/>
    <w:rsid w:val="00873EE5"/>
    <w:rsid w:val="00874172"/>
    <w:rsid w:val="0087419F"/>
    <w:rsid w:val="008741AC"/>
    <w:rsid w:val="00874335"/>
    <w:rsid w:val="0087434A"/>
    <w:rsid w:val="008743A0"/>
    <w:rsid w:val="0087440A"/>
    <w:rsid w:val="008746F7"/>
    <w:rsid w:val="00874812"/>
    <w:rsid w:val="00874826"/>
    <w:rsid w:val="008748AE"/>
    <w:rsid w:val="008748BC"/>
    <w:rsid w:val="00874A90"/>
    <w:rsid w:val="00874AC6"/>
    <w:rsid w:val="00874BF9"/>
    <w:rsid w:val="00874C62"/>
    <w:rsid w:val="00874C7B"/>
    <w:rsid w:val="00874DDD"/>
    <w:rsid w:val="00874EFA"/>
    <w:rsid w:val="00874F14"/>
    <w:rsid w:val="00875192"/>
    <w:rsid w:val="00875218"/>
    <w:rsid w:val="0087524B"/>
    <w:rsid w:val="008752A0"/>
    <w:rsid w:val="00875398"/>
    <w:rsid w:val="008753CB"/>
    <w:rsid w:val="008754E1"/>
    <w:rsid w:val="00875862"/>
    <w:rsid w:val="0087594E"/>
    <w:rsid w:val="00875967"/>
    <w:rsid w:val="008759F2"/>
    <w:rsid w:val="00875A72"/>
    <w:rsid w:val="00875A81"/>
    <w:rsid w:val="00875C8A"/>
    <w:rsid w:val="00875CF4"/>
    <w:rsid w:val="00875E60"/>
    <w:rsid w:val="00875EBC"/>
    <w:rsid w:val="00875EBE"/>
    <w:rsid w:val="00875F41"/>
    <w:rsid w:val="008763B6"/>
    <w:rsid w:val="008763DC"/>
    <w:rsid w:val="00876457"/>
    <w:rsid w:val="008764FC"/>
    <w:rsid w:val="00876526"/>
    <w:rsid w:val="0087654E"/>
    <w:rsid w:val="00876624"/>
    <w:rsid w:val="00876691"/>
    <w:rsid w:val="008767E9"/>
    <w:rsid w:val="00876803"/>
    <w:rsid w:val="008768AE"/>
    <w:rsid w:val="008768D2"/>
    <w:rsid w:val="008768E8"/>
    <w:rsid w:val="0087693E"/>
    <w:rsid w:val="0087698C"/>
    <w:rsid w:val="00876BBC"/>
    <w:rsid w:val="00876C35"/>
    <w:rsid w:val="00876C6A"/>
    <w:rsid w:val="00876D7D"/>
    <w:rsid w:val="00876EE4"/>
    <w:rsid w:val="00876EFC"/>
    <w:rsid w:val="00876F6C"/>
    <w:rsid w:val="00877072"/>
    <w:rsid w:val="00877103"/>
    <w:rsid w:val="00877155"/>
    <w:rsid w:val="008774C9"/>
    <w:rsid w:val="008774CE"/>
    <w:rsid w:val="0087751A"/>
    <w:rsid w:val="008775D3"/>
    <w:rsid w:val="008777D1"/>
    <w:rsid w:val="0087784D"/>
    <w:rsid w:val="008778D1"/>
    <w:rsid w:val="008778E2"/>
    <w:rsid w:val="008778FC"/>
    <w:rsid w:val="008779F7"/>
    <w:rsid w:val="00877A8C"/>
    <w:rsid w:val="00877B31"/>
    <w:rsid w:val="00877C5E"/>
    <w:rsid w:val="00877CEF"/>
    <w:rsid w:val="00877D04"/>
    <w:rsid w:val="00877D7E"/>
    <w:rsid w:val="00877E5B"/>
    <w:rsid w:val="00877F37"/>
    <w:rsid w:val="00877F5F"/>
    <w:rsid w:val="00877FF2"/>
    <w:rsid w:val="008800C2"/>
    <w:rsid w:val="00880190"/>
    <w:rsid w:val="008801D0"/>
    <w:rsid w:val="00880290"/>
    <w:rsid w:val="00880360"/>
    <w:rsid w:val="00880369"/>
    <w:rsid w:val="0088039A"/>
    <w:rsid w:val="00880496"/>
    <w:rsid w:val="008805ED"/>
    <w:rsid w:val="0088061B"/>
    <w:rsid w:val="008807EF"/>
    <w:rsid w:val="00880859"/>
    <w:rsid w:val="008808EC"/>
    <w:rsid w:val="00880A1A"/>
    <w:rsid w:val="00880A30"/>
    <w:rsid w:val="00880AC4"/>
    <w:rsid w:val="00880B7C"/>
    <w:rsid w:val="00880B9B"/>
    <w:rsid w:val="00880BD3"/>
    <w:rsid w:val="00880CF1"/>
    <w:rsid w:val="00880D67"/>
    <w:rsid w:val="00880DEA"/>
    <w:rsid w:val="00880E15"/>
    <w:rsid w:val="00880E64"/>
    <w:rsid w:val="00880EE8"/>
    <w:rsid w:val="00881083"/>
    <w:rsid w:val="0088115A"/>
    <w:rsid w:val="008811B5"/>
    <w:rsid w:val="0088137E"/>
    <w:rsid w:val="00881428"/>
    <w:rsid w:val="0088142D"/>
    <w:rsid w:val="00881432"/>
    <w:rsid w:val="00881479"/>
    <w:rsid w:val="00881538"/>
    <w:rsid w:val="00881591"/>
    <w:rsid w:val="008815BF"/>
    <w:rsid w:val="00881773"/>
    <w:rsid w:val="008817A4"/>
    <w:rsid w:val="008817F4"/>
    <w:rsid w:val="0088182B"/>
    <w:rsid w:val="008819B7"/>
    <w:rsid w:val="008819C7"/>
    <w:rsid w:val="00881AFA"/>
    <w:rsid w:val="00881B98"/>
    <w:rsid w:val="00881BD5"/>
    <w:rsid w:val="00881C1F"/>
    <w:rsid w:val="00881CAE"/>
    <w:rsid w:val="00881D32"/>
    <w:rsid w:val="00881D67"/>
    <w:rsid w:val="00881E4D"/>
    <w:rsid w:val="00881E6F"/>
    <w:rsid w:val="00881EB7"/>
    <w:rsid w:val="00881EF4"/>
    <w:rsid w:val="00881F59"/>
    <w:rsid w:val="008820DB"/>
    <w:rsid w:val="0088214C"/>
    <w:rsid w:val="008821C3"/>
    <w:rsid w:val="008821E2"/>
    <w:rsid w:val="0088226A"/>
    <w:rsid w:val="00882427"/>
    <w:rsid w:val="008825D4"/>
    <w:rsid w:val="008826EB"/>
    <w:rsid w:val="008828A5"/>
    <w:rsid w:val="00882904"/>
    <w:rsid w:val="0088291E"/>
    <w:rsid w:val="00882A72"/>
    <w:rsid w:val="00882B80"/>
    <w:rsid w:val="00882CF7"/>
    <w:rsid w:val="00882D8D"/>
    <w:rsid w:val="00882DEA"/>
    <w:rsid w:val="0088302F"/>
    <w:rsid w:val="008830EA"/>
    <w:rsid w:val="0088326C"/>
    <w:rsid w:val="00883413"/>
    <w:rsid w:val="00883419"/>
    <w:rsid w:val="0088377D"/>
    <w:rsid w:val="008837B8"/>
    <w:rsid w:val="00883AE8"/>
    <w:rsid w:val="00883BE3"/>
    <w:rsid w:val="00883C99"/>
    <w:rsid w:val="00883D26"/>
    <w:rsid w:val="00883D5C"/>
    <w:rsid w:val="00883D85"/>
    <w:rsid w:val="00883D9D"/>
    <w:rsid w:val="00883DC8"/>
    <w:rsid w:val="00883E62"/>
    <w:rsid w:val="00883EB8"/>
    <w:rsid w:val="00883FD3"/>
    <w:rsid w:val="00883FD6"/>
    <w:rsid w:val="008840F0"/>
    <w:rsid w:val="00884266"/>
    <w:rsid w:val="0088426C"/>
    <w:rsid w:val="00884272"/>
    <w:rsid w:val="00884297"/>
    <w:rsid w:val="00884476"/>
    <w:rsid w:val="0088448D"/>
    <w:rsid w:val="0088450A"/>
    <w:rsid w:val="00884531"/>
    <w:rsid w:val="00884585"/>
    <w:rsid w:val="00884665"/>
    <w:rsid w:val="008846A5"/>
    <w:rsid w:val="0088482C"/>
    <w:rsid w:val="008848CA"/>
    <w:rsid w:val="00884953"/>
    <w:rsid w:val="00884979"/>
    <w:rsid w:val="00884A19"/>
    <w:rsid w:val="00884A96"/>
    <w:rsid w:val="00884ACD"/>
    <w:rsid w:val="00884B55"/>
    <w:rsid w:val="00884B95"/>
    <w:rsid w:val="00884CD0"/>
    <w:rsid w:val="00884D64"/>
    <w:rsid w:val="00884E12"/>
    <w:rsid w:val="00884E16"/>
    <w:rsid w:val="00885165"/>
    <w:rsid w:val="00885169"/>
    <w:rsid w:val="008851EC"/>
    <w:rsid w:val="0088533A"/>
    <w:rsid w:val="00885347"/>
    <w:rsid w:val="0088535B"/>
    <w:rsid w:val="00885405"/>
    <w:rsid w:val="00885486"/>
    <w:rsid w:val="008854EA"/>
    <w:rsid w:val="00885674"/>
    <w:rsid w:val="008858EF"/>
    <w:rsid w:val="008858FE"/>
    <w:rsid w:val="00885913"/>
    <w:rsid w:val="008859EC"/>
    <w:rsid w:val="00885B3E"/>
    <w:rsid w:val="00885B5D"/>
    <w:rsid w:val="00885BB8"/>
    <w:rsid w:val="00885BDD"/>
    <w:rsid w:val="00885C8E"/>
    <w:rsid w:val="00885D04"/>
    <w:rsid w:val="00885D25"/>
    <w:rsid w:val="00885EDB"/>
    <w:rsid w:val="00886043"/>
    <w:rsid w:val="008860F2"/>
    <w:rsid w:val="00886199"/>
    <w:rsid w:val="008861BF"/>
    <w:rsid w:val="008861DB"/>
    <w:rsid w:val="008862D0"/>
    <w:rsid w:val="0088633E"/>
    <w:rsid w:val="008863E5"/>
    <w:rsid w:val="0088652F"/>
    <w:rsid w:val="0088662B"/>
    <w:rsid w:val="00886647"/>
    <w:rsid w:val="00886682"/>
    <w:rsid w:val="008867C6"/>
    <w:rsid w:val="00886866"/>
    <w:rsid w:val="00886A1C"/>
    <w:rsid w:val="00886A74"/>
    <w:rsid w:val="00886B6D"/>
    <w:rsid w:val="00886C5C"/>
    <w:rsid w:val="00886CE5"/>
    <w:rsid w:val="00886E8B"/>
    <w:rsid w:val="00886EC2"/>
    <w:rsid w:val="00886EC3"/>
    <w:rsid w:val="00886EEA"/>
    <w:rsid w:val="00886F0D"/>
    <w:rsid w:val="00887025"/>
    <w:rsid w:val="0088704F"/>
    <w:rsid w:val="00887080"/>
    <w:rsid w:val="008870E0"/>
    <w:rsid w:val="008871E7"/>
    <w:rsid w:val="00887208"/>
    <w:rsid w:val="008872F6"/>
    <w:rsid w:val="008872F9"/>
    <w:rsid w:val="008873E8"/>
    <w:rsid w:val="008873F5"/>
    <w:rsid w:val="008874A7"/>
    <w:rsid w:val="00887541"/>
    <w:rsid w:val="008875DA"/>
    <w:rsid w:val="0088761E"/>
    <w:rsid w:val="00887682"/>
    <w:rsid w:val="008876EC"/>
    <w:rsid w:val="0088772E"/>
    <w:rsid w:val="0088779B"/>
    <w:rsid w:val="00887A67"/>
    <w:rsid w:val="00887AE4"/>
    <w:rsid w:val="00887C83"/>
    <w:rsid w:val="00887E30"/>
    <w:rsid w:val="00887E9E"/>
    <w:rsid w:val="00890028"/>
    <w:rsid w:val="00890045"/>
    <w:rsid w:val="00890137"/>
    <w:rsid w:val="00890263"/>
    <w:rsid w:val="00890270"/>
    <w:rsid w:val="00890348"/>
    <w:rsid w:val="00890349"/>
    <w:rsid w:val="00890402"/>
    <w:rsid w:val="0089042D"/>
    <w:rsid w:val="00890495"/>
    <w:rsid w:val="00890542"/>
    <w:rsid w:val="008906E4"/>
    <w:rsid w:val="00890783"/>
    <w:rsid w:val="00890814"/>
    <w:rsid w:val="00890977"/>
    <w:rsid w:val="00890AD1"/>
    <w:rsid w:val="00890AFB"/>
    <w:rsid w:val="00890B3C"/>
    <w:rsid w:val="00890B81"/>
    <w:rsid w:val="00890CA3"/>
    <w:rsid w:val="00890CB8"/>
    <w:rsid w:val="00890CE1"/>
    <w:rsid w:val="00890D7F"/>
    <w:rsid w:val="00890E53"/>
    <w:rsid w:val="00890EA0"/>
    <w:rsid w:val="00890EE3"/>
    <w:rsid w:val="00890FA2"/>
    <w:rsid w:val="00890FC9"/>
    <w:rsid w:val="00890FFB"/>
    <w:rsid w:val="0089114E"/>
    <w:rsid w:val="00891156"/>
    <w:rsid w:val="0089118E"/>
    <w:rsid w:val="008911B5"/>
    <w:rsid w:val="00891233"/>
    <w:rsid w:val="008912A9"/>
    <w:rsid w:val="00891327"/>
    <w:rsid w:val="008914CD"/>
    <w:rsid w:val="008914CE"/>
    <w:rsid w:val="008914F6"/>
    <w:rsid w:val="008915CA"/>
    <w:rsid w:val="00891662"/>
    <w:rsid w:val="008916A8"/>
    <w:rsid w:val="00891737"/>
    <w:rsid w:val="00891758"/>
    <w:rsid w:val="008918F3"/>
    <w:rsid w:val="00891A5F"/>
    <w:rsid w:val="00891AD4"/>
    <w:rsid w:val="00891B1D"/>
    <w:rsid w:val="00891B5D"/>
    <w:rsid w:val="00891CB1"/>
    <w:rsid w:val="00891CD1"/>
    <w:rsid w:val="00891E25"/>
    <w:rsid w:val="00891F4D"/>
    <w:rsid w:val="00891FA5"/>
    <w:rsid w:val="0089203E"/>
    <w:rsid w:val="0089225B"/>
    <w:rsid w:val="00892453"/>
    <w:rsid w:val="008924B9"/>
    <w:rsid w:val="008924DB"/>
    <w:rsid w:val="008924E3"/>
    <w:rsid w:val="00892514"/>
    <w:rsid w:val="00892555"/>
    <w:rsid w:val="00892572"/>
    <w:rsid w:val="008925F0"/>
    <w:rsid w:val="008928B9"/>
    <w:rsid w:val="00892915"/>
    <w:rsid w:val="00892A6F"/>
    <w:rsid w:val="00892A77"/>
    <w:rsid w:val="00892B0A"/>
    <w:rsid w:val="00892C2F"/>
    <w:rsid w:val="00892C8E"/>
    <w:rsid w:val="00892CCD"/>
    <w:rsid w:val="00892D11"/>
    <w:rsid w:val="00892D29"/>
    <w:rsid w:val="00892F4D"/>
    <w:rsid w:val="00892FEF"/>
    <w:rsid w:val="00893122"/>
    <w:rsid w:val="00893150"/>
    <w:rsid w:val="008931D4"/>
    <w:rsid w:val="0089320A"/>
    <w:rsid w:val="008932BE"/>
    <w:rsid w:val="008932E3"/>
    <w:rsid w:val="00893319"/>
    <w:rsid w:val="00893328"/>
    <w:rsid w:val="00893382"/>
    <w:rsid w:val="00893493"/>
    <w:rsid w:val="008934B0"/>
    <w:rsid w:val="008934E0"/>
    <w:rsid w:val="00893693"/>
    <w:rsid w:val="00893702"/>
    <w:rsid w:val="0089372B"/>
    <w:rsid w:val="00893765"/>
    <w:rsid w:val="0089383B"/>
    <w:rsid w:val="00893942"/>
    <w:rsid w:val="0089396A"/>
    <w:rsid w:val="008939A4"/>
    <w:rsid w:val="008939DD"/>
    <w:rsid w:val="00893C01"/>
    <w:rsid w:val="00893CEA"/>
    <w:rsid w:val="00893D29"/>
    <w:rsid w:val="00893E1F"/>
    <w:rsid w:val="00893E44"/>
    <w:rsid w:val="00893EA8"/>
    <w:rsid w:val="00893EEE"/>
    <w:rsid w:val="00893FE6"/>
    <w:rsid w:val="00893FEB"/>
    <w:rsid w:val="008940A0"/>
    <w:rsid w:val="008940F7"/>
    <w:rsid w:val="008941A1"/>
    <w:rsid w:val="008943FF"/>
    <w:rsid w:val="00894427"/>
    <w:rsid w:val="00894581"/>
    <w:rsid w:val="008945A2"/>
    <w:rsid w:val="0089461D"/>
    <w:rsid w:val="008946CF"/>
    <w:rsid w:val="00894714"/>
    <w:rsid w:val="00894997"/>
    <w:rsid w:val="008949ED"/>
    <w:rsid w:val="00894B04"/>
    <w:rsid w:val="00894B0F"/>
    <w:rsid w:val="00894CF5"/>
    <w:rsid w:val="00894D9B"/>
    <w:rsid w:val="00894E09"/>
    <w:rsid w:val="00894FEC"/>
    <w:rsid w:val="00894FFB"/>
    <w:rsid w:val="0089511B"/>
    <w:rsid w:val="0089512D"/>
    <w:rsid w:val="0089516C"/>
    <w:rsid w:val="00895209"/>
    <w:rsid w:val="00895227"/>
    <w:rsid w:val="008952CB"/>
    <w:rsid w:val="00895326"/>
    <w:rsid w:val="00895328"/>
    <w:rsid w:val="00895353"/>
    <w:rsid w:val="00895368"/>
    <w:rsid w:val="008953A9"/>
    <w:rsid w:val="008954A9"/>
    <w:rsid w:val="008954EB"/>
    <w:rsid w:val="00895526"/>
    <w:rsid w:val="0089570A"/>
    <w:rsid w:val="0089572C"/>
    <w:rsid w:val="008957F0"/>
    <w:rsid w:val="0089589E"/>
    <w:rsid w:val="00895A2E"/>
    <w:rsid w:val="00895A7E"/>
    <w:rsid w:val="00895B57"/>
    <w:rsid w:val="00895BB2"/>
    <w:rsid w:val="00895CD6"/>
    <w:rsid w:val="00895DA5"/>
    <w:rsid w:val="00895E63"/>
    <w:rsid w:val="0089604F"/>
    <w:rsid w:val="00896080"/>
    <w:rsid w:val="008960F1"/>
    <w:rsid w:val="008961C3"/>
    <w:rsid w:val="008961C9"/>
    <w:rsid w:val="00896297"/>
    <w:rsid w:val="008962C3"/>
    <w:rsid w:val="008964A0"/>
    <w:rsid w:val="008964B9"/>
    <w:rsid w:val="008965B3"/>
    <w:rsid w:val="008966A1"/>
    <w:rsid w:val="0089673F"/>
    <w:rsid w:val="0089675B"/>
    <w:rsid w:val="008967F9"/>
    <w:rsid w:val="008968B5"/>
    <w:rsid w:val="00896931"/>
    <w:rsid w:val="008969E0"/>
    <w:rsid w:val="00896A37"/>
    <w:rsid w:val="00896AF6"/>
    <w:rsid w:val="00896B1E"/>
    <w:rsid w:val="00896B4C"/>
    <w:rsid w:val="00896CCD"/>
    <w:rsid w:val="00896D0B"/>
    <w:rsid w:val="00896D7E"/>
    <w:rsid w:val="00896D8B"/>
    <w:rsid w:val="00896DE2"/>
    <w:rsid w:val="00896E54"/>
    <w:rsid w:val="00896F38"/>
    <w:rsid w:val="00896F47"/>
    <w:rsid w:val="00897017"/>
    <w:rsid w:val="0089707A"/>
    <w:rsid w:val="00897137"/>
    <w:rsid w:val="008971EC"/>
    <w:rsid w:val="00897308"/>
    <w:rsid w:val="008973AE"/>
    <w:rsid w:val="008973C6"/>
    <w:rsid w:val="008973F6"/>
    <w:rsid w:val="008973FB"/>
    <w:rsid w:val="00897498"/>
    <w:rsid w:val="008974F4"/>
    <w:rsid w:val="0089754D"/>
    <w:rsid w:val="008975F7"/>
    <w:rsid w:val="00897652"/>
    <w:rsid w:val="00897678"/>
    <w:rsid w:val="00897700"/>
    <w:rsid w:val="0089773F"/>
    <w:rsid w:val="00897755"/>
    <w:rsid w:val="00897802"/>
    <w:rsid w:val="00897954"/>
    <w:rsid w:val="00897B26"/>
    <w:rsid w:val="00897C81"/>
    <w:rsid w:val="00897C8E"/>
    <w:rsid w:val="00897E42"/>
    <w:rsid w:val="00897E89"/>
    <w:rsid w:val="00897EB6"/>
    <w:rsid w:val="00897F86"/>
    <w:rsid w:val="00897FF1"/>
    <w:rsid w:val="008A0053"/>
    <w:rsid w:val="008A01F0"/>
    <w:rsid w:val="008A021B"/>
    <w:rsid w:val="008A03F5"/>
    <w:rsid w:val="008A0507"/>
    <w:rsid w:val="008A05EE"/>
    <w:rsid w:val="008A0604"/>
    <w:rsid w:val="008A06E3"/>
    <w:rsid w:val="008A0831"/>
    <w:rsid w:val="008A0860"/>
    <w:rsid w:val="008A086D"/>
    <w:rsid w:val="008A0887"/>
    <w:rsid w:val="008A08D9"/>
    <w:rsid w:val="008A094C"/>
    <w:rsid w:val="008A0A34"/>
    <w:rsid w:val="008A0A46"/>
    <w:rsid w:val="008A0B47"/>
    <w:rsid w:val="008A0B51"/>
    <w:rsid w:val="008A0BD8"/>
    <w:rsid w:val="008A0C1E"/>
    <w:rsid w:val="008A0E4B"/>
    <w:rsid w:val="008A0E75"/>
    <w:rsid w:val="008A0EBA"/>
    <w:rsid w:val="008A0EE8"/>
    <w:rsid w:val="008A0F35"/>
    <w:rsid w:val="008A1028"/>
    <w:rsid w:val="008A12E2"/>
    <w:rsid w:val="008A1340"/>
    <w:rsid w:val="008A13AF"/>
    <w:rsid w:val="008A1442"/>
    <w:rsid w:val="008A145D"/>
    <w:rsid w:val="008A14A3"/>
    <w:rsid w:val="008A154C"/>
    <w:rsid w:val="008A161B"/>
    <w:rsid w:val="008A16F4"/>
    <w:rsid w:val="008A1821"/>
    <w:rsid w:val="008A19E4"/>
    <w:rsid w:val="008A1A24"/>
    <w:rsid w:val="008A1AFF"/>
    <w:rsid w:val="008A1D6F"/>
    <w:rsid w:val="008A1EC3"/>
    <w:rsid w:val="008A1F2F"/>
    <w:rsid w:val="008A1F55"/>
    <w:rsid w:val="008A20B5"/>
    <w:rsid w:val="008A20BB"/>
    <w:rsid w:val="008A20D1"/>
    <w:rsid w:val="008A20DD"/>
    <w:rsid w:val="008A21F3"/>
    <w:rsid w:val="008A2241"/>
    <w:rsid w:val="008A2289"/>
    <w:rsid w:val="008A231F"/>
    <w:rsid w:val="008A253F"/>
    <w:rsid w:val="008A262A"/>
    <w:rsid w:val="008A2634"/>
    <w:rsid w:val="008A268F"/>
    <w:rsid w:val="008A2772"/>
    <w:rsid w:val="008A2791"/>
    <w:rsid w:val="008A27F8"/>
    <w:rsid w:val="008A2908"/>
    <w:rsid w:val="008A2A3E"/>
    <w:rsid w:val="008A2C71"/>
    <w:rsid w:val="008A2C90"/>
    <w:rsid w:val="008A2CF7"/>
    <w:rsid w:val="008A2D3A"/>
    <w:rsid w:val="008A2DC1"/>
    <w:rsid w:val="008A2EF9"/>
    <w:rsid w:val="008A2F2B"/>
    <w:rsid w:val="008A2F4A"/>
    <w:rsid w:val="008A3087"/>
    <w:rsid w:val="008A3177"/>
    <w:rsid w:val="008A31B8"/>
    <w:rsid w:val="008A31C8"/>
    <w:rsid w:val="008A3239"/>
    <w:rsid w:val="008A324E"/>
    <w:rsid w:val="008A3259"/>
    <w:rsid w:val="008A32AC"/>
    <w:rsid w:val="008A333E"/>
    <w:rsid w:val="008A3566"/>
    <w:rsid w:val="008A363B"/>
    <w:rsid w:val="008A364C"/>
    <w:rsid w:val="008A373D"/>
    <w:rsid w:val="008A3842"/>
    <w:rsid w:val="008A38B0"/>
    <w:rsid w:val="008A38FC"/>
    <w:rsid w:val="008A3903"/>
    <w:rsid w:val="008A391B"/>
    <w:rsid w:val="008A3AF0"/>
    <w:rsid w:val="008A3C1A"/>
    <w:rsid w:val="008A3CD0"/>
    <w:rsid w:val="008A3EE6"/>
    <w:rsid w:val="008A3F21"/>
    <w:rsid w:val="008A4075"/>
    <w:rsid w:val="008A408F"/>
    <w:rsid w:val="008A40DB"/>
    <w:rsid w:val="008A4130"/>
    <w:rsid w:val="008A4193"/>
    <w:rsid w:val="008A42CA"/>
    <w:rsid w:val="008A431A"/>
    <w:rsid w:val="008A45B5"/>
    <w:rsid w:val="008A471E"/>
    <w:rsid w:val="008A4769"/>
    <w:rsid w:val="008A482A"/>
    <w:rsid w:val="008A483F"/>
    <w:rsid w:val="008A4866"/>
    <w:rsid w:val="008A486C"/>
    <w:rsid w:val="008A486D"/>
    <w:rsid w:val="008A4952"/>
    <w:rsid w:val="008A4A33"/>
    <w:rsid w:val="008A4A59"/>
    <w:rsid w:val="008A4B39"/>
    <w:rsid w:val="008A4C22"/>
    <w:rsid w:val="008A4C2E"/>
    <w:rsid w:val="008A4C5F"/>
    <w:rsid w:val="008A4C82"/>
    <w:rsid w:val="008A4C90"/>
    <w:rsid w:val="008A4E4B"/>
    <w:rsid w:val="008A4EF6"/>
    <w:rsid w:val="008A4FB3"/>
    <w:rsid w:val="008A503F"/>
    <w:rsid w:val="008A50B1"/>
    <w:rsid w:val="008A51EE"/>
    <w:rsid w:val="008A5271"/>
    <w:rsid w:val="008A52F0"/>
    <w:rsid w:val="008A5309"/>
    <w:rsid w:val="008A535D"/>
    <w:rsid w:val="008A5373"/>
    <w:rsid w:val="008A553C"/>
    <w:rsid w:val="008A55D9"/>
    <w:rsid w:val="008A56F2"/>
    <w:rsid w:val="008A5748"/>
    <w:rsid w:val="008A5AE4"/>
    <w:rsid w:val="008A5B41"/>
    <w:rsid w:val="008A5B44"/>
    <w:rsid w:val="008A5BC6"/>
    <w:rsid w:val="008A5CE5"/>
    <w:rsid w:val="008A5DDB"/>
    <w:rsid w:val="008A5E28"/>
    <w:rsid w:val="008A5E94"/>
    <w:rsid w:val="008A5EF4"/>
    <w:rsid w:val="008A600A"/>
    <w:rsid w:val="008A605B"/>
    <w:rsid w:val="008A6083"/>
    <w:rsid w:val="008A60D4"/>
    <w:rsid w:val="008A60EE"/>
    <w:rsid w:val="008A6186"/>
    <w:rsid w:val="008A618B"/>
    <w:rsid w:val="008A61CE"/>
    <w:rsid w:val="008A627B"/>
    <w:rsid w:val="008A62AA"/>
    <w:rsid w:val="008A62E2"/>
    <w:rsid w:val="008A62F8"/>
    <w:rsid w:val="008A62FF"/>
    <w:rsid w:val="008A6323"/>
    <w:rsid w:val="008A6522"/>
    <w:rsid w:val="008A67B0"/>
    <w:rsid w:val="008A6895"/>
    <w:rsid w:val="008A692C"/>
    <w:rsid w:val="008A6DAC"/>
    <w:rsid w:val="008A6DCD"/>
    <w:rsid w:val="008A6DEE"/>
    <w:rsid w:val="008A6DFF"/>
    <w:rsid w:val="008A6E84"/>
    <w:rsid w:val="008A6ED3"/>
    <w:rsid w:val="008A6F1D"/>
    <w:rsid w:val="008A6F70"/>
    <w:rsid w:val="008A7114"/>
    <w:rsid w:val="008A7189"/>
    <w:rsid w:val="008A71ED"/>
    <w:rsid w:val="008A72AC"/>
    <w:rsid w:val="008A72CF"/>
    <w:rsid w:val="008A730A"/>
    <w:rsid w:val="008A731B"/>
    <w:rsid w:val="008A738B"/>
    <w:rsid w:val="008A745E"/>
    <w:rsid w:val="008A74C0"/>
    <w:rsid w:val="008A7565"/>
    <w:rsid w:val="008A7595"/>
    <w:rsid w:val="008A75BA"/>
    <w:rsid w:val="008A7631"/>
    <w:rsid w:val="008A767D"/>
    <w:rsid w:val="008A76E3"/>
    <w:rsid w:val="008A76ED"/>
    <w:rsid w:val="008A77F1"/>
    <w:rsid w:val="008A7855"/>
    <w:rsid w:val="008A78E4"/>
    <w:rsid w:val="008A7B87"/>
    <w:rsid w:val="008A7BA0"/>
    <w:rsid w:val="008A7C2E"/>
    <w:rsid w:val="008A7C6E"/>
    <w:rsid w:val="008A7D12"/>
    <w:rsid w:val="008A7DF2"/>
    <w:rsid w:val="008A7E04"/>
    <w:rsid w:val="008A7E0A"/>
    <w:rsid w:val="008A7E12"/>
    <w:rsid w:val="008A7E91"/>
    <w:rsid w:val="008A7E9D"/>
    <w:rsid w:val="008A7F54"/>
    <w:rsid w:val="008A7F97"/>
    <w:rsid w:val="008B000A"/>
    <w:rsid w:val="008B0112"/>
    <w:rsid w:val="008B01F4"/>
    <w:rsid w:val="008B0214"/>
    <w:rsid w:val="008B0274"/>
    <w:rsid w:val="008B03D5"/>
    <w:rsid w:val="008B0442"/>
    <w:rsid w:val="008B0584"/>
    <w:rsid w:val="008B05E4"/>
    <w:rsid w:val="008B071B"/>
    <w:rsid w:val="008B0725"/>
    <w:rsid w:val="008B07BC"/>
    <w:rsid w:val="008B07DE"/>
    <w:rsid w:val="008B08DF"/>
    <w:rsid w:val="008B0956"/>
    <w:rsid w:val="008B09B5"/>
    <w:rsid w:val="008B09D3"/>
    <w:rsid w:val="008B0A53"/>
    <w:rsid w:val="008B0A6A"/>
    <w:rsid w:val="008B0A85"/>
    <w:rsid w:val="008B0C2F"/>
    <w:rsid w:val="008B0D03"/>
    <w:rsid w:val="008B0D09"/>
    <w:rsid w:val="008B0D51"/>
    <w:rsid w:val="008B0D91"/>
    <w:rsid w:val="008B0E2B"/>
    <w:rsid w:val="008B0E2C"/>
    <w:rsid w:val="008B0F46"/>
    <w:rsid w:val="008B0F96"/>
    <w:rsid w:val="008B1142"/>
    <w:rsid w:val="008B1157"/>
    <w:rsid w:val="008B1182"/>
    <w:rsid w:val="008B135D"/>
    <w:rsid w:val="008B1455"/>
    <w:rsid w:val="008B14A3"/>
    <w:rsid w:val="008B150B"/>
    <w:rsid w:val="008B152D"/>
    <w:rsid w:val="008B1566"/>
    <w:rsid w:val="008B1685"/>
    <w:rsid w:val="008B16E2"/>
    <w:rsid w:val="008B1719"/>
    <w:rsid w:val="008B1733"/>
    <w:rsid w:val="008B17D9"/>
    <w:rsid w:val="008B1809"/>
    <w:rsid w:val="008B18AC"/>
    <w:rsid w:val="008B1A60"/>
    <w:rsid w:val="008B1AEE"/>
    <w:rsid w:val="008B1B53"/>
    <w:rsid w:val="008B1C4F"/>
    <w:rsid w:val="008B1CAA"/>
    <w:rsid w:val="008B1CF9"/>
    <w:rsid w:val="008B1E02"/>
    <w:rsid w:val="008B1E8B"/>
    <w:rsid w:val="008B1F19"/>
    <w:rsid w:val="008B1F7F"/>
    <w:rsid w:val="008B1FBD"/>
    <w:rsid w:val="008B202A"/>
    <w:rsid w:val="008B203A"/>
    <w:rsid w:val="008B2124"/>
    <w:rsid w:val="008B2168"/>
    <w:rsid w:val="008B21A8"/>
    <w:rsid w:val="008B21F6"/>
    <w:rsid w:val="008B2299"/>
    <w:rsid w:val="008B2354"/>
    <w:rsid w:val="008B24D7"/>
    <w:rsid w:val="008B256D"/>
    <w:rsid w:val="008B2570"/>
    <w:rsid w:val="008B25B0"/>
    <w:rsid w:val="008B25F6"/>
    <w:rsid w:val="008B2634"/>
    <w:rsid w:val="008B275E"/>
    <w:rsid w:val="008B279E"/>
    <w:rsid w:val="008B2897"/>
    <w:rsid w:val="008B28D4"/>
    <w:rsid w:val="008B296D"/>
    <w:rsid w:val="008B2ACF"/>
    <w:rsid w:val="008B2BEE"/>
    <w:rsid w:val="008B2C3A"/>
    <w:rsid w:val="008B2C96"/>
    <w:rsid w:val="008B2CAC"/>
    <w:rsid w:val="008B2D88"/>
    <w:rsid w:val="008B2DEA"/>
    <w:rsid w:val="008B2DEB"/>
    <w:rsid w:val="008B2DF4"/>
    <w:rsid w:val="008B2E0A"/>
    <w:rsid w:val="008B2E76"/>
    <w:rsid w:val="008B2F68"/>
    <w:rsid w:val="008B2FC2"/>
    <w:rsid w:val="008B3021"/>
    <w:rsid w:val="008B3181"/>
    <w:rsid w:val="008B3203"/>
    <w:rsid w:val="008B3429"/>
    <w:rsid w:val="008B34F6"/>
    <w:rsid w:val="008B355C"/>
    <w:rsid w:val="008B35B4"/>
    <w:rsid w:val="008B3775"/>
    <w:rsid w:val="008B3795"/>
    <w:rsid w:val="008B37CC"/>
    <w:rsid w:val="008B3846"/>
    <w:rsid w:val="008B39FD"/>
    <w:rsid w:val="008B3A42"/>
    <w:rsid w:val="008B3A82"/>
    <w:rsid w:val="008B3B08"/>
    <w:rsid w:val="008B3BA5"/>
    <w:rsid w:val="008B3CBD"/>
    <w:rsid w:val="008B3DBC"/>
    <w:rsid w:val="008B3EE7"/>
    <w:rsid w:val="008B3F24"/>
    <w:rsid w:val="008B3F86"/>
    <w:rsid w:val="008B3FAB"/>
    <w:rsid w:val="008B4015"/>
    <w:rsid w:val="008B403E"/>
    <w:rsid w:val="008B40C0"/>
    <w:rsid w:val="008B40DD"/>
    <w:rsid w:val="008B42E5"/>
    <w:rsid w:val="008B43BE"/>
    <w:rsid w:val="008B43D9"/>
    <w:rsid w:val="008B4418"/>
    <w:rsid w:val="008B4590"/>
    <w:rsid w:val="008B45F4"/>
    <w:rsid w:val="008B47F0"/>
    <w:rsid w:val="008B4A75"/>
    <w:rsid w:val="008B4A97"/>
    <w:rsid w:val="008B4A9B"/>
    <w:rsid w:val="008B4AB0"/>
    <w:rsid w:val="008B4AC6"/>
    <w:rsid w:val="008B4C02"/>
    <w:rsid w:val="008B4C03"/>
    <w:rsid w:val="008B4C2C"/>
    <w:rsid w:val="008B4DC3"/>
    <w:rsid w:val="008B4E07"/>
    <w:rsid w:val="008B4E46"/>
    <w:rsid w:val="008B4FD6"/>
    <w:rsid w:val="008B5035"/>
    <w:rsid w:val="008B504E"/>
    <w:rsid w:val="008B5065"/>
    <w:rsid w:val="008B5094"/>
    <w:rsid w:val="008B510D"/>
    <w:rsid w:val="008B52B9"/>
    <w:rsid w:val="008B53E9"/>
    <w:rsid w:val="008B5416"/>
    <w:rsid w:val="008B54B4"/>
    <w:rsid w:val="008B54F8"/>
    <w:rsid w:val="008B5528"/>
    <w:rsid w:val="008B5587"/>
    <w:rsid w:val="008B55B8"/>
    <w:rsid w:val="008B572F"/>
    <w:rsid w:val="008B574F"/>
    <w:rsid w:val="008B57A1"/>
    <w:rsid w:val="008B58C3"/>
    <w:rsid w:val="008B59AF"/>
    <w:rsid w:val="008B5A31"/>
    <w:rsid w:val="008B5A75"/>
    <w:rsid w:val="008B5DB9"/>
    <w:rsid w:val="008B5E0C"/>
    <w:rsid w:val="008B5E97"/>
    <w:rsid w:val="008B5FC5"/>
    <w:rsid w:val="008B6085"/>
    <w:rsid w:val="008B61F9"/>
    <w:rsid w:val="008B635F"/>
    <w:rsid w:val="008B6451"/>
    <w:rsid w:val="008B64CE"/>
    <w:rsid w:val="008B64F4"/>
    <w:rsid w:val="008B64F6"/>
    <w:rsid w:val="008B650D"/>
    <w:rsid w:val="008B667E"/>
    <w:rsid w:val="008B66B7"/>
    <w:rsid w:val="008B6774"/>
    <w:rsid w:val="008B6849"/>
    <w:rsid w:val="008B68BF"/>
    <w:rsid w:val="008B69DE"/>
    <w:rsid w:val="008B6A90"/>
    <w:rsid w:val="008B6B29"/>
    <w:rsid w:val="008B6C0A"/>
    <w:rsid w:val="008B6D71"/>
    <w:rsid w:val="008B6E1A"/>
    <w:rsid w:val="008B6E47"/>
    <w:rsid w:val="008B6EC1"/>
    <w:rsid w:val="008B6FE9"/>
    <w:rsid w:val="008B7011"/>
    <w:rsid w:val="008B703F"/>
    <w:rsid w:val="008B708A"/>
    <w:rsid w:val="008B708B"/>
    <w:rsid w:val="008B70C7"/>
    <w:rsid w:val="008B717E"/>
    <w:rsid w:val="008B725F"/>
    <w:rsid w:val="008B72B1"/>
    <w:rsid w:val="008B73F6"/>
    <w:rsid w:val="008B7485"/>
    <w:rsid w:val="008B74DD"/>
    <w:rsid w:val="008B7521"/>
    <w:rsid w:val="008B7595"/>
    <w:rsid w:val="008B75E3"/>
    <w:rsid w:val="008B76D0"/>
    <w:rsid w:val="008B7770"/>
    <w:rsid w:val="008B7778"/>
    <w:rsid w:val="008B7796"/>
    <w:rsid w:val="008B781B"/>
    <w:rsid w:val="008B78BF"/>
    <w:rsid w:val="008B7BA8"/>
    <w:rsid w:val="008B7BCD"/>
    <w:rsid w:val="008B7C0D"/>
    <w:rsid w:val="008B7D35"/>
    <w:rsid w:val="008C0050"/>
    <w:rsid w:val="008C023B"/>
    <w:rsid w:val="008C024F"/>
    <w:rsid w:val="008C0297"/>
    <w:rsid w:val="008C02D5"/>
    <w:rsid w:val="008C0364"/>
    <w:rsid w:val="008C0424"/>
    <w:rsid w:val="008C04E2"/>
    <w:rsid w:val="008C0527"/>
    <w:rsid w:val="008C0530"/>
    <w:rsid w:val="008C0546"/>
    <w:rsid w:val="008C05FC"/>
    <w:rsid w:val="008C0742"/>
    <w:rsid w:val="008C0847"/>
    <w:rsid w:val="008C099D"/>
    <w:rsid w:val="008C09BF"/>
    <w:rsid w:val="008C0A6F"/>
    <w:rsid w:val="008C0C08"/>
    <w:rsid w:val="008C0CA2"/>
    <w:rsid w:val="008C0E18"/>
    <w:rsid w:val="008C0F66"/>
    <w:rsid w:val="008C0FE6"/>
    <w:rsid w:val="008C10F6"/>
    <w:rsid w:val="008C11E4"/>
    <w:rsid w:val="008C12C8"/>
    <w:rsid w:val="008C12CB"/>
    <w:rsid w:val="008C13B6"/>
    <w:rsid w:val="008C1452"/>
    <w:rsid w:val="008C14B9"/>
    <w:rsid w:val="008C1518"/>
    <w:rsid w:val="008C156B"/>
    <w:rsid w:val="008C159A"/>
    <w:rsid w:val="008C15D4"/>
    <w:rsid w:val="008C15F7"/>
    <w:rsid w:val="008C174E"/>
    <w:rsid w:val="008C1765"/>
    <w:rsid w:val="008C1776"/>
    <w:rsid w:val="008C18D8"/>
    <w:rsid w:val="008C1910"/>
    <w:rsid w:val="008C192B"/>
    <w:rsid w:val="008C197F"/>
    <w:rsid w:val="008C1B92"/>
    <w:rsid w:val="008C1CA5"/>
    <w:rsid w:val="008C1D5C"/>
    <w:rsid w:val="008C1D9A"/>
    <w:rsid w:val="008C1E4D"/>
    <w:rsid w:val="008C1F3B"/>
    <w:rsid w:val="008C20C3"/>
    <w:rsid w:val="008C2130"/>
    <w:rsid w:val="008C215B"/>
    <w:rsid w:val="008C2227"/>
    <w:rsid w:val="008C22B4"/>
    <w:rsid w:val="008C24A4"/>
    <w:rsid w:val="008C24C7"/>
    <w:rsid w:val="008C24F9"/>
    <w:rsid w:val="008C25DA"/>
    <w:rsid w:val="008C25EE"/>
    <w:rsid w:val="008C269D"/>
    <w:rsid w:val="008C2757"/>
    <w:rsid w:val="008C2814"/>
    <w:rsid w:val="008C286E"/>
    <w:rsid w:val="008C2880"/>
    <w:rsid w:val="008C289D"/>
    <w:rsid w:val="008C2983"/>
    <w:rsid w:val="008C2A88"/>
    <w:rsid w:val="008C2A8E"/>
    <w:rsid w:val="008C2B2A"/>
    <w:rsid w:val="008C2B34"/>
    <w:rsid w:val="008C2C4B"/>
    <w:rsid w:val="008C2CAF"/>
    <w:rsid w:val="008C2CC8"/>
    <w:rsid w:val="008C2DED"/>
    <w:rsid w:val="008C2EE9"/>
    <w:rsid w:val="008C2F00"/>
    <w:rsid w:val="008C2F33"/>
    <w:rsid w:val="008C2F5C"/>
    <w:rsid w:val="008C2F8C"/>
    <w:rsid w:val="008C2F9C"/>
    <w:rsid w:val="008C2FA3"/>
    <w:rsid w:val="008C2FB1"/>
    <w:rsid w:val="008C306B"/>
    <w:rsid w:val="008C3104"/>
    <w:rsid w:val="008C31E7"/>
    <w:rsid w:val="008C3404"/>
    <w:rsid w:val="008C348F"/>
    <w:rsid w:val="008C350F"/>
    <w:rsid w:val="008C3543"/>
    <w:rsid w:val="008C3561"/>
    <w:rsid w:val="008C3573"/>
    <w:rsid w:val="008C364C"/>
    <w:rsid w:val="008C37B9"/>
    <w:rsid w:val="008C380B"/>
    <w:rsid w:val="008C3823"/>
    <w:rsid w:val="008C3853"/>
    <w:rsid w:val="008C391E"/>
    <w:rsid w:val="008C3971"/>
    <w:rsid w:val="008C39E1"/>
    <w:rsid w:val="008C3A6D"/>
    <w:rsid w:val="008C3A98"/>
    <w:rsid w:val="008C3AC7"/>
    <w:rsid w:val="008C3DB4"/>
    <w:rsid w:val="008C3DEC"/>
    <w:rsid w:val="008C3E1C"/>
    <w:rsid w:val="008C3E6E"/>
    <w:rsid w:val="008C3EAF"/>
    <w:rsid w:val="008C4022"/>
    <w:rsid w:val="008C4052"/>
    <w:rsid w:val="008C40FE"/>
    <w:rsid w:val="008C418C"/>
    <w:rsid w:val="008C41C1"/>
    <w:rsid w:val="008C4246"/>
    <w:rsid w:val="008C44C3"/>
    <w:rsid w:val="008C44CD"/>
    <w:rsid w:val="008C4622"/>
    <w:rsid w:val="008C4864"/>
    <w:rsid w:val="008C48AC"/>
    <w:rsid w:val="008C4A20"/>
    <w:rsid w:val="008C4A23"/>
    <w:rsid w:val="008C4B1C"/>
    <w:rsid w:val="008C4E43"/>
    <w:rsid w:val="008C4F57"/>
    <w:rsid w:val="008C4FE8"/>
    <w:rsid w:val="008C502C"/>
    <w:rsid w:val="008C5049"/>
    <w:rsid w:val="008C5088"/>
    <w:rsid w:val="008C50F0"/>
    <w:rsid w:val="008C512E"/>
    <w:rsid w:val="008C5198"/>
    <w:rsid w:val="008C51A0"/>
    <w:rsid w:val="008C51AA"/>
    <w:rsid w:val="008C536E"/>
    <w:rsid w:val="008C5441"/>
    <w:rsid w:val="008C5545"/>
    <w:rsid w:val="008C5580"/>
    <w:rsid w:val="008C55F2"/>
    <w:rsid w:val="008C565E"/>
    <w:rsid w:val="008C56F0"/>
    <w:rsid w:val="008C56FB"/>
    <w:rsid w:val="008C57AA"/>
    <w:rsid w:val="008C57CF"/>
    <w:rsid w:val="008C5984"/>
    <w:rsid w:val="008C5A59"/>
    <w:rsid w:val="008C5AB5"/>
    <w:rsid w:val="008C5B15"/>
    <w:rsid w:val="008C5B70"/>
    <w:rsid w:val="008C5B9C"/>
    <w:rsid w:val="008C5BB5"/>
    <w:rsid w:val="008C5CD6"/>
    <w:rsid w:val="008C5D51"/>
    <w:rsid w:val="008C5E6C"/>
    <w:rsid w:val="008C5F33"/>
    <w:rsid w:val="008C5FAF"/>
    <w:rsid w:val="008C5FD9"/>
    <w:rsid w:val="008C607A"/>
    <w:rsid w:val="008C6153"/>
    <w:rsid w:val="008C6267"/>
    <w:rsid w:val="008C63FA"/>
    <w:rsid w:val="008C6468"/>
    <w:rsid w:val="008C65AA"/>
    <w:rsid w:val="008C65D1"/>
    <w:rsid w:val="008C69C3"/>
    <w:rsid w:val="008C69D2"/>
    <w:rsid w:val="008C6A4D"/>
    <w:rsid w:val="008C6B61"/>
    <w:rsid w:val="008C6BEC"/>
    <w:rsid w:val="008C6C2A"/>
    <w:rsid w:val="008C6D8A"/>
    <w:rsid w:val="008C6E03"/>
    <w:rsid w:val="008C6EBE"/>
    <w:rsid w:val="008C6EFB"/>
    <w:rsid w:val="008C6F12"/>
    <w:rsid w:val="008C6F19"/>
    <w:rsid w:val="008C6F57"/>
    <w:rsid w:val="008C6FCE"/>
    <w:rsid w:val="008C6FE7"/>
    <w:rsid w:val="008C703D"/>
    <w:rsid w:val="008C7071"/>
    <w:rsid w:val="008C70A3"/>
    <w:rsid w:val="008C70C0"/>
    <w:rsid w:val="008C70D8"/>
    <w:rsid w:val="008C714B"/>
    <w:rsid w:val="008C7208"/>
    <w:rsid w:val="008C725A"/>
    <w:rsid w:val="008C7352"/>
    <w:rsid w:val="008C7468"/>
    <w:rsid w:val="008C7650"/>
    <w:rsid w:val="008C7675"/>
    <w:rsid w:val="008C76DE"/>
    <w:rsid w:val="008C7733"/>
    <w:rsid w:val="008C77B1"/>
    <w:rsid w:val="008C7936"/>
    <w:rsid w:val="008C7987"/>
    <w:rsid w:val="008C7A6E"/>
    <w:rsid w:val="008C7ABB"/>
    <w:rsid w:val="008C7AC3"/>
    <w:rsid w:val="008C7C29"/>
    <w:rsid w:val="008C7C4F"/>
    <w:rsid w:val="008C7C7B"/>
    <w:rsid w:val="008C7D04"/>
    <w:rsid w:val="008C7D4A"/>
    <w:rsid w:val="008C7E80"/>
    <w:rsid w:val="008C7F38"/>
    <w:rsid w:val="008C7F6B"/>
    <w:rsid w:val="008C7F78"/>
    <w:rsid w:val="008D0019"/>
    <w:rsid w:val="008D003C"/>
    <w:rsid w:val="008D0170"/>
    <w:rsid w:val="008D0176"/>
    <w:rsid w:val="008D01F3"/>
    <w:rsid w:val="008D02AF"/>
    <w:rsid w:val="008D02C6"/>
    <w:rsid w:val="008D0343"/>
    <w:rsid w:val="008D03DF"/>
    <w:rsid w:val="008D03E5"/>
    <w:rsid w:val="008D04AF"/>
    <w:rsid w:val="008D04B8"/>
    <w:rsid w:val="008D0584"/>
    <w:rsid w:val="008D05B8"/>
    <w:rsid w:val="008D068E"/>
    <w:rsid w:val="008D073D"/>
    <w:rsid w:val="008D0790"/>
    <w:rsid w:val="008D08D6"/>
    <w:rsid w:val="008D0940"/>
    <w:rsid w:val="008D09A1"/>
    <w:rsid w:val="008D0A7C"/>
    <w:rsid w:val="008D0A84"/>
    <w:rsid w:val="008D0ADE"/>
    <w:rsid w:val="008D0AF6"/>
    <w:rsid w:val="008D0B88"/>
    <w:rsid w:val="008D0D00"/>
    <w:rsid w:val="008D0E57"/>
    <w:rsid w:val="008D0ECE"/>
    <w:rsid w:val="008D0FF7"/>
    <w:rsid w:val="008D1097"/>
    <w:rsid w:val="008D1145"/>
    <w:rsid w:val="008D1295"/>
    <w:rsid w:val="008D12C2"/>
    <w:rsid w:val="008D132A"/>
    <w:rsid w:val="008D13DA"/>
    <w:rsid w:val="008D140A"/>
    <w:rsid w:val="008D1481"/>
    <w:rsid w:val="008D1585"/>
    <w:rsid w:val="008D160F"/>
    <w:rsid w:val="008D17CB"/>
    <w:rsid w:val="008D180C"/>
    <w:rsid w:val="008D18A2"/>
    <w:rsid w:val="008D18DE"/>
    <w:rsid w:val="008D1953"/>
    <w:rsid w:val="008D1B09"/>
    <w:rsid w:val="008D1B30"/>
    <w:rsid w:val="008D1D26"/>
    <w:rsid w:val="008D1D39"/>
    <w:rsid w:val="008D1D66"/>
    <w:rsid w:val="008D1E16"/>
    <w:rsid w:val="008D1ED2"/>
    <w:rsid w:val="008D1F22"/>
    <w:rsid w:val="008D1F3B"/>
    <w:rsid w:val="008D1F6B"/>
    <w:rsid w:val="008D20F0"/>
    <w:rsid w:val="008D2153"/>
    <w:rsid w:val="008D2182"/>
    <w:rsid w:val="008D2222"/>
    <w:rsid w:val="008D22A6"/>
    <w:rsid w:val="008D2382"/>
    <w:rsid w:val="008D2463"/>
    <w:rsid w:val="008D2487"/>
    <w:rsid w:val="008D250A"/>
    <w:rsid w:val="008D2759"/>
    <w:rsid w:val="008D289B"/>
    <w:rsid w:val="008D2912"/>
    <w:rsid w:val="008D2927"/>
    <w:rsid w:val="008D297D"/>
    <w:rsid w:val="008D29D5"/>
    <w:rsid w:val="008D2B5A"/>
    <w:rsid w:val="008D2D00"/>
    <w:rsid w:val="008D2D02"/>
    <w:rsid w:val="008D2D2F"/>
    <w:rsid w:val="008D2E50"/>
    <w:rsid w:val="008D2EA4"/>
    <w:rsid w:val="008D3016"/>
    <w:rsid w:val="008D3092"/>
    <w:rsid w:val="008D30D2"/>
    <w:rsid w:val="008D3160"/>
    <w:rsid w:val="008D33DD"/>
    <w:rsid w:val="008D33FD"/>
    <w:rsid w:val="008D340D"/>
    <w:rsid w:val="008D3573"/>
    <w:rsid w:val="008D35EE"/>
    <w:rsid w:val="008D3658"/>
    <w:rsid w:val="008D37B9"/>
    <w:rsid w:val="008D37BC"/>
    <w:rsid w:val="008D37D9"/>
    <w:rsid w:val="008D386F"/>
    <w:rsid w:val="008D3B8F"/>
    <w:rsid w:val="008D3C14"/>
    <w:rsid w:val="008D3D29"/>
    <w:rsid w:val="008D3D8A"/>
    <w:rsid w:val="008D3E98"/>
    <w:rsid w:val="008D4002"/>
    <w:rsid w:val="008D410A"/>
    <w:rsid w:val="008D43A5"/>
    <w:rsid w:val="008D43EB"/>
    <w:rsid w:val="008D43EC"/>
    <w:rsid w:val="008D4480"/>
    <w:rsid w:val="008D4490"/>
    <w:rsid w:val="008D4523"/>
    <w:rsid w:val="008D45D5"/>
    <w:rsid w:val="008D4694"/>
    <w:rsid w:val="008D4700"/>
    <w:rsid w:val="008D4748"/>
    <w:rsid w:val="008D479A"/>
    <w:rsid w:val="008D47C5"/>
    <w:rsid w:val="008D4874"/>
    <w:rsid w:val="008D489C"/>
    <w:rsid w:val="008D4919"/>
    <w:rsid w:val="008D49C2"/>
    <w:rsid w:val="008D49D3"/>
    <w:rsid w:val="008D4A7C"/>
    <w:rsid w:val="008D4C63"/>
    <w:rsid w:val="008D4C96"/>
    <w:rsid w:val="008D4CB0"/>
    <w:rsid w:val="008D4CD7"/>
    <w:rsid w:val="008D4DBF"/>
    <w:rsid w:val="008D4DF5"/>
    <w:rsid w:val="008D4E09"/>
    <w:rsid w:val="008D4F9A"/>
    <w:rsid w:val="008D4FC8"/>
    <w:rsid w:val="008D5069"/>
    <w:rsid w:val="008D5142"/>
    <w:rsid w:val="008D51E0"/>
    <w:rsid w:val="008D5267"/>
    <w:rsid w:val="008D5295"/>
    <w:rsid w:val="008D52B9"/>
    <w:rsid w:val="008D5388"/>
    <w:rsid w:val="008D5539"/>
    <w:rsid w:val="008D553A"/>
    <w:rsid w:val="008D5547"/>
    <w:rsid w:val="008D555D"/>
    <w:rsid w:val="008D5561"/>
    <w:rsid w:val="008D559B"/>
    <w:rsid w:val="008D573E"/>
    <w:rsid w:val="008D58A3"/>
    <w:rsid w:val="008D5945"/>
    <w:rsid w:val="008D595A"/>
    <w:rsid w:val="008D5964"/>
    <w:rsid w:val="008D5A48"/>
    <w:rsid w:val="008D5BDB"/>
    <w:rsid w:val="008D5D3B"/>
    <w:rsid w:val="008D5D58"/>
    <w:rsid w:val="008D5DF9"/>
    <w:rsid w:val="008D5FE6"/>
    <w:rsid w:val="008D6045"/>
    <w:rsid w:val="008D619B"/>
    <w:rsid w:val="008D621A"/>
    <w:rsid w:val="008D624C"/>
    <w:rsid w:val="008D6348"/>
    <w:rsid w:val="008D64ED"/>
    <w:rsid w:val="008D661B"/>
    <w:rsid w:val="008D6667"/>
    <w:rsid w:val="008D6800"/>
    <w:rsid w:val="008D6955"/>
    <w:rsid w:val="008D6A0F"/>
    <w:rsid w:val="008D6B1C"/>
    <w:rsid w:val="008D6B88"/>
    <w:rsid w:val="008D6C66"/>
    <w:rsid w:val="008D6D09"/>
    <w:rsid w:val="008D6E29"/>
    <w:rsid w:val="008D6E6C"/>
    <w:rsid w:val="008D6E8D"/>
    <w:rsid w:val="008D6F08"/>
    <w:rsid w:val="008D7168"/>
    <w:rsid w:val="008D7270"/>
    <w:rsid w:val="008D7429"/>
    <w:rsid w:val="008D74AD"/>
    <w:rsid w:val="008D767E"/>
    <w:rsid w:val="008D771F"/>
    <w:rsid w:val="008D7763"/>
    <w:rsid w:val="008D7811"/>
    <w:rsid w:val="008D7838"/>
    <w:rsid w:val="008D7860"/>
    <w:rsid w:val="008D7993"/>
    <w:rsid w:val="008D7B9B"/>
    <w:rsid w:val="008D7BCB"/>
    <w:rsid w:val="008D7CCC"/>
    <w:rsid w:val="008D7D54"/>
    <w:rsid w:val="008D7DB3"/>
    <w:rsid w:val="008D7FB7"/>
    <w:rsid w:val="008D7FDE"/>
    <w:rsid w:val="008E00EA"/>
    <w:rsid w:val="008E0146"/>
    <w:rsid w:val="008E0317"/>
    <w:rsid w:val="008E0379"/>
    <w:rsid w:val="008E04DC"/>
    <w:rsid w:val="008E05EE"/>
    <w:rsid w:val="008E060E"/>
    <w:rsid w:val="008E0685"/>
    <w:rsid w:val="008E06BD"/>
    <w:rsid w:val="008E06ED"/>
    <w:rsid w:val="008E07C5"/>
    <w:rsid w:val="008E07DB"/>
    <w:rsid w:val="008E084B"/>
    <w:rsid w:val="008E092E"/>
    <w:rsid w:val="008E0976"/>
    <w:rsid w:val="008E0A65"/>
    <w:rsid w:val="008E0BDB"/>
    <w:rsid w:val="008E0C2A"/>
    <w:rsid w:val="008E0D79"/>
    <w:rsid w:val="008E0D8E"/>
    <w:rsid w:val="008E0DB6"/>
    <w:rsid w:val="008E0DFA"/>
    <w:rsid w:val="008E104A"/>
    <w:rsid w:val="008E10C9"/>
    <w:rsid w:val="008E10DC"/>
    <w:rsid w:val="008E1135"/>
    <w:rsid w:val="008E1144"/>
    <w:rsid w:val="008E11A4"/>
    <w:rsid w:val="008E11CD"/>
    <w:rsid w:val="008E11FE"/>
    <w:rsid w:val="008E129F"/>
    <w:rsid w:val="008E1308"/>
    <w:rsid w:val="008E140C"/>
    <w:rsid w:val="008E1514"/>
    <w:rsid w:val="008E152F"/>
    <w:rsid w:val="008E1556"/>
    <w:rsid w:val="008E15B2"/>
    <w:rsid w:val="008E15E0"/>
    <w:rsid w:val="008E1645"/>
    <w:rsid w:val="008E1682"/>
    <w:rsid w:val="008E16AB"/>
    <w:rsid w:val="008E1719"/>
    <w:rsid w:val="008E171D"/>
    <w:rsid w:val="008E1744"/>
    <w:rsid w:val="008E17C4"/>
    <w:rsid w:val="008E194E"/>
    <w:rsid w:val="008E1986"/>
    <w:rsid w:val="008E1A38"/>
    <w:rsid w:val="008E1A9F"/>
    <w:rsid w:val="008E1B03"/>
    <w:rsid w:val="008E1C5C"/>
    <w:rsid w:val="008E1CC3"/>
    <w:rsid w:val="008E1DAF"/>
    <w:rsid w:val="008E1E9A"/>
    <w:rsid w:val="008E2025"/>
    <w:rsid w:val="008E20C9"/>
    <w:rsid w:val="008E2200"/>
    <w:rsid w:val="008E2202"/>
    <w:rsid w:val="008E23FA"/>
    <w:rsid w:val="008E240C"/>
    <w:rsid w:val="008E2501"/>
    <w:rsid w:val="008E2565"/>
    <w:rsid w:val="008E25E2"/>
    <w:rsid w:val="008E25F3"/>
    <w:rsid w:val="008E26FD"/>
    <w:rsid w:val="008E27A8"/>
    <w:rsid w:val="008E2ADE"/>
    <w:rsid w:val="008E2AEA"/>
    <w:rsid w:val="008E2B01"/>
    <w:rsid w:val="008E2BB1"/>
    <w:rsid w:val="008E2BC8"/>
    <w:rsid w:val="008E2BF2"/>
    <w:rsid w:val="008E2CBB"/>
    <w:rsid w:val="008E2D01"/>
    <w:rsid w:val="008E2F63"/>
    <w:rsid w:val="008E2FDB"/>
    <w:rsid w:val="008E30F0"/>
    <w:rsid w:val="008E31FC"/>
    <w:rsid w:val="008E3264"/>
    <w:rsid w:val="008E328F"/>
    <w:rsid w:val="008E32C1"/>
    <w:rsid w:val="008E3464"/>
    <w:rsid w:val="008E34F1"/>
    <w:rsid w:val="008E3500"/>
    <w:rsid w:val="008E3596"/>
    <w:rsid w:val="008E365F"/>
    <w:rsid w:val="008E36E0"/>
    <w:rsid w:val="008E372A"/>
    <w:rsid w:val="008E379C"/>
    <w:rsid w:val="008E38E5"/>
    <w:rsid w:val="008E3966"/>
    <w:rsid w:val="008E3974"/>
    <w:rsid w:val="008E399F"/>
    <w:rsid w:val="008E3B5C"/>
    <w:rsid w:val="008E3C63"/>
    <w:rsid w:val="008E3D8F"/>
    <w:rsid w:val="008E3DA2"/>
    <w:rsid w:val="008E3DD8"/>
    <w:rsid w:val="008E3E5F"/>
    <w:rsid w:val="008E3FFC"/>
    <w:rsid w:val="008E4008"/>
    <w:rsid w:val="008E4080"/>
    <w:rsid w:val="008E433A"/>
    <w:rsid w:val="008E448A"/>
    <w:rsid w:val="008E44A0"/>
    <w:rsid w:val="008E457D"/>
    <w:rsid w:val="008E474D"/>
    <w:rsid w:val="008E493A"/>
    <w:rsid w:val="008E4A73"/>
    <w:rsid w:val="008E4BDC"/>
    <w:rsid w:val="008E4C76"/>
    <w:rsid w:val="008E4CA1"/>
    <w:rsid w:val="008E4CE9"/>
    <w:rsid w:val="008E4D08"/>
    <w:rsid w:val="008E4DAD"/>
    <w:rsid w:val="008E4DE1"/>
    <w:rsid w:val="008E4E4C"/>
    <w:rsid w:val="008E4E5B"/>
    <w:rsid w:val="008E4F3F"/>
    <w:rsid w:val="008E4F49"/>
    <w:rsid w:val="008E4FA6"/>
    <w:rsid w:val="008E4FF0"/>
    <w:rsid w:val="008E5141"/>
    <w:rsid w:val="008E5321"/>
    <w:rsid w:val="008E54B1"/>
    <w:rsid w:val="008E5627"/>
    <w:rsid w:val="008E563A"/>
    <w:rsid w:val="008E566B"/>
    <w:rsid w:val="008E56E3"/>
    <w:rsid w:val="008E57F8"/>
    <w:rsid w:val="008E5879"/>
    <w:rsid w:val="008E587E"/>
    <w:rsid w:val="008E590B"/>
    <w:rsid w:val="008E5927"/>
    <w:rsid w:val="008E5962"/>
    <w:rsid w:val="008E5BC4"/>
    <w:rsid w:val="008E5D18"/>
    <w:rsid w:val="008E5E3D"/>
    <w:rsid w:val="008E5E92"/>
    <w:rsid w:val="008E5F1E"/>
    <w:rsid w:val="008E5F45"/>
    <w:rsid w:val="008E5F7D"/>
    <w:rsid w:val="008E5FF1"/>
    <w:rsid w:val="008E6053"/>
    <w:rsid w:val="008E6066"/>
    <w:rsid w:val="008E6083"/>
    <w:rsid w:val="008E60FD"/>
    <w:rsid w:val="008E6223"/>
    <w:rsid w:val="008E6236"/>
    <w:rsid w:val="008E62C3"/>
    <w:rsid w:val="008E646B"/>
    <w:rsid w:val="008E64C1"/>
    <w:rsid w:val="008E64FD"/>
    <w:rsid w:val="008E65A5"/>
    <w:rsid w:val="008E66DB"/>
    <w:rsid w:val="008E67B8"/>
    <w:rsid w:val="008E6AE3"/>
    <w:rsid w:val="008E6BEC"/>
    <w:rsid w:val="008E6BF0"/>
    <w:rsid w:val="008E6C48"/>
    <w:rsid w:val="008E6C8B"/>
    <w:rsid w:val="008E6C8D"/>
    <w:rsid w:val="008E6D2E"/>
    <w:rsid w:val="008E6E96"/>
    <w:rsid w:val="008E6F78"/>
    <w:rsid w:val="008E700F"/>
    <w:rsid w:val="008E7033"/>
    <w:rsid w:val="008E71DE"/>
    <w:rsid w:val="008E7207"/>
    <w:rsid w:val="008E722B"/>
    <w:rsid w:val="008E7329"/>
    <w:rsid w:val="008E7330"/>
    <w:rsid w:val="008E735C"/>
    <w:rsid w:val="008E7362"/>
    <w:rsid w:val="008E74AA"/>
    <w:rsid w:val="008E7577"/>
    <w:rsid w:val="008E76CC"/>
    <w:rsid w:val="008E76DA"/>
    <w:rsid w:val="008E7768"/>
    <w:rsid w:val="008E77A3"/>
    <w:rsid w:val="008E77F1"/>
    <w:rsid w:val="008E786C"/>
    <w:rsid w:val="008E7A0D"/>
    <w:rsid w:val="008E7A71"/>
    <w:rsid w:val="008E7A8E"/>
    <w:rsid w:val="008E7AE8"/>
    <w:rsid w:val="008E7BC7"/>
    <w:rsid w:val="008E7BEB"/>
    <w:rsid w:val="008E7BF2"/>
    <w:rsid w:val="008E7C35"/>
    <w:rsid w:val="008E7C79"/>
    <w:rsid w:val="008E7CB7"/>
    <w:rsid w:val="008E7E0C"/>
    <w:rsid w:val="008E7EA4"/>
    <w:rsid w:val="008E7F6D"/>
    <w:rsid w:val="008E7FC8"/>
    <w:rsid w:val="008F003F"/>
    <w:rsid w:val="008F0048"/>
    <w:rsid w:val="008F00E0"/>
    <w:rsid w:val="008F0151"/>
    <w:rsid w:val="008F0332"/>
    <w:rsid w:val="008F03C0"/>
    <w:rsid w:val="008F0547"/>
    <w:rsid w:val="008F05C7"/>
    <w:rsid w:val="008F05FF"/>
    <w:rsid w:val="008F0749"/>
    <w:rsid w:val="008F0841"/>
    <w:rsid w:val="008F0848"/>
    <w:rsid w:val="008F092A"/>
    <w:rsid w:val="008F0C6A"/>
    <w:rsid w:val="008F0DF5"/>
    <w:rsid w:val="008F0EA1"/>
    <w:rsid w:val="008F0F10"/>
    <w:rsid w:val="008F0FD2"/>
    <w:rsid w:val="008F1023"/>
    <w:rsid w:val="008F111A"/>
    <w:rsid w:val="008F115D"/>
    <w:rsid w:val="008F11BD"/>
    <w:rsid w:val="008F11E5"/>
    <w:rsid w:val="008F1201"/>
    <w:rsid w:val="008F1332"/>
    <w:rsid w:val="008F1343"/>
    <w:rsid w:val="008F149F"/>
    <w:rsid w:val="008F14B6"/>
    <w:rsid w:val="008F14FE"/>
    <w:rsid w:val="008F1552"/>
    <w:rsid w:val="008F158C"/>
    <w:rsid w:val="008F1787"/>
    <w:rsid w:val="008F1795"/>
    <w:rsid w:val="008F17BF"/>
    <w:rsid w:val="008F18C8"/>
    <w:rsid w:val="008F18E3"/>
    <w:rsid w:val="008F191F"/>
    <w:rsid w:val="008F1B89"/>
    <w:rsid w:val="008F1C90"/>
    <w:rsid w:val="008F1D68"/>
    <w:rsid w:val="008F1E66"/>
    <w:rsid w:val="008F1EB0"/>
    <w:rsid w:val="008F1F2D"/>
    <w:rsid w:val="008F2053"/>
    <w:rsid w:val="008F217C"/>
    <w:rsid w:val="008F2233"/>
    <w:rsid w:val="008F227E"/>
    <w:rsid w:val="008F23D7"/>
    <w:rsid w:val="008F2501"/>
    <w:rsid w:val="008F2625"/>
    <w:rsid w:val="008F27A7"/>
    <w:rsid w:val="008F28FF"/>
    <w:rsid w:val="008F298E"/>
    <w:rsid w:val="008F29AF"/>
    <w:rsid w:val="008F29CE"/>
    <w:rsid w:val="008F29D6"/>
    <w:rsid w:val="008F2A38"/>
    <w:rsid w:val="008F2A5E"/>
    <w:rsid w:val="008F2AB0"/>
    <w:rsid w:val="008F2B22"/>
    <w:rsid w:val="008F2B6B"/>
    <w:rsid w:val="008F2C21"/>
    <w:rsid w:val="008F2EBC"/>
    <w:rsid w:val="008F2F6D"/>
    <w:rsid w:val="008F308D"/>
    <w:rsid w:val="008F308E"/>
    <w:rsid w:val="008F33AE"/>
    <w:rsid w:val="008F33EC"/>
    <w:rsid w:val="008F3688"/>
    <w:rsid w:val="008F369D"/>
    <w:rsid w:val="008F36D6"/>
    <w:rsid w:val="008F3756"/>
    <w:rsid w:val="008F37AC"/>
    <w:rsid w:val="008F3877"/>
    <w:rsid w:val="008F3884"/>
    <w:rsid w:val="008F3896"/>
    <w:rsid w:val="008F38BE"/>
    <w:rsid w:val="008F38F1"/>
    <w:rsid w:val="008F3943"/>
    <w:rsid w:val="008F3AE7"/>
    <w:rsid w:val="008F3C51"/>
    <w:rsid w:val="008F3C81"/>
    <w:rsid w:val="008F3F50"/>
    <w:rsid w:val="008F3F75"/>
    <w:rsid w:val="008F3F94"/>
    <w:rsid w:val="008F3FE7"/>
    <w:rsid w:val="008F41E5"/>
    <w:rsid w:val="008F41F6"/>
    <w:rsid w:val="008F4202"/>
    <w:rsid w:val="008F4236"/>
    <w:rsid w:val="008F425E"/>
    <w:rsid w:val="008F42DD"/>
    <w:rsid w:val="008F4305"/>
    <w:rsid w:val="008F44E6"/>
    <w:rsid w:val="008F4544"/>
    <w:rsid w:val="008F4650"/>
    <w:rsid w:val="008F46E2"/>
    <w:rsid w:val="008F46F5"/>
    <w:rsid w:val="008F47AB"/>
    <w:rsid w:val="008F47D9"/>
    <w:rsid w:val="008F48D0"/>
    <w:rsid w:val="008F48D8"/>
    <w:rsid w:val="008F49A0"/>
    <w:rsid w:val="008F49FF"/>
    <w:rsid w:val="008F4A37"/>
    <w:rsid w:val="008F4ACF"/>
    <w:rsid w:val="008F4ADE"/>
    <w:rsid w:val="008F4AE7"/>
    <w:rsid w:val="008F4B49"/>
    <w:rsid w:val="008F4B60"/>
    <w:rsid w:val="008F4B93"/>
    <w:rsid w:val="008F4CCC"/>
    <w:rsid w:val="008F4D91"/>
    <w:rsid w:val="008F4D93"/>
    <w:rsid w:val="008F4EEE"/>
    <w:rsid w:val="008F4F25"/>
    <w:rsid w:val="008F4F9A"/>
    <w:rsid w:val="008F5039"/>
    <w:rsid w:val="008F504F"/>
    <w:rsid w:val="008F51E1"/>
    <w:rsid w:val="008F5583"/>
    <w:rsid w:val="008F55B5"/>
    <w:rsid w:val="008F5611"/>
    <w:rsid w:val="008F567B"/>
    <w:rsid w:val="008F581E"/>
    <w:rsid w:val="008F5828"/>
    <w:rsid w:val="008F5838"/>
    <w:rsid w:val="008F59A7"/>
    <w:rsid w:val="008F5A21"/>
    <w:rsid w:val="008F5B1B"/>
    <w:rsid w:val="008F5B20"/>
    <w:rsid w:val="008F5BC4"/>
    <w:rsid w:val="008F5BCD"/>
    <w:rsid w:val="008F5C76"/>
    <w:rsid w:val="008F5CF2"/>
    <w:rsid w:val="008F5D64"/>
    <w:rsid w:val="008F5DEB"/>
    <w:rsid w:val="008F5E82"/>
    <w:rsid w:val="008F5EDE"/>
    <w:rsid w:val="008F6011"/>
    <w:rsid w:val="008F612E"/>
    <w:rsid w:val="008F6185"/>
    <w:rsid w:val="008F62B8"/>
    <w:rsid w:val="008F63C7"/>
    <w:rsid w:val="008F6481"/>
    <w:rsid w:val="008F6498"/>
    <w:rsid w:val="008F64D3"/>
    <w:rsid w:val="008F657D"/>
    <w:rsid w:val="008F6700"/>
    <w:rsid w:val="008F68CA"/>
    <w:rsid w:val="008F6AB0"/>
    <w:rsid w:val="008F6B25"/>
    <w:rsid w:val="008F6BFE"/>
    <w:rsid w:val="008F6C25"/>
    <w:rsid w:val="008F6D7D"/>
    <w:rsid w:val="008F6DF3"/>
    <w:rsid w:val="008F6EC7"/>
    <w:rsid w:val="008F6FF7"/>
    <w:rsid w:val="008F7163"/>
    <w:rsid w:val="008F731D"/>
    <w:rsid w:val="008F736A"/>
    <w:rsid w:val="008F745D"/>
    <w:rsid w:val="008F74C4"/>
    <w:rsid w:val="008F760A"/>
    <w:rsid w:val="008F768D"/>
    <w:rsid w:val="008F76E5"/>
    <w:rsid w:val="008F78A5"/>
    <w:rsid w:val="008F78A9"/>
    <w:rsid w:val="008F78AD"/>
    <w:rsid w:val="008F79A1"/>
    <w:rsid w:val="008F79AA"/>
    <w:rsid w:val="008F7A2D"/>
    <w:rsid w:val="008F7A8A"/>
    <w:rsid w:val="008F7D41"/>
    <w:rsid w:val="008F7D5F"/>
    <w:rsid w:val="008F7EB2"/>
    <w:rsid w:val="008F7EF6"/>
    <w:rsid w:val="008F7F51"/>
    <w:rsid w:val="0090000B"/>
    <w:rsid w:val="00900129"/>
    <w:rsid w:val="009003F9"/>
    <w:rsid w:val="0090045C"/>
    <w:rsid w:val="009005A2"/>
    <w:rsid w:val="009005ED"/>
    <w:rsid w:val="0090064B"/>
    <w:rsid w:val="00900687"/>
    <w:rsid w:val="0090083F"/>
    <w:rsid w:val="009008D2"/>
    <w:rsid w:val="009008FB"/>
    <w:rsid w:val="009009BC"/>
    <w:rsid w:val="009009FE"/>
    <w:rsid w:val="00900A52"/>
    <w:rsid w:val="00900A68"/>
    <w:rsid w:val="00900A76"/>
    <w:rsid w:val="00900AD1"/>
    <w:rsid w:val="00900B40"/>
    <w:rsid w:val="00900BC6"/>
    <w:rsid w:val="00900D83"/>
    <w:rsid w:val="00900F0B"/>
    <w:rsid w:val="00900F6E"/>
    <w:rsid w:val="00900FDB"/>
    <w:rsid w:val="00901090"/>
    <w:rsid w:val="009011DC"/>
    <w:rsid w:val="00901324"/>
    <w:rsid w:val="009014E1"/>
    <w:rsid w:val="00901511"/>
    <w:rsid w:val="0090151E"/>
    <w:rsid w:val="009015B0"/>
    <w:rsid w:val="00901601"/>
    <w:rsid w:val="009016D5"/>
    <w:rsid w:val="009017F5"/>
    <w:rsid w:val="0090187C"/>
    <w:rsid w:val="009018EF"/>
    <w:rsid w:val="00901900"/>
    <w:rsid w:val="00901A49"/>
    <w:rsid w:val="00901A61"/>
    <w:rsid w:val="00901B25"/>
    <w:rsid w:val="00901BD6"/>
    <w:rsid w:val="00901BF6"/>
    <w:rsid w:val="00901C55"/>
    <w:rsid w:val="00901D61"/>
    <w:rsid w:val="00901E04"/>
    <w:rsid w:val="00901E09"/>
    <w:rsid w:val="00901E32"/>
    <w:rsid w:val="00901F2F"/>
    <w:rsid w:val="00901F73"/>
    <w:rsid w:val="00901FD1"/>
    <w:rsid w:val="00901FFC"/>
    <w:rsid w:val="00902160"/>
    <w:rsid w:val="009021C8"/>
    <w:rsid w:val="009021CC"/>
    <w:rsid w:val="00902222"/>
    <w:rsid w:val="00902329"/>
    <w:rsid w:val="009023E7"/>
    <w:rsid w:val="00902418"/>
    <w:rsid w:val="00902459"/>
    <w:rsid w:val="00902534"/>
    <w:rsid w:val="0090264C"/>
    <w:rsid w:val="009026AF"/>
    <w:rsid w:val="00902834"/>
    <w:rsid w:val="009028D4"/>
    <w:rsid w:val="009028F4"/>
    <w:rsid w:val="0090294A"/>
    <w:rsid w:val="00902991"/>
    <w:rsid w:val="00902995"/>
    <w:rsid w:val="00902AE2"/>
    <w:rsid w:val="00902B34"/>
    <w:rsid w:val="00902C78"/>
    <w:rsid w:val="00902CC1"/>
    <w:rsid w:val="00902CF6"/>
    <w:rsid w:val="00903054"/>
    <w:rsid w:val="00903165"/>
    <w:rsid w:val="009031DB"/>
    <w:rsid w:val="00903248"/>
    <w:rsid w:val="0090335F"/>
    <w:rsid w:val="0090336F"/>
    <w:rsid w:val="009033A9"/>
    <w:rsid w:val="0090349C"/>
    <w:rsid w:val="00903553"/>
    <w:rsid w:val="009036F3"/>
    <w:rsid w:val="00903745"/>
    <w:rsid w:val="00903771"/>
    <w:rsid w:val="009037C1"/>
    <w:rsid w:val="00903913"/>
    <w:rsid w:val="009039C1"/>
    <w:rsid w:val="00903A0F"/>
    <w:rsid w:val="00903AE5"/>
    <w:rsid w:val="00903E8C"/>
    <w:rsid w:val="00903EAE"/>
    <w:rsid w:val="00903EFC"/>
    <w:rsid w:val="00903F2D"/>
    <w:rsid w:val="00903F8E"/>
    <w:rsid w:val="00903F9B"/>
    <w:rsid w:val="00904018"/>
    <w:rsid w:val="00904033"/>
    <w:rsid w:val="00904092"/>
    <w:rsid w:val="00904148"/>
    <w:rsid w:val="0090416D"/>
    <w:rsid w:val="00904177"/>
    <w:rsid w:val="00904256"/>
    <w:rsid w:val="009042A1"/>
    <w:rsid w:val="0090465C"/>
    <w:rsid w:val="009046B1"/>
    <w:rsid w:val="0090494E"/>
    <w:rsid w:val="0090494F"/>
    <w:rsid w:val="00904968"/>
    <w:rsid w:val="009049CC"/>
    <w:rsid w:val="00904AF4"/>
    <w:rsid w:val="00904BCD"/>
    <w:rsid w:val="00904D5C"/>
    <w:rsid w:val="00904E91"/>
    <w:rsid w:val="00904F0E"/>
    <w:rsid w:val="00904F15"/>
    <w:rsid w:val="00904FB4"/>
    <w:rsid w:val="00904FC1"/>
    <w:rsid w:val="00905048"/>
    <w:rsid w:val="009050B5"/>
    <w:rsid w:val="009050EB"/>
    <w:rsid w:val="00905121"/>
    <w:rsid w:val="009051E0"/>
    <w:rsid w:val="009051E3"/>
    <w:rsid w:val="00905282"/>
    <w:rsid w:val="0090528E"/>
    <w:rsid w:val="009052C6"/>
    <w:rsid w:val="0090531B"/>
    <w:rsid w:val="009054B6"/>
    <w:rsid w:val="009054CB"/>
    <w:rsid w:val="009055BE"/>
    <w:rsid w:val="009055DD"/>
    <w:rsid w:val="0090572A"/>
    <w:rsid w:val="0090573B"/>
    <w:rsid w:val="00905846"/>
    <w:rsid w:val="00905852"/>
    <w:rsid w:val="009058BF"/>
    <w:rsid w:val="00905B6A"/>
    <w:rsid w:val="00905C0E"/>
    <w:rsid w:val="00905C59"/>
    <w:rsid w:val="00905DE0"/>
    <w:rsid w:val="00905F02"/>
    <w:rsid w:val="00905FB9"/>
    <w:rsid w:val="00906047"/>
    <w:rsid w:val="0090607A"/>
    <w:rsid w:val="00906163"/>
    <w:rsid w:val="0090617A"/>
    <w:rsid w:val="009061D2"/>
    <w:rsid w:val="009062E6"/>
    <w:rsid w:val="00906371"/>
    <w:rsid w:val="009063A7"/>
    <w:rsid w:val="009064E4"/>
    <w:rsid w:val="009065C1"/>
    <w:rsid w:val="009065C2"/>
    <w:rsid w:val="009066A8"/>
    <w:rsid w:val="009066D7"/>
    <w:rsid w:val="00906987"/>
    <w:rsid w:val="00906A1D"/>
    <w:rsid w:val="00906A48"/>
    <w:rsid w:val="00906A57"/>
    <w:rsid w:val="00906AEB"/>
    <w:rsid w:val="00906D26"/>
    <w:rsid w:val="00906ED9"/>
    <w:rsid w:val="00906F4A"/>
    <w:rsid w:val="00907022"/>
    <w:rsid w:val="00907036"/>
    <w:rsid w:val="0090703F"/>
    <w:rsid w:val="00907099"/>
    <w:rsid w:val="0090716C"/>
    <w:rsid w:val="009071D9"/>
    <w:rsid w:val="00907232"/>
    <w:rsid w:val="00907272"/>
    <w:rsid w:val="00907281"/>
    <w:rsid w:val="0090735B"/>
    <w:rsid w:val="009074C1"/>
    <w:rsid w:val="0090752F"/>
    <w:rsid w:val="0090759D"/>
    <w:rsid w:val="009075E6"/>
    <w:rsid w:val="009076A6"/>
    <w:rsid w:val="009076CD"/>
    <w:rsid w:val="00907981"/>
    <w:rsid w:val="009079F3"/>
    <w:rsid w:val="00907A58"/>
    <w:rsid w:val="00907A75"/>
    <w:rsid w:val="00907A8A"/>
    <w:rsid w:val="00907B7A"/>
    <w:rsid w:val="00907C81"/>
    <w:rsid w:val="00907C89"/>
    <w:rsid w:val="00907CAC"/>
    <w:rsid w:val="00907CB2"/>
    <w:rsid w:val="00907CB9"/>
    <w:rsid w:val="00907F2E"/>
    <w:rsid w:val="00907F75"/>
    <w:rsid w:val="00907FDC"/>
    <w:rsid w:val="00907FE5"/>
    <w:rsid w:val="0091018E"/>
    <w:rsid w:val="009101F9"/>
    <w:rsid w:val="00910274"/>
    <w:rsid w:val="00910390"/>
    <w:rsid w:val="009104ED"/>
    <w:rsid w:val="00910508"/>
    <w:rsid w:val="0091060A"/>
    <w:rsid w:val="00910634"/>
    <w:rsid w:val="00910651"/>
    <w:rsid w:val="00910682"/>
    <w:rsid w:val="0091080C"/>
    <w:rsid w:val="00910837"/>
    <w:rsid w:val="009108E5"/>
    <w:rsid w:val="009109B9"/>
    <w:rsid w:val="00910C20"/>
    <w:rsid w:val="00910D81"/>
    <w:rsid w:val="00910E50"/>
    <w:rsid w:val="00910E7F"/>
    <w:rsid w:val="00910EB1"/>
    <w:rsid w:val="00910EF4"/>
    <w:rsid w:val="00911029"/>
    <w:rsid w:val="00911089"/>
    <w:rsid w:val="00911172"/>
    <w:rsid w:val="009111D0"/>
    <w:rsid w:val="009111F1"/>
    <w:rsid w:val="009111FF"/>
    <w:rsid w:val="009112E9"/>
    <w:rsid w:val="00911333"/>
    <w:rsid w:val="00911407"/>
    <w:rsid w:val="0091141F"/>
    <w:rsid w:val="0091144A"/>
    <w:rsid w:val="009114F4"/>
    <w:rsid w:val="00911581"/>
    <w:rsid w:val="00911741"/>
    <w:rsid w:val="009117A0"/>
    <w:rsid w:val="0091183E"/>
    <w:rsid w:val="009118A5"/>
    <w:rsid w:val="009118B0"/>
    <w:rsid w:val="009118CD"/>
    <w:rsid w:val="00911908"/>
    <w:rsid w:val="00911B1F"/>
    <w:rsid w:val="00911B22"/>
    <w:rsid w:val="00911B50"/>
    <w:rsid w:val="00911B87"/>
    <w:rsid w:val="00911C21"/>
    <w:rsid w:val="00911D1F"/>
    <w:rsid w:val="00911EAF"/>
    <w:rsid w:val="00911ED9"/>
    <w:rsid w:val="00911F6F"/>
    <w:rsid w:val="00912065"/>
    <w:rsid w:val="009120A3"/>
    <w:rsid w:val="00912104"/>
    <w:rsid w:val="00912116"/>
    <w:rsid w:val="00912120"/>
    <w:rsid w:val="009121A3"/>
    <w:rsid w:val="009121DE"/>
    <w:rsid w:val="00912200"/>
    <w:rsid w:val="00912220"/>
    <w:rsid w:val="00912418"/>
    <w:rsid w:val="009124B8"/>
    <w:rsid w:val="00912694"/>
    <w:rsid w:val="0091277C"/>
    <w:rsid w:val="00912821"/>
    <w:rsid w:val="009128E9"/>
    <w:rsid w:val="00912A27"/>
    <w:rsid w:val="00912A60"/>
    <w:rsid w:val="00912A82"/>
    <w:rsid w:val="00912ABD"/>
    <w:rsid w:val="00912D40"/>
    <w:rsid w:val="00912D78"/>
    <w:rsid w:val="00912EEB"/>
    <w:rsid w:val="00912FBF"/>
    <w:rsid w:val="009130B6"/>
    <w:rsid w:val="009132FA"/>
    <w:rsid w:val="00913396"/>
    <w:rsid w:val="00913408"/>
    <w:rsid w:val="0091348C"/>
    <w:rsid w:val="0091350D"/>
    <w:rsid w:val="009135B3"/>
    <w:rsid w:val="009136D2"/>
    <w:rsid w:val="009136FA"/>
    <w:rsid w:val="00913780"/>
    <w:rsid w:val="009137F5"/>
    <w:rsid w:val="00913843"/>
    <w:rsid w:val="009138E1"/>
    <w:rsid w:val="009139F1"/>
    <w:rsid w:val="00913A6F"/>
    <w:rsid w:val="00913B43"/>
    <w:rsid w:val="00913B93"/>
    <w:rsid w:val="00913C75"/>
    <w:rsid w:val="00913CAE"/>
    <w:rsid w:val="00913CBA"/>
    <w:rsid w:val="00913CD8"/>
    <w:rsid w:val="00913D24"/>
    <w:rsid w:val="00913D45"/>
    <w:rsid w:val="00913D97"/>
    <w:rsid w:val="00913DB4"/>
    <w:rsid w:val="00913E24"/>
    <w:rsid w:val="00913F49"/>
    <w:rsid w:val="00913FBB"/>
    <w:rsid w:val="0091412A"/>
    <w:rsid w:val="009141D7"/>
    <w:rsid w:val="00914316"/>
    <w:rsid w:val="0091440E"/>
    <w:rsid w:val="0091445F"/>
    <w:rsid w:val="009144ED"/>
    <w:rsid w:val="009144F0"/>
    <w:rsid w:val="00914551"/>
    <w:rsid w:val="0091463E"/>
    <w:rsid w:val="0091465C"/>
    <w:rsid w:val="009146C4"/>
    <w:rsid w:val="00914892"/>
    <w:rsid w:val="009148DB"/>
    <w:rsid w:val="009148F3"/>
    <w:rsid w:val="0091494F"/>
    <w:rsid w:val="009149D6"/>
    <w:rsid w:val="009149FB"/>
    <w:rsid w:val="00914A34"/>
    <w:rsid w:val="00914B2F"/>
    <w:rsid w:val="00914BD9"/>
    <w:rsid w:val="00914DE5"/>
    <w:rsid w:val="00914E22"/>
    <w:rsid w:val="00914E28"/>
    <w:rsid w:val="00914F66"/>
    <w:rsid w:val="00914FC8"/>
    <w:rsid w:val="00915075"/>
    <w:rsid w:val="009150E9"/>
    <w:rsid w:val="00915164"/>
    <w:rsid w:val="00915321"/>
    <w:rsid w:val="0091535B"/>
    <w:rsid w:val="009153FD"/>
    <w:rsid w:val="009154C4"/>
    <w:rsid w:val="009154F7"/>
    <w:rsid w:val="00915546"/>
    <w:rsid w:val="0091558D"/>
    <w:rsid w:val="009155DB"/>
    <w:rsid w:val="0091564F"/>
    <w:rsid w:val="0091567E"/>
    <w:rsid w:val="009156FD"/>
    <w:rsid w:val="00915865"/>
    <w:rsid w:val="00915878"/>
    <w:rsid w:val="009158B5"/>
    <w:rsid w:val="00915920"/>
    <w:rsid w:val="00915B1D"/>
    <w:rsid w:val="00915B50"/>
    <w:rsid w:val="00915BB2"/>
    <w:rsid w:val="00915D1A"/>
    <w:rsid w:val="00915D35"/>
    <w:rsid w:val="00915D86"/>
    <w:rsid w:val="00915E7E"/>
    <w:rsid w:val="00915F13"/>
    <w:rsid w:val="0091600F"/>
    <w:rsid w:val="009160F4"/>
    <w:rsid w:val="00916187"/>
    <w:rsid w:val="0091625F"/>
    <w:rsid w:val="009162A4"/>
    <w:rsid w:val="0091633C"/>
    <w:rsid w:val="009163B0"/>
    <w:rsid w:val="00916458"/>
    <w:rsid w:val="0091650E"/>
    <w:rsid w:val="00916510"/>
    <w:rsid w:val="00916642"/>
    <w:rsid w:val="009166E8"/>
    <w:rsid w:val="009167F8"/>
    <w:rsid w:val="009168D1"/>
    <w:rsid w:val="009168F7"/>
    <w:rsid w:val="00916A91"/>
    <w:rsid w:val="00916B1B"/>
    <w:rsid w:val="00916B29"/>
    <w:rsid w:val="00916B89"/>
    <w:rsid w:val="00916D72"/>
    <w:rsid w:val="00916D84"/>
    <w:rsid w:val="00916E4C"/>
    <w:rsid w:val="00916F8B"/>
    <w:rsid w:val="00916FD0"/>
    <w:rsid w:val="0091705D"/>
    <w:rsid w:val="009170B8"/>
    <w:rsid w:val="0091717B"/>
    <w:rsid w:val="0091717F"/>
    <w:rsid w:val="00917218"/>
    <w:rsid w:val="009172B2"/>
    <w:rsid w:val="00917327"/>
    <w:rsid w:val="0091741E"/>
    <w:rsid w:val="00917459"/>
    <w:rsid w:val="009174F6"/>
    <w:rsid w:val="009176A3"/>
    <w:rsid w:val="00917782"/>
    <w:rsid w:val="00917795"/>
    <w:rsid w:val="00917887"/>
    <w:rsid w:val="0091799C"/>
    <w:rsid w:val="00917A6D"/>
    <w:rsid w:val="00917AB7"/>
    <w:rsid w:val="00917B1D"/>
    <w:rsid w:val="00917D07"/>
    <w:rsid w:val="00917E1C"/>
    <w:rsid w:val="00917F03"/>
    <w:rsid w:val="009200EE"/>
    <w:rsid w:val="009201BD"/>
    <w:rsid w:val="00920212"/>
    <w:rsid w:val="00920304"/>
    <w:rsid w:val="00920359"/>
    <w:rsid w:val="0092047C"/>
    <w:rsid w:val="00920648"/>
    <w:rsid w:val="00920750"/>
    <w:rsid w:val="00920977"/>
    <w:rsid w:val="00920A1B"/>
    <w:rsid w:val="00920B15"/>
    <w:rsid w:val="00920BC0"/>
    <w:rsid w:val="00920C27"/>
    <w:rsid w:val="00920E96"/>
    <w:rsid w:val="00920F8E"/>
    <w:rsid w:val="00920FAB"/>
    <w:rsid w:val="00921146"/>
    <w:rsid w:val="00921272"/>
    <w:rsid w:val="009212CD"/>
    <w:rsid w:val="00921455"/>
    <w:rsid w:val="00921616"/>
    <w:rsid w:val="00921635"/>
    <w:rsid w:val="00921678"/>
    <w:rsid w:val="0092182E"/>
    <w:rsid w:val="009218E8"/>
    <w:rsid w:val="00921920"/>
    <w:rsid w:val="0092194B"/>
    <w:rsid w:val="009219F5"/>
    <w:rsid w:val="00921A0E"/>
    <w:rsid w:val="00921A3B"/>
    <w:rsid w:val="00921B3A"/>
    <w:rsid w:val="00921C9C"/>
    <w:rsid w:val="00921D3A"/>
    <w:rsid w:val="00921D82"/>
    <w:rsid w:val="00921F11"/>
    <w:rsid w:val="00921F59"/>
    <w:rsid w:val="00921FA6"/>
    <w:rsid w:val="00921FC1"/>
    <w:rsid w:val="00922051"/>
    <w:rsid w:val="009220EC"/>
    <w:rsid w:val="009223E2"/>
    <w:rsid w:val="0092243C"/>
    <w:rsid w:val="00922540"/>
    <w:rsid w:val="00922608"/>
    <w:rsid w:val="0092269D"/>
    <w:rsid w:val="00922782"/>
    <w:rsid w:val="009227F1"/>
    <w:rsid w:val="009227FE"/>
    <w:rsid w:val="00922840"/>
    <w:rsid w:val="00922882"/>
    <w:rsid w:val="009228B9"/>
    <w:rsid w:val="0092294C"/>
    <w:rsid w:val="0092296A"/>
    <w:rsid w:val="00922A11"/>
    <w:rsid w:val="00922A31"/>
    <w:rsid w:val="00922A90"/>
    <w:rsid w:val="00922AF2"/>
    <w:rsid w:val="00922B4C"/>
    <w:rsid w:val="00922BD4"/>
    <w:rsid w:val="00922C7B"/>
    <w:rsid w:val="00922CEA"/>
    <w:rsid w:val="00922E3B"/>
    <w:rsid w:val="00922E67"/>
    <w:rsid w:val="00922EDE"/>
    <w:rsid w:val="00922F14"/>
    <w:rsid w:val="00922FD4"/>
    <w:rsid w:val="00923071"/>
    <w:rsid w:val="009230B6"/>
    <w:rsid w:val="0092316E"/>
    <w:rsid w:val="00923248"/>
    <w:rsid w:val="00923316"/>
    <w:rsid w:val="0092334C"/>
    <w:rsid w:val="00923450"/>
    <w:rsid w:val="00923481"/>
    <w:rsid w:val="009235DB"/>
    <w:rsid w:val="009235F5"/>
    <w:rsid w:val="0092369E"/>
    <w:rsid w:val="0092379D"/>
    <w:rsid w:val="009237C8"/>
    <w:rsid w:val="00923865"/>
    <w:rsid w:val="009238D2"/>
    <w:rsid w:val="00923969"/>
    <w:rsid w:val="00923C9B"/>
    <w:rsid w:val="00923CA7"/>
    <w:rsid w:val="00923EB4"/>
    <w:rsid w:val="00923EE9"/>
    <w:rsid w:val="009240BE"/>
    <w:rsid w:val="00924105"/>
    <w:rsid w:val="00924154"/>
    <w:rsid w:val="00924253"/>
    <w:rsid w:val="00924339"/>
    <w:rsid w:val="00924478"/>
    <w:rsid w:val="00924494"/>
    <w:rsid w:val="00924539"/>
    <w:rsid w:val="009245ED"/>
    <w:rsid w:val="0092479C"/>
    <w:rsid w:val="009247F5"/>
    <w:rsid w:val="009249E9"/>
    <w:rsid w:val="00924ACF"/>
    <w:rsid w:val="00924CC1"/>
    <w:rsid w:val="00924DA8"/>
    <w:rsid w:val="00924DCF"/>
    <w:rsid w:val="00924DF7"/>
    <w:rsid w:val="00924E41"/>
    <w:rsid w:val="00924F15"/>
    <w:rsid w:val="00924F40"/>
    <w:rsid w:val="00924F69"/>
    <w:rsid w:val="00925023"/>
    <w:rsid w:val="00925094"/>
    <w:rsid w:val="00925168"/>
    <w:rsid w:val="0092530C"/>
    <w:rsid w:val="00925512"/>
    <w:rsid w:val="0092557B"/>
    <w:rsid w:val="009255A5"/>
    <w:rsid w:val="009255FB"/>
    <w:rsid w:val="0092563B"/>
    <w:rsid w:val="0092565D"/>
    <w:rsid w:val="0092566C"/>
    <w:rsid w:val="00925677"/>
    <w:rsid w:val="0092575D"/>
    <w:rsid w:val="00925825"/>
    <w:rsid w:val="009258E7"/>
    <w:rsid w:val="0092594D"/>
    <w:rsid w:val="00925A0A"/>
    <w:rsid w:val="00925AA2"/>
    <w:rsid w:val="00925ABB"/>
    <w:rsid w:val="00925B5A"/>
    <w:rsid w:val="00925C04"/>
    <w:rsid w:val="00925D83"/>
    <w:rsid w:val="00925D98"/>
    <w:rsid w:val="00925F1E"/>
    <w:rsid w:val="00925F66"/>
    <w:rsid w:val="009260AD"/>
    <w:rsid w:val="00926179"/>
    <w:rsid w:val="00926192"/>
    <w:rsid w:val="00926252"/>
    <w:rsid w:val="0092630B"/>
    <w:rsid w:val="00926376"/>
    <w:rsid w:val="00926447"/>
    <w:rsid w:val="009264F3"/>
    <w:rsid w:val="00926656"/>
    <w:rsid w:val="00926703"/>
    <w:rsid w:val="009267DA"/>
    <w:rsid w:val="00926815"/>
    <w:rsid w:val="00926834"/>
    <w:rsid w:val="00926889"/>
    <w:rsid w:val="00926907"/>
    <w:rsid w:val="009269FE"/>
    <w:rsid w:val="00926A62"/>
    <w:rsid w:val="00926A9F"/>
    <w:rsid w:val="00926B34"/>
    <w:rsid w:val="00926B80"/>
    <w:rsid w:val="00926BD6"/>
    <w:rsid w:val="00926BE4"/>
    <w:rsid w:val="00926C96"/>
    <w:rsid w:val="00926D6D"/>
    <w:rsid w:val="00926DA8"/>
    <w:rsid w:val="00926DAF"/>
    <w:rsid w:val="00926E8B"/>
    <w:rsid w:val="00926EBB"/>
    <w:rsid w:val="00926F9D"/>
    <w:rsid w:val="00926FA5"/>
    <w:rsid w:val="00927040"/>
    <w:rsid w:val="00927086"/>
    <w:rsid w:val="009270A6"/>
    <w:rsid w:val="0092711A"/>
    <w:rsid w:val="00927206"/>
    <w:rsid w:val="00927218"/>
    <w:rsid w:val="0092726B"/>
    <w:rsid w:val="00927281"/>
    <w:rsid w:val="009272AE"/>
    <w:rsid w:val="00927359"/>
    <w:rsid w:val="009273AB"/>
    <w:rsid w:val="0092765F"/>
    <w:rsid w:val="0092775E"/>
    <w:rsid w:val="0092776C"/>
    <w:rsid w:val="00927836"/>
    <w:rsid w:val="009278F4"/>
    <w:rsid w:val="0092790A"/>
    <w:rsid w:val="00927A66"/>
    <w:rsid w:val="00927A68"/>
    <w:rsid w:val="00927A9C"/>
    <w:rsid w:val="00927B0A"/>
    <w:rsid w:val="00927B75"/>
    <w:rsid w:val="00927B8A"/>
    <w:rsid w:val="00927BBE"/>
    <w:rsid w:val="00927C40"/>
    <w:rsid w:val="00927CF8"/>
    <w:rsid w:val="00927D5D"/>
    <w:rsid w:val="00927E08"/>
    <w:rsid w:val="00927E0E"/>
    <w:rsid w:val="00927EF0"/>
    <w:rsid w:val="00927EF7"/>
    <w:rsid w:val="009300FB"/>
    <w:rsid w:val="00930142"/>
    <w:rsid w:val="0093018D"/>
    <w:rsid w:val="00930214"/>
    <w:rsid w:val="0093037E"/>
    <w:rsid w:val="009303C3"/>
    <w:rsid w:val="00930439"/>
    <w:rsid w:val="00930489"/>
    <w:rsid w:val="0093055A"/>
    <w:rsid w:val="00930757"/>
    <w:rsid w:val="009307B3"/>
    <w:rsid w:val="00930848"/>
    <w:rsid w:val="00930903"/>
    <w:rsid w:val="0093097A"/>
    <w:rsid w:val="00930A10"/>
    <w:rsid w:val="00930B94"/>
    <w:rsid w:val="00930B96"/>
    <w:rsid w:val="00930B98"/>
    <w:rsid w:val="00930C50"/>
    <w:rsid w:val="00930C8F"/>
    <w:rsid w:val="00930CFF"/>
    <w:rsid w:val="00930D5C"/>
    <w:rsid w:val="00930D67"/>
    <w:rsid w:val="00930E1B"/>
    <w:rsid w:val="00930F2A"/>
    <w:rsid w:val="0093110E"/>
    <w:rsid w:val="009311EC"/>
    <w:rsid w:val="0093128A"/>
    <w:rsid w:val="009312D7"/>
    <w:rsid w:val="00931468"/>
    <w:rsid w:val="0093182F"/>
    <w:rsid w:val="00931899"/>
    <w:rsid w:val="009318A2"/>
    <w:rsid w:val="0093197D"/>
    <w:rsid w:val="009319B4"/>
    <w:rsid w:val="009319E1"/>
    <w:rsid w:val="00931BE7"/>
    <w:rsid w:val="00931CB4"/>
    <w:rsid w:val="00931CC5"/>
    <w:rsid w:val="00931D20"/>
    <w:rsid w:val="00931E3F"/>
    <w:rsid w:val="00931E57"/>
    <w:rsid w:val="00931E74"/>
    <w:rsid w:val="00931ED6"/>
    <w:rsid w:val="00931F72"/>
    <w:rsid w:val="00931F8C"/>
    <w:rsid w:val="0093209C"/>
    <w:rsid w:val="009320C1"/>
    <w:rsid w:val="009320E5"/>
    <w:rsid w:val="009320FE"/>
    <w:rsid w:val="009321C0"/>
    <w:rsid w:val="009322BC"/>
    <w:rsid w:val="0093233A"/>
    <w:rsid w:val="0093235B"/>
    <w:rsid w:val="0093240F"/>
    <w:rsid w:val="0093245E"/>
    <w:rsid w:val="009325B0"/>
    <w:rsid w:val="00932620"/>
    <w:rsid w:val="0093263E"/>
    <w:rsid w:val="00932847"/>
    <w:rsid w:val="0093299A"/>
    <w:rsid w:val="00932AD9"/>
    <w:rsid w:val="00932BC0"/>
    <w:rsid w:val="00932C15"/>
    <w:rsid w:val="00932D10"/>
    <w:rsid w:val="00932D67"/>
    <w:rsid w:val="00932E7E"/>
    <w:rsid w:val="00932F1A"/>
    <w:rsid w:val="00932FF8"/>
    <w:rsid w:val="00933204"/>
    <w:rsid w:val="00933371"/>
    <w:rsid w:val="00933382"/>
    <w:rsid w:val="00933429"/>
    <w:rsid w:val="00933464"/>
    <w:rsid w:val="0093354A"/>
    <w:rsid w:val="00933560"/>
    <w:rsid w:val="009335BD"/>
    <w:rsid w:val="009336C9"/>
    <w:rsid w:val="00933790"/>
    <w:rsid w:val="009337B1"/>
    <w:rsid w:val="009337D6"/>
    <w:rsid w:val="0093381C"/>
    <w:rsid w:val="0093382E"/>
    <w:rsid w:val="00933A79"/>
    <w:rsid w:val="00933B4E"/>
    <w:rsid w:val="00933CB6"/>
    <w:rsid w:val="00933D42"/>
    <w:rsid w:val="00933DA9"/>
    <w:rsid w:val="00933E4B"/>
    <w:rsid w:val="00933F38"/>
    <w:rsid w:val="00933F5E"/>
    <w:rsid w:val="0093403F"/>
    <w:rsid w:val="0093409D"/>
    <w:rsid w:val="00934291"/>
    <w:rsid w:val="009342EE"/>
    <w:rsid w:val="009343BC"/>
    <w:rsid w:val="009343D1"/>
    <w:rsid w:val="00934566"/>
    <w:rsid w:val="009345A0"/>
    <w:rsid w:val="009345D0"/>
    <w:rsid w:val="0093467A"/>
    <w:rsid w:val="0093467B"/>
    <w:rsid w:val="00934698"/>
    <w:rsid w:val="00934852"/>
    <w:rsid w:val="00934982"/>
    <w:rsid w:val="00934A23"/>
    <w:rsid w:val="00934C33"/>
    <w:rsid w:val="00934C61"/>
    <w:rsid w:val="00934C7B"/>
    <w:rsid w:val="00934D93"/>
    <w:rsid w:val="00934E2A"/>
    <w:rsid w:val="00934EEF"/>
    <w:rsid w:val="00934F79"/>
    <w:rsid w:val="0093506F"/>
    <w:rsid w:val="00935083"/>
    <w:rsid w:val="009350EA"/>
    <w:rsid w:val="009351C1"/>
    <w:rsid w:val="0093523F"/>
    <w:rsid w:val="0093526D"/>
    <w:rsid w:val="0093527B"/>
    <w:rsid w:val="0093528D"/>
    <w:rsid w:val="009352C1"/>
    <w:rsid w:val="009352CA"/>
    <w:rsid w:val="009352E8"/>
    <w:rsid w:val="00935381"/>
    <w:rsid w:val="009353B8"/>
    <w:rsid w:val="009354A3"/>
    <w:rsid w:val="00935611"/>
    <w:rsid w:val="0093564C"/>
    <w:rsid w:val="009356C9"/>
    <w:rsid w:val="00935702"/>
    <w:rsid w:val="0093576D"/>
    <w:rsid w:val="009358D4"/>
    <w:rsid w:val="009359BB"/>
    <w:rsid w:val="00935BE2"/>
    <w:rsid w:val="00935C4C"/>
    <w:rsid w:val="00935C7F"/>
    <w:rsid w:val="00935D07"/>
    <w:rsid w:val="00935D0C"/>
    <w:rsid w:val="00935DF3"/>
    <w:rsid w:val="00935E44"/>
    <w:rsid w:val="00935E92"/>
    <w:rsid w:val="00935EB4"/>
    <w:rsid w:val="00935F07"/>
    <w:rsid w:val="0093605B"/>
    <w:rsid w:val="009361FF"/>
    <w:rsid w:val="00936213"/>
    <w:rsid w:val="009363C6"/>
    <w:rsid w:val="009364E9"/>
    <w:rsid w:val="00936595"/>
    <w:rsid w:val="00936760"/>
    <w:rsid w:val="009367C1"/>
    <w:rsid w:val="009367D0"/>
    <w:rsid w:val="009368D3"/>
    <w:rsid w:val="00936903"/>
    <w:rsid w:val="00936971"/>
    <w:rsid w:val="009369FA"/>
    <w:rsid w:val="00936B0B"/>
    <w:rsid w:val="00936B3B"/>
    <w:rsid w:val="00936C59"/>
    <w:rsid w:val="00936C6D"/>
    <w:rsid w:val="00936C79"/>
    <w:rsid w:val="00936CDF"/>
    <w:rsid w:val="00936DD2"/>
    <w:rsid w:val="00936F29"/>
    <w:rsid w:val="00936F6E"/>
    <w:rsid w:val="00936FF2"/>
    <w:rsid w:val="0093711C"/>
    <w:rsid w:val="009371D9"/>
    <w:rsid w:val="009371F7"/>
    <w:rsid w:val="00937220"/>
    <w:rsid w:val="0093727C"/>
    <w:rsid w:val="009372B6"/>
    <w:rsid w:val="009374AB"/>
    <w:rsid w:val="0093754F"/>
    <w:rsid w:val="0093760E"/>
    <w:rsid w:val="0093763B"/>
    <w:rsid w:val="00937668"/>
    <w:rsid w:val="00937780"/>
    <w:rsid w:val="00937793"/>
    <w:rsid w:val="009377D4"/>
    <w:rsid w:val="0093786B"/>
    <w:rsid w:val="0093796D"/>
    <w:rsid w:val="00937ADB"/>
    <w:rsid w:val="00937AEE"/>
    <w:rsid w:val="00937C7A"/>
    <w:rsid w:val="00937CDC"/>
    <w:rsid w:val="00937DEA"/>
    <w:rsid w:val="00937E3F"/>
    <w:rsid w:val="00937EB2"/>
    <w:rsid w:val="00937EBB"/>
    <w:rsid w:val="009400C6"/>
    <w:rsid w:val="009401B6"/>
    <w:rsid w:val="009402AB"/>
    <w:rsid w:val="009402B2"/>
    <w:rsid w:val="0094030A"/>
    <w:rsid w:val="0094033C"/>
    <w:rsid w:val="00940592"/>
    <w:rsid w:val="009406FC"/>
    <w:rsid w:val="0094071C"/>
    <w:rsid w:val="00940768"/>
    <w:rsid w:val="009407AC"/>
    <w:rsid w:val="0094088A"/>
    <w:rsid w:val="0094092D"/>
    <w:rsid w:val="0094096D"/>
    <w:rsid w:val="00940989"/>
    <w:rsid w:val="00940B29"/>
    <w:rsid w:val="00940B4E"/>
    <w:rsid w:val="00940BE0"/>
    <w:rsid w:val="00940DFC"/>
    <w:rsid w:val="00940E88"/>
    <w:rsid w:val="00940EBF"/>
    <w:rsid w:val="00940EE6"/>
    <w:rsid w:val="00940F3C"/>
    <w:rsid w:val="00941151"/>
    <w:rsid w:val="009411BF"/>
    <w:rsid w:val="009411CC"/>
    <w:rsid w:val="0094120B"/>
    <w:rsid w:val="00941230"/>
    <w:rsid w:val="00941322"/>
    <w:rsid w:val="009413BA"/>
    <w:rsid w:val="00941548"/>
    <w:rsid w:val="0094159C"/>
    <w:rsid w:val="009415E4"/>
    <w:rsid w:val="0094168B"/>
    <w:rsid w:val="009416E4"/>
    <w:rsid w:val="009416F5"/>
    <w:rsid w:val="00941775"/>
    <w:rsid w:val="009417CF"/>
    <w:rsid w:val="00941994"/>
    <w:rsid w:val="00941AF5"/>
    <w:rsid w:val="00941BD6"/>
    <w:rsid w:val="00941C01"/>
    <w:rsid w:val="00941C16"/>
    <w:rsid w:val="00941CA6"/>
    <w:rsid w:val="00941D36"/>
    <w:rsid w:val="00941D63"/>
    <w:rsid w:val="00941DE5"/>
    <w:rsid w:val="00941E5B"/>
    <w:rsid w:val="00941F0F"/>
    <w:rsid w:val="009421F2"/>
    <w:rsid w:val="00942226"/>
    <w:rsid w:val="009423E0"/>
    <w:rsid w:val="00942543"/>
    <w:rsid w:val="00942545"/>
    <w:rsid w:val="009425DD"/>
    <w:rsid w:val="009425EE"/>
    <w:rsid w:val="0094263B"/>
    <w:rsid w:val="00942695"/>
    <w:rsid w:val="00942839"/>
    <w:rsid w:val="009428A7"/>
    <w:rsid w:val="009428B4"/>
    <w:rsid w:val="009429E8"/>
    <w:rsid w:val="009429F8"/>
    <w:rsid w:val="00942AC5"/>
    <w:rsid w:val="00942B5E"/>
    <w:rsid w:val="00942BEF"/>
    <w:rsid w:val="00942C3D"/>
    <w:rsid w:val="00942C83"/>
    <w:rsid w:val="00942CA2"/>
    <w:rsid w:val="00942CD4"/>
    <w:rsid w:val="00942D3E"/>
    <w:rsid w:val="00942DF3"/>
    <w:rsid w:val="00942E47"/>
    <w:rsid w:val="00942F7C"/>
    <w:rsid w:val="00943026"/>
    <w:rsid w:val="00943132"/>
    <w:rsid w:val="00943186"/>
    <w:rsid w:val="0094323A"/>
    <w:rsid w:val="009432C5"/>
    <w:rsid w:val="009433CC"/>
    <w:rsid w:val="009433FD"/>
    <w:rsid w:val="00943448"/>
    <w:rsid w:val="009434C5"/>
    <w:rsid w:val="00943528"/>
    <w:rsid w:val="009435C5"/>
    <w:rsid w:val="00943859"/>
    <w:rsid w:val="009438E0"/>
    <w:rsid w:val="00943A0B"/>
    <w:rsid w:val="00943A34"/>
    <w:rsid w:val="00943A54"/>
    <w:rsid w:val="00943A7C"/>
    <w:rsid w:val="00943B90"/>
    <w:rsid w:val="00943D02"/>
    <w:rsid w:val="00943D83"/>
    <w:rsid w:val="00943DA0"/>
    <w:rsid w:val="00943DF1"/>
    <w:rsid w:val="00943DF7"/>
    <w:rsid w:val="00943E18"/>
    <w:rsid w:val="00943E38"/>
    <w:rsid w:val="00943E44"/>
    <w:rsid w:val="00943EB8"/>
    <w:rsid w:val="00943F17"/>
    <w:rsid w:val="00943FC3"/>
    <w:rsid w:val="00943FFA"/>
    <w:rsid w:val="00944054"/>
    <w:rsid w:val="00944160"/>
    <w:rsid w:val="0094418D"/>
    <w:rsid w:val="00944194"/>
    <w:rsid w:val="009441F6"/>
    <w:rsid w:val="00944308"/>
    <w:rsid w:val="00944490"/>
    <w:rsid w:val="00944551"/>
    <w:rsid w:val="0094462E"/>
    <w:rsid w:val="00944873"/>
    <w:rsid w:val="00944948"/>
    <w:rsid w:val="00944954"/>
    <w:rsid w:val="009449E0"/>
    <w:rsid w:val="00944BFA"/>
    <w:rsid w:val="00944E3A"/>
    <w:rsid w:val="00944F02"/>
    <w:rsid w:val="00945066"/>
    <w:rsid w:val="00945108"/>
    <w:rsid w:val="0094521A"/>
    <w:rsid w:val="009452AB"/>
    <w:rsid w:val="00945304"/>
    <w:rsid w:val="009453A7"/>
    <w:rsid w:val="0094545D"/>
    <w:rsid w:val="009454B9"/>
    <w:rsid w:val="0094562A"/>
    <w:rsid w:val="009456E9"/>
    <w:rsid w:val="00945796"/>
    <w:rsid w:val="00945A87"/>
    <w:rsid w:val="00945A8C"/>
    <w:rsid w:val="00945AEE"/>
    <w:rsid w:val="00945C38"/>
    <w:rsid w:val="00945C7B"/>
    <w:rsid w:val="00945D17"/>
    <w:rsid w:val="00945D3E"/>
    <w:rsid w:val="00945DA0"/>
    <w:rsid w:val="00945DCD"/>
    <w:rsid w:val="00945E35"/>
    <w:rsid w:val="00945EAC"/>
    <w:rsid w:val="00945F10"/>
    <w:rsid w:val="00945F25"/>
    <w:rsid w:val="00945FA6"/>
    <w:rsid w:val="00946052"/>
    <w:rsid w:val="0094610E"/>
    <w:rsid w:val="009461E4"/>
    <w:rsid w:val="0094629D"/>
    <w:rsid w:val="009462AD"/>
    <w:rsid w:val="0094639B"/>
    <w:rsid w:val="0094649D"/>
    <w:rsid w:val="0094657C"/>
    <w:rsid w:val="00946606"/>
    <w:rsid w:val="00946654"/>
    <w:rsid w:val="0094672D"/>
    <w:rsid w:val="00946827"/>
    <w:rsid w:val="0094688F"/>
    <w:rsid w:val="009468F2"/>
    <w:rsid w:val="00946AA3"/>
    <w:rsid w:val="00946B6F"/>
    <w:rsid w:val="00946C06"/>
    <w:rsid w:val="00946C2D"/>
    <w:rsid w:val="00946CB8"/>
    <w:rsid w:val="00946D88"/>
    <w:rsid w:val="00946F7C"/>
    <w:rsid w:val="00947038"/>
    <w:rsid w:val="00947041"/>
    <w:rsid w:val="0094705C"/>
    <w:rsid w:val="0094717E"/>
    <w:rsid w:val="00947274"/>
    <w:rsid w:val="00947294"/>
    <w:rsid w:val="0094737B"/>
    <w:rsid w:val="00947382"/>
    <w:rsid w:val="0094738A"/>
    <w:rsid w:val="0094750E"/>
    <w:rsid w:val="0094759E"/>
    <w:rsid w:val="009475E8"/>
    <w:rsid w:val="00947632"/>
    <w:rsid w:val="009476FB"/>
    <w:rsid w:val="009477B3"/>
    <w:rsid w:val="00947885"/>
    <w:rsid w:val="00947886"/>
    <w:rsid w:val="009478AA"/>
    <w:rsid w:val="009478B6"/>
    <w:rsid w:val="0094791A"/>
    <w:rsid w:val="00947AF7"/>
    <w:rsid w:val="00947B9B"/>
    <w:rsid w:val="00947BE2"/>
    <w:rsid w:val="00947BFA"/>
    <w:rsid w:val="00947C16"/>
    <w:rsid w:val="00947C47"/>
    <w:rsid w:val="00947D45"/>
    <w:rsid w:val="00947DC6"/>
    <w:rsid w:val="00947DFE"/>
    <w:rsid w:val="00947F20"/>
    <w:rsid w:val="00947F2E"/>
    <w:rsid w:val="00947FEF"/>
    <w:rsid w:val="0095016C"/>
    <w:rsid w:val="009501DC"/>
    <w:rsid w:val="00950250"/>
    <w:rsid w:val="0095026C"/>
    <w:rsid w:val="00950345"/>
    <w:rsid w:val="00950392"/>
    <w:rsid w:val="009503D9"/>
    <w:rsid w:val="009503DB"/>
    <w:rsid w:val="009504DB"/>
    <w:rsid w:val="00950562"/>
    <w:rsid w:val="00950686"/>
    <w:rsid w:val="0095073B"/>
    <w:rsid w:val="0095079B"/>
    <w:rsid w:val="009508FC"/>
    <w:rsid w:val="00950A36"/>
    <w:rsid w:val="00950A93"/>
    <w:rsid w:val="00950ACF"/>
    <w:rsid w:val="00950AD5"/>
    <w:rsid w:val="00950BB1"/>
    <w:rsid w:val="00950C08"/>
    <w:rsid w:val="00950FFB"/>
    <w:rsid w:val="009511CA"/>
    <w:rsid w:val="009512C5"/>
    <w:rsid w:val="00951341"/>
    <w:rsid w:val="009513A8"/>
    <w:rsid w:val="00951423"/>
    <w:rsid w:val="0095144E"/>
    <w:rsid w:val="009514B2"/>
    <w:rsid w:val="00951547"/>
    <w:rsid w:val="009515A2"/>
    <w:rsid w:val="009515A5"/>
    <w:rsid w:val="00951658"/>
    <w:rsid w:val="00951758"/>
    <w:rsid w:val="00951785"/>
    <w:rsid w:val="009517D5"/>
    <w:rsid w:val="0095183F"/>
    <w:rsid w:val="00951979"/>
    <w:rsid w:val="009519C2"/>
    <w:rsid w:val="00951C36"/>
    <w:rsid w:val="00951C71"/>
    <w:rsid w:val="00951E86"/>
    <w:rsid w:val="00951ECB"/>
    <w:rsid w:val="00951F83"/>
    <w:rsid w:val="00951FAD"/>
    <w:rsid w:val="00952024"/>
    <w:rsid w:val="00952189"/>
    <w:rsid w:val="00952219"/>
    <w:rsid w:val="0095229E"/>
    <w:rsid w:val="0095238B"/>
    <w:rsid w:val="009523B9"/>
    <w:rsid w:val="00952477"/>
    <w:rsid w:val="009527FF"/>
    <w:rsid w:val="00952886"/>
    <w:rsid w:val="00952A15"/>
    <w:rsid w:val="00952AA9"/>
    <w:rsid w:val="00952ABC"/>
    <w:rsid w:val="00952BC7"/>
    <w:rsid w:val="00952CAC"/>
    <w:rsid w:val="00952D35"/>
    <w:rsid w:val="00952E63"/>
    <w:rsid w:val="00952FED"/>
    <w:rsid w:val="009530C0"/>
    <w:rsid w:val="00953135"/>
    <w:rsid w:val="009531AA"/>
    <w:rsid w:val="009531CC"/>
    <w:rsid w:val="0095325E"/>
    <w:rsid w:val="00953270"/>
    <w:rsid w:val="009532A8"/>
    <w:rsid w:val="00953441"/>
    <w:rsid w:val="009534E5"/>
    <w:rsid w:val="00953505"/>
    <w:rsid w:val="00953527"/>
    <w:rsid w:val="0095352E"/>
    <w:rsid w:val="0095370C"/>
    <w:rsid w:val="009537A4"/>
    <w:rsid w:val="0095387B"/>
    <w:rsid w:val="00953882"/>
    <w:rsid w:val="009538AA"/>
    <w:rsid w:val="00953982"/>
    <w:rsid w:val="00953C66"/>
    <w:rsid w:val="00953DB0"/>
    <w:rsid w:val="00953F66"/>
    <w:rsid w:val="009542BF"/>
    <w:rsid w:val="009544E8"/>
    <w:rsid w:val="00954504"/>
    <w:rsid w:val="0095454F"/>
    <w:rsid w:val="009545C1"/>
    <w:rsid w:val="009545F6"/>
    <w:rsid w:val="00954673"/>
    <w:rsid w:val="00954866"/>
    <w:rsid w:val="00954962"/>
    <w:rsid w:val="009549B8"/>
    <w:rsid w:val="00954CCF"/>
    <w:rsid w:val="00954D38"/>
    <w:rsid w:val="00954DA3"/>
    <w:rsid w:val="00954DB8"/>
    <w:rsid w:val="00954E4D"/>
    <w:rsid w:val="00954F70"/>
    <w:rsid w:val="009551CB"/>
    <w:rsid w:val="009553E6"/>
    <w:rsid w:val="0095545B"/>
    <w:rsid w:val="00955478"/>
    <w:rsid w:val="00955558"/>
    <w:rsid w:val="009555E2"/>
    <w:rsid w:val="009556E5"/>
    <w:rsid w:val="0095573C"/>
    <w:rsid w:val="00955916"/>
    <w:rsid w:val="00955939"/>
    <w:rsid w:val="009559B7"/>
    <w:rsid w:val="00955A94"/>
    <w:rsid w:val="00955B1D"/>
    <w:rsid w:val="00955B5C"/>
    <w:rsid w:val="00955BAA"/>
    <w:rsid w:val="00955BF1"/>
    <w:rsid w:val="00955CEC"/>
    <w:rsid w:val="00955CFB"/>
    <w:rsid w:val="00955DC4"/>
    <w:rsid w:val="00955E59"/>
    <w:rsid w:val="00955E7D"/>
    <w:rsid w:val="009561AB"/>
    <w:rsid w:val="00956442"/>
    <w:rsid w:val="009565BA"/>
    <w:rsid w:val="00956624"/>
    <w:rsid w:val="00956691"/>
    <w:rsid w:val="00956760"/>
    <w:rsid w:val="00956789"/>
    <w:rsid w:val="009567C7"/>
    <w:rsid w:val="00956822"/>
    <w:rsid w:val="009568CE"/>
    <w:rsid w:val="009569F3"/>
    <w:rsid w:val="00956A18"/>
    <w:rsid w:val="00956ABF"/>
    <w:rsid w:val="00956AE0"/>
    <w:rsid w:val="00956B11"/>
    <w:rsid w:val="00956CB7"/>
    <w:rsid w:val="00956D99"/>
    <w:rsid w:val="00956EC1"/>
    <w:rsid w:val="00956ED3"/>
    <w:rsid w:val="00956EF1"/>
    <w:rsid w:val="00956F54"/>
    <w:rsid w:val="00956FDB"/>
    <w:rsid w:val="00957081"/>
    <w:rsid w:val="009570D3"/>
    <w:rsid w:val="009570FD"/>
    <w:rsid w:val="0095711A"/>
    <w:rsid w:val="0095711E"/>
    <w:rsid w:val="009571A5"/>
    <w:rsid w:val="00957325"/>
    <w:rsid w:val="00957347"/>
    <w:rsid w:val="0095743E"/>
    <w:rsid w:val="00957491"/>
    <w:rsid w:val="00957507"/>
    <w:rsid w:val="00957520"/>
    <w:rsid w:val="009576FE"/>
    <w:rsid w:val="00957707"/>
    <w:rsid w:val="00957800"/>
    <w:rsid w:val="009578B0"/>
    <w:rsid w:val="00957944"/>
    <w:rsid w:val="00957A9F"/>
    <w:rsid w:val="00957ADE"/>
    <w:rsid w:val="00957B8B"/>
    <w:rsid w:val="00957C70"/>
    <w:rsid w:val="00957D66"/>
    <w:rsid w:val="00957D7A"/>
    <w:rsid w:val="00957F3E"/>
    <w:rsid w:val="00960043"/>
    <w:rsid w:val="00960071"/>
    <w:rsid w:val="009600A0"/>
    <w:rsid w:val="00960112"/>
    <w:rsid w:val="00960114"/>
    <w:rsid w:val="009601A0"/>
    <w:rsid w:val="00960211"/>
    <w:rsid w:val="0096025E"/>
    <w:rsid w:val="009602B8"/>
    <w:rsid w:val="009602FF"/>
    <w:rsid w:val="0096032E"/>
    <w:rsid w:val="0096034D"/>
    <w:rsid w:val="0096048F"/>
    <w:rsid w:val="009604F0"/>
    <w:rsid w:val="00960513"/>
    <w:rsid w:val="00960605"/>
    <w:rsid w:val="009607B2"/>
    <w:rsid w:val="009607F3"/>
    <w:rsid w:val="009608B7"/>
    <w:rsid w:val="009608DF"/>
    <w:rsid w:val="00960A2D"/>
    <w:rsid w:val="00960A45"/>
    <w:rsid w:val="00960A8A"/>
    <w:rsid w:val="00960AE6"/>
    <w:rsid w:val="00960B15"/>
    <w:rsid w:val="00960CC8"/>
    <w:rsid w:val="00960CE1"/>
    <w:rsid w:val="00960E66"/>
    <w:rsid w:val="00960ED1"/>
    <w:rsid w:val="00960EE9"/>
    <w:rsid w:val="00960FB1"/>
    <w:rsid w:val="00960FF0"/>
    <w:rsid w:val="00961017"/>
    <w:rsid w:val="0096115B"/>
    <w:rsid w:val="009611F1"/>
    <w:rsid w:val="009611FA"/>
    <w:rsid w:val="009611FD"/>
    <w:rsid w:val="009612A3"/>
    <w:rsid w:val="0096132A"/>
    <w:rsid w:val="00961359"/>
    <w:rsid w:val="009616D7"/>
    <w:rsid w:val="0096181C"/>
    <w:rsid w:val="00961843"/>
    <w:rsid w:val="00961899"/>
    <w:rsid w:val="0096196D"/>
    <w:rsid w:val="009619F7"/>
    <w:rsid w:val="00961AB3"/>
    <w:rsid w:val="00961B1D"/>
    <w:rsid w:val="00961C03"/>
    <w:rsid w:val="00961CA6"/>
    <w:rsid w:val="00961CE7"/>
    <w:rsid w:val="00961DAB"/>
    <w:rsid w:val="00961DB7"/>
    <w:rsid w:val="00961DF7"/>
    <w:rsid w:val="0096202B"/>
    <w:rsid w:val="00962099"/>
    <w:rsid w:val="009620CB"/>
    <w:rsid w:val="00962293"/>
    <w:rsid w:val="009622DF"/>
    <w:rsid w:val="00962314"/>
    <w:rsid w:val="00962440"/>
    <w:rsid w:val="0096259F"/>
    <w:rsid w:val="00962663"/>
    <w:rsid w:val="00962700"/>
    <w:rsid w:val="0096271E"/>
    <w:rsid w:val="00962746"/>
    <w:rsid w:val="009627D5"/>
    <w:rsid w:val="00962914"/>
    <w:rsid w:val="009629C8"/>
    <w:rsid w:val="00962A8B"/>
    <w:rsid w:val="00962AD9"/>
    <w:rsid w:val="00962B32"/>
    <w:rsid w:val="00962F0C"/>
    <w:rsid w:val="00962F53"/>
    <w:rsid w:val="00963111"/>
    <w:rsid w:val="0096316F"/>
    <w:rsid w:val="009632EE"/>
    <w:rsid w:val="009632EF"/>
    <w:rsid w:val="009633B3"/>
    <w:rsid w:val="009633BE"/>
    <w:rsid w:val="009633E8"/>
    <w:rsid w:val="00963619"/>
    <w:rsid w:val="0096362C"/>
    <w:rsid w:val="0096376A"/>
    <w:rsid w:val="00963823"/>
    <w:rsid w:val="009638E8"/>
    <w:rsid w:val="00963985"/>
    <w:rsid w:val="00963B57"/>
    <w:rsid w:val="00963BA8"/>
    <w:rsid w:val="00963C90"/>
    <w:rsid w:val="00963CB7"/>
    <w:rsid w:val="00963D00"/>
    <w:rsid w:val="00963D28"/>
    <w:rsid w:val="00963D63"/>
    <w:rsid w:val="00963E4B"/>
    <w:rsid w:val="00963E5D"/>
    <w:rsid w:val="009640F5"/>
    <w:rsid w:val="00964214"/>
    <w:rsid w:val="00964219"/>
    <w:rsid w:val="0096423E"/>
    <w:rsid w:val="0096423F"/>
    <w:rsid w:val="00964270"/>
    <w:rsid w:val="009642C3"/>
    <w:rsid w:val="009642DA"/>
    <w:rsid w:val="0096439E"/>
    <w:rsid w:val="0096444E"/>
    <w:rsid w:val="0096446D"/>
    <w:rsid w:val="0096457A"/>
    <w:rsid w:val="0096466C"/>
    <w:rsid w:val="009646AB"/>
    <w:rsid w:val="009646DA"/>
    <w:rsid w:val="009646E9"/>
    <w:rsid w:val="00964701"/>
    <w:rsid w:val="009647EC"/>
    <w:rsid w:val="0096480B"/>
    <w:rsid w:val="009648EE"/>
    <w:rsid w:val="009649A9"/>
    <w:rsid w:val="009649DC"/>
    <w:rsid w:val="00964AEB"/>
    <w:rsid w:val="00964B42"/>
    <w:rsid w:val="00964D04"/>
    <w:rsid w:val="00964DD4"/>
    <w:rsid w:val="00964E02"/>
    <w:rsid w:val="00964E14"/>
    <w:rsid w:val="00964E42"/>
    <w:rsid w:val="00964E5A"/>
    <w:rsid w:val="00964E90"/>
    <w:rsid w:val="0096505B"/>
    <w:rsid w:val="00965161"/>
    <w:rsid w:val="00965250"/>
    <w:rsid w:val="00965433"/>
    <w:rsid w:val="0096546B"/>
    <w:rsid w:val="009655D6"/>
    <w:rsid w:val="009655E9"/>
    <w:rsid w:val="00965649"/>
    <w:rsid w:val="009656A7"/>
    <w:rsid w:val="00965826"/>
    <w:rsid w:val="009658C9"/>
    <w:rsid w:val="009658E7"/>
    <w:rsid w:val="009659B4"/>
    <w:rsid w:val="00965ADA"/>
    <w:rsid w:val="00965C69"/>
    <w:rsid w:val="00965D64"/>
    <w:rsid w:val="00965DBC"/>
    <w:rsid w:val="00965DD6"/>
    <w:rsid w:val="00966039"/>
    <w:rsid w:val="00966040"/>
    <w:rsid w:val="009660CE"/>
    <w:rsid w:val="009660E1"/>
    <w:rsid w:val="009662EC"/>
    <w:rsid w:val="00966329"/>
    <w:rsid w:val="0096633C"/>
    <w:rsid w:val="00966364"/>
    <w:rsid w:val="00966367"/>
    <w:rsid w:val="00966405"/>
    <w:rsid w:val="009664A7"/>
    <w:rsid w:val="0096656C"/>
    <w:rsid w:val="009665A2"/>
    <w:rsid w:val="009665C0"/>
    <w:rsid w:val="00966603"/>
    <w:rsid w:val="00966799"/>
    <w:rsid w:val="009667C1"/>
    <w:rsid w:val="009667F2"/>
    <w:rsid w:val="00966891"/>
    <w:rsid w:val="009668EC"/>
    <w:rsid w:val="0096698A"/>
    <w:rsid w:val="00966B7F"/>
    <w:rsid w:val="00966C50"/>
    <w:rsid w:val="00966D6A"/>
    <w:rsid w:val="00966DAC"/>
    <w:rsid w:val="00966E16"/>
    <w:rsid w:val="00966ECC"/>
    <w:rsid w:val="00966F76"/>
    <w:rsid w:val="009670D6"/>
    <w:rsid w:val="00967206"/>
    <w:rsid w:val="00967265"/>
    <w:rsid w:val="00967400"/>
    <w:rsid w:val="00967402"/>
    <w:rsid w:val="00967434"/>
    <w:rsid w:val="00967482"/>
    <w:rsid w:val="009674C6"/>
    <w:rsid w:val="009675ED"/>
    <w:rsid w:val="0096766B"/>
    <w:rsid w:val="0096776B"/>
    <w:rsid w:val="0096777D"/>
    <w:rsid w:val="009677B2"/>
    <w:rsid w:val="009677EF"/>
    <w:rsid w:val="00967859"/>
    <w:rsid w:val="009678CD"/>
    <w:rsid w:val="0096792B"/>
    <w:rsid w:val="00967965"/>
    <w:rsid w:val="00967A3E"/>
    <w:rsid w:val="00967A97"/>
    <w:rsid w:val="00967AB6"/>
    <w:rsid w:val="00967B10"/>
    <w:rsid w:val="00967C1F"/>
    <w:rsid w:val="00967C4D"/>
    <w:rsid w:val="00967CFB"/>
    <w:rsid w:val="00967D84"/>
    <w:rsid w:val="00967E1A"/>
    <w:rsid w:val="00967E4D"/>
    <w:rsid w:val="00967EB1"/>
    <w:rsid w:val="00967FDF"/>
    <w:rsid w:val="00970005"/>
    <w:rsid w:val="0097001A"/>
    <w:rsid w:val="0097006D"/>
    <w:rsid w:val="009700D3"/>
    <w:rsid w:val="0097016A"/>
    <w:rsid w:val="009701B5"/>
    <w:rsid w:val="0097042C"/>
    <w:rsid w:val="009704A2"/>
    <w:rsid w:val="009704AA"/>
    <w:rsid w:val="0097058B"/>
    <w:rsid w:val="009705EE"/>
    <w:rsid w:val="00970694"/>
    <w:rsid w:val="009707F9"/>
    <w:rsid w:val="009709B5"/>
    <w:rsid w:val="00970A0C"/>
    <w:rsid w:val="00970AC4"/>
    <w:rsid w:val="00970B2B"/>
    <w:rsid w:val="00970B7D"/>
    <w:rsid w:val="00970B92"/>
    <w:rsid w:val="00970BC7"/>
    <w:rsid w:val="00970BED"/>
    <w:rsid w:val="00970D82"/>
    <w:rsid w:val="00970EA2"/>
    <w:rsid w:val="00970FB0"/>
    <w:rsid w:val="0097104E"/>
    <w:rsid w:val="0097106E"/>
    <w:rsid w:val="00971077"/>
    <w:rsid w:val="0097107D"/>
    <w:rsid w:val="0097113A"/>
    <w:rsid w:val="00971171"/>
    <w:rsid w:val="009711F2"/>
    <w:rsid w:val="0097128F"/>
    <w:rsid w:val="00971501"/>
    <w:rsid w:val="009715EB"/>
    <w:rsid w:val="009716C1"/>
    <w:rsid w:val="00971741"/>
    <w:rsid w:val="00971758"/>
    <w:rsid w:val="009717D6"/>
    <w:rsid w:val="00971953"/>
    <w:rsid w:val="00971986"/>
    <w:rsid w:val="00971C5F"/>
    <w:rsid w:val="00971D86"/>
    <w:rsid w:val="00971EA4"/>
    <w:rsid w:val="009720FB"/>
    <w:rsid w:val="009722BC"/>
    <w:rsid w:val="00972302"/>
    <w:rsid w:val="009723A6"/>
    <w:rsid w:val="009723B4"/>
    <w:rsid w:val="00972442"/>
    <w:rsid w:val="0097244C"/>
    <w:rsid w:val="009724F4"/>
    <w:rsid w:val="00972534"/>
    <w:rsid w:val="009725A0"/>
    <w:rsid w:val="00972674"/>
    <w:rsid w:val="00972989"/>
    <w:rsid w:val="00972A0B"/>
    <w:rsid w:val="00972BBF"/>
    <w:rsid w:val="00972C5B"/>
    <w:rsid w:val="00972CDC"/>
    <w:rsid w:val="00972D06"/>
    <w:rsid w:val="00972D8C"/>
    <w:rsid w:val="00972DAC"/>
    <w:rsid w:val="00972DFC"/>
    <w:rsid w:val="00972FB0"/>
    <w:rsid w:val="00973092"/>
    <w:rsid w:val="009730CB"/>
    <w:rsid w:val="00973131"/>
    <w:rsid w:val="0097329C"/>
    <w:rsid w:val="009733A7"/>
    <w:rsid w:val="009733F4"/>
    <w:rsid w:val="0097347F"/>
    <w:rsid w:val="009734F9"/>
    <w:rsid w:val="00973530"/>
    <w:rsid w:val="0097357D"/>
    <w:rsid w:val="0097360C"/>
    <w:rsid w:val="00973656"/>
    <w:rsid w:val="00973673"/>
    <w:rsid w:val="00973692"/>
    <w:rsid w:val="009736CA"/>
    <w:rsid w:val="009736D0"/>
    <w:rsid w:val="0097370D"/>
    <w:rsid w:val="009738C7"/>
    <w:rsid w:val="00973A9B"/>
    <w:rsid w:val="00973B52"/>
    <w:rsid w:val="00973C2F"/>
    <w:rsid w:val="00973CED"/>
    <w:rsid w:val="00973DBA"/>
    <w:rsid w:val="00973E3C"/>
    <w:rsid w:val="00973F08"/>
    <w:rsid w:val="00973F9A"/>
    <w:rsid w:val="0097401B"/>
    <w:rsid w:val="00974117"/>
    <w:rsid w:val="00974331"/>
    <w:rsid w:val="009744E9"/>
    <w:rsid w:val="00974638"/>
    <w:rsid w:val="0097475D"/>
    <w:rsid w:val="009747F9"/>
    <w:rsid w:val="00974827"/>
    <w:rsid w:val="0097491F"/>
    <w:rsid w:val="0097496B"/>
    <w:rsid w:val="00974ADE"/>
    <w:rsid w:val="00974AF1"/>
    <w:rsid w:val="00974B08"/>
    <w:rsid w:val="00974B59"/>
    <w:rsid w:val="00974B69"/>
    <w:rsid w:val="00974C19"/>
    <w:rsid w:val="00974C34"/>
    <w:rsid w:val="00974C84"/>
    <w:rsid w:val="00974C8E"/>
    <w:rsid w:val="00974D1B"/>
    <w:rsid w:val="00974E3D"/>
    <w:rsid w:val="00974F62"/>
    <w:rsid w:val="00974FA4"/>
    <w:rsid w:val="00974FCC"/>
    <w:rsid w:val="0097503D"/>
    <w:rsid w:val="00975128"/>
    <w:rsid w:val="0097515A"/>
    <w:rsid w:val="00975165"/>
    <w:rsid w:val="009751B6"/>
    <w:rsid w:val="00975253"/>
    <w:rsid w:val="0097531C"/>
    <w:rsid w:val="0097547F"/>
    <w:rsid w:val="0097548B"/>
    <w:rsid w:val="009754D6"/>
    <w:rsid w:val="009754FB"/>
    <w:rsid w:val="009755B7"/>
    <w:rsid w:val="009755EA"/>
    <w:rsid w:val="00975638"/>
    <w:rsid w:val="00975659"/>
    <w:rsid w:val="0097577F"/>
    <w:rsid w:val="00975913"/>
    <w:rsid w:val="009759E8"/>
    <w:rsid w:val="00975A0F"/>
    <w:rsid w:val="00975A59"/>
    <w:rsid w:val="00975AC3"/>
    <w:rsid w:val="00975B8C"/>
    <w:rsid w:val="00975C9F"/>
    <w:rsid w:val="00975CB2"/>
    <w:rsid w:val="00975E63"/>
    <w:rsid w:val="00975F58"/>
    <w:rsid w:val="0097604E"/>
    <w:rsid w:val="0097609A"/>
    <w:rsid w:val="009760A5"/>
    <w:rsid w:val="0097614A"/>
    <w:rsid w:val="009761D3"/>
    <w:rsid w:val="0097623E"/>
    <w:rsid w:val="00976286"/>
    <w:rsid w:val="009763CB"/>
    <w:rsid w:val="0097641F"/>
    <w:rsid w:val="009765DB"/>
    <w:rsid w:val="0097669B"/>
    <w:rsid w:val="00976726"/>
    <w:rsid w:val="00976744"/>
    <w:rsid w:val="00976757"/>
    <w:rsid w:val="00976923"/>
    <w:rsid w:val="00976927"/>
    <w:rsid w:val="00976CD4"/>
    <w:rsid w:val="00976D44"/>
    <w:rsid w:val="00976DF8"/>
    <w:rsid w:val="009771B1"/>
    <w:rsid w:val="0097728C"/>
    <w:rsid w:val="0097733B"/>
    <w:rsid w:val="00977442"/>
    <w:rsid w:val="009774FD"/>
    <w:rsid w:val="00977566"/>
    <w:rsid w:val="00977826"/>
    <w:rsid w:val="0097785D"/>
    <w:rsid w:val="009778AD"/>
    <w:rsid w:val="009778B9"/>
    <w:rsid w:val="009779CE"/>
    <w:rsid w:val="00977A7B"/>
    <w:rsid w:val="00977AC5"/>
    <w:rsid w:val="00977AD2"/>
    <w:rsid w:val="00977BEC"/>
    <w:rsid w:val="00977E95"/>
    <w:rsid w:val="00977F03"/>
    <w:rsid w:val="009800C3"/>
    <w:rsid w:val="009800EF"/>
    <w:rsid w:val="0098011A"/>
    <w:rsid w:val="009802EF"/>
    <w:rsid w:val="00980447"/>
    <w:rsid w:val="009806C0"/>
    <w:rsid w:val="009806EE"/>
    <w:rsid w:val="009807EC"/>
    <w:rsid w:val="009807F8"/>
    <w:rsid w:val="00980811"/>
    <w:rsid w:val="00980982"/>
    <w:rsid w:val="00980BCD"/>
    <w:rsid w:val="00980BFB"/>
    <w:rsid w:val="00980DB2"/>
    <w:rsid w:val="00980DD3"/>
    <w:rsid w:val="00980E12"/>
    <w:rsid w:val="00980E71"/>
    <w:rsid w:val="00980F39"/>
    <w:rsid w:val="00980F48"/>
    <w:rsid w:val="00980F8F"/>
    <w:rsid w:val="00980F95"/>
    <w:rsid w:val="00980FE0"/>
    <w:rsid w:val="009811C0"/>
    <w:rsid w:val="0098136A"/>
    <w:rsid w:val="009813A8"/>
    <w:rsid w:val="00981413"/>
    <w:rsid w:val="00981567"/>
    <w:rsid w:val="009815F9"/>
    <w:rsid w:val="00981689"/>
    <w:rsid w:val="009816DA"/>
    <w:rsid w:val="0098192B"/>
    <w:rsid w:val="00981A57"/>
    <w:rsid w:val="00981A73"/>
    <w:rsid w:val="00981ACF"/>
    <w:rsid w:val="00981B21"/>
    <w:rsid w:val="00981B3F"/>
    <w:rsid w:val="00981C18"/>
    <w:rsid w:val="00981D6D"/>
    <w:rsid w:val="00981DA5"/>
    <w:rsid w:val="00981E74"/>
    <w:rsid w:val="00982021"/>
    <w:rsid w:val="009820B3"/>
    <w:rsid w:val="009821B6"/>
    <w:rsid w:val="009821CA"/>
    <w:rsid w:val="0098232E"/>
    <w:rsid w:val="0098240C"/>
    <w:rsid w:val="009824DA"/>
    <w:rsid w:val="009825F0"/>
    <w:rsid w:val="0098265E"/>
    <w:rsid w:val="009827F6"/>
    <w:rsid w:val="00982842"/>
    <w:rsid w:val="009828DA"/>
    <w:rsid w:val="009828F5"/>
    <w:rsid w:val="00982997"/>
    <w:rsid w:val="009829E4"/>
    <w:rsid w:val="00982B03"/>
    <w:rsid w:val="00982B12"/>
    <w:rsid w:val="00982C22"/>
    <w:rsid w:val="00982CEF"/>
    <w:rsid w:val="00982D39"/>
    <w:rsid w:val="00982D6A"/>
    <w:rsid w:val="00982E47"/>
    <w:rsid w:val="00982EAA"/>
    <w:rsid w:val="00982F19"/>
    <w:rsid w:val="00982F53"/>
    <w:rsid w:val="00982FBA"/>
    <w:rsid w:val="009831DB"/>
    <w:rsid w:val="0098322C"/>
    <w:rsid w:val="00983278"/>
    <w:rsid w:val="009832B4"/>
    <w:rsid w:val="009832BF"/>
    <w:rsid w:val="009832D7"/>
    <w:rsid w:val="0098331C"/>
    <w:rsid w:val="009834C1"/>
    <w:rsid w:val="0098350B"/>
    <w:rsid w:val="00983598"/>
    <w:rsid w:val="0098359F"/>
    <w:rsid w:val="009837FE"/>
    <w:rsid w:val="009838F3"/>
    <w:rsid w:val="009839B6"/>
    <w:rsid w:val="009839D9"/>
    <w:rsid w:val="009839FB"/>
    <w:rsid w:val="00983AF9"/>
    <w:rsid w:val="00983BA1"/>
    <w:rsid w:val="00983BBC"/>
    <w:rsid w:val="00983BE4"/>
    <w:rsid w:val="00983C69"/>
    <w:rsid w:val="00983CA1"/>
    <w:rsid w:val="00983E0E"/>
    <w:rsid w:val="0098400C"/>
    <w:rsid w:val="009840AF"/>
    <w:rsid w:val="009840C3"/>
    <w:rsid w:val="00984130"/>
    <w:rsid w:val="0098414D"/>
    <w:rsid w:val="009841CD"/>
    <w:rsid w:val="0098452F"/>
    <w:rsid w:val="009846BF"/>
    <w:rsid w:val="0098476B"/>
    <w:rsid w:val="00984879"/>
    <w:rsid w:val="00984965"/>
    <w:rsid w:val="00984A4F"/>
    <w:rsid w:val="00984AB9"/>
    <w:rsid w:val="00984CCF"/>
    <w:rsid w:val="00984D08"/>
    <w:rsid w:val="00984D18"/>
    <w:rsid w:val="00984D5C"/>
    <w:rsid w:val="00984E8F"/>
    <w:rsid w:val="00984EC8"/>
    <w:rsid w:val="00985194"/>
    <w:rsid w:val="009851F1"/>
    <w:rsid w:val="00985383"/>
    <w:rsid w:val="00985493"/>
    <w:rsid w:val="009854CC"/>
    <w:rsid w:val="00985557"/>
    <w:rsid w:val="009855AB"/>
    <w:rsid w:val="00985651"/>
    <w:rsid w:val="009856BC"/>
    <w:rsid w:val="009856FC"/>
    <w:rsid w:val="00985764"/>
    <w:rsid w:val="00985819"/>
    <w:rsid w:val="00985820"/>
    <w:rsid w:val="00985822"/>
    <w:rsid w:val="0098597C"/>
    <w:rsid w:val="00985A42"/>
    <w:rsid w:val="00985C3C"/>
    <w:rsid w:val="00985C97"/>
    <w:rsid w:val="00985CE0"/>
    <w:rsid w:val="00985D8D"/>
    <w:rsid w:val="00985E03"/>
    <w:rsid w:val="0098607E"/>
    <w:rsid w:val="009860B6"/>
    <w:rsid w:val="009861C8"/>
    <w:rsid w:val="0098624B"/>
    <w:rsid w:val="00986276"/>
    <w:rsid w:val="009862AC"/>
    <w:rsid w:val="009862D5"/>
    <w:rsid w:val="00986316"/>
    <w:rsid w:val="0098631A"/>
    <w:rsid w:val="009863B8"/>
    <w:rsid w:val="009863FE"/>
    <w:rsid w:val="009864BC"/>
    <w:rsid w:val="009865B9"/>
    <w:rsid w:val="009866F8"/>
    <w:rsid w:val="00986758"/>
    <w:rsid w:val="009867E9"/>
    <w:rsid w:val="009868A1"/>
    <w:rsid w:val="0098696B"/>
    <w:rsid w:val="00986A39"/>
    <w:rsid w:val="00986A8D"/>
    <w:rsid w:val="00986C10"/>
    <w:rsid w:val="00986CA8"/>
    <w:rsid w:val="00986D04"/>
    <w:rsid w:val="00986D5F"/>
    <w:rsid w:val="00986E14"/>
    <w:rsid w:val="00986EF4"/>
    <w:rsid w:val="00986F4C"/>
    <w:rsid w:val="00987039"/>
    <w:rsid w:val="0098708D"/>
    <w:rsid w:val="00987091"/>
    <w:rsid w:val="009870BA"/>
    <w:rsid w:val="009871DB"/>
    <w:rsid w:val="009872B0"/>
    <w:rsid w:val="00987452"/>
    <w:rsid w:val="009875F1"/>
    <w:rsid w:val="0098771B"/>
    <w:rsid w:val="00987805"/>
    <w:rsid w:val="00987856"/>
    <w:rsid w:val="009878D4"/>
    <w:rsid w:val="009879F7"/>
    <w:rsid w:val="00987A2C"/>
    <w:rsid w:val="00987A50"/>
    <w:rsid w:val="00987A51"/>
    <w:rsid w:val="00987AAD"/>
    <w:rsid w:val="00987ADE"/>
    <w:rsid w:val="00987B01"/>
    <w:rsid w:val="00987B63"/>
    <w:rsid w:val="00987BB8"/>
    <w:rsid w:val="00987C31"/>
    <w:rsid w:val="00987C6A"/>
    <w:rsid w:val="00987D5F"/>
    <w:rsid w:val="00987DAD"/>
    <w:rsid w:val="00987E36"/>
    <w:rsid w:val="0099007A"/>
    <w:rsid w:val="009900B8"/>
    <w:rsid w:val="009900F1"/>
    <w:rsid w:val="00990165"/>
    <w:rsid w:val="00990167"/>
    <w:rsid w:val="00990191"/>
    <w:rsid w:val="0099025C"/>
    <w:rsid w:val="0099026D"/>
    <w:rsid w:val="0099026F"/>
    <w:rsid w:val="00990377"/>
    <w:rsid w:val="009903D8"/>
    <w:rsid w:val="0099046D"/>
    <w:rsid w:val="009904F7"/>
    <w:rsid w:val="0099058A"/>
    <w:rsid w:val="00990687"/>
    <w:rsid w:val="00990727"/>
    <w:rsid w:val="009907E9"/>
    <w:rsid w:val="009907F1"/>
    <w:rsid w:val="009908F5"/>
    <w:rsid w:val="0099096A"/>
    <w:rsid w:val="009909B4"/>
    <w:rsid w:val="00990A52"/>
    <w:rsid w:val="00990C63"/>
    <w:rsid w:val="00990E1D"/>
    <w:rsid w:val="00990E3C"/>
    <w:rsid w:val="00990EA4"/>
    <w:rsid w:val="00990FCE"/>
    <w:rsid w:val="00990FE6"/>
    <w:rsid w:val="009910A8"/>
    <w:rsid w:val="00991165"/>
    <w:rsid w:val="009911C5"/>
    <w:rsid w:val="009911E9"/>
    <w:rsid w:val="00991273"/>
    <w:rsid w:val="009912D2"/>
    <w:rsid w:val="009912F6"/>
    <w:rsid w:val="0099130D"/>
    <w:rsid w:val="00991331"/>
    <w:rsid w:val="00991374"/>
    <w:rsid w:val="009914CE"/>
    <w:rsid w:val="009916C4"/>
    <w:rsid w:val="00991846"/>
    <w:rsid w:val="0099190D"/>
    <w:rsid w:val="0099191E"/>
    <w:rsid w:val="00991AC6"/>
    <w:rsid w:val="00991B0F"/>
    <w:rsid w:val="00991BCA"/>
    <w:rsid w:val="00991BF6"/>
    <w:rsid w:val="00991CDF"/>
    <w:rsid w:val="00991D34"/>
    <w:rsid w:val="00991D9C"/>
    <w:rsid w:val="00991E10"/>
    <w:rsid w:val="00991E46"/>
    <w:rsid w:val="00991FF6"/>
    <w:rsid w:val="009920AE"/>
    <w:rsid w:val="009921CC"/>
    <w:rsid w:val="009922CE"/>
    <w:rsid w:val="00992301"/>
    <w:rsid w:val="00992314"/>
    <w:rsid w:val="00992396"/>
    <w:rsid w:val="00992505"/>
    <w:rsid w:val="0099253D"/>
    <w:rsid w:val="00992617"/>
    <w:rsid w:val="0099269A"/>
    <w:rsid w:val="00992775"/>
    <w:rsid w:val="009927A5"/>
    <w:rsid w:val="009927C1"/>
    <w:rsid w:val="009927EC"/>
    <w:rsid w:val="0099285F"/>
    <w:rsid w:val="009929FB"/>
    <w:rsid w:val="00992A60"/>
    <w:rsid w:val="00992B57"/>
    <w:rsid w:val="00992B99"/>
    <w:rsid w:val="00992BDB"/>
    <w:rsid w:val="00992BF0"/>
    <w:rsid w:val="00992CE0"/>
    <w:rsid w:val="00992D17"/>
    <w:rsid w:val="00992DBE"/>
    <w:rsid w:val="00992E15"/>
    <w:rsid w:val="00992E7A"/>
    <w:rsid w:val="00992E9D"/>
    <w:rsid w:val="00992EDC"/>
    <w:rsid w:val="009930A9"/>
    <w:rsid w:val="009930F0"/>
    <w:rsid w:val="00993130"/>
    <w:rsid w:val="0099318D"/>
    <w:rsid w:val="00993190"/>
    <w:rsid w:val="00993200"/>
    <w:rsid w:val="00993286"/>
    <w:rsid w:val="00993583"/>
    <w:rsid w:val="00993620"/>
    <w:rsid w:val="00993823"/>
    <w:rsid w:val="00993835"/>
    <w:rsid w:val="00993861"/>
    <w:rsid w:val="0099386B"/>
    <w:rsid w:val="009939FA"/>
    <w:rsid w:val="00993A6D"/>
    <w:rsid w:val="00993AAD"/>
    <w:rsid w:val="00993AC4"/>
    <w:rsid w:val="00993AE0"/>
    <w:rsid w:val="00993B28"/>
    <w:rsid w:val="00993C5A"/>
    <w:rsid w:val="00993D4C"/>
    <w:rsid w:val="00993E00"/>
    <w:rsid w:val="00993E8E"/>
    <w:rsid w:val="00993EA6"/>
    <w:rsid w:val="00993EF2"/>
    <w:rsid w:val="00993F0D"/>
    <w:rsid w:val="00993F60"/>
    <w:rsid w:val="0099416C"/>
    <w:rsid w:val="009942A2"/>
    <w:rsid w:val="0099440B"/>
    <w:rsid w:val="0099450F"/>
    <w:rsid w:val="00994547"/>
    <w:rsid w:val="009945BF"/>
    <w:rsid w:val="00994627"/>
    <w:rsid w:val="00994670"/>
    <w:rsid w:val="009947D7"/>
    <w:rsid w:val="0099489B"/>
    <w:rsid w:val="00994963"/>
    <w:rsid w:val="0099499F"/>
    <w:rsid w:val="00994B5A"/>
    <w:rsid w:val="00994C2C"/>
    <w:rsid w:val="00994C49"/>
    <w:rsid w:val="00994C79"/>
    <w:rsid w:val="00994CB4"/>
    <w:rsid w:val="00994E68"/>
    <w:rsid w:val="00994E7E"/>
    <w:rsid w:val="00994E88"/>
    <w:rsid w:val="00994FE9"/>
    <w:rsid w:val="00995045"/>
    <w:rsid w:val="0099510F"/>
    <w:rsid w:val="009951B7"/>
    <w:rsid w:val="0099525B"/>
    <w:rsid w:val="00995378"/>
    <w:rsid w:val="009954F8"/>
    <w:rsid w:val="00995521"/>
    <w:rsid w:val="0099558A"/>
    <w:rsid w:val="009955AB"/>
    <w:rsid w:val="009955B1"/>
    <w:rsid w:val="009955B7"/>
    <w:rsid w:val="009955BD"/>
    <w:rsid w:val="00995633"/>
    <w:rsid w:val="00995729"/>
    <w:rsid w:val="0099572F"/>
    <w:rsid w:val="0099577E"/>
    <w:rsid w:val="00995810"/>
    <w:rsid w:val="00995837"/>
    <w:rsid w:val="0099587C"/>
    <w:rsid w:val="009958C6"/>
    <w:rsid w:val="0099590C"/>
    <w:rsid w:val="00995916"/>
    <w:rsid w:val="00995936"/>
    <w:rsid w:val="0099595C"/>
    <w:rsid w:val="00995984"/>
    <w:rsid w:val="00995986"/>
    <w:rsid w:val="009959BC"/>
    <w:rsid w:val="009959CC"/>
    <w:rsid w:val="00995C21"/>
    <w:rsid w:val="00995C5E"/>
    <w:rsid w:val="00995E0F"/>
    <w:rsid w:val="0099614D"/>
    <w:rsid w:val="009961B1"/>
    <w:rsid w:val="009962B1"/>
    <w:rsid w:val="00996420"/>
    <w:rsid w:val="00996497"/>
    <w:rsid w:val="009964C1"/>
    <w:rsid w:val="009964EE"/>
    <w:rsid w:val="00996696"/>
    <w:rsid w:val="009966E0"/>
    <w:rsid w:val="0099672E"/>
    <w:rsid w:val="00996741"/>
    <w:rsid w:val="00996753"/>
    <w:rsid w:val="00996851"/>
    <w:rsid w:val="009968AB"/>
    <w:rsid w:val="009968D4"/>
    <w:rsid w:val="009968E9"/>
    <w:rsid w:val="0099699E"/>
    <w:rsid w:val="00996B70"/>
    <w:rsid w:val="00996BAC"/>
    <w:rsid w:val="00996C1F"/>
    <w:rsid w:val="00996C90"/>
    <w:rsid w:val="00996D01"/>
    <w:rsid w:val="00996E6D"/>
    <w:rsid w:val="00996F39"/>
    <w:rsid w:val="00996F3F"/>
    <w:rsid w:val="00996F65"/>
    <w:rsid w:val="00996F75"/>
    <w:rsid w:val="00996FA1"/>
    <w:rsid w:val="009970C8"/>
    <w:rsid w:val="00997183"/>
    <w:rsid w:val="00997481"/>
    <w:rsid w:val="009974C0"/>
    <w:rsid w:val="00997502"/>
    <w:rsid w:val="009975F1"/>
    <w:rsid w:val="00997645"/>
    <w:rsid w:val="0099769B"/>
    <w:rsid w:val="009976B0"/>
    <w:rsid w:val="00997813"/>
    <w:rsid w:val="0099791F"/>
    <w:rsid w:val="0099792A"/>
    <w:rsid w:val="0099792F"/>
    <w:rsid w:val="0099796B"/>
    <w:rsid w:val="009979EA"/>
    <w:rsid w:val="00997CF2"/>
    <w:rsid w:val="00997D3F"/>
    <w:rsid w:val="009A000F"/>
    <w:rsid w:val="009A00BD"/>
    <w:rsid w:val="009A00D9"/>
    <w:rsid w:val="009A00F8"/>
    <w:rsid w:val="009A01DF"/>
    <w:rsid w:val="009A01EF"/>
    <w:rsid w:val="009A02A0"/>
    <w:rsid w:val="009A0363"/>
    <w:rsid w:val="009A038D"/>
    <w:rsid w:val="009A0408"/>
    <w:rsid w:val="009A04F4"/>
    <w:rsid w:val="009A0539"/>
    <w:rsid w:val="009A058D"/>
    <w:rsid w:val="009A064D"/>
    <w:rsid w:val="009A06D2"/>
    <w:rsid w:val="009A07BB"/>
    <w:rsid w:val="009A07CD"/>
    <w:rsid w:val="009A088E"/>
    <w:rsid w:val="009A08AA"/>
    <w:rsid w:val="009A0938"/>
    <w:rsid w:val="009A0986"/>
    <w:rsid w:val="009A09BA"/>
    <w:rsid w:val="009A0A2C"/>
    <w:rsid w:val="009A0A96"/>
    <w:rsid w:val="009A0B0E"/>
    <w:rsid w:val="009A0B69"/>
    <w:rsid w:val="009A0E23"/>
    <w:rsid w:val="009A0E5D"/>
    <w:rsid w:val="009A0E7C"/>
    <w:rsid w:val="009A0EAE"/>
    <w:rsid w:val="009A0EEE"/>
    <w:rsid w:val="009A0FF8"/>
    <w:rsid w:val="009A1009"/>
    <w:rsid w:val="009A1058"/>
    <w:rsid w:val="009A118B"/>
    <w:rsid w:val="009A11EE"/>
    <w:rsid w:val="009A13AF"/>
    <w:rsid w:val="009A13DE"/>
    <w:rsid w:val="009A1467"/>
    <w:rsid w:val="009A148F"/>
    <w:rsid w:val="009A14F4"/>
    <w:rsid w:val="009A1543"/>
    <w:rsid w:val="009A16C6"/>
    <w:rsid w:val="009A170D"/>
    <w:rsid w:val="009A1790"/>
    <w:rsid w:val="009A1812"/>
    <w:rsid w:val="009A1825"/>
    <w:rsid w:val="009A1848"/>
    <w:rsid w:val="009A18B5"/>
    <w:rsid w:val="009A1A1F"/>
    <w:rsid w:val="009A1B5B"/>
    <w:rsid w:val="009A1BFA"/>
    <w:rsid w:val="009A1C78"/>
    <w:rsid w:val="009A1D58"/>
    <w:rsid w:val="009A1DF4"/>
    <w:rsid w:val="009A1E49"/>
    <w:rsid w:val="009A1EC3"/>
    <w:rsid w:val="009A1ED9"/>
    <w:rsid w:val="009A1FA7"/>
    <w:rsid w:val="009A1FFD"/>
    <w:rsid w:val="009A21BE"/>
    <w:rsid w:val="009A22F1"/>
    <w:rsid w:val="009A23C2"/>
    <w:rsid w:val="009A24C2"/>
    <w:rsid w:val="009A25AE"/>
    <w:rsid w:val="009A2627"/>
    <w:rsid w:val="009A2666"/>
    <w:rsid w:val="009A278B"/>
    <w:rsid w:val="009A284F"/>
    <w:rsid w:val="009A2CE3"/>
    <w:rsid w:val="009A30E0"/>
    <w:rsid w:val="009A310A"/>
    <w:rsid w:val="009A31BA"/>
    <w:rsid w:val="009A31C6"/>
    <w:rsid w:val="009A32FC"/>
    <w:rsid w:val="009A3305"/>
    <w:rsid w:val="009A337F"/>
    <w:rsid w:val="009A343D"/>
    <w:rsid w:val="009A3479"/>
    <w:rsid w:val="009A348E"/>
    <w:rsid w:val="009A34D5"/>
    <w:rsid w:val="009A34E0"/>
    <w:rsid w:val="009A36CA"/>
    <w:rsid w:val="009A3736"/>
    <w:rsid w:val="009A3838"/>
    <w:rsid w:val="009A384B"/>
    <w:rsid w:val="009A385C"/>
    <w:rsid w:val="009A39E5"/>
    <w:rsid w:val="009A3AB4"/>
    <w:rsid w:val="009A3B18"/>
    <w:rsid w:val="009A3CC4"/>
    <w:rsid w:val="009A3CF9"/>
    <w:rsid w:val="009A3D8E"/>
    <w:rsid w:val="009A3DDB"/>
    <w:rsid w:val="009A3F4E"/>
    <w:rsid w:val="009A3FF7"/>
    <w:rsid w:val="009A409E"/>
    <w:rsid w:val="009A40E2"/>
    <w:rsid w:val="009A415B"/>
    <w:rsid w:val="009A41EC"/>
    <w:rsid w:val="009A4310"/>
    <w:rsid w:val="009A4336"/>
    <w:rsid w:val="009A4383"/>
    <w:rsid w:val="009A4391"/>
    <w:rsid w:val="009A43E1"/>
    <w:rsid w:val="009A4431"/>
    <w:rsid w:val="009A4627"/>
    <w:rsid w:val="009A476A"/>
    <w:rsid w:val="009A47E8"/>
    <w:rsid w:val="009A483D"/>
    <w:rsid w:val="009A486E"/>
    <w:rsid w:val="009A4949"/>
    <w:rsid w:val="009A49A1"/>
    <w:rsid w:val="009A4A07"/>
    <w:rsid w:val="009A4B17"/>
    <w:rsid w:val="009A4B61"/>
    <w:rsid w:val="009A4BC0"/>
    <w:rsid w:val="009A4C91"/>
    <w:rsid w:val="009A4CD7"/>
    <w:rsid w:val="009A4D51"/>
    <w:rsid w:val="009A4D78"/>
    <w:rsid w:val="009A4DEC"/>
    <w:rsid w:val="009A4E3E"/>
    <w:rsid w:val="009A4FAD"/>
    <w:rsid w:val="009A50D8"/>
    <w:rsid w:val="009A513B"/>
    <w:rsid w:val="009A5164"/>
    <w:rsid w:val="009A521E"/>
    <w:rsid w:val="009A52B4"/>
    <w:rsid w:val="009A5372"/>
    <w:rsid w:val="009A543B"/>
    <w:rsid w:val="009A5536"/>
    <w:rsid w:val="009A586E"/>
    <w:rsid w:val="009A5871"/>
    <w:rsid w:val="009A59D4"/>
    <w:rsid w:val="009A5A62"/>
    <w:rsid w:val="009A5A71"/>
    <w:rsid w:val="009A5D4F"/>
    <w:rsid w:val="009A5DBD"/>
    <w:rsid w:val="009A5F2D"/>
    <w:rsid w:val="009A5FFC"/>
    <w:rsid w:val="009A6010"/>
    <w:rsid w:val="009A6045"/>
    <w:rsid w:val="009A6068"/>
    <w:rsid w:val="009A60EE"/>
    <w:rsid w:val="009A617D"/>
    <w:rsid w:val="009A6185"/>
    <w:rsid w:val="009A6454"/>
    <w:rsid w:val="009A652F"/>
    <w:rsid w:val="009A65F2"/>
    <w:rsid w:val="009A67AE"/>
    <w:rsid w:val="009A67B4"/>
    <w:rsid w:val="009A67D3"/>
    <w:rsid w:val="009A685D"/>
    <w:rsid w:val="009A68B4"/>
    <w:rsid w:val="009A68D2"/>
    <w:rsid w:val="009A6954"/>
    <w:rsid w:val="009A69ED"/>
    <w:rsid w:val="009A6BF1"/>
    <w:rsid w:val="009A6C61"/>
    <w:rsid w:val="009A6CB5"/>
    <w:rsid w:val="009A6DCE"/>
    <w:rsid w:val="009A6E08"/>
    <w:rsid w:val="009A6E82"/>
    <w:rsid w:val="009A6F0C"/>
    <w:rsid w:val="009A6F3F"/>
    <w:rsid w:val="009A6F5E"/>
    <w:rsid w:val="009A7144"/>
    <w:rsid w:val="009A7158"/>
    <w:rsid w:val="009A7216"/>
    <w:rsid w:val="009A722A"/>
    <w:rsid w:val="009A72ED"/>
    <w:rsid w:val="009A73ED"/>
    <w:rsid w:val="009A74EC"/>
    <w:rsid w:val="009A74F5"/>
    <w:rsid w:val="009A74F9"/>
    <w:rsid w:val="009A75CB"/>
    <w:rsid w:val="009A75F1"/>
    <w:rsid w:val="009A76C6"/>
    <w:rsid w:val="009A77E7"/>
    <w:rsid w:val="009A77E9"/>
    <w:rsid w:val="009A785D"/>
    <w:rsid w:val="009A7889"/>
    <w:rsid w:val="009A7925"/>
    <w:rsid w:val="009A79C8"/>
    <w:rsid w:val="009A79E8"/>
    <w:rsid w:val="009A7A96"/>
    <w:rsid w:val="009A7BBE"/>
    <w:rsid w:val="009A7DA0"/>
    <w:rsid w:val="009A7E0F"/>
    <w:rsid w:val="009A7FF9"/>
    <w:rsid w:val="009B00E5"/>
    <w:rsid w:val="009B0174"/>
    <w:rsid w:val="009B0323"/>
    <w:rsid w:val="009B043C"/>
    <w:rsid w:val="009B046F"/>
    <w:rsid w:val="009B049F"/>
    <w:rsid w:val="009B06A4"/>
    <w:rsid w:val="009B06F6"/>
    <w:rsid w:val="009B06F8"/>
    <w:rsid w:val="009B0824"/>
    <w:rsid w:val="009B082E"/>
    <w:rsid w:val="009B086E"/>
    <w:rsid w:val="009B0938"/>
    <w:rsid w:val="009B097B"/>
    <w:rsid w:val="009B0997"/>
    <w:rsid w:val="009B0999"/>
    <w:rsid w:val="009B0A18"/>
    <w:rsid w:val="009B0B33"/>
    <w:rsid w:val="009B0B89"/>
    <w:rsid w:val="009B0B98"/>
    <w:rsid w:val="009B0BB4"/>
    <w:rsid w:val="009B0BE2"/>
    <w:rsid w:val="009B0BF1"/>
    <w:rsid w:val="009B0C19"/>
    <w:rsid w:val="009B0C3B"/>
    <w:rsid w:val="009B0C5A"/>
    <w:rsid w:val="009B0C77"/>
    <w:rsid w:val="009B0DC6"/>
    <w:rsid w:val="009B0E05"/>
    <w:rsid w:val="009B0EF2"/>
    <w:rsid w:val="009B0F12"/>
    <w:rsid w:val="009B105C"/>
    <w:rsid w:val="009B10B5"/>
    <w:rsid w:val="009B1110"/>
    <w:rsid w:val="009B11D1"/>
    <w:rsid w:val="009B12DA"/>
    <w:rsid w:val="009B1331"/>
    <w:rsid w:val="009B1402"/>
    <w:rsid w:val="009B143C"/>
    <w:rsid w:val="009B1562"/>
    <w:rsid w:val="009B15A4"/>
    <w:rsid w:val="009B15F2"/>
    <w:rsid w:val="009B17A0"/>
    <w:rsid w:val="009B17D5"/>
    <w:rsid w:val="009B18D1"/>
    <w:rsid w:val="009B1906"/>
    <w:rsid w:val="009B1937"/>
    <w:rsid w:val="009B19C9"/>
    <w:rsid w:val="009B1A0A"/>
    <w:rsid w:val="009B1A30"/>
    <w:rsid w:val="009B1A36"/>
    <w:rsid w:val="009B1A91"/>
    <w:rsid w:val="009B1B9E"/>
    <w:rsid w:val="009B1CB2"/>
    <w:rsid w:val="009B1CEB"/>
    <w:rsid w:val="009B1DC4"/>
    <w:rsid w:val="009B1DD7"/>
    <w:rsid w:val="009B1E5B"/>
    <w:rsid w:val="009B2046"/>
    <w:rsid w:val="009B2061"/>
    <w:rsid w:val="009B206C"/>
    <w:rsid w:val="009B21AA"/>
    <w:rsid w:val="009B2271"/>
    <w:rsid w:val="009B2279"/>
    <w:rsid w:val="009B227D"/>
    <w:rsid w:val="009B23DC"/>
    <w:rsid w:val="009B2447"/>
    <w:rsid w:val="009B2452"/>
    <w:rsid w:val="009B258F"/>
    <w:rsid w:val="009B25BB"/>
    <w:rsid w:val="009B2615"/>
    <w:rsid w:val="009B2659"/>
    <w:rsid w:val="009B2684"/>
    <w:rsid w:val="009B26F0"/>
    <w:rsid w:val="009B274A"/>
    <w:rsid w:val="009B2750"/>
    <w:rsid w:val="009B280A"/>
    <w:rsid w:val="009B297F"/>
    <w:rsid w:val="009B2ADF"/>
    <w:rsid w:val="009B2B86"/>
    <w:rsid w:val="009B2B9D"/>
    <w:rsid w:val="009B2CBF"/>
    <w:rsid w:val="009B2D02"/>
    <w:rsid w:val="009B2D04"/>
    <w:rsid w:val="009B2D30"/>
    <w:rsid w:val="009B2DF0"/>
    <w:rsid w:val="009B2E23"/>
    <w:rsid w:val="009B2F85"/>
    <w:rsid w:val="009B3088"/>
    <w:rsid w:val="009B30FC"/>
    <w:rsid w:val="009B310A"/>
    <w:rsid w:val="009B311C"/>
    <w:rsid w:val="009B31A0"/>
    <w:rsid w:val="009B31AA"/>
    <w:rsid w:val="009B3273"/>
    <w:rsid w:val="009B32FB"/>
    <w:rsid w:val="009B3302"/>
    <w:rsid w:val="009B3308"/>
    <w:rsid w:val="009B34F6"/>
    <w:rsid w:val="009B350D"/>
    <w:rsid w:val="009B3559"/>
    <w:rsid w:val="009B356E"/>
    <w:rsid w:val="009B357F"/>
    <w:rsid w:val="009B359C"/>
    <w:rsid w:val="009B363E"/>
    <w:rsid w:val="009B3739"/>
    <w:rsid w:val="009B37A4"/>
    <w:rsid w:val="009B3854"/>
    <w:rsid w:val="009B3945"/>
    <w:rsid w:val="009B3AFD"/>
    <w:rsid w:val="009B3B66"/>
    <w:rsid w:val="009B3C31"/>
    <w:rsid w:val="009B3CB9"/>
    <w:rsid w:val="009B3D4E"/>
    <w:rsid w:val="009B3D59"/>
    <w:rsid w:val="009B3D60"/>
    <w:rsid w:val="009B3F5F"/>
    <w:rsid w:val="009B3F84"/>
    <w:rsid w:val="009B3FC9"/>
    <w:rsid w:val="009B3FF2"/>
    <w:rsid w:val="009B3FF6"/>
    <w:rsid w:val="009B401A"/>
    <w:rsid w:val="009B40F2"/>
    <w:rsid w:val="009B4180"/>
    <w:rsid w:val="009B4212"/>
    <w:rsid w:val="009B4320"/>
    <w:rsid w:val="009B43A1"/>
    <w:rsid w:val="009B4465"/>
    <w:rsid w:val="009B44C1"/>
    <w:rsid w:val="009B4548"/>
    <w:rsid w:val="009B454A"/>
    <w:rsid w:val="009B4577"/>
    <w:rsid w:val="009B463C"/>
    <w:rsid w:val="009B4692"/>
    <w:rsid w:val="009B46AF"/>
    <w:rsid w:val="009B4774"/>
    <w:rsid w:val="009B47F0"/>
    <w:rsid w:val="009B4814"/>
    <w:rsid w:val="009B4856"/>
    <w:rsid w:val="009B496F"/>
    <w:rsid w:val="009B49F8"/>
    <w:rsid w:val="009B4A23"/>
    <w:rsid w:val="009B4A52"/>
    <w:rsid w:val="009B4AD7"/>
    <w:rsid w:val="009B4B49"/>
    <w:rsid w:val="009B4BA4"/>
    <w:rsid w:val="009B4BEC"/>
    <w:rsid w:val="009B4C87"/>
    <w:rsid w:val="009B4D27"/>
    <w:rsid w:val="009B4EA2"/>
    <w:rsid w:val="009B4F09"/>
    <w:rsid w:val="009B4F2C"/>
    <w:rsid w:val="009B4F96"/>
    <w:rsid w:val="009B5004"/>
    <w:rsid w:val="009B5084"/>
    <w:rsid w:val="009B50B4"/>
    <w:rsid w:val="009B5261"/>
    <w:rsid w:val="009B5264"/>
    <w:rsid w:val="009B5269"/>
    <w:rsid w:val="009B5394"/>
    <w:rsid w:val="009B5582"/>
    <w:rsid w:val="009B5710"/>
    <w:rsid w:val="009B59D0"/>
    <w:rsid w:val="009B59D3"/>
    <w:rsid w:val="009B59F2"/>
    <w:rsid w:val="009B5B0D"/>
    <w:rsid w:val="009B5C4A"/>
    <w:rsid w:val="009B5CEC"/>
    <w:rsid w:val="009B5D77"/>
    <w:rsid w:val="009B5DD4"/>
    <w:rsid w:val="009B5DDC"/>
    <w:rsid w:val="009B5E0D"/>
    <w:rsid w:val="009B5EFF"/>
    <w:rsid w:val="009B5F59"/>
    <w:rsid w:val="009B5F5C"/>
    <w:rsid w:val="009B61CE"/>
    <w:rsid w:val="009B6216"/>
    <w:rsid w:val="009B6231"/>
    <w:rsid w:val="009B623E"/>
    <w:rsid w:val="009B6310"/>
    <w:rsid w:val="009B6330"/>
    <w:rsid w:val="009B6554"/>
    <w:rsid w:val="009B6563"/>
    <w:rsid w:val="009B65BD"/>
    <w:rsid w:val="009B6627"/>
    <w:rsid w:val="009B6676"/>
    <w:rsid w:val="009B6709"/>
    <w:rsid w:val="009B67FD"/>
    <w:rsid w:val="009B682F"/>
    <w:rsid w:val="009B6840"/>
    <w:rsid w:val="009B6903"/>
    <w:rsid w:val="009B6940"/>
    <w:rsid w:val="009B6978"/>
    <w:rsid w:val="009B6AF4"/>
    <w:rsid w:val="009B6B1F"/>
    <w:rsid w:val="009B6B36"/>
    <w:rsid w:val="009B6B7B"/>
    <w:rsid w:val="009B6B93"/>
    <w:rsid w:val="009B6BB8"/>
    <w:rsid w:val="009B6CA6"/>
    <w:rsid w:val="009B6D1B"/>
    <w:rsid w:val="009B6DA7"/>
    <w:rsid w:val="009B6EEA"/>
    <w:rsid w:val="009B6F0D"/>
    <w:rsid w:val="009B703C"/>
    <w:rsid w:val="009B70B8"/>
    <w:rsid w:val="009B717F"/>
    <w:rsid w:val="009B719D"/>
    <w:rsid w:val="009B7215"/>
    <w:rsid w:val="009B72C2"/>
    <w:rsid w:val="009B7312"/>
    <w:rsid w:val="009B73DF"/>
    <w:rsid w:val="009B7442"/>
    <w:rsid w:val="009B7489"/>
    <w:rsid w:val="009B74B5"/>
    <w:rsid w:val="009B7560"/>
    <w:rsid w:val="009B7561"/>
    <w:rsid w:val="009B75DE"/>
    <w:rsid w:val="009B7656"/>
    <w:rsid w:val="009B7673"/>
    <w:rsid w:val="009B7720"/>
    <w:rsid w:val="009B77AF"/>
    <w:rsid w:val="009B7861"/>
    <w:rsid w:val="009B78C3"/>
    <w:rsid w:val="009B798E"/>
    <w:rsid w:val="009B79A9"/>
    <w:rsid w:val="009B7A72"/>
    <w:rsid w:val="009B7BC0"/>
    <w:rsid w:val="009B7C64"/>
    <w:rsid w:val="009B7CD3"/>
    <w:rsid w:val="009B7DEE"/>
    <w:rsid w:val="009B7E0D"/>
    <w:rsid w:val="009B7E19"/>
    <w:rsid w:val="009B7EB7"/>
    <w:rsid w:val="009B7FE0"/>
    <w:rsid w:val="009C00CD"/>
    <w:rsid w:val="009C0116"/>
    <w:rsid w:val="009C015C"/>
    <w:rsid w:val="009C0190"/>
    <w:rsid w:val="009C01DE"/>
    <w:rsid w:val="009C02CB"/>
    <w:rsid w:val="009C04A8"/>
    <w:rsid w:val="009C04B2"/>
    <w:rsid w:val="009C0527"/>
    <w:rsid w:val="009C054D"/>
    <w:rsid w:val="009C06A9"/>
    <w:rsid w:val="009C06D5"/>
    <w:rsid w:val="009C077E"/>
    <w:rsid w:val="009C078D"/>
    <w:rsid w:val="009C07F9"/>
    <w:rsid w:val="009C084D"/>
    <w:rsid w:val="009C0863"/>
    <w:rsid w:val="009C08BF"/>
    <w:rsid w:val="009C0A73"/>
    <w:rsid w:val="009C0CEB"/>
    <w:rsid w:val="009C0D75"/>
    <w:rsid w:val="009C0E71"/>
    <w:rsid w:val="009C0E84"/>
    <w:rsid w:val="009C0ED6"/>
    <w:rsid w:val="009C0EF7"/>
    <w:rsid w:val="009C0FC9"/>
    <w:rsid w:val="009C0FEA"/>
    <w:rsid w:val="009C10D5"/>
    <w:rsid w:val="009C1171"/>
    <w:rsid w:val="009C1191"/>
    <w:rsid w:val="009C11F3"/>
    <w:rsid w:val="009C1246"/>
    <w:rsid w:val="009C145B"/>
    <w:rsid w:val="009C16B9"/>
    <w:rsid w:val="009C1747"/>
    <w:rsid w:val="009C17CF"/>
    <w:rsid w:val="009C17F8"/>
    <w:rsid w:val="009C180B"/>
    <w:rsid w:val="009C1A07"/>
    <w:rsid w:val="009C1BF9"/>
    <w:rsid w:val="009C1CDA"/>
    <w:rsid w:val="009C1CE0"/>
    <w:rsid w:val="009C1E30"/>
    <w:rsid w:val="009C2033"/>
    <w:rsid w:val="009C20AA"/>
    <w:rsid w:val="009C20D1"/>
    <w:rsid w:val="009C2143"/>
    <w:rsid w:val="009C214A"/>
    <w:rsid w:val="009C21CB"/>
    <w:rsid w:val="009C2203"/>
    <w:rsid w:val="009C2260"/>
    <w:rsid w:val="009C235D"/>
    <w:rsid w:val="009C251A"/>
    <w:rsid w:val="009C25CB"/>
    <w:rsid w:val="009C25FB"/>
    <w:rsid w:val="009C26E1"/>
    <w:rsid w:val="009C2764"/>
    <w:rsid w:val="009C27E3"/>
    <w:rsid w:val="009C27EC"/>
    <w:rsid w:val="009C27ED"/>
    <w:rsid w:val="009C2876"/>
    <w:rsid w:val="009C2AFD"/>
    <w:rsid w:val="009C2BC1"/>
    <w:rsid w:val="009C2BEC"/>
    <w:rsid w:val="009C2C16"/>
    <w:rsid w:val="009C2D5E"/>
    <w:rsid w:val="009C3040"/>
    <w:rsid w:val="009C30B2"/>
    <w:rsid w:val="009C318E"/>
    <w:rsid w:val="009C32D3"/>
    <w:rsid w:val="009C3502"/>
    <w:rsid w:val="009C3546"/>
    <w:rsid w:val="009C3562"/>
    <w:rsid w:val="009C3578"/>
    <w:rsid w:val="009C35AF"/>
    <w:rsid w:val="009C378E"/>
    <w:rsid w:val="009C379F"/>
    <w:rsid w:val="009C3874"/>
    <w:rsid w:val="009C3890"/>
    <w:rsid w:val="009C3A91"/>
    <w:rsid w:val="009C3BDF"/>
    <w:rsid w:val="009C3DD3"/>
    <w:rsid w:val="009C3E42"/>
    <w:rsid w:val="009C3E4B"/>
    <w:rsid w:val="009C4068"/>
    <w:rsid w:val="009C40E2"/>
    <w:rsid w:val="009C42D2"/>
    <w:rsid w:val="009C43D5"/>
    <w:rsid w:val="009C443B"/>
    <w:rsid w:val="009C44BE"/>
    <w:rsid w:val="009C4520"/>
    <w:rsid w:val="009C456C"/>
    <w:rsid w:val="009C459E"/>
    <w:rsid w:val="009C4642"/>
    <w:rsid w:val="009C4662"/>
    <w:rsid w:val="009C46FE"/>
    <w:rsid w:val="009C4713"/>
    <w:rsid w:val="009C4741"/>
    <w:rsid w:val="009C47BA"/>
    <w:rsid w:val="009C4865"/>
    <w:rsid w:val="009C4A41"/>
    <w:rsid w:val="009C4A48"/>
    <w:rsid w:val="009C4A9C"/>
    <w:rsid w:val="009C4AF1"/>
    <w:rsid w:val="009C4B9A"/>
    <w:rsid w:val="009C4BDE"/>
    <w:rsid w:val="009C4D00"/>
    <w:rsid w:val="009C4D39"/>
    <w:rsid w:val="009C4E05"/>
    <w:rsid w:val="009C4E28"/>
    <w:rsid w:val="009C4EAC"/>
    <w:rsid w:val="009C50CB"/>
    <w:rsid w:val="009C5163"/>
    <w:rsid w:val="009C5181"/>
    <w:rsid w:val="009C519F"/>
    <w:rsid w:val="009C51DE"/>
    <w:rsid w:val="009C522D"/>
    <w:rsid w:val="009C5289"/>
    <w:rsid w:val="009C53F5"/>
    <w:rsid w:val="009C54E6"/>
    <w:rsid w:val="009C5540"/>
    <w:rsid w:val="009C557F"/>
    <w:rsid w:val="009C55DA"/>
    <w:rsid w:val="009C561C"/>
    <w:rsid w:val="009C5764"/>
    <w:rsid w:val="009C57A6"/>
    <w:rsid w:val="009C59A5"/>
    <w:rsid w:val="009C59FE"/>
    <w:rsid w:val="009C5A46"/>
    <w:rsid w:val="009C5AA3"/>
    <w:rsid w:val="009C5B24"/>
    <w:rsid w:val="009C5C31"/>
    <w:rsid w:val="009C5CA7"/>
    <w:rsid w:val="009C5CF2"/>
    <w:rsid w:val="009C5F03"/>
    <w:rsid w:val="009C5F50"/>
    <w:rsid w:val="009C600E"/>
    <w:rsid w:val="009C60C8"/>
    <w:rsid w:val="009C6122"/>
    <w:rsid w:val="009C61C5"/>
    <w:rsid w:val="009C6283"/>
    <w:rsid w:val="009C657D"/>
    <w:rsid w:val="009C65DA"/>
    <w:rsid w:val="009C662A"/>
    <w:rsid w:val="009C66A7"/>
    <w:rsid w:val="009C67CA"/>
    <w:rsid w:val="009C67D1"/>
    <w:rsid w:val="009C686B"/>
    <w:rsid w:val="009C6914"/>
    <w:rsid w:val="009C6C4C"/>
    <w:rsid w:val="009C6E14"/>
    <w:rsid w:val="009C6E75"/>
    <w:rsid w:val="009C6F11"/>
    <w:rsid w:val="009C701A"/>
    <w:rsid w:val="009C7063"/>
    <w:rsid w:val="009C70A1"/>
    <w:rsid w:val="009C7120"/>
    <w:rsid w:val="009C715C"/>
    <w:rsid w:val="009C7213"/>
    <w:rsid w:val="009C7235"/>
    <w:rsid w:val="009C7390"/>
    <w:rsid w:val="009C7488"/>
    <w:rsid w:val="009C7494"/>
    <w:rsid w:val="009C74A4"/>
    <w:rsid w:val="009C763D"/>
    <w:rsid w:val="009C76D6"/>
    <w:rsid w:val="009C76F4"/>
    <w:rsid w:val="009C78B7"/>
    <w:rsid w:val="009C7915"/>
    <w:rsid w:val="009C79B7"/>
    <w:rsid w:val="009C7A15"/>
    <w:rsid w:val="009C7A2F"/>
    <w:rsid w:val="009C7A43"/>
    <w:rsid w:val="009C7B2C"/>
    <w:rsid w:val="009C7B6A"/>
    <w:rsid w:val="009C7C96"/>
    <w:rsid w:val="009C7D5F"/>
    <w:rsid w:val="009C7EDB"/>
    <w:rsid w:val="009C7F45"/>
    <w:rsid w:val="009D0100"/>
    <w:rsid w:val="009D0110"/>
    <w:rsid w:val="009D0210"/>
    <w:rsid w:val="009D02B3"/>
    <w:rsid w:val="009D0421"/>
    <w:rsid w:val="009D0459"/>
    <w:rsid w:val="009D0462"/>
    <w:rsid w:val="009D04A6"/>
    <w:rsid w:val="009D05BA"/>
    <w:rsid w:val="009D063F"/>
    <w:rsid w:val="009D07C6"/>
    <w:rsid w:val="009D07FB"/>
    <w:rsid w:val="009D0964"/>
    <w:rsid w:val="009D0986"/>
    <w:rsid w:val="009D09BB"/>
    <w:rsid w:val="009D09DB"/>
    <w:rsid w:val="009D0A00"/>
    <w:rsid w:val="009D0A33"/>
    <w:rsid w:val="009D0AD7"/>
    <w:rsid w:val="009D0CB2"/>
    <w:rsid w:val="009D0E20"/>
    <w:rsid w:val="009D0E3A"/>
    <w:rsid w:val="009D0E40"/>
    <w:rsid w:val="009D0EB5"/>
    <w:rsid w:val="009D0EFF"/>
    <w:rsid w:val="009D0F3B"/>
    <w:rsid w:val="009D101E"/>
    <w:rsid w:val="009D10AF"/>
    <w:rsid w:val="009D10BC"/>
    <w:rsid w:val="009D10C5"/>
    <w:rsid w:val="009D11A8"/>
    <w:rsid w:val="009D1272"/>
    <w:rsid w:val="009D1433"/>
    <w:rsid w:val="009D1441"/>
    <w:rsid w:val="009D1873"/>
    <w:rsid w:val="009D18F0"/>
    <w:rsid w:val="009D190A"/>
    <w:rsid w:val="009D1963"/>
    <w:rsid w:val="009D1A51"/>
    <w:rsid w:val="009D1AC1"/>
    <w:rsid w:val="009D1ACC"/>
    <w:rsid w:val="009D1B0D"/>
    <w:rsid w:val="009D1C19"/>
    <w:rsid w:val="009D1C1A"/>
    <w:rsid w:val="009D1C69"/>
    <w:rsid w:val="009D1E9F"/>
    <w:rsid w:val="009D1EC1"/>
    <w:rsid w:val="009D208F"/>
    <w:rsid w:val="009D212A"/>
    <w:rsid w:val="009D215D"/>
    <w:rsid w:val="009D2179"/>
    <w:rsid w:val="009D21BE"/>
    <w:rsid w:val="009D223F"/>
    <w:rsid w:val="009D2295"/>
    <w:rsid w:val="009D2310"/>
    <w:rsid w:val="009D2331"/>
    <w:rsid w:val="009D240D"/>
    <w:rsid w:val="009D2435"/>
    <w:rsid w:val="009D24CE"/>
    <w:rsid w:val="009D24FF"/>
    <w:rsid w:val="009D2532"/>
    <w:rsid w:val="009D258F"/>
    <w:rsid w:val="009D2599"/>
    <w:rsid w:val="009D26CC"/>
    <w:rsid w:val="009D26E6"/>
    <w:rsid w:val="009D28A6"/>
    <w:rsid w:val="009D293B"/>
    <w:rsid w:val="009D29B7"/>
    <w:rsid w:val="009D2A8B"/>
    <w:rsid w:val="009D2A8F"/>
    <w:rsid w:val="009D2AAB"/>
    <w:rsid w:val="009D2AE3"/>
    <w:rsid w:val="009D2B59"/>
    <w:rsid w:val="009D2C71"/>
    <w:rsid w:val="009D2E85"/>
    <w:rsid w:val="009D2F75"/>
    <w:rsid w:val="009D2FC5"/>
    <w:rsid w:val="009D305C"/>
    <w:rsid w:val="009D3095"/>
    <w:rsid w:val="009D3182"/>
    <w:rsid w:val="009D321A"/>
    <w:rsid w:val="009D322E"/>
    <w:rsid w:val="009D3258"/>
    <w:rsid w:val="009D32C8"/>
    <w:rsid w:val="009D330C"/>
    <w:rsid w:val="009D33CC"/>
    <w:rsid w:val="009D33D0"/>
    <w:rsid w:val="009D33DF"/>
    <w:rsid w:val="009D34C0"/>
    <w:rsid w:val="009D3663"/>
    <w:rsid w:val="009D36C1"/>
    <w:rsid w:val="009D37AB"/>
    <w:rsid w:val="009D37B3"/>
    <w:rsid w:val="009D3994"/>
    <w:rsid w:val="009D39E8"/>
    <w:rsid w:val="009D3B01"/>
    <w:rsid w:val="009D3B8A"/>
    <w:rsid w:val="009D3CBE"/>
    <w:rsid w:val="009D3D1D"/>
    <w:rsid w:val="009D3DFC"/>
    <w:rsid w:val="009D3E6A"/>
    <w:rsid w:val="009D3F30"/>
    <w:rsid w:val="009D3F32"/>
    <w:rsid w:val="009D3F39"/>
    <w:rsid w:val="009D41E3"/>
    <w:rsid w:val="009D43A8"/>
    <w:rsid w:val="009D448C"/>
    <w:rsid w:val="009D470E"/>
    <w:rsid w:val="009D4739"/>
    <w:rsid w:val="009D477F"/>
    <w:rsid w:val="009D4792"/>
    <w:rsid w:val="009D4872"/>
    <w:rsid w:val="009D48CF"/>
    <w:rsid w:val="009D4934"/>
    <w:rsid w:val="009D4A0A"/>
    <w:rsid w:val="009D4A6E"/>
    <w:rsid w:val="009D4B24"/>
    <w:rsid w:val="009D4C03"/>
    <w:rsid w:val="009D4C42"/>
    <w:rsid w:val="009D4CAA"/>
    <w:rsid w:val="009D4ECC"/>
    <w:rsid w:val="009D5098"/>
    <w:rsid w:val="009D51E0"/>
    <w:rsid w:val="009D5478"/>
    <w:rsid w:val="009D54A8"/>
    <w:rsid w:val="009D54BB"/>
    <w:rsid w:val="009D556A"/>
    <w:rsid w:val="009D5852"/>
    <w:rsid w:val="009D5977"/>
    <w:rsid w:val="009D59C2"/>
    <w:rsid w:val="009D59C5"/>
    <w:rsid w:val="009D5B35"/>
    <w:rsid w:val="009D5B89"/>
    <w:rsid w:val="009D5BC9"/>
    <w:rsid w:val="009D5BCF"/>
    <w:rsid w:val="009D5C8C"/>
    <w:rsid w:val="009D5CB9"/>
    <w:rsid w:val="009D5D68"/>
    <w:rsid w:val="009D5D82"/>
    <w:rsid w:val="009D5DA5"/>
    <w:rsid w:val="009D5E7D"/>
    <w:rsid w:val="009D605A"/>
    <w:rsid w:val="009D607A"/>
    <w:rsid w:val="009D6115"/>
    <w:rsid w:val="009D62F7"/>
    <w:rsid w:val="009D631B"/>
    <w:rsid w:val="009D6411"/>
    <w:rsid w:val="009D6448"/>
    <w:rsid w:val="009D64BF"/>
    <w:rsid w:val="009D6507"/>
    <w:rsid w:val="009D6518"/>
    <w:rsid w:val="009D6574"/>
    <w:rsid w:val="009D676D"/>
    <w:rsid w:val="009D689C"/>
    <w:rsid w:val="009D68D4"/>
    <w:rsid w:val="009D690E"/>
    <w:rsid w:val="009D6953"/>
    <w:rsid w:val="009D69D9"/>
    <w:rsid w:val="009D6C04"/>
    <w:rsid w:val="009D6ED3"/>
    <w:rsid w:val="009D70A1"/>
    <w:rsid w:val="009D71E2"/>
    <w:rsid w:val="009D71F9"/>
    <w:rsid w:val="009D7217"/>
    <w:rsid w:val="009D7331"/>
    <w:rsid w:val="009D7351"/>
    <w:rsid w:val="009D7415"/>
    <w:rsid w:val="009D760C"/>
    <w:rsid w:val="009D7751"/>
    <w:rsid w:val="009D79FA"/>
    <w:rsid w:val="009D7AFB"/>
    <w:rsid w:val="009D7D1D"/>
    <w:rsid w:val="009D7D4D"/>
    <w:rsid w:val="009D7E17"/>
    <w:rsid w:val="009D7E1B"/>
    <w:rsid w:val="009D7ECF"/>
    <w:rsid w:val="009D7F8D"/>
    <w:rsid w:val="009D7FE6"/>
    <w:rsid w:val="009E0067"/>
    <w:rsid w:val="009E00A6"/>
    <w:rsid w:val="009E02B3"/>
    <w:rsid w:val="009E02F5"/>
    <w:rsid w:val="009E0348"/>
    <w:rsid w:val="009E044E"/>
    <w:rsid w:val="009E0475"/>
    <w:rsid w:val="009E04AD"/>
    <w:rsid w:val="009E04DF"/>
    <w:rsid w:val="009E05FB"/>
    <w:rsid w:val="009E0622"/>
    <w:rsid w:val="009E0678"/>
    <w:rsid w:val="009E06FB"/>
    <w:rsid w:val="009E074D"/>
    <w:rsid w:val="009E07C7"/>
    <w:rsid w:val="009E07D9"/>
    <w:rsid w:val="009E07FA"/>
    <w:rsid w:val="009E096F"/>
    <w:rsid w:val="009E09B9"/>
    <w:rsid w:val="009E0C32"/>
    <w:rsid w:val="009E0C4D"/>
    <w:rsid w:val="009E0CA6"/>
    <w:rsid w:val="009E0D5C"/>
    <w:rsid w:val="009E0DF8"/>
    <w:rsid w:val="009E0E5C"/>
    <w:rsid w:val="009E0FA5"/>
    <w:rsid w:val="009E1026"/>
    <w:rsid w:val="009E1220"/>
    <w:rsid w:val="009E129D"/>
    <w:rsid w:val="009E131E"/>
    <w:rsid w:val="009E1335"/>
    <w:rsid w:val="009E134A"/>
    <w:rsid w:val="009E13DB"/>
    <w:rsid w:val="009E146D"/>
    <w:rsid w:val="009E149B"/>
    <w:rsid w:val="009E1531"/>
    <w:rsid w:val="009E155F"/>
    <w:rsid w:val="009E1579"/>
    <w:rsid w:val="009E15F8"/>
    <w:rsid w:val="009E1613"/>
    <w:rsid w:val="009E1684"/>
    <w:rsid w:val="009E170D"/>
    <w:rsid w:val="009E1786"/>
    <w:rsid w:val="009E1837"/>
    <w:rsid w:val="009E18C4"/>
    <w:rsid w:val="009E19E7"/>
    <w:rsid w:val="009E1A35"/>
    <w:rsid w:val="009E1BBF"/>
    <w:rsid w:val="009E1C2C"/>
    <w:rsid w:val="009E1CD1"/>
    <w:rsid w:val="009E1D94"/>
    <w:rsid w:val="009E1E9A"/>
    <w:rsid w:val="009E1E9B"/>
    <w:rsid w:val="009E1EAF"/>
    <w:rsid w:val="009E1F26"/>
    <w:rsid w:val="009E2080"/>
    <w:rsid w:val="009E20AA"/>
    <w:rsid w:val="009E20B3"/>
    <w:rsid w:val="009E22B6"/>
    <w:rsid w:val="009E235E"/>
    <w:rsid w:val="009E23BA"/>
    <w:rsid w:val="009E23EA"/>
    <w:rsid w:val="009E259E"/>
    <w:rsid w:val="009E26C8"/>
    <w:rsid w:val="009E2761"/>
    <w:rsid w:val="009E289E"/>
    <w:rsid w:val="009E296D"/>
    <w:rsid w:val="009E297B"/>
    <w:rsid w:val="009E2983"/>
    <w:rsid w:val="009E29F5"/>
    <w:rsid w:val="009E2A03"/>
    <w:rsid w:val="009E2A33"/>
    <w:rsid w:val="009E2AD3"/>
    <w:rsid w:val="009E2C03"/>
    <w:rsid w:val="009E2D3C"/>
    <w:rsid w:val="009E2E00"/>
    <w:rsid w:val="009E2E4C"/>
    <w:rsid w:val="009E2F74"/>
    <w:rsid w:val="009E2F7F"/>
    <w:rsid w:val="009E31AB"/>
    <w:rsid w:val="009E3310"/>
    <w:rsid w:val="009E3335"/>
    <w:rsid w:val="009E33D6"/>
    <w:rsid w:val="009E33D9"/>
    <w:rsid w:val="009E33E4"/>
    <w:rsid w:val="009E35FC"/>
    <w:rsid w:val="009E36FF"/>
    <w:rsid w:val="009E3720"/>
    <w:rsid w:val="009E3757"/>
    <w:rsid w:val="009E37AE"/>
    <w:rsid w:val="009E383E"/>
    <w:rsid w:val="009E38DB"/>
    <w:rsid w:val="009E38DC"/>
    <w:rsid w:val="009E3935"/>
    <w:rsid w:val="009E39B4"/>
    <w:rsid w:val="009E3D02"/>
    <w:rsid w:val="009E3D3A"/>
    <w:rsid w:val="009E3E5D"/>
    <w:rsid w:val="009E3E8A"/>
    <w:rsid w:val="009E3EDA"/>
    <w:rsid w:val="009E3F15"/>
    <w:rsid w:val="009E3F7A"/>
    <w:rsid w:val="009E41E9"/>
    <w:rsid w:val="009E4397"/>
    <w:rsid w:val="009E4399"/>
    <w:rsid w:val="009E43F9"/>
    <w:rsid w:val="009E45FD"/>
    <w:rsid w:val="009E4620"/>
    <w:rsid w:val="009E464F"/>
    <w:rsid w:val="009E47A3"/>
    <w:rsid w:val="009E48A0"/>
    <w:rsid w:val="009E48BB"/>
    <w:rsid w:val="009E494B"/>
    <w:rsid w:val="009E4B03"/>
    <w:rsid w:val="009E4B08"/>
    <w:rsid w:val="009E4B26"/>
    <w:rsid w:val="009E4CE0"/>
    <w:rsid w:val="009E4E84"/>
    <w:rsid w:val="009E5057"/>
    <w:rsid w:val="009E539B"/>
    <w:rsid w:val="009E539C"/>
    <w:rsid w:val="009E5661"/>
    <w:rsid w:val="009E56A6"/>
    <w:rsid w:val="009E5755"/>
    <w:rsid w:val="009E58D7"/>
    <w:rsid w:val="009E5AFA"/>
    <w:rsid w:val="009E5B0B"/>
    <w:rsid w:val="009E5B67"/>
    <w:rsid w:val="009E5B7B"/>
    <w:rsid w:val="009E5BB8"/>
    <w:rsid w:val="009E5CFB"/>
    <w:rsid w:val="009E5D29"/>
    <w:rsid w:val="009E5DAD"/>
    <w:rsid w:val="009E5DE3"/>
    <w:rsid w:val="009E5F2C"/>
    <w:rsid w:val="009E5FDE"/>
    <w:rsid w:val="009E6040"/>
    <w:rsid w:val="009E60A4"/>
    <w:rsid w:val="009E61F0"/>
    <w:rsid w:val="009E6216"/>
    <w:rsid w:val="009E6279"/>
    <w:rsid w:val="009E634B"/>
    <w:rsid w:val="009E6440"/>
    <w:rsid w:val="009E64BC"/>
    <w:rsid w:val="009E651F"/>
    <w:rsid w:val="009E652B"/>
    <w:rsid w:val="009E654F"/>
    <w:rsid w:val="009E6725"/>
    <w:rsid w:val="009E6803"/>
    <w:rsid w:val="009E6853"/>
    <w:rsid w:val="009E6861"/>
    <w:rsid w:val="009E68A9"/>
    <w:rsid w:val="009E69A4"/>
    <w:rsid w:val="009E6AA7"/>
    <w:rsid w:val="009E6AB5"/>
    <w:rsid w:val="009E6B40"/>
    <w:rsid w:val="009E6B69"/>
    <w:rsid w:val="009E6BBF"/>
    <w:rsid w:val="009E6CF1"/>
    <w:rsid w:val="009E6E1C"/>
    <w:rsid w:val="009E7063"/>
    <w:rsid w:val="009E709D"/>
    <w:rsid w:val="009E70C3"/>
    <w:rsid w:val="009E731A"/>
    <w:rsid w:val="009E7419"/>
    <w:rsid w:val="009E7442"/>
    <w:rsid w:val="009E746F"/>
    <w:rsid w:val="009E7536"/>
    <w:rsid w:val="009E7646"/>
    <w:rsid w:val="009E7894"/>
    <w:rsid w:val="009E7A48"/>
    <w:rsid w:val="009E7C79"/>
    <w:rsid w:val="009E7C7E"/>
    <w:rsid w:val="009E7CD1"/>
    <w:rsid w:val="009E7D84"/>
    <w:rsid w:val="009E7E52"/>
    <w:rsid w:val="009E7FEC"/>
    <w:rsid w:val="009F0064"/>
    <w:rsid w:val="009F012A"/>
    <w:rsid w:val="009F0146"/>
    <w:rsid w:val="009F020C"/>
    <w:rsid w:val="009F0303"/>
    <w:rsid w:val="009F034F"/>
    <w:rsid w:val="009F04B1"/>
    <w:rsid w:val="009F0591"/>
    <w:rsid w:val="009F05D7"/>
    <w:rsid w:val="009F0690"/>
    <w:rsid w:val="009F06AD"/>
    <w:rsid w:val="009F073A"/>
    <w:rsid w:val="009F08AC"/>
    <w:rsid w:val="009F08D6"/>
    <w:rsid w:val="009F0938"/>
    <w:rsid w:val="009F0A14"/>
    <w:rsid w:val="009F0A65"/>
    <w:rsid w:val="009F0AFD"/>
    <w:rsid w:val="009F0B94"/>
    <w:rsid w:val="009F0BB7"/>
    <w:rsid w:val="009F0C65"/>
    <w:rsid w:val="009F0C84"/>
    <w:rsid w:val="009F0D66"/>
    <w:rsid w:val="009F0E2E"/>
    <w:rsid w:val="009F0EB0"/>
    <w:rsid w:val="009F0F75"/>
    <w:rsid w:val="009F1060"/>
    <w:rsid w:val="009F1083"/>
    <w:rsid w:val="009F11A1"/>
    <w:rsid w:val="009F12A0"/>
    <w:rsid w:val="009F12AE"/>
    <w:rsid w:val="009F138A"/>
    <w:rsid w:val="009F13BE"/>
    <w:rsid w:val="009F13DA"/>
    <w:rsid w:val="009F1530"/>
    <w:rsid w:val="009F15CF"/>
    <w:rsid w:val="009F16DF"/>
    <w:rsid w:val="009F18FD"/>
    <w:rsid w:val="009F1969"/>
    <w:rsid w:val="009F19CD"/>
    <w:rsid w:val="009F1B21"/>
    <w:rsid w:val="009F1C16"/>
    <w:rsid w:val="009F1D42"/>
    <w:rsid w:val="009F1D9D"/>
    <w:rsid w:val="009F1DDA"/>
    <w:rsid w:val="009F1F01"/>
    <w:rsid w:val="009F1F2B"/>
    <w:rsid w:val="009F2015"/>
    <w:rsid w:val="009F2095"/>
    <w:rsid w:val="009F2263"/>
    <w:rsid w:val="009F227C"/>
    <w:rsid w:val="009F22DB"/>
    <w:rsid w:val="009F2325"/>
    <w:rsid w:val="009F233B"/>
    <w:rsid w:val="009F23CC"/>
    <w:rsid w:val="009F24DB"/>
    <w:rsid w:val="009F2603"/>
    <w:rsid w:val="009F2649"/>
    <w:rsid w:val="009F26B2"/>
    <w:rsid w:val="009F2730"/>
    <w:rsid w:val="009F27BC"/>
    <w:rsid w:val="009F27BE"/>
    <w:rsid w:val="009F27C6"/>
    <w:rsid w:val="009F27D7"/>
    <w:rsid w:val="009F2848"/>
    <w:rsid w:val="009F28BA"/>
    <w:rsid w:val="009F29C1"/>
    <w:rsid w:val="009F29D1"/>
    <w:rsid w:val="009F2A0F"/>
    <w:rsid w:val="009F2AD6"/>
    <w:rsid w:val="009F2B53"/>
    <w:rsid w:val="009F2DBA"/>
    <w:rsid w:val="009F2DC1"/>
    <w:rsid w:val="009F2E3D"/>
    <w:rsid w:val="009F2E9E"/>
    <w:rsid w:val="009F3117"/>
    <w:rsid w:val="009F3203"/>
    <w:rsid w:val="009F3366"/>
    <w:rsid w:val="009F3399"/>
    <w:rsid w:val="009F339C"/>
    <w:rsid w:val="009F354A"/>
    <w:rsid w:val="009F364B"/>
    <w:rsid w:val="009F367B"/>
    <w:rsid w:val="009F36F7"/>
    <w:rsid w:val="009F38CC"/>
    <w:rsid w:val="009F398A"/>
    <w:rsid w:val="009F3ADE"/>
    <w:rsid w:val="009F3BB9"/>
    <w:rsid w:val="009F3C8C"/>
    <w:rsid w:val="009F3C97"/>
    <w:rsid w:val="009F3CC8"/>
    <w:rsid w:val="009F3CC9"/>
    <w:rsid w:val="009F3D53"/>
    <w:rsid w:val="009F3D7F"/>
    <w:rsid w:val="009F3FBB"/>
    <w:rsid w:val="009F40EB"/>
    <w:rsid w:val="009F41B5"/>
    <w:rsid w:val="009F41C1"/>
    <w:rsid w:val="009F41DF"/>
    <w:rsid w:val="009F4222"/>
    <w:rsid w:val="009F42B8"/>
    <w:rsid w:val="009F43C2"/>
    <w:rsid w:val="009F45BD"/>
    <w:rsid w:val="009F45DE"/>
    <w:rsid w:val="009F477B"/>
    <w:rsid w:val="009F47BC"/>
    <w:rsid w:val="009F4842"/>
    <w:rsid w:val="009F48C2"/>
    <w:rsid w:val="009F4976"/>
    <w:rsid w:val="009F4AFB"/>
    <w:rsid w:val="009F4B44"/>
    <w:rsid w:val="009F4B91"/>
    <w:rsid w:val="009F4BE0"/>
    <w:rsid w:val="009F4BE7"/>
    <w:rsid w:val="009F4D0A"/>
    <w:rsid w:val="009F4D8F"/>
    <w:rsid w:val="009F4DB7"/>
    <w:rsid w:val="009F4FDE"/>
    <w:rsid w:val="009F4FE2"/>
    <w:rsid w:val="009F518E"/>
    <w:rsid w:val="009F5194"/>
    <w:rsid w:val="009F52C9"/>
    <w:rsid w:val="009F544A"/>
    <w:rsid w:val="009F54C8"/>
    <w:rsid w:val="009F5503"/>
    <w:rsid w:val="009F5693"/>
    <w:rsid w:val="009F56BB"/>
    <w:rsid w:val="009F5783"/>
    <w:rsid w:val="009F587F"/>
    <w:rsid w:val="009F58D5"/>
    <w:rsid w:val="009F596D"/>
    <w:rsid w:val="009F59AE"/>
    <w:rsid w:val="009F5A8C"/>
    <w:rsid w:val="009F5B09"/>
    <w:rsid w:val="009F5CE5"/>
    <w:rsid w:val="009F5D46"/>
    <w:rsid w:val="009F5E5F"/>
    <w:rsid w:val="009F5E96"/>
    <w:rsid w:val="009F5EC6"/>
    <w:rsid w:val="009F5F3D"/>
    <w:rsid w:val="009F5F54"/>
    <w:rsid w:val="009F6129"/>
    <w:rsid w:val="009F61FB"/>
    <w:rsid w:val="009F625B"/>
    <w:rsid w:val="009F6265"/>
    <w:rsid w:val="009F629E"/>
    <w:rsid w:val="009F62F8"/>
    <w:rsid w:val="009F6304"/>
    <w:rsid w:val="009F6317"/>
    <w:rsid w:val="009F6333"/>
    <w:rsid w:val="009F638C"/>
    <w:rsid w:val="009F64F1"/>
    <w:rsid w:val="009F65E7"/>
    <w:rsid w:val="009F68A1"/>
    <w:rsid w:val="009F6982"/>
    <w:rsid w:val="009F6A37"/>
    <w:rsid w:val="009F6A58"/>
    <w:rsid w:val="009F6A5B"/>
    <w:rsid w:val="009F6ADE"/>
    <w:rsid w:val="009F6B5E"/>
    <w:rsid w:val="009F6B70"/>
    <w:rsid w:val="009F6CAE"/>
    <w:rsid w:val="009F6D08"/>
    <w:rsid w:val="009F6D33"/>
    <w:rsid w:val="009F6DE2"/>
    <w:rsid w:val="009F6EE4"/>
    <w:rsid w:val="009F7085"/>
    <w:rsid w:val="009F7086"/>
    <w:rsid w:val="009F70CA"/>
    <w:rsid w:val="009F70DC"/>
    <w:rsid w:val="009F7184"/>
    <w:rsid w:val="009F71D1"/>
    <w:rsid w:val="009F721D"/>
    <w:rsid w:val="009F7388"/>
    <w:rsid w:val="009F7417"/>
    <w:rsid w:val="009F746B"/>
    <w:rsid w:val="009F74FE"/>
    <w:rsid w:val="009F7511"/>
    <w:rsid w:val="009F755E"/>
    <w:rsid w:val="009F77F2"/>
    <w:rsid w:val="009F780E"/>
    <w:rsid w:val="009F7821"/>
    <w:rsid w:val="009F782E"/>
    <w:rsid w:val="009F78C1"/>
    <w:rsid w:val="009F7931"/>
    <w:rsid w:val="009F7A5C"/>
    <w:rsid w:val="009F7BE8"/>
    <w:rsid w:val="009F7BEF"/>
    <w:rsid w:val="009F7CB6"/>
    <w:rsid w:val="009F7CDB"/>
    <w:rsid w:val="009F7D58"/>
    <w:rsid w:val="009F7E8F"/>
    <w:rsid w:val="00A000DD"/>
    <w:rsid w:val="00A0030E"/>
    <w:rsid w:val="00A00315"/>
    <w:rsid w:val="00A003E4"/>
    <w:rsid w:val="00A00486"/>
    <w:rsid w:val="00A00592"/>
    <w:rsid w:val="00A00660"/>
    <w:rsid w:val="00A006EE"/>
    <w:rsid w:val="00A00738"/>
    <w:rsid w:val="00A007B5"/>
    <w:rsid w:val="00A0091D"/>
    <w:rsid w:val="00A0097E"/>
    <w:rsid w:val="00A009F6"/>
    <w:rsid w:val="00A00A2B"/>
    <w:rsid w:val="00A00BBF"/>
    <w:rsid w:val="00A00C1C"/>
    <w:rsid w:val="00A00C7A"/>
    <w:rsid w:val="00A00C86"/>
    <w:rsid w:val="00A00CD2"/>
    <w:rsid w:val="00A00D4B"/>
    <w:rsid w:val="00A00FE0"/>
    <w:rsid w:val="00A0108A"/>
    <w:rsid w:val="00A01094"/>
    <w:rsid w:val="00A0112C"/>
    <w:rsid w:val="00A01134"/>
    <w:rsid w:val="00A011ED"/>
    <w:rsid w:val="00A01333"/>
    <w:rsid w:val="00A0134B"/>
    <w:rsid w:val="00A01468"/>
    <w:rsid w:val="00A01508"/>
    <w:rsid w:val="00A0150A"/>
    <w:rsid w:val="00A0159D"/>
    <w:rsid w:val="00A0163B"/>
    <w:rsid w:val="00A01677"/>
    <w:rsid w:val="00A0169F"/>
    <w:rsid w:val="00A016A3"/>
    <w:rsid w:val="00A016DA"/>
    <w:rsid w:val="00A016F7"/>
    <w:rsid w:val="00A0183F"/>
    <w:rsid w:val="00A018B5"/>
    <w:rsid w:val="00A018B7"/>
    <w:rsid w:val="00A018E8"/>
    <w:rsid w:val="00A019A1"/>
    <w:rsid w:val="00A01A09"/>
    <w:rsid w:val="00A01AB9"/>
    <w:rsid w:val="00A01ABB"/>
    <w:rsid w:val="00A01BC6"/>
    <w:rsid w:val="00A01CD3"/>
    <w:rsid w:val="00A01FA9"/>
    <w:rsid w:val="00A02083"/>
    <w:rsid w:val="00A020E2"/>
    <w:rsid w:val="00A02142"/>
    <w:rsid w:val="00A02246"/>
    <w:rsid w:val="00A023F2"/>
    <w:rsid w:val="00A0253A"/>
    <w:rsid w:val="00A0256F"/>
    <w:rsid w:val="00A025E2"/>
    <w:rsid w:val="00A02652"/>
    <w:rsid w:val="00A02708"/>
    <w:rsid w:val="00A0287B"/>
    <w:rsid w:val="00A0289F"/>
    <w:rsid w:val="00A028CE"/>
    <w:rsid w:val="00A02990"/>
    <w:rsid w:val="00A02AB7"/>
    <w:rsid w:val="00A02AF4"/>
    <w:rsid w:val="00A02B54"/>
    <w:rsid w:val="00A02B65"/>
    <w:rsid w:val="00A02BC7"/>
    <w:rsid w:val="00A02CEB"/>
    <w:rsid w:val="00A02D3D"/>
    <w:rsid w:val="00A02DB7"/>
    <w:rsid w:val="00A02DC3"/>
    <w:rsid w:val="00A02EE2"/>
    <w:rsid w:val="00A02F36"/>
    <w:rsid w:val="00A02FE3"/>
    <w:rsid w:val="00A0306B"/>
    <w:rsid w:val="00A03079"/>
    <w:rsid w:val="00A0309F"/>
    <w:rsid w:val="00A030F9"/>
    <w:rsid w:val="00A032CC"/>
    <w:rsid w:val="00A03309"/>
    <w:rsid w:val="00A03342"/>
    <w:rsid w:val="00A03372"/>
    <w:rsid w:val="00A033CF"/>
    <w:rsid w:val="00A033EE"/>
    <w:rsid w:val="00A034CD"/>
    <w:rsid w:val="00A03551"/>
    <w:rsid w:val="00A035FE"/>
    <w:rsid w:val="00A0364E"/>
    <w:rsid w:val="00A03683"/>
    <w:rsid w:val="00A0380E"/>
    <w:rsid w:val="00A0380F"/>
    <w:rsid w:val="00A03896"/>
    <w:rsid w:val="00A03A0C"/>
    <w:rsid w:val="00A03A5F"/>
    <w:rsid w:val="00A03A7D"/>
    <w:rsid w:val="00A03C7A"/>
    <w:rsid w:val="00A03CCA"/>
    <w:rsid w:val="00A03CEC"/>
    <w:rsid w:val="00A03D44"/>
    <w:rsid w:val="00A03D60"/>
    <w:rsid w:val="00A03DF8"/>
    <w:rsid w:val="00A03ED0"/>
    <w:rsid w:val="00A03F39"/>
    <w:rsid w:val="00A03F5F"/>
    <w:rsid w:val="00A040E0"/>
    <w:rsid w:val="00A041D8"/>
    <w:rsid w:val="00A04240"/>
    <w:rsid w:val="00A0426D"/>
    <w:rsid w:val="00A04272"/>
    <w:rsid w:val="00A042AF"/>
    <w:rsid w:val="00A0439D"/>
    <w:rsid w:val="00A04455"/>
    <w:rsid w:val="00A04495"/>
    <w:rsid w:val="00A044A3"/>
    <w:rsid w:val="00A04546"/>
    <w:rsid w:val="00A0455C"/>
    <w:rsid w:val="00A0456E"/>
    <w:rsid w:val="00A04581"/>
    <w:rsid w:val="00A04868"/>
    <w:rsid w:val="00A04874"/>
    <w:rsid w:val="00A04A81"/>
    <w:rsid w:val="00A04A9E"/>
    <w:rsid w:val="00A04BAE"/>
    <w:rsid w:val="00A04C09"/>
    <w:rsid w:val="00A04D37"/>
    <w:rsid w:val="00A04E4C"/>
    <w:rsid w:val="00A0502C"/>
    <w:rsid w:val="00A05069"/>
    <w:rsid w:val="00A0516C"/>
    <w:rsid w:val="00A051B9"/>
    <w:rsid w:val="00A0525A"/>
    <w:rsid w:val="00A052CE"/>
    <w:rsid w:val="00A0535A"/>
    <w:rsid w:val="00A05380"/>
    <w:rsid w:val="00A053BB"/>
    <w:rsid w:val="00A0569B"/>
    <w:rsid w:val="00A056FE"/>
    <w:rsid w:val="00A05733"/>
    <w:rsid w:val="00A05915"/>
    <w:rsid w:val="00A05A92"/>
    <w:rsid w:val="00A05BF4"/>
    <w:rsid w:val="00A05C6B"/>
    <w:rsid w:val="00A05CAD"/>
    <w:rsid w:val="00A05FA8"/>
    <w:rsid w:val="00A060FC"/>
    <w:rsid w:val="00A06233"/>
    <w:rsid w:val="00A06411"/>
    <w:rsid w:val="00A066A8"/>
    <w:rsid w:val="00A06768"/>
    <w:rsid w:val="00A0676F"/>
    <w:rsid w:val="00A06890"/>
    <w:rsid w:val="00A068FC"/>
    <w:rsid w:val="00A06907"/>
    <w:rsid w:val="00A06A30"/>
    <w:rsid w:val="00A06A8B"/>
    <w:rsid w:val="00A06B05"/>
    <w:rsid w:val="00A06B4E"/>
    <w:rsid w:val="00A06C6A"/>
    <w:rsid w:val="00A06D7D"/>
    <w:rsid w:val="00A06E45"/>
    <w:rsid w:val="00A06E49"/>
    <w:rsid w:val="00A06E66"/>
    <w:rsid w:val="00A06E77"/>
    <w:rsid w:val="00A06E84"/>
    <w:rsid w:val="00A06F83"/>
    <w:rsid w:val="00A07013"/>
    <w:rsid w:val="00A07038"/>
    <w:rsid w:val="00A0705E"/>
    <w:rsid w:val="00A071B6"/>
    <w:rsid w:val="00A0734A"/>
    <w:rsid w:val="00A0742D"/>
    <w:rsid w:val="00A0751D"/>
    <w:rsid w:val="00A07532"/>
    <w:rsid w:val="00A075E0"/>
    <w:rsid w:val="00A07794"/>
    <w:rsid w:val="00A07B7A"/>
    <w:rsid w:val="00A07C5B"/>
    <w:rsid w:val="00A07C75"/>
    <w:rsid w:val="00A07D49"/>
    <w:rsid w:val="00A07DF2"/>
    <w:rsid w:val="00A07E16"/>
    <w:rsid w:val="00A07E1D"/>
    <w:rsid w:val="00A07FD2"/>
    <w:rsid w:val="00A10210"/>
    <w:rsid w:val="00A102C4"/>
    <w:rsid w:val="00A102CA"/>
    <w:rsid w:val="00A102E3"/>
    <w:rsid w:val="00A1046F"/>
    <w:rsid w:val="00A105E4"/>
    <w:rsid w:val="00A10607"/>
    <w:rsid w:val="00A10616"/>
    <w:rsid w:val="00A108E2"/>
    <w:rsid w:val="00A1090C"/>
    <w:rsid w:val="00A10AA7"/>
    <w:rsid w:val="00A10B82"/>
    <w:rsid w:val="00A10B99"/>
    <w:rsid w:val="00A10C4A"/>
    <w:rsid w:val="00A10D78"/>
    <w:rsid w:val="00A10DDB"/>
    <w:rsid w:val="00A10E60"/>
    <w:rsid w:val="00A10E8D"/>
    <w:rsid w:val="00A10EA1"/>
    <w:rsid w:val="00A10FD3"/>
    <w:rsid w:val="00A10FF1"/>
    <w:rsid w:val="00A11087"/>
    <w:rsid w:val="00A11187"/>
    <w:rsid w:val="00A111C5"/>
    <w:rsid w:val="00A11390"/>
    <w:rsid w:val="00A11583"/>
    <w:rsid w:val="00A1159C"/>
    <w:rsid w:val="00A1167D"/>
    <w:rsid w:val="00A11743"/>
    <w:rsid w:val="00A11762"/>
    <w:rsid w:val="00A1177B"/>
    <w:rsid w:val="00A11863"/>
    <w:rsid w:val="00A118F9"/>
    <w:rsid w:val="00A11ADE"/>
    <w:rsid w:val="00A11AED"/>
    <w:rsid w:val="00A11CA7"/>
    <w:rsid w:val="00A11CF0"/>
    <w:rsid w:val="00A11EC4"/>
    <w:rsid w:val="00A12080"/>
    <w:rsid w:val="00A120DC"/>
    <w:rsid w:val="00A12120"/>
    <w:rsid w:val="00A12291"/>
    <w:rsid w:val="00A12339"/>
    <w:rsid w:val="00A1239B"/>
    <w:rsid w:val="00A123E5"/>
    <w:rsid w:val="00A124CE"/>
    <w:rsid w:val="00A1259F"/>
    <w:rsid w:val="00A1264E"/>
    <w:rsid w:val="00A12790"/>
    <w:rsid w:val="00A127E0"/>
    <w:rsid w:val="00A12874"/>
    <w:rsid w:val="00A12A0F"/>
    <w:rsid w:val="00A12A8C"/>
    <w:rsid w:val="00A12AA0"/>
    <w:rsid w:val="00A12AC5"/>
    <w:rsid w:val="00A12B9F"/>
    <w:rsid w:val="00A12C9A"/>
    <w:rsid w:val="00A12DEE"/>
    <w:rsid w:val="00A12E4C"/>
    <w:rsid w:val="00A12E90"/>
    <w:rsid w:val="00A12EF3"/>
    <w:rsid w:val="00A1302A"/>
    <w:rsid w:val="00A1312E"/>
    <w:rsid w:val="00A13138"/>
    <w:rsid w:val="00A1313A"/>
    <w:rsid w:val="00A131C4"/>
    <w:rsid w:val="00A132EE"/>
    <w:rsid w:val="00A13356"/>
    <w:rsid w:val="00A1344C"/>
    <w:rsid w:val="00A13574"/>
    <w:rsid w:val="00A13613"/>
    <w:rsid w:val="00A13675"/>
    <w:rsid w:val="00A137D8"/>
    <w:rsid w:val="00A139DD"/>
    <w:rsid w:val="00A13A22"/>
    <w:rsid w:val="00A13B98"/>
    <w:rsid w:val="00A13BA2"/>
    <w:rsid w:val="00A13BE2"/>
    <w:rsid w:val="00A13C56"/>
    <w:rsid w:val="00A13D86"/>
    <w:rsid w:val="00A13D8B"/>
    <w:rsid w:val="00A13DDE"/>
    <w:rsid w:val="00A13E68"/>
    <w:rsid w:val="00A13E83"/>
    <w:rsid w:val="00A13F12"/>
    <w:rsid w:val="00A1417E"/>
    <w:rsid w:val="00A143A3"/>
    <w:rsid w:val="00A143F7"/>
    <w:rsid w:val="00A14479"/>
    <w:rsid w:val="00A14496"/>
    <w:rsid w:val="00A1463D"/>
    <w:rsid w:val="00A1464E"/>
    <w:rsid w:val="00A146D0"/>
    <w:rsid w:val="00A14772"/>
    <w:rsid w:val="00A1479C"/>
    <w:rsid w:val="00A147E5"/>
    <w:rsid w:val="00A1491D"/>
    <w:rsid w:val="00A1495E"/>
    <w:rsid w:val="00A14D1D"/>
    <w:rsid w:val="00A14D57"/>
    <w:rsid w:val="00A14DE4"/>
    <w:rsid w:val="00A14DFB"/>
    <w:rsid w:val="00A14EA8"/>
    <w:rsid w:val="00A14EF2"/>
    <w:rsid w:val="00A14F11"/>
    <w:rsid w:val="00A14F2E"/>
    <w:rsid w:val="00A14FFD"/>
    <w:rsid w:val="00A15026"/>
    <w:rsid w:val="00A15105"/>
    <w:rsid w:val="00A15208"/>
    <w:rsid w:val="00A152DE"/>
    <w:rsid w:val="00A152E5"/>
    <w:rsid w:val="00A153D8"/>
    <w:rsid w:val="00A15592"/>
    <w:rsid w:val="00A155E9"/>
    <w:rsid w:val="00A15600"/>
    <w:rsid w:val="00A15645"/>
    <w:rsid w:val="00A156D4"/>
    <w:rsid w:val="00A15827"/>
    <w:rsid w:val="00A1588F"/>
    <w:rsid w:val="00A158AE"/>
    <w:rsid w:val="00A15935"/>
    <w:rsid w:val="00A15991"/>
    <w:rsid w:val="00A15C5E"/>
    <w:rsid w:val="00A15E9F"/>
    <w:rsid w:val="00A15EC4"/>
    <w:rsid w:val="00A15F3C"/>
    <w:rsid w:val="00A15FFE"/>
    <w:rsid w:val="00A1601D"/>
    <w:rsid w:val="00A16196"/>
    <w:rsid w:val="00A16262"/>
    <w:rsid w:val="00A16276"/>
    <w:rsid w:val="00A162D7"/>
    <w:rsid w:val="00A162EE"/>
    <w:rsid w:val="00A162F2"/>
    <w:rsid w:val="00A164D9"/>
    <w:rsid w:val="00A16664"/>
    <w:rsid w:val="00A1674D"/>
    <w:rsid w:val="00A167C9"/>
    <w:rsid w:val="00A168EB"/>
    <w:rsid w:val="00A1699D"/>
    <w:rsid w:val="00A169B7"/>
    <w:rsid w:val="00A16AF9"/>
    <w:rsid w:val="00A16B8C"/>
    <w:rsid w:val="00A16B94"/>
    <w:rsid w:val="00A16C5D"/>
    <w:rsid w:val="00A16CE8"/>
    <w:rsid w:val="00A16E18"/>
    <w:rsid w:val="00A16E63"/>
    <w:rsid w:val="00A16EBC"/>
    <w:rsid w:val="00A16EBE"/>
    <w:rsid w:val="00A16ECD"/>
    <w:rsid w:val="00A16EFF"/>
    <w:rsid w:val="00A16F28"/>
    <w:rsid w:val="00A16F4B"/>
    <w:rsid w:val="00A16FBE"/>
    <w:rsid w:val="00A16FE5"/>
    <w:rsid w:val="00A17004"/>
    <w:rsid w:val="00A1702A"/>
    <w:rsid w:val="00A170D0"/>
    <w:rsid w:val="00A17163"/>
    <w:rsid w:val="00A171EE"/>
    <w:rsid w:val="00A17244"/>
    <w:rsid w:val="00A1727C"/>
    <w:rsid w:val="00A173F4"/>
    <w:rsid w:val="00A17541"/>
    <w:rsid w:val="00A175CF"/>
    <w:rsid w:val="00A175D2"/>
    <w:rsid w:val="00A176DF"/>
    <w:rsid w:val="00A17708"/>
    <w:rsid w:val="00A17780"/>
    <w:rsid w:val="00A177BA"/>
    <w:rsid w:val="00A177F0"/>
    <w:rsid w:val="00A177F8"/>
    <w:rsid w:val="00A17803"/>
    <w:rsid w:val="00A17893"/>
    <w:rsid w:val="00A17A27"/>
    <w:rsid w:val="00A17B6B"/>
    <w:rsid w:val="00A17B6E"/>
    <w:rsid w:val="00A17BE8"/>
    <w:rsid w:val="00A17BE9"/>
    <w:rsid w:val="00A17D82"/>
    <w:rsid w:val="00A17DBE"/>
    <w:rsid w:val="00A17EE6"/>
    <w:rsid w:val="00A20006"/>
    <w:rsid w:val="00A200B0"/>
    <w:rsid w:val="00A204F7"/>
    <w:rsid w:val="00A20524"/>
    <w:rsid w:val="00A205C1"/>
    <w:rsid w:val="00A20626"/>
    <w:rsid w:val="00A2072C"/>
    <w:rsid w:val="00A207F2"/>
    <w:rsid w:val="00A207FF"/>
    <w:rsid w:val="00A2089A"/>
    <w:rsid w:val="00A208FF"/>
    <w:rsid w:val="00A20B7D"/>
    <w:rsid w:val="00A20BAB"/>
    <w:rsid w:val="00A20BBC"/>
    <w:rsid w:val="00A20C27"/>
    <w:rsid w:val="00A20C2C"/>
    <w:rsid w:val="00A20CA3"/>
    <w:rsid w:val="00A20DA9"/>
    <w:rsid w:val="00A20DB5"/>
    <w:rsid w:val="00A20E02"/>
    <w:rsid w:val="00A20E44"/>
    <w:rsid w:val="00A20E56"/>
    <w:rsid w:val="00A20F0E"/>
    <w:rsid w:val="00A21122"/>
    <w:rsid w:val="00A21289"/>
    <w:rsid w:val="00A21386"/>
    <w:rsid w:val="00A213F4"/>
    <w:rsid w:val="00A213FB"/>
    <w:rsid w:val="00A214C6"/>
    <w:rsid w:val="00A21520"/>
    <w:rsid w:val="00A21525"/>
    <w:rsid w:val="00A2156F"/>
    <w:rsid w:val="00A2184D"/>
    <w:rsid w:val="00A2193C"/>
    <w:rsid w:val="00A219BC"/>
    <w:rsid w:val="00A21BD7"/>
    <w:rsid w:val="00A21BED"/>
    <w:rsid w:val="00A21C83"/>
    <w:rsid w:val="00A21CA0"/>
    <w:rsid w:val="00A21D94"/>
    <w:rsid w:val="00A21DA3"/>
    <w:rsid w:val="00A21E7E"/>
    <w:rsid w:val="00A21F14"/>
    <w:rsid w:val="00A22037"/>
    <w:rsid w:val="00A2216F"/>
    <w:rsid w:val="00A22207"/>
    <w:rsid w:val="00A22355"/>
    <w:rsid w:val="00A2237E"/>
    <w:rsid w:val="00A22534"/>
    <w:rsid w:val="00A22592"/>
    <w:rsid w:val="00A225D2"/>
    <w:rsid w:val="00A2263B"/>
    <w:rsid w:val="00A22689"/>
    <w:rsid w:val="00A226A3"/>
    <w:rsid w:val="00A22784"/>
    <w:rsid w:val="00A227B8"/>
    <w:rsid w:val="00A227B9"/>
    <w:rsid w:val="00A228D2"/>
    <w:rsid w:val="00A228D5"/>
    <w:rsid w:val="00A22ABB"/>
    <w:rsid w:val="00A22B27"/>
    <w:rsid w:val="00A22B43"/>
    <w:rsid w:val="00A22CC3"/>
    <w:rsid w:val="00A22D60"/>
    <w:rsid w:val="00A22E77"/>
    <w:rsid w:val="00A22EEC"/>
    <w:rsid w:val="00A230B4"/>
    <w:rsid w:val="00A2312D"/>
    <w:rsid w:val="00A234B7"/>
    <w:rsid w:val="00A234CF"/>
    <w:rsid w:val="00A2359A"/>
    <w:rsid w:val="00A236D8"/>
    <w:rsid w:val="00A23710"/>
    <w:rsid w:val="00A23779"/>
    <w:rsid w:val="00A23785"/>
    <w:rsid w:val="00A2380B"/>
    <w:rsid w:val="00A23894"/>
    <w:rsid w:val="00A239B2"/>
    <w:rsid w:val="00A23B97"/>
    <w:rsid w:val="00A23CCE"/>
    <w:rsid w:val="00A23CF7"/>
    <w:rsid w:val="00A23D0F"/>
    <w:rsid w:val="00A23D74"/>
    <w:rsid w:val="00A23E28"/>
    <w:rsid w:val="00A23EB1"/>
    <w:rsid w:val="00A23EFA"/>
    <w:rsid w:val="00A23F38"/>
    <w:rsid w:val="00A23FDC"/>
    <w:rsid w:val="00A2412E"/>
    <w:rsid w:val="00A244E5"/>
    <w:rsid w:val="00A2450B"/>
    <w:rsid w:val="00A245DF"/>
    <w:rsid w:val="00A24680"/>
    <w:rsid w:val="00A2473D"/>
    <w:rsid w:val="00A24825"/>
    <w:rsid w:val="00A2487A"/>
    <w:rsid w:val="00A248AA"/>
    <w:rsid w:val="00A248F2"/>
    <w:rsid w:val="00A249C5"/>
    <w:rsid w:val="00A24B04"/>
    <w:rsid w:val="00A24C23"/>
    <w:rsid w:val="00A24C89"/>
    <w:rsid w:val="00A24C9B"/>
    <w:rsid w:val="00A24DA0"/>
    <w:rsid w:val="00A24E59"/>
    <w:rsid w:val="00A24E70"/>
    <w:rsid w:val="00A24F81"/>
    <w:rsid w:val="00A24F8A"/>
    <w:rsid w:val="00A252BE"/>
    <w:rsid w:val="00A25340"/>
    <w:rsid w:val="00A2543A"/>
    <w:rsid w:val="00A25482"/>
    <w:rsid w:val="00A254D3"/>
    <w:rsid w:val="00A254FB"/>
    <w:rsid w:val="00A25557"/>
    <w:rsid w:val="00A255D5"/>
    <w:rsid w:val="00A256E6"/>
    <w:rsid w:val="00A25737"/>
    <w:rsid w:val="00A25919"/>
    <w:rsid w:val="00A2599F"/>
    <w:rsid w:val="00A259C5"/>
    <w:rsid w:val="00A259FB"/>
    <w:rsid w:val="00A25A22"/>
    <w:rsid w:val="00A25B46"/>
    <w:rsid w:val="00A25D0A"/>
    <w:rsid w:val="00A25DCA"/>
    <w:rsid w:val="00A25DDD"/>
    <w:rsid w:val="00A25EA8"/>
    <w:rsid w:val="00A25FC7"/>
    <w:rsid w:val="00A26128"/>
    <w:rsid w:val="00A261AC"/>
    <w:rsid w:val="00A261D8"/>
    <w:rsid w:val="00A26327"/>
    <w:rsid w:val="00A2635E"/>
    <w:rsid w:val="00A2646C"/>
    <w:rsid w:val="00A265D9"/>
    <w:rsid w:val="00A2663A"/>
    <w:rsid w:val="00A26693"/>
    <w:rsid w:val="00A266C9"/>
    <w:rsid w:val="00A266E3"/>
    <w:rsid w:val="00A2673E"/>
    <w:rsid w:val="00A26789"/>
    <w:rsid w:val="00A2679B"/>
    <w:rsid w:val="00A2681B"/>
    <w:rsid w:val="00A26921"/>
    <w:rsid w:val="00A26AE7"/>
    <w:rsid w:val="00A26AED"/>
    <w:rsid w:val="00A26B6A"/>
    <w:rsid w:val="00A26BB9"/>
    <w:rsid w:val="00A26D88"/>
    <w:rsid w:val="00A26E04"/>
    <w:rsid w:val="00A26EC4"/>
    <w:rsid w:val="00A26EE1"/>
    <w:rsid w:val="00A26F1C"/>
    <w:rsid w:val="00A26F3F"/>
    <w:rsid w:val="00A27068"/>
    <w:rsid w:val="00A27082"/>
    <w:rsid w:val="00A270F9"/>
    <w:rsid w:val="00A271EF"/>
    <w:rsid w:val="00A272D3"/>
    <w:rsid w:val="00A272D8"/>
    <w:rsid w:val="00A2733C"/>
    <w:rsid w:val="00A2745A"/>
    <w:rsid w:val="00A27536"/>
    <w:rsid w:val="00A276F7"/>
    <w:rsid w:val="00A277D2"/>
    <w:rsid w:val="00A27893"/>
    <w:rsid w:val="00A278AF"/>
    <w:rsid w:val="00A27913"/>
    <w:rsid w:val="00A27940"/>
    <w:rsid w:val="00A27981"/>
    <w:rsid w:val="00A279C1"/>
    <w:rsid w:val="00A279E1"/>
    <w:rsid w:val="00A27A14"/>
    <w:rsid w:val="00A27A24"/>
    <w:rsid w:val="00A27B23"/>
    <w:rsid w:val="00A27C7C"/>
    <w:rsid w:val="00A27E53"/>
    <w:rsid w:val="00A27FCE"/>
    <w:rsid w:val="00A27FEB"/>
    <w:rsid w:val="00A30015"/>
    <w:rsid w:val="00A3002D"/>
    <w:rsid w:val="00A30059"/>
    <w:rsid w:val="00A300EF"/>
    <w:rsid w:val="00A303BE"/>
    <w:rsid w:val="00A303E5"/>
    <w:rsid w:val="00A3047A"/>
    <w:rsid w:val="00A3047F"/>
    <w:rsid w:val="00A30492"/>
    <w:rsid w:val="00A304EB"/>
    <w:rsid w:val="00A3053F"/>
    <w:rsid w:val="00A30550"/>
    <w:rsid w:val="00A30599"/>
    <w:rsid w:val="00A306CC"/>
    <w:rsid w:val="00A30708"/>
    <w:rsid w:val="00A3076C"/>
    <w:rsid w:val="00A30809"/>
    <w:rsid w:val="00A30828"/>
    <w:rsid w:val="00A30832"/>
    <w:rsid w:val="00A30833"/>
    <w:rsid w:val="00A308A0"/>
    <w:rsid w:val="00A308B3"/>
    <w:rsid w:val="00A308C0"/>
    <w:rsid w:val="00A30952"/>
    <w:rsid w:val="00A30A6B"/>
    <w:rsid w:val="00A30D1A"/>
    <w:rsid w:val="00A30E5C"/>
    <w:rsid w:val="00A30EE8"/>
    <w:rsid w:val="00A30FBD"/>
    <w:rsid w:val="00A30FE7"/>
    <w:rsid w:val="00A31131"/>
    <w:rsid w:val="00A3122B"/>
    <w:rsid w:val="00A31476"/>
    <w:rsid w:val="00A315B2"/>
    <w:rsid w:val="00A315D3"/>
    <w:rsid w:val="00A315DB"/>
    <w:rsid w:val="00A31751"/>
    <w:rsid w:val="00A3199D"/>
    <w:rsid w:val="00A31D65"/>
    <w:rsid w:val="00A31D9A"/>
    <w:rsid w:val="00A31E83"/>
    <w:rsid w:val="00A31F95"/>
    <w:rsid w:val="00A31F97"/>
    <w:rsid w:val="00A31FD2"/>
    <w:rsid w:val="00A32012"/>
    <w:rsid w:val="00A32164"/>
    <w:rsid w:val="00A321B9"/>
    <w:rsid w:val="00A327CF"/>
    <w:rsid w:val="00A32809"/>
    <w:rsid w:val="00A32884"/>
    <w:rsid w:val="00A32A70"/>
    <w:rsid w:val="00A32BB3"/>
    <w:rsid w:val="00A32CBF"/>
    <w:rsid w:val="00A32F14"/>
    <w:rsid w:val="00A32F36"/>
    <w:rsid w:val="00A32F85"/>
    <w:rsid w:val="00A3308F"/>
    <w:rsid w:val="00A331DF"/>
    <w:rsid w:val="00A33265"/>
    <w:rsid w:val="00A33341"/>
    <w:rsid w:val="00A333A9"/>
    <w:rsid w:val="00A334BB"/>
    <w:rsid w:val="00A336FB"/>
    <w:rsid w:val="00A337F5"/>
    <w:rsid w:val="00A33819"/>
    <w:rsid w:val="00A338F7"/>
    <w:rsid w:val="00A33B0B"/>
    <w:rsid w:val="00A33B43"/>
    <w:rsid w:val="00A33B54"/>
    <w:rsid w:val="00A33BF2"/>
    <w:rsid w:val="00A33C4B"/>
    <w:rsid w:val="00A33C5A"/>
    <w:rsid w:val="00A33C90"/>
    <w:rsid w:val="00A33CB2"/>
    <w:rsid w:val="00A33DC3"/>
    <w:rsid w:val="00A33E22"/>
    <w:rsid w:val="00A33F96"/>
    <w:rsid w:val="00A3405E"/>
    <w:rsid w:val="00A340CA"/>
    <w:rsid w:val="00A34157"/>
    <w:rsid w:val="00A341F1"/>
    <w:rsid w:val="00A3422A"/>
    <w:rsid w:val="00A34278"/>
    <w:rsid w:val="00A342A2"/>
    <w:rsid w:val="00A342F4"/>
    <w:rsid w:val="00A34365"/>
    <w:rsid w:val="00A3437A"/>
    <w:rsid w:val="00A343C8"/>
    <w:rsid w:val="00A34423"/>
    <w:rsid w:val="00A345F4"/>
    <w:rsid w:val="00A348C9"/>
    <w:rsid w:val="00A34916"/>
    <w:rsid w:val="00A349E1"/>
    <w:rsid w:val="00A34AE7"/>
    <w:rsid w:val="00A34B48"/>
    <w:rsid w:val="00A34BDF"/>
    <w:rsid w:val="00A34BE7"/>
    <w:rsid w:val="00A34C98"/>
    <w:rsid w:val="00A34CCB"/>
    <w:rsid w:val="00A34E49"/>
    <w:rsid w:val="00A34E4A"/>
    <w:rsid w:val="00A351D1"/>
    <w:rsid w:val="00A3524F"/>
    <w:rsid w:val="00A35268"/>
    <w:rsid w:val="00A35296"/>
    <w:rsid w:val="00A353ED"/>
    <w:rsid w:val="00A35481"/>
    <w:rsid w:val="00A354A6"/>
    <w:rsid w:val="00A354BB"/>
    <w:rsid w:val="00A3569E"/>
    <w:rsid w:val="00A356A6"/>
    <w:rsid w:val="00A356C4"/>
    <w:rsid w:val="00A35762"/>
    <w:rsid w:val="00A3584A"/>
    <w:rsid w:val="00A358F9"/>
    <w:rsid w:val="00A35A5B"/>
    <w:rsid w:val="00A35A6E"/>
    <w:rsid w:val="00A35B27"/>
    <w:rsid w:val="00A35CA3"/>
    <w:rsid w:val="00A35CFB"/>
    <w:rsid w:val="00A35D1B"/>
    <w:rsid w:val="00A35D4D"/>
    <w:rsid w:val="00A35E17"/>
    <w:rsid w:val="00A35E54"/>
    <w:rsid w:val="00A36018"/>
    <w:rsid w:val="00A3608B"/>
    <w:rsid w:val="00A3609F"/>
    <w:rsid w:val="00A360CE"/>
    <w:rsid w:val="00A361B3"/>
    <w:rsid w:val="00A361C3"/>
    <w:rsid w:val="00A36202"/>
    <w:rsid w:val="00A36308"/>
    <w:rsid w:val="00A36364"/>
    <w:rsid w:val="00A3641B"/>
    <w:rsid w:val="00A3642F"/>
    <w:rsid w:val="00A3648B"/>
    <w:rsid w:val="00A364EB"/>
    <w:rsid w:val="00A365C1"/>
    <w:rsid w:val="00A36642"/>
    <w:rsid w:val="00A367BA"/>
    <w:rsid w:val="00A36810"/>
    <w:rsid w:val="00A36846"/>
    <w:rsid w:val="00A36867"/>
    <w:rsid w:val="00A368E9"/>
    <w:rsid w:val="00A36956"/>
    <w:rsid w:val="00A36A68"/>
    <w:rsid w:val="00A36BB2"/>
    <w:rsid w:val="00A36CFB"/>
    <w:rsid w:val="00A36D66"/>
    <w:rsid w:val="00A36DF4"/>
    <w:rsid w:val="00A36E3F"/>
    <w:rsid w:val="00A36F6D"/>
    <w:rsid w:val="00A36FBF"/>
    <w:rsid w:val="00A371FD"/>
    <w:rsid w:val="00A3733E"/>
    <w:rsid w:val="00A374AE"/>
    <w:rsid w:val="00A374CA"/>
    <w:rsid w:val="00A374D6"/>
    <w:rsid w:val="00A37503"/>
    <w:rsid w:val="00A375B6"/>
    <w:rsid w:val="00A375EA"/>
    <w:rsid w:val="00A3761C"/>
    <w:rsid w:val="00A3785B"/>
    <w:rsid w:val="00A37985"/>
    <w:rsid w:val="00A379DE"/>
    <w:rsid w:val="00A37B2C"/>
    <w:rsid w:val="00A37C0E"/>
    <w:rsid w:val="00A37C1A"/>
    <w:rsid w:val="00A37CF1"/>
    <w:rsid w:val="00A37E0D"/>
    <w:rsid w:val="00A400E5"/>
    <w:rsid w:val="00A400ED"/>
    <w:rsid w:val="00A402D0"/>
    <w:rsid w:val="00A40363"/>
    <w:rsid w:val="00A40390"/>
    <w:rsid w:val="00A40416"/>
    <w:rsid w:val="00A40457"/>
    <w:rsid w:val="00A4046E"/>
    <w:rsid w:val="00A404A2"/>
    <w:rsid w:val="00A40534"/>
    <w:rsid w:val="00A405A0"/>
    <w:rsid w:val="00A406ED"/>
    <w:rsid w:val="00A4086B"/>
    <w:rsid w:val="00A40994"/>
    <w:rsid w:val="00A409E8"/>
    <w:rsid w:val="00A40AC9"/>
    <w:rsid w:val="00A40C31"/>
    <w:rsid w:val="00A40C33"/>
    <w:rsid w:val="00A40D0D"/>
    <w:rsid w:val="00A40E2A"/>
    <w:rsid w:val="00A40E31"/>
    <w:rsid w:val="00A40E8D"/>
    <w:rsid w:val="00A40FA1"/>
    <w:rsid w:val="00A40FFE"/>
    <w:rsid w:val="00A41032"/>
    <w:rsid w:val="00A410C1"/>
    <w:rsid w:val="00A41107"/>
    <w:rsid w:val="00A4119D"/>
    <w:rsid w:val="00A411E2"/>
    <w:rsid w:val="00A412BF"/>
    <w:rsid w:val="00A412C4"/>
    <w:rsid w:val="00A413AA"/>
    <w:rsid w:val="00A413E2"/>
    <w:rsid w:val="00A413F1"/>
    <w:rsid w:val="00A41448"/>
    <w:rsid w:val="00A4166A"/>
    <w:rsid w:val="00A416C2"/>
    <w:rsid w:val="00A4172F"/>
    <w:rsid w:val="00A41771"/>
    <w:rsid w:val="00A417B2"/>
    <w:rsid w:val="00A417D6"/>
    <w:rsid w:val="00A4180A"/>
    <w:rsid w:val="00A4189C"/>
    <w:rsid w:val="00A418FF"/>
    <w:rsid w:val="00A41B9F"/>
    <w:rsid w:val="00A41D7F"/>
    <w:rsid w:val="00A41E0D"/>
    <w:rsid w:val="00A41EAE"/>
    <w:rsid w:val="00A4200B"/>
    <w:rsid w:val="00A420A4"/>
    <w:rsid w:val="00A421AF"/>
    <w:rsid w:val="00A421D4"/>
    <w:rsid w:val="00A42239"/>
    <w:rsid w:val="00A4224F"/>
    <w:rsid w:val="00A42381"/>
    <w:rsid w:val="00A42421"/>
    <w:rsid w:val="00A4242B"/>
    <w:rsid w:val="00A4258A"/>
    <w:rsid w:val="00A42605"/>
    <w:rsid w:val="00A42786"/>
    <w:rsid w:val="00A42886"/>
    <w:rsid w:val="00A428E5"/>
    <w:rsid w:val="00A429E5"/>
    <w:rsid w:val="00A42AE0"/>
    <w:rsid w:val="00A42B5D"/>
    <w:rsid w:val="00A42C69"/>
    <w:rsid w:val="00A42EDA"/>
    <w:rsid w:val="00A42F4D"/>
    <w:rsid w:val="00A42FF6"/>
    <w:rsid w:val="00A43027"/>
    <w:rsid w:val="00A43060"/>
    <w:rsid w:val="00A43075"/>
    <w:rsid w:val="00A430F2"/>
    <w:rsid w:val="00A4313C"/>
    <w:rsid w:val="00A431A9"/>
    <w:rsid w:val="00A431FF"/>
    <w:rsid w:val="00A43224"/>
    <w:rsid w:val="00A4322E"/>
    <w:rsid w:val="00A43264"/>
    <w:rsid w:val="00A43402"/>
    <w:rsid w:val="00A434CC"/>
    <w:rsid w:val="00A4367E"/>
    <w:rsid w:val="00A43761"/>
    <w:rsid w:val="00A438E6"/>
    <w:rsid w:val="00A438ED"/>
    <w:rsid w:val="00A439D3"/>
    <w:rsid w:val="00A43BC9"/>
    <w:rsid w:val="00A43BE0"/>
    <w:rsid w:val="00A43D1D"/>
    <w:rsid w:val="00A43D49"/>
    <w:rsid w:val="00A43E47"/>
    <w:rsid w:val="00A43EEB"/>
    <w:rsid w:val="00A43F94"/>
    <w:rsid w:val="00A4417B"/>
    <w:rsid w:val="00A441CB"/>
    <w:rsid w:val="00A441E2"/>
    <w:rsid w:val="00A44230"/>
    <w:rsid w:val="00A4423B"/>
    <w:rsid w:val="00A44261"/>
    <w:rsid w:val="00A44353"/>
    <w:rsid w:val="00A4442F"/>
    <w:rsid w:val="00A44461"/>
    <w:rsid w:val="00A44651"/>
    <w:rsid w:val="00A4468C"/>
    <w:rsid w:val="00A4470B"/>
    <w:rsid w:val="00A447D1"/>
    <w:rsid w:val="00A44836"/>
    <w:rsid w:val="00A4484E"/>
    <w:rsid w:val="00A4485B"/>
    <w:rsid w:val="00A449EA"/>
    <w:rsid w:val="00A44A38"/>
    <w:rsid w:val="00A44C06"/>
    <w:rsid w:val="00A44CAA"/>
    <w:rsid w:val="00A44D2F"/>
    <w:rsid w:val="00A44F09"/>
    <w:rsid w:val="00A44F78"/>
    <w:rsid w:val="00A44FA3"/>
    <w:rsid w:val="00A45099"/>
    <w:rsid w:val="00A45166"/>
    <w:rsid w:val="00A45224"/>
    <w:rsid w:val="00A4527E"/>
    <w:rsid w:val="00A45302"/>
    <w:rsid w:val="00A453F0"/>
    <w:rsid w:val="00A45446"/>
    <w:rsid w:val="00A45554"/>
    <w:rsid w:val="00A45589"/>
    <w:rsid w:val="00A45687"/>
    <w:rsid w:val="00A45763"/>
    <w:rsid w:val="00A45812"/>
    <w:rsid w:val="00A45857"/>
    <w:rsid w:val="00A45903"/>
    <w:rsid w:val="00A45A19"/>
    <w:rsid w:val="00A45ADC"/>
    <w:rsid w:val="00A45B06"/>
    <w:rsid w:val="00A45B76"/>
    <w:rsid w:val="00A45B8A"/>
    <w:rsid w:val="00A45BE9"/>
    <w:rsid w:val="00A45C25"/>
    <w:rsid w:val="00A45C50"/>
    <w:rsid w:val="00A45CAF"/>
    <w:rsid w:val="00A45E2D"/>
    <w:rsid w:val="00A45F12"/>
    <w:rsid w:val="00A45F9A"/>
    <w:rsid w:val="00A46108"/>
    <w:rsid w:val="00A46268"/>
    <w:rsid w:val="00A46272"/>
    <w:rsid w:val="00A4627C"/>
    <w:rsid w:val="00A462BC"/>
    <w:rsid w:val="00A462D0"/>
    <w:rsid w:val="00A46320"/>
    <w:rsid w:val="00A4635F"/>
    <w:rsid w:val="00A463BF"/>
    <w:rsid w:val="00A46486"/>
    <w:rsid w:val="00A4679B"/>
    <w:rsid w:val="00A467F1"/>
    <w:rsid w:val="00A46830"/>
    <w:rsid w:val="00A4693E"/>
    <w:rsid w:val="00A46985"/>
    <w:rsid w:val="00A46997"/>
    <w:rsid w:val="00A469B9"/>
    <w:rsid w:val="00A46B2D"/>
    <w:rsid w:val="00A46B97"/>
    <w:rsid w:val="00A46C6E"/>
    <w:rsid w:val="00A46CB5"/>
    <w:rsid w:val="00A46D10"/>
    <w:rsid w:val="00A46E62"/>
    <w:rsid w:val="00A46FAF"/>
    <w:rsid w:val="00A471DF"/>
    <w:rsid w:val="00A472CB"/>
    <w:rsid w:val="00A47336"/>
    <w:rsid w:val="00A47383"/>
    <w:rsid w:val="00A477C2"/>
    <w:rsid w:val="00A477E4"/>
    <w:rsid w:val="00A4786B"/>
    <w:rsid w:val="00A478BF"/>
    <w:rsid w:val="00A478C4"/>
    <w:rsid w:val="00A479E0"/>
    <w:rsid w:val="00A47A25"/>
    <w:rsid w:val="00A47A93"/>
    <w:rsid w:val="00A47B80"/>
    <w:rsid w:val="00A47C29"/>
    <w:rsid w:val="00A47CC8"/>
    <w:rsid w:val="00A47E0F"/>
    <w:rsid w:val="00A47EE3"/>
    <w:rsid w:val="00A47F1D"/>
    <w:rsid w:val="00A5002A"/>
    <w:rsid w:val="00A50146"/>
    <w:rsid w:val="00A501F5"/>
    <w:rsid w:val="00A503D2"/>
    <w:rsid w:val="00A50444"/>
    <w:rsid w:val="00A5049A"/>
    <w:rsid w:val="00A505E2"/>
    <w:rsid w:val="00A50622"/>
    <w:rsid w:val="00A506DE"/>
    <w:rsid w:val="00A508C1"/>
    <w:rsid w:val="00A50930"/>
    <w:rsid w:val="00A50977"/>
    <w:rsid w:val="00A50B55"/>
    <w:rsid w:val="00A50C72"/>
    <w:rsid w:val="00A50D51"/>
    <w:rsid w:val="00A50D5B"/>
    <w:rsid w:val="00A50E72"/>
    <w:rsid w:val="00A510E9"/>
    <w:rsid w:val="00A51315"/>
    <w:rsid w:val="00A513A0"/>
    <w:rsid w:val="00A5142F"/>
    <w:rsid w:val="00A51472"/>
    <w:rsid w:val="00A51475"/>
    <w:rsid w:val="00A5151B"/>
    <w:rsid w:val="00A5153F"/>
    <w:rsid w:val="00A516A6"/>
    <w:rsid w:val="00A516E0"/>
    <w:rsid w:val="00A51870"/>
    <w:rsid w:val="00A518AC"/>
    <w:rsid w:val="00A518F5"/>
    <w:rsid w:val="00A5195A"/>
    <w:rsid w:val="00A51A18"/>
    <w:rsid w:val="00A51A62"/>
    <w:rsid w:val="00A51B11"/>
    <w:rsid w:val="00A51CC6"/>
    <w:rsid w:val="00A51CF3"/>
    <w:rsid w:val="00A51D0A"/>
    <w:rsid w:val="00A51D4E"/>
    <w:rsid w:val="00A51D90"/>
    <w:rsid w:val="00A51E23"/>
    <w:rsid w:val="00A51EAF"/>
    <w:rsid w:val="00A51F08"/>
    <w:rsid w:val="00A51F3D"/>
    <w:rsid w:val="00A5206B"/>
    <w:rsid w:val="00A52201"/>
    <w:rsid w:val="00A5223A"/>
    <w:rsid w:val="00A52343"/>
    <w:rsid w:val="00A52384"/>
    <w:rsid w:val="00A5251F"/>
    <w:rsid w:val="00A52588"/>
    <w:rsid w:val="00A52647"/>
    <w:rsid w:val="00A52659"/>
    <w:rsid w:val="00A52674"/>
    <w:rsid w:val="00A52787"/>
    <w:rsid w:val="00A527DA"/>
    <w:rsid w:val="00A527F3"/>
    <w:rsid w:val="00A52809"/>
    <w:rsid w:val="00A52810"/>
    <w:rsid w:val="00A528B3"/>
    <w:rsid w:val="00A528C8"/>
    <w:rsid w:val="00A52A20"/>
    <w:rsid w:val="00A52A63"/>
    <w:rsid w:val="00A52AF7"/>
    <w:rsid w:val="00A52B98"/>
    <w:rsid w:val="00A52C3D"/>
    <w:rsid w:val="00A52D2C"/>
    <w:rsid w:val="00A52D34"/>
    <w:rsid w:val="00A52DFD"/>
    <w:rsid w:val="00A52E10"/>
    <w:rsid w:val="00A52ECA"/>
    <w:rsid w:val="00A52FF5"/>
    <w:rsid w:val="00A52FF6"/>
    <w:rsid w:val="00A530D9"/>
    <w:rsid w:val="00A5315C"/>
    <w:rsid w:val="00A53216"/>
    <w:rsid w:val="00A532B4"/>
    <w:rsid w:val="00A532FA"/>
    <w:rsid w:val="00A53365"/>
    <w:rsid w:val="00A53376"/>
    <w:rsid w:val="00A533ED"/>
    <w:rsid w:val="00A534CA"/>
    <w:rsid w:val="00A53517"/>
    <w:rsid w:val="00A535B2"/>
    <w:rsid w:val="00A535FB"/>
    <w:rsid w:val="00A5370E"/>
    <w:rsid w:val="00A53843"/>
    <w:rsid w:val="00A5390A"/>
    <w:rsid w:val="00A53974"/>
    <w:rsid w:val="00A53986"/>
    <w:rsid w:val="00A53A7D"/>
    <w:rsid w:val="00A53B13"/>
    <w:rsid w:val="00A53DCD"/>
    <w:rsid w:val="00A53E4C"/>
    <w:rsid w:val="00A53E50"/>
    <w:rsid w:val="00A53EA3"/>
    <w:rsid w:val="00A53F4C"/>
    <w:rsid w:val="00A53F51"/>
    <w:rsid w:val="00A53F6F"/>
    <w:rsid w:val="00A54004"/>
    <w:rsid w:val="00A54039"/>
    <w:rsid w:val="00A54056"/>
    <w:rsid w:val="00A5409A"/>
    <w:rsid w:val="00A5411C"/>
    <w:rsid w:val="00A5419F"/>
    <w:rsid w:val="00A544D8"/>
    <w:rsid w:val="00A54673"/>
    <w:rsid w:val="00A5475C"/>
    <w:rsid w:val="00A54785"/>
    <w:rsid w:val="00A547DF"/>
    <w:rsid w:val="00A547ED"/>
    <w:rsid w:val="00A54862"/>
    <w:rsid w:val="00A549F5"/>
    <w:rsid w:val="00A54A40"/>
    <w:rsid w:val="00A54B34"/>
    <w:rsid w:val="00A54B8E"/>
    <w:rsid w:val="00A54BA8"/>
    <w:rsid w:val="00A54BF2"/>
    <w:rsid w:val="00A54C28"/>
    <w:rsid w:val="00A54ED8"/>
    <w:rsid w:val="00A54F51"/>
    <w:rsid w:val="00A54F9D"/>
    <w:rsid w:val="00A5501D"/>
    <w:rsid w:val="00A55054"/>
    <w:rsid w:val="00A550BD"/>
    <w:rsid w:val="00A55587"/>
    <w:rsid w:val="00A556A6"/>
    <w:rsid w:val="00A556F6"/>
    <w:rsid w:val="00A55735"/>
    <w:rsid w:val="00A55807"/>
    <w:rsid w:val="00A55822"/>
    <w:rsid w:val="00A55B0A"/>
    <w:rsid w:val="00A55B9E"/>
    <w:rsid w:val="00A55C10"/>
    <w:rsid w:val="00A55C32"/>
    <w:rsid w:val="00A55CE4"/>
    <w:rsid w:val="00A55CE6"/>
    <w:rsid w:val="00A55EC3"/>
    <w:rsid w:val="00A55FEA"/>
    <w:rsid w:val="00A5606A"/>
    <w:rsid w:val="00A5611F"/>
    <w:rsid w:val="00A56135"/>
    <w:rsid w:val="00A56183"/>
    <w:rsid w:val="00A56443"/>
    <w:rsid w:val="00A564A1"/>
    <w:rsid w:val="00A564D5"/>
    <w:rsid w:val="00A565D0"/>
    <w:rsid w:val="00A56683"/>
    <w:rsid w:val="00A56763"/>
    <w:rsid w:val="00A5676D"/>
    <w:rsid w:val="00A567F1"/>
    <w:rsid w:val="00A56858"/>
    <w:rsid w:val="00A5685E"/>
    <w:rsid w:val="00A5686E"/>
    <w:rsid w:val="00A5687E"/>
    <w:rsid w:val="00A568BD"/>
    <w:rsid w:val="00A56AB2"/>
    <w:rsid w:val="00A56B41"/>
    <w:rsid w:val="00A56CBB"/>
    <w:rsid w:val="00A56D19"/>
    <w:rsid w:val="00A56E30"/>
    <w:rsid w:val="00A56EF0"/>
    <w:rsid w:val="00A56F58"/>
    <w:rsid w:val="00A56F59"/>
    <w:rsid w:val="00A56F8F"/>
    <w:rsid w:val="00A571D2"/>
    <w:rsid w:val="00A571EF"/>
    <w:rsid w:val="00A57245"/>
    <w:rsid w:val="00A572A1"/>
    <w:rsid w:val="00A57300"/>
    <w:rsid w:val="00A573DA"/>
    <w:rsid w:val="00A5745A"/>
    <w:rsid w:val="00A574EE"/>
    <w:rsid w:val="00A57679"/>
    <w:rsid w:val="00A57701"/>
    <w:rsid w:val="00A57851"/>
    <w:rsid w:val="00A57931"/>
    <w:rsid w:val="00A57957"/>
    <w:rsid w:val="00A57B10"/>
    <w:rsid w:val="00A57C48"/>
    <w:rsid w:val="00A57F24"/>
    <w:rsid w:val="00A6003C"/>
    <w:rsid w:val="00A6004A"/>
    <w:rsid w:val="00A6007E"/>
    <w:rsid w:val="00A60088"/>
    <w:rsid w:val="00A6011A"/>
    <w:rsid w:val="00A60128"/>
    <w:rsid w:val="00A60157"/>
    <w:rsid w:val="00A60176"/>
    <w:rsid w:val="00A60178"/>
    <w:rsid w:val="00A6033F"/>
    <w:rsid w:val="00A60391"/>
    <w:rsid w:val="00A603F7"/>
    <w:rsid w:val="00A60541"/>
    <w:rsid w:val="00A606DC"/>
    <w:rsid w:val="00A606FA"/>
    <w:rsid w:val="00A60A40"/>
    <w:rsid w:val="00A60AE3"/>
    <w:rsid w:val="00A60AF2"/>
    <w:rsid w:val="00A60B00"/>
    <w:rsid w:val="00A60B77"/>
    <w:rsid w:val="00A60BA7"/>
    <w:rsid w:val="00A60D3A"/>
    <w:rsid w:val="00A60DCD"/>
    <w:rsid w:val="00A60E5D"/>
    <w:rsid w:val="00A60F67"/>
    <w:rsid w:val="00A60F81"/>
    <w:rsid w:val="00A61003"/>
    <w:rsid w:val="00A61013"/>
    <w:rsid w:val="00A61114"/>
    <w:rsid w:val="00A611FE"/>
    <w:rsid w:val="00A612E0"/>
    <w:rsid w:val="00A6144B"/>
    <w:rsid w:val="00A614D1"/>
    <w:rsid w:val="00A614E8"/>
    <w:rsid w:val="00A6150A"/>
    <w:rsid w:val="00A61526"/>
    <w:rsid w:val="00A61651"/>
    <w:rsid w:val="00A617BE"/>
    <w:rsid w:val="00A61837"/>
    <w:rsid w:val="00A61928"/>
    <w:rsid w:val="00A61946"/>
    <w:rsid w:val="00A61949"/>
    <w:rsid w:val="00A6195F"/>
    <w:rsid w:val="00A61D25"/>
    <w:rsid w:val="00A61E08"/>
    <w:rsid w:val="00A61E4F"/>
    <w:rsid w:val="00A61EAF"/>
    <w:rsid w:val="00A61F40"/>
    <w:rsid w:val="00A61FC0"/>
    <w:rsid w:val="00A620EE"/>
    <w:rsid w:val="00A622FF"/>
    <w:rsid w:val="00A62304"/>
    <w:rsid w:val="00A623E4"/>
    <w:rsid w:val="00A62479"/>
    <w:rsid w:val="00A62523"/>
    <w:rsid w:val="00A62568"/>
    <w:rsid w:val="00A625E5"/>
    <w:rsid w:val="00A6272E"/>
    <w:rsid w:val="00A62939"/>
    <w:rsid w:val="00A6294D"/>
    <w:rsid w:val="00A62A22"/>
    <w:rsid w:val="00A62D35"/>
    <w:rsid w:val="00A62E2C"/>
    <w:rsid w:val="00A62E85"/>
    <w:rsid w:val="00A62EC7"/>
    <w:rsid w:val="00A62F32"/>
    <w:rsid w:val="00A62FA3"/>
    <w:rsid w:val="00A6313E"/>
    <w:rsid w:val="00A631D3"/>
    <w:rsid w:val="00A6322B"/>
    <w:rsid w:val="00A633E1"/>
    <w:rsid w:val="00A633F1"/>
    <w:rsid w:val="00A63445"/>
    <w:rsid w:val="00A63452"/>
    <w:rsid w:val="00A634C2"/>
    <w:rsid w:val="00A634FF"/>
    <w:rsid w:val="00A636D2"/>
    <w:rsid w:val="00A63891"/>
    <w:rsid w:val="00A63909"/>
    <w:rsid w:val="00A63A58"/>
    <w:rsid w:val="00A63A5A"/>
    <w:rsid w:val="00A63F19"/>
    <w:rsid w:val="00A63F29"/>
    <w:rsid w:val="00A63F99"/>
    <w:rsid w:val="00A6404C"/>
    <w:rsid w:val="00A64065"/>
    <w:rsid w:val="00A640B9"/>
    <w:rsid w:val="00A64159"/>
    <w:rsid w:val="00A6427D"/>
    <w:rsid w:val="00A644A6"/>
    <w:rsid w:val="00A64597"/>
    <w:rsid w:val="00A645B8"/>
    <w:rsid w:val="00A64637"/>
    <w:rsid w:val="00A646BD"/>
    <w:rsid w:val="00A6475F"/>
    <w:rsid w:val="00A6477B"/>
    <w:rsid w:val="00A648F8"/>
    <w:rsid w:val="00A64954"/>
    <w:rsid w:val="00A64A8F"/>
    <w:rsid w:val="00A64AF5"/>
    <w:rsid w:val="00A64BC3"/>
    <w:rsid w:val="00A64C97"/>
    <w:rsid w:val="00A64FB2"/>
    <w:rsid w:val="00A64FBF"/>
    <w:rsid w:val="00A64FC6"/>
    <w:rsid w:val="00A650CB"/>
    <w:rsid w:val="00A653DA"/>
    <w:rsid w:val="00A653E2"/>
    <w:rsid w:val="00A6549D"/>
    <w:rsid w:val="00A6553F"/>
    <w:rsid w:val="00A65593"/>
    <w:rsid w:val="00A65634"/>
    <w:rsid w:val="00A6571A"/>
    <w:rsid w:val="00A65746"/>
    <w:rsid w:val="00A6577E"/>
    <w:rsid w:val="00A65813"/>
    <w:rsid w:val="00A658C7"/>
    <w:rsid w:val="00A6593E"/>
    <w:rsid w:val="00A65961"/>
    <w:rsid w:val="00A65C04"/>
    <w:rsid w:val="00A65C0B"/>
    <w:rsid w:val="00A65C21"/>
    <w:rsid w:val="00A65C2B"/>
    <w:rsid w:val="00A65C5A"/>
    <w:rsid w:val="00A65D74"/>
    <w:rsid w:val="00A65E77"/>
    <w:rsid w:val="00A65EFE"/>
    <w:rsid w:val="00A65FCD"/>
    <w:rsid w:val="00A660A0"/>
    <w:rsid w:val="00A661ED"/>
    <w:rsid w:val="00A66478"/>
    <w:rsid w:val="00A66515"/>
    <w:rsid w:val="00A66519"/>
    <w:rsid w:val="00A665DA"/>
    <w:rsid w:val="00A6663D"/>
    <w:rsid w:val="00A6667F"/>
    <w:rsid w:val="00A666D3"/>
    <w:rsid w:val="00A666F7"/>
    <w:rsid w:val="00A6673C"/>
    <w:rsid w:val="00A667A7"/>
    <w:rsid w:val="00A6682E"/>
    <w:rsid w:val="00A668AB"/>
    <w:rsid w:val="00A66907"/>
    <w:rsid w:val="00A66947"/>
    <w:rsid w:val="00A66A22"/>
    <w:rsid w:val="00A66A6C"/>
    <w:rsid w:val="00A66A95"/>
    <w:rsid w:val="00A66BC1"/>
    <w:rsid w:val="00A66BE5"/>
    <w:rsid w:val="00A66D45"/>
    <w:rsid w:val="00A66D53"/>
    <w:rsid w:val="00A66F23"/>
    <w:rsid w:val="00A6713C"/>
    <w:rsid w:val="00A671AF"/>
    <w:rsid w:val="00A671C1"/>
    <w:rsid w:val="00A6738F"/>
    <w:rsid w:val="00A673AB"/>
    <w:rsid w:val="00A6740C"/>
    <w:rsid w:val="00A67685"/>
    <w:rsid w:val="00A676BF"/>
    <w:rsid w:val="00A676C8"/>
    <w:rsid w:val="00A67780"/>
    <w:rsid w:val="00A677CA"/>
    <w:rsid w:val="00A6785C"/>
    <w:rsid w:val="00A678F8"/>
    <w:rsid w:val="00A67951"/>
    <w:rsid w:val="00A67985"/>
    <w:rsid w:val="00A67A5F"/>
    <w:rsid w:val="00A67B4F"/>
    <w:rsid w:val="00A67B79"/>
    <w:rsid w:val="00A67BB9"/>
    <w:rsid w:val="00A67C3D"/>
    <w:rsid w:val="00A67D46"/>
    <w:rsid w:val="00A67EBE"/>
    <w:rsid w:val="00A67EC6"/>
    <w:rsid w:val="00A67F4A"/>
    <w:rsid w:val="00A70003"/>
    <w:rsid w:val="00A70024"/>
    <w:rsid w:val="00A70182"/>
    <w:rsid w:val="00A701B7"/>
    <w:rsid w:val="00A7028C"/>
    <w:rsid w:val="00A702C3"/>
    <w:rsid w:val="00A70313"/>
    <w:rsid w:val="00A7031A"/>
    <w:rsid w:val="00A703E1"/>
    <w:rsid w:val="00A70477"/>
    <w:rsid w:val="00A704D9"/>
    <w:rsid w:val="00A70509"/>
    <w:rsid w:val="00A70546"/>
    <w:rsid w:val="00A706B5"/>
    <w:rsid w:val="00A70778"/>
    <w:rsid w:val="00A709C1"/>
    <w:rsid w:val="00A70B15"/>
    <w:rsid w:val="00A70B2A"/>
    <w:rsid w:val="00A70B47"/>
    <w:rsid w:val="00A70B61"/>
    <w:rsid w:val="00A70B63"/>
    <w:rsid w:val="00A70CA2"/>
    <w:rsid w:val="00A70CEB"/>
    <w:rsid w:val="00A70D58"/>
    <w:rsid w:val="00A70E31"/>
    <w:rsid w:val="00A70EC3"/>
    <w:rsid w:val="00A70F38"/>
    <w:rsid w:val="00A70F5C"/>
    <w:rsid w:val="00A71144"/>
    <w:rsid w:val="00A71263"/>
    <w:rsid w:val="00A7127F"/>
    <w:rsid w:val="00A712C5"/>
    <w:rsid w:val="00A713EF"/>
    <w:rsid w:val="00A71544"/>
    <w:rsid w:val="00A718B0"/>
    <w:rsid w:val="00A71939"/>
    <w:rsid w:val="00A71A25"/>
    <w:rsid w:val="00A71BA2"/>
    <w:rsid w:val="00A71BFB"/>
    <w:rsid w:val="00A71CD2"/>
    <w:rsid w:val="00A71CD5"/>
    <w:rsid w:val="00A71CFE"/>
    <w:rsid w:val="00A71D74"/>
    <w:rsid w:val="00A71DF6"/>
    <w:rsid w:val="00A71E7F"/>
    <w:rsid w:val="00A71EBA"/>
    <w:rsid w:val="00A71F43"/>
    <w:rsid w:val="00A71F65"/>
    <w:rsid w:val="00A71FBA"/>
    <w:rsid w:val="00A72207"/>
    <w:rsid w:val="00A72280"/>
    <w:rsid w:val="00A7232F"/>
    <w:rsid w:val="00A7250D"/>
    <w:rsid w:val="00A7251C"/>
    <w:rsid w:val="00A725C5"/>
    <w:rsid w:val="00A7262C"/>
    <w:rsid w:val="00A726D6"/>
    <w:rsid w:val="00A72742"/>
    <w:rsid w:val="00A72799"/>
    <w:rsid w:val="00A72842"/>
    <w:rsid w:val="00A72954"/>
    <w:rsid w:val="00A7298C"/>
    <w:rsid w:val="00A72C3D"/>
    <w:rsid w:val="00A72D0E"/>
    <w:rsid w:val="00A72E9F"/>
    <w:rsid w:val="00A72ECE"/>
    <w:rsid w:val="00A73053"/>
    <w:rsid w:val="00A730B0"/>
    <w:rsid w:val="00A73193"/>
    <w:rsid w:val="00A73283"/>
    <w:rsid w:val="00A732DC"/>
    <w:rsid w:val="00A73319"/>
    <w:rsid w:val="00A733C2"/>
    <w:rsid w:val="00A7353F"/>
    <w:rsid w:val="00A736D5"/>
    <w:rsid w:val="00A737F4"/>
    <w:rsid w:val="00A7384D"/>
    <w:rsid w:val="00A738C1"/>
    <w:rsid w:val="00A73AF5"/>
    <w:rsid w:val="00A73B32"/>
    <w:rsid w:val="00A73B41"/>
    <w:rsid w:val="00A73B50"/>
    <w:rsid w:val="00A73B98"/>
    <w:rsid w:val="00A73DD9"/>
    <w:rsid w:val="00A73E36"/>
    <w:rsid w:val="00A73E4C"/>
    <w:rsid w:val="00A73EBF"/>
    <w:rsid w:val="00A73EF8"/>
    <w:rsid w:val="00A73F01"/>
    <w:rsid w:val="00A74074"/>
    <w:rsid w:val="00A740A0"/>
    <w:rsid w:val="00A7410A"/>
    <w:rsid w:val="00A74112"/>
    <w:rsid w:val="00A74263"/>
    <w:rsid w:val="00A74264"/>
    <w:rsid w:val="00A7429D"/>
    <w:rsid w:val="00A7431A"/>
    <w:rsid w:val="00A7437A"/>
    <w:rsid w:val="00A7445F"/>
    <w:rsid w:val="00A745AF"/>
    <w:rsid w:val="00A746AF"/>
    <w:rsid w:val="00A74716"/>
    <w:rsid w:val="00A74889"/>
    <w:rsid w:val="00A748E0"/>
    <w:rsid w:val="00A74954"/>
    <w:rsid w:val="00A74B72"/>
    <w:rsid w:val="00A74D4C"/>
    <w:rsid w:val="00A74D74"/>
    <w:rsid w:val="00A74D7A"/>
    <w:rsid w:val="00A74E36"/>
    <w:rsid w:val="00A74E98"/>
    <w:rsid w:val="00A74F5F"/>
    <w:rsid w:val="00A74FAF"/>
    <w:rsid w:val="00A75055"/>
    <w:rsid w:val="00A75133"/>
    <w:rsid w:val="00A75197"/>
    <w:rsid w:val="00A751F8"/>
    <w:rsid w:val="00A75312"/>
    <w:rsid w:val="00A75322"/>
    <w:rsid w:val="00A75376"/>
    <w:rsid w:val="00A75503"/>
    <w:rsid w:val="00A7581F"/>
    <w:rsid w:val="00A75886"/>
    <w:rsid w:val="00A758FE"/>
    <w:rsid w:val="00A75903"/>
    <w:rsid w:val="00A759EF"/>
    <w:rsid w:val="00A75AF6"/>
    <w:rsid w:val="00A75B60"/>
    <w:rsid w:val="00A75BA0"/>
    <w:rsid w:val="00A75BA5"/>
    <w:rsid w:val="00A75C17"/>
    <w:rsid w:val="00A75D54"/>
    <w:rsid w:val="00A75E94"/>
    <w:rsid w:val="00A75F46"/>
    <w:rsid w:val="00A75F70"/>
    <w:rsid w:val="00A75FBC"/>
    <w:rsid w:val="00A760DF"/>
    <w:rsid w:val="00A7610F"/>
    <w:rsid w:val="00A76153"/>
    <w:rsid w:val="00A7632E"/>
    <w:rsid w:val="00A76439"/>
    <w:rsid w:val="00A76458"/>
    <w:rsid w:val="00A76547"/>
    <w:rsid w:val="00A76673"/>
    <w:rsid w:val="00A76707"/>
    <w:rsid w:val="00A76A81"/>
    <w:rsid w:val="00A76B50"/>
    <w:rsid w:val="00A76C55"/>
    <w:rsid w:val="00A76C76"/>
    <w:rsid w:val="00A76DA3"/>
    <w:rsid w:val="00A76E35"/>
    <w:rsid w:val="00A76F20"/>
    <w:rsid w:val="00A76F55"/>
    <w:rsid w:val="00A76F8A"/>
    <w:rsid w:val="00A77030"/>
    <w:rsid w:val="00A77036"/>
    <w:rsid w:val="00A7716C"/>
    <w:rsid w:val="00A771CC"/>
    <w:rsid w:val="00A771ED"/>
    <w:rsid w:val="00A7727A"/>
    <w:rsid w:val="00A77318"/>
    <w:rsid w:val="00A775CC"/>
    <w:rsid w:val="00A775F6"/>
    <w:rsid w:val="00A776F6"/>
    <w:rsid w:val="00A778EC"/>
    <w:rsid w:val="00A77900"/>
    <w:rsid w:val="00A77901"/>
    <w:rsid w:val="00A77945"/>
    <w:rsid w:val="00A77A3B"/>
    <w:rsid w:val="00A77AE1"/>
    <w:rsid w:val="00A77B5F"/>
    <w:rsid w:val="00A77BAC"/>
    <w:rsid w:val="00A77BE1"/>
    <w:rsid w:val="00A77C08"/>
    <w:rsid w:val="00A77C24"/>
    <w:rsid w:val="00A77CF2"/>
    <w:rsid w:val="00A77E15"/>
    <w:rsid w:val="00A77EAB"/>
    <w:rsid w:val="00A77FF9"/>
    <w:rsid w:val="00A80077"/>
    <w:rsid w:val="00A8009A"/>
    <w:rsid w:val="00A80176"/>
    <w:rsid w:val="00A80332"/>
    <w:rsid w:val="00A80727"/>
    <w:rsid w:val="00A80826"/>
    <w:rsid w:val="00A80865"/>
    <w:rsid w:val="00A80872"/>
    <w:rsid w:val="00A808AA"/>
    <w:rsid w:val="00A80986"/>
    <w:rsid w:val="00A809A2"/>
    <w:rsid w:val="00A809D6"/>
    <w:rsid w:val="00A80A76"/>
    <w:rsid w:val="00A80B1B"/>
    <w:rsid w:val="00A80B70"/>
    <w:rsid w:val="00A80C05"/>
    <w:rsid w:val="00A80C0B"/>
    <w:rsid w:val="00A80C6A"/>
    <w:rsid w:val="00A80CBF"/>
    <w:rsid w:val="00A80CDC"/>
    <w:rsid w:val="00A80D3C"/>
    <w:rsid w:val="00A80DA3"/>
    <w:rsid w:val="00A80E17"/>
    <w:rsid w:val="00A80E18"/>
    <w:rsid w:val="00A80EE6"/>
    <w:rsid w:val="00A8113A"/>
    <w:rsid w:val="00A81143"/>
    <w:rsid w:val="00A81198"/>
    <w:rsid w:val="00A811E4"/>
    <w:rsid w:val="00A8123E"/>
    <w:rsid w:val="00A813E2"/>
    <w:rsid w:val="00A81499"/>
    <w:rsid w:val="00A814D2"/>
    <w:rsid w:val="00A814FC"/>
    <w:rsid w:val="00A815FA"/>
    <w:rsid w:val="00A81675"/>
    <w:rsid w:val="00A8167B"/>
    <w:rsid w:val="00A81738"/>
    <w:rsid w:val="00A81767"/>
    <w:rsid w:val="00A817BF"/>
    <w:rsid w:val="00A817F5"/>
    <w:rsid w:val="00A8180D"/>
    <w:rsid w:val="00A81810"/>
    <w:rsid w:val="00A819A6"/>
    <w:rsid w:val="00A819AB"/>
    <w:rsid w:val="00A81B50"/>
    <w:rsid w:val="00A81C1E"/>
    <w:rsid w:val="00A81C94"/>
    <w:rsid w:val="00A81CDA"/>
    <w:rsid w:val="00A81CE3"/>
    <w:rsid w:val="00A81D75"/>
    <w:rsid w:val="00A81DAF"/>
    <w:rsid w:val="00A81E0E"/>
    <w:rsid w:val="00A81F15"/>
    <w:rsid w:val="00A82057"/>
    <w:rsid w:val="00A820C8"/>
    <w:rsid w:val="00A820E8"/>
    <w:rsid w:val="00A8232B"/>
    <w:rsid w:val="00A82350"/>
    <w:rsid w:val="00A82466"/>
    <w:rsid w:val="00A8250D"/>
    <w:rsid w:val="00A8254A"/>
    <w:rsid w:val="00A82577"/>
    <w:rsid w:val="00A825A0"/>
    <w:rsid w:val="00A82722"/>
    <w:rsid w:val="00A82727"/>
    <w:rsid w:val="00A82735"/>
    <w:rsid w:val="00A8289F"/>
    <w:rsid w:val="00A8299A"/>
    <w:rsid w:val="00A829BD"/>
    <w:rsid w:val="00A82AA9"/>
    <w:rsid w:val="00A82B3E"/>
    <w:rsid w:val="00A82BFD"/>
    <w:rsid w:val="00A82C7B"/>
    <w:rsid w:val="00A82CBA"/>
    <w:rsid w:val="00A82F14"/>
    <w:rsid w:val="00A82F18"/>
    <w:rsid w:val="00A82F42"/>
    <w:rsid w:val="00A82F57"/>
    <w:rsid w:val="00A83117"/>
    <w:rsid w:val="00A83124"/>
    <w:rsid w:val="00A83216"/>
    <w:rsid w:val="00A83246"/>
    <w:rsid w:val="00A83292"/>
    <w:rsid w:val="00A832F9"/>
    <w:rsid w:val="00A83372"/>
    <w:rsid w:val="00A8359B"/>
    <w:rsid w:val="00A8359C"/>
    <w:rsid w:val="00A8377D"/>
    <w:rsid w:val="00A83814"/>
    <w:rsid w:val="00A83918"/>
    <w:rsid w:val="00A839F7"/>
    <w:rsid w:val="00A83A6C"/>
    <w:rsid w:val="00A83BA8"/>
    <w:rsid w:val="00A83C1E"/>
    <w:rsid w:val="00A83C25"/>
    <w:rsid w:val="00A83C94"/>
    <w:rsid w:val="00A83CB4"/>
    <w:rsid w:val="00A83E80"/>
    <w:rsid w:val="00A83EA2"/>
    <w:rsid w:val="00A83F95"/>
    <w:rsid w:val="00A84133"/>
    <w:rsid w:val="00A84154"/>
    <w:rsid w:val="00A841E3"/>
    <w:rsid w:val="00A842F8"/>
    <w:rsid w:val="00A84407"/>
    <w:rsid w:val="00A84480"/>
    <w:rsid w:val="00A845B2"/>
    <w:rsid w:val="00A84746"/>
    <w:rsid w:val="00A847C9"/>
    <w:rsid w:val="00A84811"/>
    <w:rsid w:val="00A84815"/>
    <w:rsid w:val="00A84853"/>
    <w:rsid w:val="00A848C4"/>
    <w:rsid w:val="00A84917"/>
    <w:rsid w:val="00A84933"/>
    <w:rsid w:val="00A84934"/>
    <w:rsid w:val="00A849A6"/>
    <w:rsid w:val="00A84A53"/>
    <w:rsid w:val="00A84B69"/>
    <w:rsid w:val="00A84BDE"/>
    <w:rsid w:val="00A84CB9"/>
    <w:rsid w:val="00A84CD7"/>
    <w:rsid w:val="00A84D19"/>
    <w:rsid w:val="00A84EA8"/>
    <w:rsid w:val="00A850AE"/>
    <w:rsid w:val="00A8512A"/>
    <w:rsid w:val="00A85135"/>
    <w:rsid w:val="00A85223"/>
    <w:rsid w:val="00A8523D"/>
    <w:rsid w:val="00A8535D"/>
    <w:rsid w:val="00A85368"/>
    <w:rsid w:val="00A854B1"/>
    <w:rsid w:val="00A85523"/>
    <w:rsid w:val="00A85529"/>
    <w:rsid w:val="00A85538"/>
    <w:rsid w:val="00A855A5"/>
    <w:rsid w:val="00A855F3"/>
    <w:rsid w:val="00A85656"/>
    <w:rsid w:val="00A856AD"/>
    <w:rsid w:val="00A85700"/>
    <w:rsid w:val="00A85759"/>
    <w:rsid w:val="00A857EC"/>
    <w:rsid w:val="00A8581B"/>
    <w:rsid w:val="00A85999"/>
    <w:rsid w:val="00A85A2F"/>
    <w:rsid w:val="00A85A4C"/>
    <w:rsid w:val="00A85A53"/>
    <w:rsid w:val="00A85AD6"/>
    <w:rsid w:val="00A85B88"/>
    <w:rsid w:val="00A85BE4"/>
    <w:rsid w:val="00A85BF5"/>
    <w:rsid w:val="00A85BFD"/>
    <w:rsid w:val="00A85E27"/>
    <w:rsid w:val="00A85EBD"/>
    <w:rsid w:val="00A85F65"/>
    <w:rsid w:val="00A86018"/>
    <w:rsid w:val="00A86058"/>
    <w:rsid w:val="00A860CE"/>
    <w:rsid w:val="00A86116"/>
    <w:rsid w:val="00A86163"/>
    <w:rsid w:val="00A86262"/>
    <w:rsid w:val="00A8630A"/>
    <w:rsid w:val="00A86314"/>
    <w:rsid w:val="00A8634B"/>
    <w:rsid w:val="00A86384"/>
    <w:rsid w:val="00A8638B"/>
    <w:rsid w:val="00A863A2"/>
    <w:rsid w:val="00A86494"/>
    <w:rsid w:val="00A864BE"/>
    <w:rsid w:val="00A864FF"/>
    <w:rsid w:val="00A8651A"/>
    <w:rsid w:val="00A86582"/>
    <w:rsid w:val="00A865E5"/>
    <w:rsid w:val="00A86617"/>
    <w:rsid w:val="00A866A0"/>
    <w:rsid w:val="00A866EB"/>
    <w:rsid w:val="00A86759"/>
    <w:rsid w:val="00A8681F"/>
    <w:rsid w:val="00A868D7"/>
    <w:rsid w:val="00A868F6"/>
    <w:rsid w:val="00A86922"/>
    <w:rsid w:val="00A86965"/>
    <w:rsid w:val="00A86A2A"/>
    <w:rsid w:val="00A86B55"/>
    <w:rsid w:val="00A86BC9"/>
    <w:rsid w:val="00A86C29"/>
    <w:rsid w:val="00A86C37"/>
    <w:rsid w:val="00A86C3C"/>
    <w:rsid w:val="00A86E2A"/>
    <w:rsid w:val="00A86E54"/>
    <w:rsid w:val="00A87024"/>
    <w:rsid w:val="00A87110"/>
    <w:rsid w:val="00A87331"/>
    <w:rsid w:val="00A87599"/>
    <w:rsid w:val="00A875BD"/>
    <w:rsid w:val="00A8760E"/>
    <w:rsid w:val="00A87670"/>
    <w:rsid w:val="00A87721"/>
    <w:rsid w:val="00A877CB"/>
    <w:rsid w:val="00A87803"/>
    <w:rsid w:val="00A87833"/>
    <w:rsid w:val="00A87892"/>
    <w:rsid w:val="00A87968"/>
    <w:rsid w:val="00A87B4C"/>
    <w:rsid w:val="00A87C2B"/>
    <w:rsid w:val="00A87D1D"/>
    <w:rsid w:val="00A87DA6"/>
    <w:rsid w:val="00A87E9F"/>
    <w:rsid w:val="00A87ED4"/>
    <w:rsid w:val="00A87F73"/>
    <w:rsid w:val="00A87F98"/>
    <w:rsid w:val="00A90000"/>
    <w:rsid w:val="00A90153"/>
    <w:rsid w:val="00A90267"/>
    <w:rsid w:val="00A902A9"/>
    <w:rsid w:val="00A9035F"/>
    <w:rsid w:val="00A9058F"/>
    <w:rsid w:val="00A906BF"/>
    <w:rsid w:val="00A906CA"/>
    <w:rsid w:val="00A906FB"/>
    <w:rsid w:val="00A9071A"/>
    <w:rsid w:val="00A90876"/>
    <w:rsid w:val="00A90897"/>
    <w:rsid w:val="00A908CF"/>
    <w:rsid w:val="00A908F3"/>
    <w:rsid w:val="00A90947"/>
    <w:rsid w:val="00A9094A"/>
    <w:rsid w:val="00A909A7"/>
    <w:rsid w:val="00A90A02"/>
    <w:rsid w:val="00A90B01"/>
    <w:rsid w:val="00A90BC7"/>
    <w:rsid w:val="00A90CDF"/>
    <w:rsid w:val="00A90D41"/>
    <w:rsid w:val="00A90D48"/>
    <w:rsid w:val="00A90E06"/>
    <w:rsid w:val="00A90E26"/>
    <w:rsid w:val="00A90E4B"/>
    <w:rsid w:val="00A9110D"/>
    <w:rsid w:val="00A91140"/>
    <w:rsid w:val="00A9124E"/>
    <w:rsid w:val="00A912EF"/>
    <w:rsid w:val="00A9130F"/>
    <w:rsid w:val="00A913FD"/>
    <w:rsid w:val="00A91654"/>
    <w:rsid w:val="00A91717"/>
    <w:rsid w:val="00A91739"/>
    <w:rsid w:val="00A918CC"/>
    <w:rsid w:val="00A918CD"/>
    <w:rsid w:val="00A918DE"/>
    <w:rsid w:val="00A91A67"/>
    <w:rsid w:val="00A91BB6"/>
    <w:rsid w:val="00A91C45"/>
    <w:rsid w:val="00A91C4E"/>
    <w:rsid w:val="00A91CCE"/>
    <w:rsid w:val="00A91CE5"/>
    <w:rsid w:val="00A91DC2"/>
    <w:rsid w:val="00A91E0E"/>
    <w:rsid w:val="00A91EE3"/>
    <w:rsid w:val="00A91F5A"/>
    <w:rsid w:val="00A9207E"/>
    <w:rsid w:val="00A92098"/>
    <w:rsid w:val="00A921A1"/>
    <w:rsid w:val="00A921E5"/>
    <w:rsid w:val="00A922B6"/>
    <w:rsid w:val="00A92325"/>
    <w:rsid w:val="00A923CC"/>
    <w:rsid w:val="00A92403"/>
    <w:rsid w:val="00A92446"/>
    <w:rsid w:val="00A926C2"/>
    <w:rsid w:val="00A9287B"/>
    <w:rsid w:val="00A928C2"/>
    <w:rsid w:val="00A9290B"/>
    <w:rsid w:val="00A929E3"/>
    <w:rsid w:val="00A92A71"/>
    <w:rsid w:val="00A92B6A"/>
    <w:rsid w:val="00A92B85"/>
    <w:rsid w:val="00A92C23"/>
    <w:rsid w:val="00A92C27"/>
    <w:rsid w:val="00A92C48"/>
    <w:rsid w:val="00A92C50"/>
    <w:rsid w:val="00A92C51"/>
    <w:rsid w:val="00A92C60"/>
    <w:rsid w:val="00A92D20"/>
    <w:rsid w:val="00A92D69"/>
    <w:rsid w:val="00A92DD4"/>
    <w:rsid w:val="00A92EAA"/>
    <w:rsid w:val="00A92F42"/>
    <w:rsid w:val="00A92F75"/>
    <w:rsid w:val="00A93003"/>
    <w:rsid w:val="00A93044"/>
    <w:rsid w:val="00A931AC"/>
    <w:rsid w:val="00A931ED"/>
    <w:rsid w:val="00A93565"/>
    <w:rsid w:val="00A9367D"/>
    <w:rsid w:val="00A936C8"/>
    <w:rsid w:val="00A93744"/>
    <w:rsid w:val="00A93887"/>
    <w:rsid w:val="00A93906"/>
    <w:rsid w:val="00A9390A"/>
    <w:rsid w:val="00A9390E"/>
    <w:rsid w:val="00A93A05"/>
    <w:rsid w:val="00A93C18"/>
    <w:rsid w:val="00A93CF7"/>
    <w:rsid w:val="00A93DE0"/>
    <w:rsid w:val="00A93EAB"/>
    <w:rsid w:val="00A93EAE"/>
    <w:rsid w:val="00A93F0A"/>
    <w:rsid w:val="00A93FC5"/>
    <w:rsid w:val="00A940FE"/>
    <w:rsid w:val="00A9429A"/>
    <w:rsid w:val="00A94343"/>
    <w:rsid w:val="00A943C8"/>
    <w:rsid w:val="00A943F9"/>
    <w:rsid w:val="00A943FA"/>
    <w:rsid w:val="00A9440F"/>
    <w:rsid w:val="00A94414"/>
    <w:rsid w:val="00A94463"/>
    <w:rsid w:val="00A9470C"/>
    <w:rsid w:val="00A9478B"/>
    <w:rsid w:val="00A948F4"/>
    <w:rsid w:val="00A94903"/>
    <w:rsid w:val="00A94927"/>
    <w:rsid w:val="00A94974"/>
    <w:rsid w:val="00A94A0E"/>
    <w:rsid w:val="00A94A25"/>
    <w:rsid w:val="00A94C1E"/>
    <w:rsid w:val="00A94C61"/>
    <w:rsid w:val="00A94DFF"/>
    <w:rsid w:val="00A9504C"/>
    <w:rsid w:val="00A950DE"/>
    <w:rsid w:val="00A95117"/>
    <w:rsid w:val="00A95122"/>
    <w:rsid w:val="00A95415"/>
    <w:rsid w:val="00A954A8"/>
    <w:rsid w:val="00A954D1"/>
    <w:rsid w:val="00A9553C"/>
    <w:rsid w:val="00A95830"/>
    <w:rsid w:val="00A95850"/>
    <w:rsid w:val="00A95856"/>
    <w:rsid w:val="00A959B3"/>
    <w:rsid w:val="00A95A1A"/>
    <w:rsid w:val="00A95A3A"/>
    <w:rsid w:val="00A95BF6"/>
    <w:rsid w:val="00A95C90"/>
    <w:rsid w:val="00A95CB1"/>
    <w:rsid w:val="00A95CDB"/>
    <w:rsid w:val="00A95D6B"/>
    <w:rsid w:val="00A95DF3"/>
    <w:rsid w:val="00A95E0E"/>
    <w:rsid w:val="00A95E19"/>
    <w:rsid w:val="00A95E68"/>
    <w:rsid w:val="00A95FA4"/>
    <w:rsid w:val="00A960E0"/>
    <w:rsid w:val="00A9617C"/>
    <w:rsid w:val="00A96263"/>
    <w:rsid w:val="00A9655F"/>
    <w:rsid w:val="00A96589"/>
    <w:rsid w:val="00A96720"/>
    <w:rsid w:val="00A96797"/>
    <w:rsid w:val="00A9682A"/>
    <w:rsid w:val="00A9689D"/>
    <w:rsid w:val="00A96A7E"/>
    <w:rsid w:val="00A96ACC"/>
    <w:rsid w:val="00A96B08"/>
    <w:rsid w:val="00A96B6C"/>
    <w:rsid w:val="00A96ED0"/>
    <w:rsid w:val="00A97065"/>
    <w:rsid w:val="00A97215"/>
    <w:rsid w:val="00A97301"/>
    <w:rsid w:val="00A973B1"/>
    <w:rsid w:val="00A973F8"/>
    <w:rsid w:val="00A97517"/>
    <w:rsid w:val="00A97549"/>
    <w:rsid w:val="00A97701"/>
    <w:rsid w:val="00A977E5"/>
    <w:rsid w:val="00A97823"/>
    <w:rsid w:val="00A9789A"/>
    <w:rsid w:val="00A978D8"/>
    <w:rsid w:val="00A97926"/>
    <w:rsid w:val="00A979DA"/>
    <w:rsid w:val="00A979F3"/>
    <w:rsid w:val="00A97A0D"/>
    <w:rsid w:val="00A97A17"/>
    <w:rsid w:val="00A97AD2"/>
    <w:rsid w:val="00A97B45"/>
    <w:rsid w:val="00A97B8A"/>
    <w:rsid w:val="00A97E21"/>
    <w:rsid w:val="00A97F49"/>
    <w:rsid w:val="00A97F92"/>
    <w:rsid w:val="00A97FCE"/>
    <w:rsid w:val="00AA01AF"/>
    <w:rsid w:val="00AA01EB"/>
    <w:rsid w:val="00AA02CD"/>
    <w:rsid w:val="00AA0319"/>
    <w:rsid w:val="00AA0337"/>
    <w:rsid w:val="00AA03D0"/>
    <w:rsid w:val="00AA0413"/>
    <w:rsid w:val="00AA0486"/>
    <w:rsid w:val="00AA068F"/>
    <w:rsid w:val="00AA0739"/>
    <w:rsid w:val="00AA0868"/>
    <w:rsid w:val="00AA086E"/>
    <w:rsid w:val="00AA0A07"/>
    <w:rsid w:val="00AA0A0B"/>
    <w:rsid w:val="00AA0AEA"/>
    <w:rsid w:val="00AA0B81"/>
    <w:rsid w:val="00AA0DA3"/>
    <w:rsid w:val="00AA0DF6"/>
    <w:rsid w:val="00AA0E50"/>
    <w:rsid w:val="00AA102D"/>
    <w:rsid w:val="00AA11F1"/>
    <w:rsid w:val="00AA1225"/>
    <w:rsid w:val="00AA1246"/>
    <w:rsid w:val="00AA12DD"/>
    <w:rsid w:val="00AA1440"/>
    <w:rsid w:val="00AA1652"/>
    <w:rsid w:val="00AA1675"/>
    <w:rsid w:val="00AA16E9"/>
    <w:rsid w:val="00AA16F5"/>
    <w:rsid w:val="00AA1753"/>
    <w:rsid w:val="00AA176B"/>
    <w:rsid w:val="00AA17E8"/>
    <w:rsid w:val="00AA1803"/>
    <w:rsid w:val="00AA1860"/>
    <w:rsid w:val="00AA18C7"/>
    <w:rsid w:val="00AA1A76"/>
    <w:rsid w:val="00AA1AC5"/>
    <w:rsid w:val="00AA1BAC"/>
    <w:rsid w:val="00AA1BFB"/>
    <w:rsid w:val="00AA1C3D"/>
    <w:rsid w:val="00AA1DB6"/>
    <w:rsid w:val="00AA1F64"/>
    <w:rsid w:val="00AA1F86"/>
    <w:rsid w:val="00AA1FF5"/>
    <w:rsid w:val="00AA1FFA"/>
    <w:rsid w:val="00AA2029"/>
    <w:rsid w:val="00AA211C"/>
    <w:rsid w:val="00AA2162"/>
    <w:rsid w:val="00AA21AA"/>
    <w:rsid w:val="00AA22F1"/>
    <w:rsid w:val="00AA22F5"/>
    <w:rsid w:val="00AA2337"/>
    <w:rsid w:val="00AA23A5"/>
    <w:rsid w:val="00AA245E"/>
    <w:rsid w:val="00AA24BA"/>
    <w:rsid w:val="00AA24D4"/>
    <w:rsid w:val="00AA2521"/>
    <w:rsid w:val="00AA258A"/>
    <w:rsid w:val="00AA258F"/>
    <w:rsid w:val="00AA2611"/>
    <w:rsid w:val="00AA2684"/>
    <w:rsid w:val="00AA26EB"/>
    <w:rsid w:val="00AA271E"/>
    <w:rsid w:val="00AA2747"/>
    <w:rsid w:val="00AA27F0"/>
    <w:rsid w:val="00AA2940"/>
    <w:rsid w:val="00AA2969"/>
    <w:rsid w:val="00AA2982"/>
    <w:rsid w:val="00AA2B05"/>
    <w:rsid w:val="00AA2B0B"/>
    <w:rsid w:val="00AA2DEF"/>
    <w:rsid w:val="00AA2E0B"/>
    <w:rsid w:val="00AA2E40"/>
    <w:rsid w:val="00AA2E46"/>
    <w:rsid w:val="00AA2E67"/>
    <w:rsid w:val="00AA2F7B"/>
    <w:rsid w:val="00AA3083"/>
    <w:rsid w:val="00AA308C"/>
    <w:rsid w:val="00AA3117"/>
    <w:rsid w:val="00AA3151"/>
    <w:rsid w:val="00AA32AD"/>
    <w:rsid w:val="00AA331B"/>
    <w:rsid w:val="00AA333A"/>
    <w:rsid w:val="00AA333B"/>
    <w:rsid w:val="00AA3357"/>
    <w:rsid w:val="00AA3472"/>
    <w:rsid w:val="00AA34C2"/>
    <w:rsid w:val="00AA3591"/>
    <w:rsid w:val="00AA36DA"/>
    <w:rsid w:val="00AA37D9"/>
    <w:rsid w:val="00AA3830"/>
    <w:rsid w:val="00AA38C7"/>
    <w:rsid w:val="00AA399B"/>
    <w:rsid w:val="00AA39A6"/>
    <w:rsid w:val="00AA39A9"/>
    <w:rsid w:val="00AA39CC"/>
    <w:rsid w:val="00AA39D1"/>
    <w:rsid w:val="00AA39E9"/>
    <w:rsid w:val="00AA3A32"/>
    <w:rsid w:val="00AA3A5E"/>
    <w:rsid w:val="00AA3BF3"/>
    <w:rsid w:val="00AA3C41"/>
    <w:rsid w:val="00AA3C4F"/>
    <w:rsid w:val="00AA3D8F"/>
    <w:rsid w:val="00AA3DFB"/>
    <w:rsid w:val="00AA3F36"/>
    <w:rsid w:val="00AA405F"/>
    <w:rsid w:val="00AA41DA"/>
    <w:rsid w:val="00AA42CB"/>
    <w:rsid w:val="00AA4304"/>
    <w:rsid w:val="00AA44C2"/>
    <w:rsid w:val="00AA44F4"/>
    <w:rsid w:val="00AA456B"/>
    <w:rsid w:val="00AA473A"/>
    <w:rsid w:val="00AA4762"/>
    <w:rsid w:val="00AA47C6"/>
    <w:rsid w:val="00AA4812"/>
    <w:rsid w:val="00AA486C"/>
    <w:rsid w:val="00AA4872"/>
    <w:rsid w:val="00AA4A11"/>
    <w:rsid w:val="00AA4A32"/>
    <w:rsid w:val="00AA4A35"/>
    <w:rsid w:val="00AA4B8A"/>
    <w:rsid w:val="00AA4B95"/>
    <w:rsid w:val="00AA4D7C"/>
    <w:rsid w:val="00AA4F5C"/>
    <w:rsid w:val="00AA4F66"/>
    <w:rsid w:val="00AA4F7B"/>
    <w:rsid w:val="00AA5072"/>
    <w:rsid w:val="00AA5087"/>
    <w:rsid w:val="00AA50B2"/>
    <w:rsid w:val="00AA50B3"/>
    <w:rsid w:val="00AA514A"/>
    <w:rsid w:val="00AA5194"/>
    <w:rsid w:val="00AA5242"/>
    <w:rsid w:val="00AA5456"/>
    <w:rsid w:val="00AA545C"/>
    <w:rsid w:val="00AA5517"/>
    <w:rsid w:val="00AA556A"/>
    <w:rsid w:val="00AA56D8"/>
    <w:rsid w:val="00AA5726"/>
    <w:rsid w:val="00AA5801"/>
    <w:rsid w:val="00AA584C"/>
    <w:rsid w:val="00AA5861"/>
    <w:rsid w:val="00AA59FA"/>
    <w:rsid w:val="00AA5A77"/>
    <w:rsid w:val="00AA5A7E"/>
    <w:rsid w:val="00AA5B67"/>
    <w:rsid w:val="00AA5B77"/>
    <w:rsid w:val="00AA5C6C"/>
    <w:rsid w:val="00AA5D6D"/>
    <w:rsid w:val="00AA5DF5"/>
    <w:rsid w:val="00AA5E4C"/>
    <w:rsid w:val="00AA5F54"/>
    <w:rsid w:val="00AA5FB0"/>
    <w:rsid w:val="00AA6010"/>
    <w:rsid w:val="00AA601D"/>
    <w:rsid w:val="00AA605A"/>
    <w:rsid w:val="00AA60E4"/>
    <w:rsid w:val="00AA61EA"/>
    <w:rsid w:val="00AA62AF"/>
    <w:rsid w:val="00AA6329"/>
    <w:rsid w:val="00AA639F"/>
    <w:rsid w:val="00AA63A1"/>
    <w:rsid w:val="00AA63BA"/>
    <w:rsid w:val="00AA6435"/>
    <w:rsid w:val="00AA6497"/>
    <w:rsid w:val="00AA64D8"/>
    <w:rsid w:val="00AA653E"/>
    <w:rsid w:val="00AA666D"/>
    <w:rsid w:val="00AA66B7"/>
    <w:rsid w:val="00AA66CB"/>
    <w:rsid w:val="00AA66D2"/>
    <w:rsid w:val="00AA671D"/>
    <w:rsid w:val="00AA6754"/>
    <w:rsid w:val="00AA6B2A"/>
    <w:rsid w:val="00AA6C2B"/>
    <w:rsid w:val="00AA6D50"/>
    <w:rsid w:val="00AA6D8A"/>
    <w:rsid w:val="00AA6D97"/>
    <w:rsid w:val="00AA6E97"/>
    <w:rsid w:val="00AA6EA3"/>
    <w:rsid w:val="00AA6F87"/>
    <w:rsid w:val="00AA70BA"/>
    <w:rsid w:val="00AA7168"/>
    <w:rsid w:val="00AA71AA"/>
    <w:rsid w:val="00AA7253"/>
    <w:rsid w:val="00AA72F8"/>
    <w:rsid w:val="00AA74FD"/>
    <w:rsid w:val="00AA7517"/>
    <w:rsid w:val="00AA75FD"/>
    <w:rsid w:val="00AA764F"/>
    <w:rsid w:val="00AA76A7"/>
    <w:rsid w:val="00AA7711"/>
    <w:rsid w:val="00AA7787"/>
    <w:rsid w:val="00AA77C1"/>
    <w:rsid w:val="00AA77C9"/>
    <w:rsid w:val="00AA7897"/>
    <w:rsid w:val="00AA78A0"/>
    <w:rsid w:val="00AA78F3"/>
    <w:rsid w:val="00AA790B"/>
    <w:rsid w:val="00AA796E"/>
    <w:rsid w:val="00AA797D"/>
    <w:rsid w:val="00AA7A61"/>
    <w:rsid w:val="00AA7AE5"/>
    <w:rsid w:val="00AA7B08"/>
    <w:rsid w:val="00AA7B37"/>
    <w:rsid w:val="00AA7BA8"/>
    <w:rsid w:val="00AA7C34"/>
    <w:rsid w:val="00AA7C6C"/>
    <w:rsid w:val="00AA7E41"/>
    <w:rsid w:val="00AA7EC0"/>
    <w:rsid w:val="00AB0132"/>
    <w:rsid w:val="00AB020C"/>
    <w:rsid w:val="00AB0216"/>
    <w:rsid w:val="00AB02BD"/>
    <w:rsid w:val="00AB03C7"/>
    <w:rsid w:val="00AB04A4"/>
    <w:rsid w:val="00AB064D"/>
    <w:rsid w:val="00AB06AC"/>
    <w:rsid w:val="00AB08B9"/>
    <w:rsid w:val="00AB0A21"/>
    <w:rsid w:val="00AB0AA2"/>
    <w:rsid w:val="00AB0AB7"/>
    <w:rsid w:val="00AB0D24"/>
    <w:rsid w:val="00AB0D5A"/>
    <w:rsid w:val="00AB0D5E"/>
    <w:rsid w:val="00AB0D91"/>
    <w:rsid w:val="00AB0E2E"/>
    <w:rsid w:val="00AB0F47"/>
    <w:rsid w:val="00AB0FC2"/>
    <w:rsid w:val="00AB1048"/>
    <w:rsid w:val="00AB12E8"/>
    <w:rsid w:val="00AB1372"/>
    <w:rsid w:val="00AB14ED"/>
    <w:rsid w:val="00AB1521"/>
    <w:rsid w:val="00AB16D7"/>
    <w:rsid w:val="00AB16EA"/>
    <w:rsid w:val="00AB1833"/>
    <w:rsid w:val="00AB18AB"/>
    <w:rsid w:val="00AB1A2D"/>
    <w:rsid w:val="00AB1B13"/>
    <w:rsid w:val="00AB1B17"/>
    <w:rsid w:val="00AB1B5A"/>
    <w:rsid w:val="00AB1D99"/>
    <w:rsid w:val="00AB1F87"/>
    <w:rsid w:val="00AB20F5"/>
    <w:rsid w:val="00AB2165"/>
    <w:rsid w:val="00AB21BB"/>
    <w:rsid w:val="00AB21EC"/>
    <w:rsid w:val="00AB233F"/>
    <w:rsid w:val="00AB23F0"/>
    <w:rsid w:val="00AB2494"/>
    <w:rsid w:val="00AB256D"/>
    <w:rsid w:val="00AB25AA"/>
    <w:rsid w:val="00AB25BB"/>
    <w:rsid w:val="00AB272F"/>
    <w:rsid w:val="00AB279A"/>
    <w:rsid w:val="00AB2944"/>
    <w:rsid w:val="00AB297F"/>
    <w:rsid w:val="00AB2AB8"/>
    <w:rsid w:val="00AB2AEB"/>
    <w:rsid w:val="00AB2BCE"/>
    <w:rsid w:val="00AB2CDC"/>
    <w:rsid w:val="00AB2DC5"/>
    <w:rsid w:val="00AB2E3F"/>
    <w:rsid w:val="00AB2ED6"/>
    <w:rsid w:val="00AB2F3D"/>
    <w:rsid w:val="00AB2F4D"/>
    <w:rsid w:val="00AB2FF7"/>
    <w:rsid w:val="00AB3105"/>
    <w:rsid w:val="00AB311D"/>
    <w:rsid w:val="00AB3173"/>
    <w:rsid w:val="00AB3201"/>
    <w:rsid w:val="00AB3276"/>
    <w:rsid w:val="00AB32EE"/>
    <w:rsid w:val="00AB334D"/>
    <w:rsid w:val="00AB33AF"/>
    <w:rsid w:val="00AB3514"/>
    <w:rsid w:val="00AB3542"/>
    <w:rsid w:val="00AB355A"/>
    <w:rsid w:val="00AB36AF"/>
    <w:rsid w:val="00AB3760"/>
    <w:rsid w:val="00AB37AB"/>
    <w:rsid w:val="00AB37B4"/>
    <w:rsid w:val="00AB3861"/>
    <w:rsid w:val="00AB3990"/>
    <w:rsid w:val="00AB3A49"/>
    <w:rsid w:val="00AB3A77"/>
    <w:rsid w:val="00AB3DD8"/>
    <w:rsid w:val="00AB3E05"/>
    <w:rsid w:val="00AB3E27"/>
    <w:rsid w:val="00AB3E5F"/>
    <w:rsid w:val="00AB3F20"/>
    <w:rsid w:val="00AB3F75"/>
    <w:rsid w:val="00AB3F80"/>
    <w:rsid w:val="00AB4089"/>
    <w:rsid w:val="00AB40FA"/>
    <w:rsid w:val="00AB415D"/>
    <w:rsid w:val="00AB417C"/>
    <w:rsid w:val="00AB44BA"/>
    <w:rsid w:val="00AB44EA"/>
    <w:rsid w:val="00AB459F"/>
    <w:rsid w:val="00AB45A3"/>
    <w:rsid w:val="00AB4699"/>
    <w:rsid w:val="00AB4848"/>
    <w:rsid w:val="00AB4853"/>
    <w:rsid w:val="00AB49F6"/>
    <w:rsid w:val="00AB4A99"/>
    <w:rsid w:val="00AB4B8B"/>
    <w:rsid w:val="00AB4BE7"/>
    <w:rsid w:val="00AB4C41"/>
    <w:rsid w:val="00AB4C4A"/>
    <w:rsid w:val="00AB4C4D"/>
    <w:rsid w:val="00AB4C7E"/>
    <w:rsid w:val="00AB4CEC"/>
    <w:rsid w:val="00AB4D0A"/>
    <w:rsid w:val="00AB4D42"/>
    <w:rsid w:val="00AB4D53"/>
    <w:rsid w:val="00AB4D98"/>
    <w:rsid w:val="00AB4DE1"/>
    <w:rsid w:val="00AB4E04"/>
    <w:rsid w:val="00AB4E7D"/>
    <w:rsid w:val="00AB4F2B"/>
    <w:rsid w:val="00AB4F64"/>
    <w:rsid w:val="00AB5058"/>
    <w:rsid w:val="00AB50D9"/>
    <w:rsid w:val="00AB52BA"/>
    <w:rsid w:val="00AB530D"/>
    <w:rsid w:val="00AB53A5"/>
    <w:rsid w:val="00AB53B8"/>
    <w:rsid w:val="00AB53B9"/>
    <w:rsid w:val="00AB53D9"/>
    <w:rsid w:val="00AB54BB"/>
    <w:rsid w:val="00AB5597"/>
    <w:rsid w:val="00AB55CA"/>
    <w:rsid w:val="00AB570B"/>
    <w:rsid w:val="00AB57BA"/>
    <w:rsid w:val="00AB582B"/>
    <w:rsid w:val="00AB58CD"/>
    <w:rsid w:val="00AB58CF"/>
    <w:rsid w:val="00AB58E7"/>
    <w:rsid w:val="00AB5B75"/>
    <w:rsid w:val="00AB5CA8"/>
    <w:rsid w:val="00AB5CDA"/>
    <w:rsid w:val="00AB5D51"/>
    <w:rsid w:val="00AB5DE7"/>
    <w:rsid w:val="00AB5F9B"/>
    <w:rsid w:val="00AB6008"/>
    <w:rsid w:val="00AB60C7"/>
    <w:rsid w:val="00AB6139"/>
    <w:rsid w:val="00AB6175"/>
    <w:rsid w:val="00AB625A"/>
    <w:rsid w:val="00AB628E"/>
    <w:rsid w:val="00AB6301"/>
    <w:rsid w:val="00AB63CA"/>
    <w:rsid w:val="00AB643F"/>
    <w:rsid w:val="00AB667B"/>
    <w:rsid w:val="00AB6698"/>
    <w:rsid w:val="00AB6894"/>
    <w:rsid w:val="00AB68C9"/>
    <w:rsid w:val="00AB6A6E"/>
    <w:rsid w:val="00AB6B17"/>
    <w:rsid w:val="00AB6C18"/>
    <w:rsid w:val="00AB6C62"/>
    <w:rsid w:val="00AB6D15"/>
    <w:rsid w:val="00AB6E3A"/>
    <w:rsid w:val="00AB6EAF"/>
    <w:rsid w:val="00AB7045"/>
    <w:rsid w:val="00AB7180"/>
    <w:rsid w:val="00AB71B6"/>
    <w:rsid w:val="00AB720A"/>
    <w:rsid w:val="00AB729D"/>
    <w:rsid w:val="00AB72D1"/>
    <w:rsid w:val="00AB7322"/>
    <w:rsid w:val="00AB749E"/>
    <w:rsid w:val="00AB75E3"/>
    <w:rsid w:val="00AB7723"/>
    <w:rsid w:val="00AB780D"/>
    <w:rsid w:val="00AB7951"/>
    <w:rsid w:val="00AB7995"/>
    <w:rsid w:val="00AB79C2"/>
    <w:rsid w:val="00AB7AF2"/>
    <w:rsid w:val="00AB7BFF"/>
    <w:rsid w:val="00AB7CA4"/>
    <w:rsid w:val="00AB7DE8"/>
    <w:rsid w:val="00AB7E9A"/>
    <w:rsid w:val="00AB7F1F"/>
    <w:rsid w:val="00AB7FA5"/>
    <w:rsid w:val="00AC001C"/>
    <w:rsid w:val="00AC0067"/>
    <w:rsid w:val="00AC007A"/>
    <w:rsid w:val="00AC01C1"/>
    <w:rsid w:val="00AC01E1"/>
    <w:rsid w:val="00AC01E8"/>
    <w:rsid w:val="00AC02E0"/>
    <w:rsid w:val="00AC02F6"/>
    <w:rsid w:val="00AC035D"/>
    <w:rsid w:val="00AC0427"/>
    <w:rsid w:val="00AC0445"/>
    <w:rsid w:val="00AC046A"/>
    <w:rsid w:val="00AC0536"/>
    <w:rsid w:val="00AC05CB"/>
    <w:rsid w:val="00AC05CD"/>
    <w:rsid w:val="00AC060A"/>
    <w:rsid w:val="00AC063A"/>
    <w:rsid w:val="00AC063B"/>
    <w:rsid w:val="00AC0696"/>
    <w:rsid w:val="00AC06F9"/>
    <w:rsid w:val="00AC07E2"/>
    <w:rsid w:val="00AC0802"/>
    <w:rsid w:val="00AC0834"/>
    <w:rsid w:val="00AC085A"/>
    <w:rsid w:val="00AC08F8"/>
    <w:rsid w:val="00AC099B"/>
    <w:rsid w:val="00AC09E3"/>
    <w:rsid w:val="00AC09FD"/>
    <w:rsid w:val="00AC0A46"/>
    <w:rsid w:val="00AC0AC6"/>
    <w:rsid w:val="00AC0B73"/>
    <w:rsid w:val="00AC0BB1"/>
    <w:rsid w:val="00AC0BE3"/>
    <w:rsid w:val="00AC0D6A"/>
    <w:rsid w:val="00AC0E29"/>
    <w:rsid w:val="00AC0F43"/>
    <w:rsid w:val="00AC0FA1"/>
    <w:rsid w:val="00AC101A"/>
    <w:rsid w:val="00AC1164"/>
    <w:rsid w:val="00AC12B6"/>
    <w:rsid w:val="00AC12E4"/>
    <w:rsid w:val="00AC1325"/>
    <w:rsid w:val="00AC1358"/>
    <w:rsid w:val="00AC13F0"/>
    <w:rsid w:val="00AC1461"/>
    <w:rsid w:val="00AC15A0"/>
    <w:rsid w:val="00AC16C2"/>
    <w:rsid w:val="00AC16F1"/>
    <w:rsid w:val="00AC1825"/>
    <w:rsid w:val="00AC1874"/>
    <w:rsid w:val="00AC195B"/>
    <w:rsid w:val="00AC1AFD"/>
    <w:rsid w:val="00AC1B64"/>
    <w:rsid w:val="00AC1CEA"/>
    <w:rsid w:val="00AC1DAB"/>
    <w:rsid w:val="00AC1E64"/>
    <w:rsid w:val="00AC1FA6"/>
    <w:rsid w:val="00AC1FBA"/>
    <w:rsid w:val="00AC2167"/>
    <w:rsid w:val="00AC21A3"/>
    <w:rsid w:val="00AC2276"/>
    <w:rsid w:val="00AC23B7"/>
    <w:rsid w:val="00AC23BF"/>
    <w:rsid w:val="00AC23E3"/>
    <w:rsid w:val="00AC2453"/>
    <w:rsid w:val="00AC26A9"/>
    <w:rsid w:val="00AC2700"/>
    <w:rsid w:val="00AC2A28"/>
    <w:rsid w:val="00AC2E1D"/>
    <w:rsid w:val="00AC2E25"/>
    <w:rsid w:val="00AC2E3A"/>
    <w:rsid w:val="00AC2E4B"/>
    <w:rsid w:val="00AC2E59"/>
    <w:rsid w:val="00AC2ED0"/>
    <w:rsid w:val="00AC2F79"/>
    <w:rsid w:val="00AC3118"/>
    <w:rsid w:val="00AC3163"/>
    <w:rsid w:val="00AC31BB"/>
    <w:rsid w:val="00AC328B"/>
    <w:rsid w:val="00AC3334"/>
    <w:rsid w:val="00AC3339"/>
    <w:rsid w:val="00AC3387"/>
    <w:rsid w:val="00AC3526"/>
    <w:rsid w:val="00AC35B1"/>
    <w:rsid w:val="00AC3685"/>
    <w:rsid w:val="00AC36FF"/>
    <w:rsid w:val="00AC3792"/>
    <w:rsid w:val="00AC37D9"/>
    <w:rsid w:val="00AC37E3"/>
    <w:rsid w:val="00AC38F8"/>
    <w:rsid w:val="00AC3B28"/>
    <w:rsid w:val="00AC3CA5"/>
    <w:rsid w:val="00AC3CCD"/>
    <w:rsid w:val="00AC3D01"/>
    <w:rsid w:val="00AC3D29"/>
    <w:rsid w:val="00AC3ED4"/>
    <w:rsid w:val="00AC3F2D"/>
    <w:rsid w:val="00AC3FC4"/>
    <w:rsid w:val="00AC402E"/>
    <w:rsid w:val="00AC403F"/>
    <w:rsid w:val="00AC4048"/>
    <w:rsid w:val="00AC404D"/>
    <w:rsid w:val="00AC40BE"/>
    <w:rsid w:val="00AC411E"/>
    <w:rsid w:val="00AC415E"/>
    <w:rsid w:val="00AC41C8"/>
    <w:rsid w:val="00AC41E7"/>
    <w:rsid w:val="00AC428B"/>
    <w:rsid w:val="00AC4318"/>
    <w:rsid w:val="00AC4367"/>
    <w:rsid w:val="00AC458F"/>
    <w:rsid w:val="00AC45C7"/>
    <w:rsid w:val="00AC4936"/>
    <w:rsid w:val="00AC4950"/>
    <w:rsid w:val="00AC49D0"/>
    <w:rsid w:val="00AC4ABB"/>
    <w:rsid w:val="00AC4BC4"/>
    <w:rsid w:val="00AC4C1A"/>
    <w:rsid w:val="00AC4C96"/>
    <w:rsid w:val="00AC4D84"/>
    <w:rsid w:val="00AC4E6D"/>
    <w:rsid w:val="00AC4EAE"/>
    <w:rsid w:val="00AC4EF3"/>
    <w:rsid w:val="00AC504F"/>
    <w:rsid w:val="00AC5337"/>
    <w:rsid w:val="00AC53D1"/>
    <w:rsid w:val="00AC53D5"/>
    <w:rsid w:val="00AC54F6"/>
    <w:rsid w:val="00AC552F"/>
    <w:rsid w:val="00AC55B2"/>
    <w:rsid w:val="00AC55CF"/>
    <w:rsid w:val="00AC56CE"/>
    <w:rsid w:val="00AC58DB"/>
    <w:rsid w:val="00AC5A0E"/>
    <w:rsid w:val="00AC5A86"/>
    <w:rsid w:val="00AC5B19"/>
    <w:rsid w:val="00AC5C40"/>
    <w:rsid w:val="00AC5C83"/>
    <w:rsid w:val="00AC5CA0"/>
    <w:rsid w:val="00AC5DA2"/>
    <w:rsid w:val="00AC6194"/>
    <w:rsid w:val="00AC619E"/>
    <w:rsid w:val="00AC61DA"/>
    <w:rsid w:val="00AC61E8"/>
    <w:rsid w:val="00AC63C1"/>
    <w:rsid w:val="00AC63DE"/>
    <w:rsid w:val="00AC64DC"/>
    <w:rsid w:val="00AC652D"/>
    <w:rsid w:val="00AC6563"/>
    <w:rsid w:val="00AC6676"/>
    <w:rsid w:val="00AC67E3"/>
    <w:rsid w:val="00AC68B6"/>
    <w:rsid w:val="00AC69B5"/>
    <w:rsid w:val="00AC69F5"/>
    <w:rsid w:val="00AC6AF3"/>
    <w:rsid w:val="00AC6D86"/>
    <w:rsid w:val="00AC6DAA"/>
    <w:rsid w:val="00AC6E26"/>
    <w:rsid w:val="00AC6E5F"/>
    <w:rsid w:val="00AC71B1"/>
    <w:rsid w:val="00AC7215"/>
    <w:rsid w:val="00AC728E"/>
    <w:rsid w:val="00AC7469"/>
    <w:rsid w:val="00AC767A"/>
    <w:rsid w:val="00AC76B6"/>
    <w:rsid w:val="00AC7769"/>
    <w:rsid w:val="00AC79A5"/>
    <w:rsid w:val="00AC79B4"/>
    <w:rsid w:val="00AC7A13"/>
    <w:rsid w:val="00AC7BAD"/>
    <w:rsid w:val="00AC7C32"/>
    <w:rsid w:val="00AC7E24"/>
    <w:rsid w:val="00AC7F84"/>
    <w:rsid w:val="00AC7FAE"/>
    <w:rsid w:val="00AD0087"/>
    <w:rsid w:val="00AD00E2"/>
    <w:rsid w:val="00AD0292"/>
    <w:rsid w:val="00AD02BF"/>
    <w:rsid w:val="00AD03C4"/>
    <w:rsid w:val="00AD03CF"/>
    <w:rsid w:val="00AD04A4"/>
    <w:rsid w:val="00AD06C0"/>
    <w:rsid w:val="00AD07A7"/>
    <w:rsid w:val="00AD07AF"/>
    <w:rsid w:val="00AD08E7"/>
    <w:rsid w:val="00AD0A44"/>
    <w:rsid w:val="00AD0AD1"/>
    <w:rsid w:val="00AD0CA9"/>
    <w:rsid w:val="00AD0CCA"/>
    <w:rsid w:val="00AD0FBC"/>
    <w:rsid w:val="00AD1061"/>
    <w:rsid w:val="00AD10B1"/>
    <w:rsid w:val="00AD1144"/>
    <w:rsid w:val="00AD115E"/>
    <w:rsid w:val="00AD1244"/>
    <w:rsid w:val="00AD14C6"/>
    <w:rsid w:val="00AD14F1"/>
    <w:rsid w:val="00AD15AF"/>
    <w:rsid w:val="00AD17A8"/>
    <w:rsid w:val="00AD17EB"/>
    <w:rsid w:val="00AD1811"/>
    <w:rsid w:val="00AD1843"/>
    <w:rsid w:val="00AD191A"/>
    <w:rsid w:val="00AD19B2"/>
    <w:rsid w:val="00AD1AB7"/>
    <w:rsid w:val="00AD1B4A"/>
    <w:rsid w:val="00AD1C45"/>
    <w:rsid w:val="00AD1CA9"/>
    <w:rsid w:val="00AD1D6B"/>
    <w:rsid w:val="00AD1E77"/>
    <w:rsid w:val="00AD1EB1"/>
    <w:rsid w:val="00AD1FFD"/>
    <w:rsid w:val="00AD227F"/>
    <w:rsid w:val="00AD22AA"/>
    <w:rsid w:val="00AD22EC"/>
    <w:rsid w:val="00AD2322"/>
    <w:rsid w:val="00AD2343"/>
    <w:rsid w:val="00AD235A"/>
    <w:rsid w:val="00AD2472"/>
    <w:rsid w:val="00AD256B"/>
    <w:rsid w:val="00AD258E"/>
    <w:rsid w:val="00AD264C"/>
    <w:rsid w:val="00AD2707"/>
    <w:rsid w:val="00AD2709"/>
    <w:rsid w:val="00AD27B0"/>
    <w:rsid w:val="00AD2913"/>
    <w:rsid w:val="00AD29C7"/>
    <w:rsid w:val="00AD2B82"/>
    <w:rsid w:val="00AD2C6E"/>
    <w:rsid w:val="00AD2D42"/>
    <w:rsid w:val="00AD2D93"/>
    <w:rsid w:val="00AD2DAA"/>
    <w:rsid w:val="00AD2E45"/>
    <w:rsid w:val="00AD2F71"/>
    <w:rsid w:val="00AD2FA6"/>
    <w:rsid w:val="00AD2FBD"/>
    <w:rsid w:val="00AD30F4"/>
    <w:rsid w:val="00AD3181"/>
    <w:rsid w:val="00AD319F"/>
    <w:rsid w:val="00AD32AA"/>
    <w:rsid w:val="00AD32C5"/>
    <w:rsid w:val="00AD34AF"/>
    <w:rsid w:val="00AD34C4"/>
    <w:rsid w:val="00AD34CF"/>
    <w:rsid w:val="00AD3531"/>
    <w:rsid w:val="00AD35EC"/>
    <w:rsid w:val="00AD3650"/>
    <w:rsid w:val="00AD3671"/>
    <w:rsid w:val="00AD36D5"/>
    <w:rsid w:val="00AD36F3"/>
    <w:rsid w:val="00AD3704"/>
    <w:rsid w:val="00AD3896"/>
    <w:rsid w:val="00AD38A4"/>
    <w:rsid w:val="00AD39CA"/>
    <w:rsid w:val="00AD3B04"/>
    <w:rsid w:val="00AD3B53"/>
    <w:rsid w:val="00AD3BD6"/>
    <w:rsid w:val="00AD3C4F"/>
    <w:rsid w:val="00AD3CB5"/>
    <w:rsid w:val="00AD3CDA"/>
    <w:rsid w:val="00AD3CF3"/>
    <w:rsid w:val="00AD3EE0"/>
    <w:rsid w:val="00AD3FA5"/>
    <w:rsid w:val="00AD3FF1"/>
    <w:rsid w:val="00AD407E"/>
    <w:rsid w:val="00AD4106"/>
    <w:rsid w:val="00AD4469"/>
    <w:rsid w:val="00AD44AB"/>
    <w:rsid w:val="00AD44C5"/>
    <w:rsid w:val="00AD44E6"/>
    <w:rsid w:val="00AD45B7"/>
    <w:rsid w:val="00AD4678"/>
    <w:rsid w:val="00AD46B8"/>
    <w:rsid w:val="00AD47E5"/>
    <w:rsid w:val="00AD4915"/>
    <w:rsid w:val="00AD4936"/>
    <w:rsid w:val="00AD493A"/>
    <w:rsid w:val="00AD49CD"/>
    <w:rsid w:val="00AD49D0"/>
    <w:rsid w:val="00AD49D1"/>
    <w:rsid w:val="00AD4A76"/>
    <w:rsid w:val="00AD4B37"/>
    <w:rsid w:val="00AD4B46"/>
    <w:rsid w:val="00AD4B95"/>
    <w:rsid w:val="00AD4C1F"/>
    <w:rsid w:val="00AD4CDD"/>
    <w:rsid w:val="00AD4D39"/>
    <w:rsid w:val="00AD4D4C"/>
    <w:rsid w:val="00AD4ED6"/>
    <w:rsid w:val="00AD4F1E"/>
    <w:rsid w:val="00AD4F58"/>
    <w:rsid w:val="00AD4F75"/>
    <w:rsid w:val="00AD4FBA"/>
    <w:rsid w:val="00AD4FCB"/>
    <w:rsid w:val="00AD5039"/>
    <w:rsid w:val="00AD50D9"/>
    <w:rsid w:val="00AD5117"/>
    <w:rsid w:val="00AD5296"/>
    <w:rsid w:val="00AD5368"/>
    <w:rsid w:val="00AD5437"/>
    <w:rsid w:val="00AD5591"/>
    <w:rsid w:val="00AD5664"/>
    <w:rsid w:val="00AD56BC"/>
    <w:rsid w:val="00AD58BA"/>
    <w:rsid w:val="00AD5921"/>
    <w:rsid w:val="00AD598D"/>
    <w:rsid w:val="00AD5ACE"/>
    <w:rsid w:val="00AD5AE5"/>
    <w:rsid w:val="00AD5AF1"/>
    <w:rsid w:val="00AD5C3D"/>
    <w:rsid w:val="00AD6137"/>
    <w:rsid w:val="00AD6158"/>
    <w:rsid w:val="00AD6166"/>
    <w:rsid w:val="00AD62F3"/>
    <w:rsid w:val="00AD631C"/>
    <w:rsid w:val="00AD633E"/>
    <w:rsid w:val="00AD6396"/>
    <w:rsid w:val="00AD63C9"/>
    <w:rsid w:val="00AD66A3"/>
    <w:rsid w:val="00AD680E"/>
    <w:rsid w:val="00AD68E3"/>
    <w:rsid w:val="00AD696B"/>
    <w:rsid w:val="00AD69E9"/>
    <w:rsid w:val="00AD6A14"/>
    <w:rsid w:val="00AD6B5E"/>
    <w:rsid w:val="00AD6B6B"/>
    <w:rsid w:val="00AD6BA3"/>
    <w:rsid w:val="00AD6C14"/>
    <w:rsid w:val="00AD6C50"/>
    <w:rsid w:val="00AD6D4B"/>
    <w:rsid w:val="00AD6D82"/>
    <w:rsid w:val="00AD6DC5"/>
    <w:rsid w:val="00AD6E66"/>
    <w:rsid w:val="00AD703D"/>
    <w:rsid w:val="00AD70B2"/>
    <w:rsid w:val="00AD71B6"/>
    <w:rsid w:val="00AD71FE"/>
    <w:rsid w:val="00AD7224"/>
    <w:rsid w:val="00AD724A"/>
    <w:rsid w:val="00AD7296"/>
    <w:rsid w:val="00AD747F"/>
    <w:rsid w:val="00AD753E"/>
    <w:rsid w:val="00AD7587"/>
    <w:rsid w:val="00AD760A"/>
    <w:rsid w:val="00AD7B4A"/>
    <w:rsid w:val="00AD7C2F"/>
    <w:rsid w:val="00AD7C90"/>
    <w:rsid w:val="00AD7D8B"/>
    <w:rsid w:val="00AD7E8A"/>
    <w:rsid w:val="00AE0041"/>
    <w:rsid w:val="00AE0047"/>
    <w:rsid w:val="00AE02A0"/>
    <w:rsid w:val="00AE0394"/>
    <w:rsid w:val="00AE042B"/>
    <w:rsid w:val="00AE0494"/>
    <w:rsid w:val="00AE0511"/>
    <w:rsid w:val="00AE05ED"/>
    <w:rsid w:val="00AE05EE"/>
    <w:rsid w:val="00AE06D5"/>
    <w:rsid w:val="00AE0711"/>
    <w:rsid w:val="00AE0726"/>
    <w:rsid w:val="00AE0772"/>
    <w:rsid w:val="00AE087D"/>
    <w:rsid w:val="00AE089B"/>
    <w:rsid w:val="00AE08FC"/>
    <w:rsid w:val="00AE091A"/>
    <w:rsid w:val="00AE0923"/>
    <w:rsid w:val="00AE0981"/>
    <w:rsid w:val="00AE09E2"/>
    <w:rsid w:val="00AE0A37"/>
    <w:rsid w:val="00AE0A8B"/>
    <w:rsid w:val="00AE0B2C"/>
    <w:rsid w:val="00AE0B4D"/>
    <w:rsid w:val="00AE0B9F"/>
    <w:rsid w:val="00AE0CE0"/>
    <w:rsid w:val="00AE0D52"/>
    <w:rsid w:val="00AE0E61"/>
    <w:rsid w:val="00AE0EC2"/>
    <w:rsid w:val="00AE0EC5"/>
    <w:rsid w:val="00AE0ED8"/>
    <w:rsid w:val="00AE1174"/>
    <w:rsid w:val="00AE12CA"/>
    <w:rsid w:val="00AE12CE"/>
    <w:rsid w:val="00AE134E"/>
    <w:rsid w:val="00AE1442"/>
    <w:rsid w:val="00AE146F"/>
    <w:rsid w:val="00AE1508"/>
    <w:rsid w:val="00AE1773"/>
    <w:rsid w:val="00AE1870"/>
    <w:rsid w:val="00AE18DD"/>
    <w:rsid w:val="00AE1974"/>
    <w:rsid w:val="00AE1A72"/>
    <w:rsid w:val="00AE1ACC"/>
    <w:rsid w:val="00AE1C32"/>
    <w:rsid w:val="00AE1C67"/>
    <w:rsid w:val="00AE1D45"/>
    <w:rsid w:val="00AE1D53"/>
    <w:rsid w:val="00AE1DB4"/>
    <w:rsid w:val="00AE1DC1"/>
    <w:rsid w:val="00AE1F28"/>
    <w:rsid w:val="00AE1FDA"/>
    <w:rsid w:val="00AE2003"/>
    <w:rsid w:val="00AE203B"/>
    <w:rsid w:val="00AE22B6"/>
    <w:rsid w:val="00AE22BE"/>
    <w:rsid w:val="00AE22FD"/>
    <w:rsid w:val="00AE231D"/>
    <w:rsid w:val="00AE234F"/>
    <w:rsid w:val="00AE2370"/>
    <w:rsid w:val="00AE23B1"/>
    <w:rsid w:val="00AE24A6"/>
    <w:rsid w:val="00AE2575"/>
    <w:rsid w:val="00AE264C"/>
    <w:rsid w:val="00AE2734"/>
    <w:rsid w:val="00AE27A4"/>
    <w:rsid w:val="00AE27DE"/>
    <w:rsid w:val="00AE27DF"/>
    <w:rsid w:val="00AE27F3"/>
    <w:rsid w:val="00AE289F"/>
    <w:rsid w:val="00AE2906"/>
    <w:rsid w:val="00AE2931"/>
    <w:rsid w:val="00AE293E"/>
    <w:rsid w:val="00AE295E"/>
    <w:rsid w:val="00AE2AAB"/>
    <w:rsid w:val="00AE2ACF"/>
    <w:rsid w:val="00AE2CB8"/>
    <w:rsid w:val="00AE2D68"/>
    <w:rsid w:val="00AE2D7A"/>
    <w:rsid w:val="00AE2D95"/>
    <w:rsid w:val="00AE2E0E"/>
    <w:rsid w:val="00AE2E8D"/>
    <w:rsid w:val="00AE30DD"/>
    <w:rsid w:val="00AE3272"/>
    <w:rsid w:val="00AE330F"/>
    <w:rsid w:val="00AE344C"/>
    <w:rsid w:val="00AE3485"/>
    <w:rsid w:val="00AE3744"/>
    <w:rsid w:val="00AE37B5"/>
    <w:rsid w:val="00AE3897"/>
    <w:rsid w:val="00AE3912"/>
    <w:rsid w:val="00AE3A64"/>
    <w:rsid w:val="00AE3A66"/>
    <w:rsid w:val="00AE3AF5"/>
    <w:rsid w:val="00AE3B58"/>
    <w:rsid w:val="00AE3BDE"/>
    <w:rsid w:val="00AE3C0B"/>
    <w:rsid w:val="00AE3CE7"/>
    <w:rsid w:val="00AE3DC7"/>
    <w:rsid w:val="00AE3E28"/>
    <w:rsid w:val="00AE405D"/>
    <w:rsid w:val="00AE4077"/>
    <w:rsid w:val="00AE41D3"/>
    <w:rsid w:val="00AE41DF"/>
    <w:rsid w:val="00AE4229"/>
    <w:rsid w:val="00AE4242"/>
    <w:rsid w:val="00AE4266"/>
    <w:rsid w:val="00AE42CD"/>
    <w:rsid w:val="00AE43AC"/>
    <w:rsid w:val="00AE4488"/>
    <w:rsid w:val="00AE4653"/>
    <w:rsid w:val="00AE4667"/>
    <w:rsid w:val="00AE4835"/>
    <w:rsid w:val="00AE49A2"/>
    <w:rsid w:val="00AE4AD9"/>
    <w:rsid w:val="00AE4AF2"/>
    <w:rsid w:val="00AE4B63"/>
    <w:rsid w:val="00AE4B9F"/>
    <w:rsid w:val="00AE4BEF"/>
    <w:rsid w:val="00AE4C0C"/>
    <w:rsid w:val="00AE4C9E"/>
    <w:rsid w:val="00AE4CAB"/>
    <w:rsid w:val="00AE4D18"/>
    <w:rsid w:val="00AE4D90"/>
    <w:rsid w:val="00AE4E5A"/>
    <w:rsid w:val="00AE4EA0"/>
    <w:rsid w:val="00AE4EAD"/>
    <w:rsid w:val="00AE4FE1"/>
    <w:rsid w:val="00AE4FEA"/>
    <w:rsid w:val="00AE50D7"/>
    <w:rsid w:val="00AE51C9"/>
    <w:rsid w:val="00AE521A"/>
    <w:rsid w:val="00AE539E"/>
    <w:rsid w:val="00AE53B3"/>
    <w:rsid w:val="00AE54EA"/>
    <w:rsid w:val="00AE5596"/>
    <w:rsid w:val="00AE55D2"/>
    <w:rsid w:val="00AE5600"/>
    <w:rsid w:val="00AE5627"/>
    <w:rsid w:val="00AE568C"/>
    <w:rsid w:val="00AE56C9"/>
    <w:rsid w:val="00AE5707"/>
    <w:rsid w:val="00AE5777"/>
    <w:rsid w:val="00AE578B"/>
    <w:rsid w:val="00AE57CC"/>
    <w:rsid w:val="00AE57D1"/>
    <w:rsid w:val="00AE582D"/>
    <w:rsid w:val="00AE59C6"/>
    <w:rsid w:val="00AE5AB3"/>
    <w:rsid w:val="00AE5B70"/>
    <w:rsid w:val="00AE5BA9"/>
    <w:rsid w:val="00AE5D1A"/>
    <w:rsid w:val="00AE5D63"/>
    <w:rsid w:val="00AE5E48"/>
    <w:rsid w:val="00AE5E90"/>
    <w:rsid w:val="00AE5EA2"/>
    <w:rsid w:val="00AE5F8A"/>
    <w:rsid w:val="00AE5F96"/>
    <w:rsid w:val="00AE601D"/>
    <w:rsid w:val="00AE6020"/>
    <w:rsid w:val="00AE61D1"/>
    <w:rsid w:val="00AE620D"/>
    <w:rsid w:val="00AE6237"/>
    <w:rsid w:val="00AE62A1"/>
    <w:rsid w:val="00AE62CB"/>
    <w:rsid w:val="00AE6418"/>
    <w:rsid w:val="00AE652F"/>
    <w:rsid w:val="00AE6569"/>
    <w:rsid w:val="00AE6601"/>
    <w:rsid w:val="00AE676F"/>
    <w:rsid w:val="00AE6872"/>
    <w:rsid w:val="00AE6892"/>
    <w:rsid w:val="00AE693E"/>
    <w:rsid w:val="00AE6B54"/>
    <w:rsid w:val="00AE6BA1"/>
    <w:rsid w:val="00AE6D08"/>
    <w:rsid w:val="00AE6E51"/>
    <w:rsid w:val="00AE6ED0"/>
    <w:rsid w:val="00AE6F03"/>
    <w:rsid w:val="00AE6F10"/>
    <w:rsid w:val="00AE6F2B"/>
    <w:rsid w:val="00AE7066"/>
    <w:rsid w:val="00AE710E"/>
    <w:rsid w:val="00AE7110"/>
    <w:rsid w:val="00AE714B"/>
    <w:rsid w:val="00AE7265"/>
    <w:rsid w:val="00AE7273"/>
    <w:rsid w:val="00AE7288"/>
    <w:rsid w:val="00AE7368"/>
    <w:rsid w:val="00AE73D7"/>
    <w:rsid w:val="00AE75BD"/>
    <w:rsid w:val="00AE7613"/>
    <w:rsid w:val="00AE7619"/>
    <w:rsid w:val="00AE76AA"/>
    <w:rsid w:val="00AE770E"/>
    <w:rsid w:val="00AE7711"/>
    <w:rsid w:val="00AE780F"/>
    <w:rsid w:val="00AE782F"/>
    <w:rsid w:val="00AE7842"/>
    <w:rsid w:val="00AE7A45"/>
    <w:rsid w:val="00AE7A4B"/>
    <w:rsid w:val="00AE7A6F"/>
    <w:rsid w:val="00AE7B11"/>
    <w:rsid w:val="00AE7B94"/>
    <w:rsid w:val="00AE7D05"/>
    <w:rsid w:val="00AE7EA1"/>
    <w:rsid w:val="00AE7F23"/>
    <w:rsid w:val="00AF011D"/>
    <w:rsid w:val="00AF014F"/>
    <w:rsid w:val="00AF02D8"/>
    <w:rsid w:val="00AF039B"/>
    <w:rsid w:val="00AF03C0"/>
    <w:rsid w:val="00AF0405"/>
    <w:rsid w:val="00AF0557"/>
    <w:rsid w:val="00AF0668"/>
    <w:rsid w:val="00AF0779"/>
    <w:rsid w:val="00AF08CD"/>
    <w:rsid w:val="00AF0910"/>
    <w:rsid w:val="00AF098E"/>
    <w:rsid w:val="00AF09EE"/>
    <w:rsid w:val="00AF0AC0"/>
    <w:rsid w:val="00AF0B8D"/>
    <w:rsid w:val="00AF0D54"/>
    <w:rsid w:val="00AF0E70"/>
    <w:rsid w:val="00AF0E72"/>
    <w:rsid w:val="00AF0E74"/>
    <w:rsid w:val="00AF1017"/>
    <w:rsid w:val="00AF1030"/>
    <w:rsid w:val="00AF108D"/>
    <w:rsid w:val="00AF113F"/>
    <w:rsid w:val="00AF1199"/>
    <w:rsid w:val="00AF11EF"/>
    <w:rsid w:val="00AF1240"/>
    <w:rsid w:val="00AF138C"/>
    <w:rsid w:val="00AF13CD"/>
    <w:rsid w:val="00AF1421"/>
    <w:rsid w:val="00AF1447"/>
    <w:rsid w:val="00AF14D7"/>
    <w:rsid w:val="00AF14FC"/>
    <w:rsid w:val="00AF1579"/>
    <w:rsid w:val="00AF15A1"/>
    <w:rsid w:val="00AF15FC"/>
    <w:rsid w:val="00AF1619"/>
    <w:rsid w:val="00AF163A"/>
    <w:rsid w:val="00AF16E8"/>
    <w:rsid w:val="00AF1753"/>
    <w:rsid w:val="00AF18D9"/>
    <w:rsid w:val="00AF1A3F"/>
    <w:rsid w:val="00AF1AF2"/>
    <w:rsid w:val="00AF1B28"/>
    <w:rsid w:val="00AF1B3C"/>
    <w:rsid w:val="00AF1B43"/>
    <w:rsid w:val="00AF1C02"/>
    <w:rsid w:val="00AF1E63"/>
    <w:rsid w:val="00AF1FFE"/>
    <w:rsid w:val="00AF2094"/>
    <w:rsid w:val="00AF20C2"/>
    <w:rsid w:val="00AF2124"/>
    <w:rsid w:val="00AF2255"/>
    <w:rsid w:val="00AF2264"/>
    <w:rsid w:val="00AF22BC"/>
    <w:rsid w:val="00AF22F2"/>
    <w:rsid w:val="00AF2425"/>
    <w:rsid w:val="00AF2426"/>
    <w:rsid w:val="00AF2630"/>
    <w:rsid w:val="00AF26F1"/>
    <w:rsid w:val="00AF285D"/>
    <w:rsid w:val="00AF2919"/>
    <w:rsid w:val="00AF29E2"/>
    <w:rsid w:val="00AF2A2D"/>
    <w:rsid w:val="00AF2A3C"/>
    <w:rsid w:val="00AF2A4C"/>
    <w:rsid w:val="00AF2D24"/>
    <w:rsid w:val="00AF2D67"/>
    <w:rsid w:val="00AF2D7C"/>
    <w:rsid w:val="00AF2E1D"/>
    <w:rsid w:val="00AF2F5E"/>
    <w:rsid w:val="00AF2F69"/>
    <w:rsid w:val="00AF2FC6"/>
    <w:rsid w:val="00AF303B"/>
    <w:rsid w:val="00AF3133"/>
    <w:rsid w:val="00AF31D8"/>
    <w:rsid w:val="00AF3216"/>
    <w:rsid w:val="00AF32CF"/>
    <w:rsid w:val="00AF3343"/>
    <w:rsid w:val="00AF334F"/>
    <w:rsid w:val="00AF3405"/>
    <w:rsid w:val="00AF3444"/>
    <w:rsid w:val="00AF3529"/>
    <w:rsid w:val="00AF3567"/>
    <w:rsid w:val="00AF366B"/>
    <w:rsid w:val="00AF37ED"/>
    <w:rsid w:val="00AF3826"/>
    <w:rsid w:val="00AF38D9"/>
    <w:rsid w:val="00AF38E0"/>
    <w:rsid w:val="00AF38FA"/>
    <w:rsid w:val="00AF397B"/>
    <w:rsid w:val="00AF3B5E"/>
    <w:rsid w:val="00AF3D4B"/>
    <w:rsid w:val="00AF3D80"/>
    <w:rsid w:val="00AF3D9F"/>
    <w:rsid w:val="00AF4013"/>
    <w:rsid w:val="00AF402C"/>
    <w:rsid w:val="00AF41C0"/>
    <w:rsid w:val="00AF4243"/>
    <w:rsid w:val="00AF4253"/>
    <w:rsid w:val="00AF42CD"/>
    <w:rsid w:val="00AF42F4"/>
    <w:rsid w:val="00AF4334"/>
    <w:rsid w:val="00AF43CC"/>
    <w:rsid w:val="00AF44A1"/>
    <w:rsid w:val="00AF453C"/>
    <w:rsid w:val="00AF475E"/>
    <w:rsid w:val="00AF4763"/>
    <w:rsid w:val="00AF4854"/>
    <w:rsid w:val="00AF49C5"/>
    <w:rsid w:val="00AF4A67"/>
    <w:rsid w:val="00AF4AE1"/>
    <w:rsid w:val="00AF4B07"/>
    <w:rsid w:val="00AF4BB3"/>
    <w:rsid w:val="00AF4BDE"/>
    <w:rsid w:val="00AF4C27"/>
    <w:rsid w:val="00AF4C64"/>
    <w:rsid w:val="00AF4D13"/>
    <w:rsid w:val="00AF4D14"/>
    <w:rsid w:val="00AF4E28"/>
    <w:rsid w:val="00AF4E4F"/>
    <w:rsid w:val="00AF4E65"/>
    <w:rsid w:val="00AF4F20"/>
    <w:rsid w:val="00AF4FED"/>
    <w:rsid w:val="00AF5133"/>
    <w:rsid w:val="00AF51F1"/>
    <w:rsid w:val="00AF520F"/>
    <w:rsid w:val="00AF53C6"/>
    <w:rsid w:val="00AF5428"/>
    <w:rsid w:val="00AF54A6"/>
    <w:rsid w:val="00AF54D9"/>
    <w:rsid w:val="00AF54E8"/>
    <w:rsid w:val="00AF5503"/>
    <w:rsid w:val="00AF554B"/>
    <w:rsid w:val="00AF560A"/>
    <w:rsid w:val="00AF5788"/>
    <w:rsid w:val="00AF57B8"/>
    <w:rsid w:val="00AF5829"/>
    <w:rsid w:val="00AF58B6"/>
    <w:rsid w:val="00AF592B"/>
    <w:rsid w:val="00AF595E"/>
    <w:rsid w:val="00AF5A35"/>
    <w:rsid w:val="00AF5A81"/>
    <w:rsid w:val="00AF5B8B"/>
    <w:rsid w:val="00AF5C86"/>
    <w:rsid w:val="00AF5CCA"/>
    <w:rsid w:val="00AF5D9A"/>
    <w:rsid w:val="00AF5E78"/>
    <w:rsid w:val="00AF5E88"/>
    <w:rsid w:val="00AF5FB9"/>
    <w:rsid w:val="00AF6151"/>
    <w:rsid w:val="00AF6189"/>
    <w:rsid w:val="00AF61E1"/>
    <w:rsid w:val="00AF62DF"/>
    <w:rsid w:val="00AF6541"/>
    <w:rsid w:val="00AF6545"/>
    <w:rsid w:val="00AF657C"/>
    <w:rsid w:val="00AF6655"/>
    <w:rsid w:val="00AF6683"/>
    <w:rsid w:val="00AF668C"/>
    <w:rsid w:val="00AF6745"/>
    <w:rsid w:val="00AF684C"/>
    <w:rsid w:val="00AF6861"/>
    <w:rsid w:val="00AF6953"/>
    <w:rsid w:val="00AF69C4"/>
    <w:rsid w:val="00AF6A3D"/>
    <w:rsid w:val="00AF6AC7"/>
    <w:rsid w:val="00AF6B0B"/>
    <w:rsid w:val="00AF6B4B"/>
    <w:rsid w:val="00AF6B74"/>
    <w:rsid w:val="00AF6B8E"/>
    <w:rsid w:val="00AF6C0E"/>
    <w:rsid w:val="00AF6C9B"/>
    <w:rsid w:val="00AF6CA4"/>
    <w:rsid w:val="00AF6D6C"/>
    <w:rsid w:val="00AF726B"/>
    <w:rsid w:val="00AF73E2"/>
    <w:rsid w:val="00AF7404"/>
    <w:rsid w:val="00AF7437"/>
    <w:rsid w:val="00AF751A"/>
    <w:rsid w:val="00AF758C"/>
    <w:rsid w:val="00AF7740"/>
    <w:rsid w:val="00AF775E"/>
    <w:rsid w:val="00AF77E9"/>
    <w:rsid w:val="00AF7858"/>
    <w:rsid w:val="00AF7871"/>
    <w:rsid w:val="00AF789B"/>
    <w:rsid w:val="00AF789E"/>
    <w:rsid w:val="00AF78CE"/>
    <w:rsid w:val="00AF7C93"/>
    <w:rsid w:val="00AF7CF9"/>
    <w:rsid w:val="00AF7D0D"/>
    <w:rsid w:val="00AF7E70"/>
    <w:rsid w:val="00AF7EA3"/>
    <w:rsid w:val="00AF7F3B"/>
    <w:rsid w:val="00AF7F6C"/>
    <w:rsid w:val="00AF7F8D"/>
    <w:rsid w:val="00AF7FE0"/>
    <w:rsid w:val="00B000CE"/>
    <w:rsid w:val="00B00112"/>
    <w:rsid w:val="00B002E5"/>
    <w:rsid w:val="00B004B1"/>
    <w:rsid w:val="00B004B4"/>
    <w:rsid w:val="00B00556"/>
    <w:rsid w:val="00B00662"/>
    <w:rsid w:val="00B009AB"/>
    <w:rsid w:val="00B00A62"/>
    <w:rsid w:val="00B00C40"/>
    <w:rsid w:val="00B00CFD"/>
    <w:rsid w:val="00B00FF5"/>
    <w:rsid w:val="00B01049"/>
    <w:rsid w:val="00B01086"/>
    <w:rsid w:val="00B0108C"/>
    <w:rsid w:val="00B01216"/>
    <w:rsid w:val="00B012D1"/>
    <w:rsid w:val="00B012DD"/>
    <w:rsid w:val="00B012F5"/>
    <w:rsid w:val="00B01356"/>
    <w:rsid w:val="00B0136F"/>
    <w:rsid w:val="00B015B7"/>
    <w:rsid w:val="00B015D9"/>
    <w:rsid w:val="00B01658"/>
    <w:rsid w:val="00B0165C"/>
    <w:rsid w:val="00B01675"/>
    <w:rsid w:val="00B0182D"/>
    <w:rsid w:val="00B0191B"/>
    <w:rsid w:val="00B019C9"/>
    <w:rsid w:val="00B01A74"/>
    <w:rsid w:val="00B01A97"/>
    <w:rsid w:val="00B01AED"/>
    <w:rsid w:val="00B01CF1"/>
    <w:rsid w:val="00B01D03"/>
    <w:rsid w:val="00B01E42"/>
    <w:rsid w:val="00B01E44"/>
    <w:rsid w:val="00B01EA6"/>
    <w:rsid w:val="00B01EBB"/>
    <w:rsid w:val="00B01FDF"/>
    <w:rsid w:val="00B0200F"/>
    <w:rsid w:val="00B02057"/>
    <w:rsid w:val="00B020D2"/>
    <w:rsid w:val="00B021B1"/>
    <w:rsid w:val="00B021ED"/>
    <w:rsid w:val="00B022D0"/>
    <w:rsid w:val="00B023B1"/>
    <w:rsid w:val="00B02580"/>
    <w:rsid w:val="00B02776"/>
    <w:rsid w:val="00B02892"/>
    <w:rsid w:val="00B02920"/>
    <w:rsid w:val="00B02A84"/>
    <w:rsid w:val="00B02B01"/>
    <w:rsid w:val="00B02C9B"/>
    <w:rsid w:val="00B02CEB"/>
    <w:rsid w:val="00B0303D"/>
    <w:rsid w:val="00B0315E"/>
    <w:rsid w:val="00B032F9"/>
    <w:rsid w:val="00B0335F"/>
    <w:rsid w:val="00B0342F"/>
    <w:rsid w:val="00B03466"/>
    <w:rsid w:val="00B0353D"/>
    <w:rsid w:val="00B0361B"/>
    <w:rsid w:val="00B036E6"/>
    <w:rsid w:val="00B03799"/>
    <w:rsid w:val="00B03810"/>
    <w:rsid w:val="00B03A46"/>
    <w:rsid w:val="00B03BD1"/>
    <w:rsid w:val="00B03CB4"/>
    <w:rsid w:val="00B03CED"/>
    <w:rsid w:val="00B03E1E"/>
    <w:rsid w:val="00B03E3E"/>
    <w:rsid w:val="00B03E76"/>
    <w:rsid w:val="00B03F05"/>
    <w:rsid w:val="00B04194"/>
    <w:rsid w:val="00B041F4"/>
    <w:rsid w:val="00B0420B"/>
    <w:rsid w:val="00B04240"/>
    <w:rsid w:val="00B0429A"/>
    <w:rsid w:val="00B042B7"/>
    <w:rsid w:val="00B04445"/>
    <w:rsid w:val="00B044D7"/>
    <w:rsid w:val="00B04639"/>
    <w:rsid w:val="00B046A4"/>
    <w:rsid w:val="00B046E7"/>
    <w:rsid w:val="00B047C4"/>
    <w:rsid w:val="00B048D0"/>
    <w:rsid w:val="00B0492F"/>
    <w:rsid w:val="00B04C04"/>
    <w:rsid w:val="00B04C22"/>
    <w:rsid w:val="00B04D4C"/>
    <w:rsid w:val="00B04E8A"/>
    <w:rsid w:val="00B04E90"/>
    <w:rsid w:val="00B04F03"/>
    <w:rsid w:val="00B0520C"/>
    <w:rsid w:val="00B052A2"/>
    <w:rsid w:val="00B05551"/>
    <w:rsid w:val="00B055D3"/>
    <w:rsid w:val="00B05654"/>
    <w:rsid w:val="00B05718"/>
    <w:rsid w:val="00B0572A"/>
    <w:rsid w:val="00B05860"/>
    <w:rsid w:val="00B058D0"/>
    <w:rsid w:val="00B058E9"/>
    <w:rsid w:val="00B0590E"/>
    <w:rsid w:val="00B059B0"/>
    <w:rsid w:val="00B059FA"/>
    <w:rsid w:val="00B05BA1"/>
    <w:rsid w:val="00B05BBB"/>
    <w:rsid w:val="00B05BC1"/>
    <w:rsid w:val="00B05D66"/>
    <w:rsid w:val="00B05D93"/>
    <w:rsid w:val="00B05DEB"/>
    <w:rsid w:val="00B05FE3"/>
    <w:rsid w:val="00B0602F"/>
    <w:rsid w:val="00B060A1"/>
    <w:rsid w:val="00B06222"/>
    <w:rsid w:val="00B06230"/>
    <w:rsid w:val="00B062DC"/>
    <w:rsid w:val="00B06417"/>
    <w:rsid w:val="00B06537"/>
    <w:rsid w:val="00B0669F"/>
    <w:rsid w:val="00B066CB"/>
    <w:rsid w:val="00B06728"/>
    <w:rsid w:val="00B068A3"/>
    <w:rsid w:val="00B069CE"/>
    <w:rsid w:val="00B06D48"/>
    <w:rsid w:val="00B06DB6"/>
    <w:rsid w:val="00B06E69"/>
    <w:rsid w:val="00B06F46"/>
    <w:rsid w:val="00B06FA6"/>
    <w:rsid w:val="00B06FCE"/>
    <w:rsid w:val="00B06FDD"/>
    <w:rsid w:val="00B07049"/>
    <w:rsid w:val="00B0704C"/>
    <w:rsid w:val="00B0707A"/>
    <w:rsid w:val="00B070DE"/>
    <w:rsid w:val="00B0718D"/>
    <w:rsid w:val="00B071BC"/>
    <w:rsid w:val="00B072AE"/>
    <w:rsid w:val="00B0736E"/>
    <w:rsid w:val="00B073B5"/>
    <w:rsid w:val="00B07411"/>
    <w:rsid w:val="00B0759D"/>
    <w:rsid w:val="00B076D4"/>
    <w:rsid w:val="00B07815"/>
    <w:rsid w:val="00B07841"/>
    <w:rsid w:val="00B0785D"/>
    <w:rsid w:val="00B078E5"/>
    <w:rsid w:val="00B07A4B"/>
    <w:rsid w:val="00B07AA1"/>
    <w:rsid w:val="00B07E06"/>
    <w:rsid w:val="00B07E31"/>
    <w:rsid w:val="00B07F2F"/>
    <w:rsid w:val="00B07FDD"/>
    <w:rsid w:val="00B1003A"/>
    <w:rsid w:val="00B10236"/>
    <w:rsid w:val="00B1027D"/>
    <w:rsid w:val="00B1034C"/>
    <w:rsid w:val="00B103B4"/>
    <w:rsid w:val="00B103BE"/>
    <w:rsid w:val="00B103F7"/>
    <w:rsid w:val="00B1045C"/>
    <w:rsid w:val="00B104FD"/>
    <w:rsid w:val="00B10570"/>
    <w:rsid w:val="00B1058D"/>
    <w:rsid w:val="00B10687"/>
    <w:rsid w:val="00B106F4"/>
    <w:rsid w:val="00B10898"/>
    <w:rsid w:val="00B108AA"/>
    <w:rsid w:val="00B1093C"/>
    <w:rsid w:val="00B10A5C"/>
    <w:rsid w:val="00B10BCD"/>
    <w:rsid w:val="00B10C3B"/>
    <w:rsid w:val="00B10DB6"/>
    <w:rsid w:val="00B10ECE"/>
    <w:rsid w:val="00B10F2E"/>
    <w:rsid w:val="00B10F39"/>
    <w:rsid w:val="00B10F4B"/>
    <w:rsid w:val="00B10F68"/>
    <w:rsid w:val="00B11001"/>
    <w:rsid w:val="00B11033"/>
    <w:rsid w:val="00B11173"/>
    <w:rsid w:val="00B1118F"/>
    <w:rsid w:val="00B1119D"/>
    <w:rsid w:val="00B114BD"/>
    <w:rsid w:val="00B11596"/>
    <w:rsid w:val="00B115B7"/>
    <w:rsid w:val="00B11656"/>
    <w:rsid w:val="00B116B4"/>
    <w:rsid w:val="00B117DF"/>
    <w:rsid w:val="00B1187D"/>
    <w:rsid w:val="00B118ED"/>
    <w:rsid w:val="00B1198F"/>
    <w:rsid w:val="00B1199D"/>
    <w:rsid w:val="00B119F4"/>
    <w:rsid w:val="00B11B3A"/>
    <w:rsid w:val="00B11C8F"/>
    <w:rsid w:val="00B11CF5"/>
    <w:rsid w:val="00B11EB2"/>
    <w:rsid w:val="00B11F7D"/>
    <w:rsid w:val="00B1200A"/>
    <w:rsid w:val="00B1205C"/>
    <w:rsid w:val="00B1209E"/>
    <w:rsid w:val="00B120E3"/>
    <w:rsid w:val="00B121B9"/>
    <w:rsid w:val="00B121F1"/>
    <w:rsid w:val="00B1228F"/>
    <w:rsid w:val="00B122BB"/>
    <w:rsid w:val="00B124EE"/>
    <w:rsid w:val="00B12510"/>
    <w:rsid w:val="00B12539"/>
    <w:rsid w:val="00B12578"/>
    <w:rsid w:val="00B125DE"/>
    <w:rsid w:val="00B126B0"/>
    <w:rsid w:val="00B1271B"/>
    <w:rsid w:val="00B1275F"/>
    <w:rsid w:val="00B12818"/>
    <w:rsid w:val="00B12890"/>
    <w:rsid w:val="00B128A3"/>
    <w:rsid w:val="00B12AD4"/>
    <w:rsid w:val="00B12AEC"/>
    <w:rsid w:val="00B12AED"/>
    <w:rsid w:val="00B12B12"/>
    <w:rsid w:val="00B12B3D"/>
    <w:rsid w:val="00B12CC2"/>
    <w:rsid w:val="00B12DA2"/>
    <w:rsid w:val="00B12E08"/>
    <w:rsid w:val="00B12E27"/>
    <w:rsid w:val="00B12E4D"/>
    <w:rsid w:val="00B12E7B"/>
    <w:rsid w:val="00B12E99"/>
    <w:rsid w:val="00B131B8"/>
    <w:rsid w:val="00B13234"/>
    <w:rsid w:val="00B1325C"/>
    <w:rsid w:val="00B13294"/>
    <w:rsid w:val="00B132F8"/>
    <w:rsid w:val="00B13311"/>
    <w:rsid w:val="00B133A6"/>
    <w:rsid w:val="00B134AF"/>
    <w:rsid w:val="00B136DF"/>
    <w:rsid w:val="00B13896"/>
    <w:rsid w:val="00B1389E"/>
    <w:rsid w:val="00B138BC"/>
    <w:rsid w:val="00B1390D"/>
    <w:rsid w:val="00B13962"/>
    <w:rsid w:val="00B139B5"/>
    <w:rsid w:val="00B13B82"/>
    <w:rsid w:val="00B13BC1"/>
    <w:rsid w:val="00B13BC3"/>
    <w:rsid w:val="00B13CC0"/>
    <w:rsid w:val="00B13CDB"/>
    <w:rsid w:val="00B13D74"/>
    <w:rsid w:val="00B13DFE"/>
    <w:rsid w:val="00B13E42"/>
    <w:rsid w:val="00B13EFA"/>
    <w:rsid w:val="00B13EFF"/>
    <w:rsid w:val="00B14120"/>
    <w:rsid w:val="00B14331"/>
    <w:rsid w:val="00B14357"/>
    <w:rsid w:val="00B14473"/>
    <w:rsid w:val="00B145AF"/>
    <w:rsid w:val="00B14697"/>
    <w:rsid w:val="00B146DE"/>
    <w:rsid w:val="00B147A1"/>
    <w:rsid w:val="00B147B2"/>
    <w:rsid w:val="00B14888"/>
    <w:rsid w:val="00B14897"/>
    <w:rsid w:val="00B148D0"/>
    <w:rsid w:val="00B148D7"/>
    <w:rsid w:val="00B14A88"/>
    <w:rsid w:val="00B14AA0"/>
    <w:rsid w:val="00B14ACE"/>
    <w:rsid w:val="00B14B1D"/>
    <w:rsid w:val="00B14B59"/>
    <w:rsid w:val="00B14B63"/>
    <w:rsid w:val="00B14BEC"/>
    <w:rsid w:val="00B14C1B"/>
    <w:rsid w:val="00B14E1D"/>
    <w:rsid w:val="00B14E93"/>
    <w:rsid w:val="00B14EE4"/>
    <w:rsid w:val="00B14F77"/>
    <w:rsid w:val="00B14FBF"/>
    <w:rsid w:val="00B151B5"/>
    <w:rsid w:val="00B151D1"/>
    <w:rsid w:val="00B152F3"/>
    <w:rsid w:val="00B15304"/>
    <w:rsid w:val="00B153E7"/>
    <w:rsid w:val="00B1540F"/>
    <w:rsid w:val="00B15430"/>
    <w:rsid w:val="00B154D7"/>
    <w:rsid w:val="00B15638"/>
    <w:rsid w:val="00B15730"/>
    <w:rsid w:val="00B15757"/>
    <w:rsid w:val="00B15787"/>
    <w:rsid w:val="00B157A0"/>
    <w:rsid w:val="00B157C4"/>
    <w:rsid w:val="00B15885"/>
    <w:rsid w:val="00B15B54"/>
    <w:rsid w:val="00B15C58"/>
    <w:rsid w:val="00B15CF3"/>
    <w:rsid w:val="00B15D36"/>
    <w:rsid w:val="00B15DFE"/>
    <w:rsid w:val="00B1600C"/>
    <w:rsid w:val="00B16059"/>
    <w:rsid w:val="00B160D7"/>
    <w:rsid w:val="00B16164"/>
    <w:rsid w:val="00B161C5"/>
    <w:rsid w:val="00B16454"/>
    <w:rsid w:val="00B1649F"/>
    <w:rsid w:val="00B164C8"/>
    <w:rsid w:val="00B165E2"/>
    <w:rsid w:val="00B16720"/>
    <w:rsid w:val="00B167DF"/>
    <w:rsid w:val="00B1684D"/>
    <w:rsid w:val="00B16868"/>
    <w:rsid w:val="00B16963"/>
    <w:rsid w:val="00B16997"/>
    <w:rsid w:val="00B16B0F"/>
    <w:rsid w:val="00B16B52"/>
    <w:rsid w:val="00B16C71"/>
    <w:rsid w:val="00B16D46"/>
    <w:rsid w:val="00B16E3F"/>
    <w:rsid w:val="00B16E81"/>
    <w:rsid w:val="00B16F77"/>
    <w:rsid w:val="00B16FDD"/>
    <w:rsid w:val="00B16FE9"/>
    <w:rsid w:val="00B1700B"/>
    <w:rsid w:val="00B1719E"/>
    <w:rsid w:val="00B172A0"/>
    <w:rsid w:val="00B17309"/>
    <w:rsid w:val="00B17475"/>
    <w:rsid w:val="00B17482"/>
    <w:rsid w:val="00B17519"/>
    <w:rsid w:val="00B17529"/>
    <w:rsid w:val="00B175AD"/>
    <w:rsid w:val="00B176B1"/>
    <w:rsid w:val="00B17811"/>
    <w:rsid w:val="00B1787B"/>
    <w:rsid w:val="00B178F5"/>
    <w:rsid w:val="00B17900"/>
    <w:rsid w:val="00B17B2D"/>
    <w:rsid w:val="00B17C42"/>
    <w:rsid w:val="00B17C62"/>
    <w:rsid w:val="00B17C86"/>
    <w:rsid w:val="00B17EE6"/>
    <w:rsid w:val="00B17F98"/>
    <w:rsid w:val="00B17FDC"/>
    <w:rsid w:val="00B20047"/>
    <w:rsid w:val="00B2007C"/>
    <w:rsid w:val="00B200B9"/>
    <w:rsid w:val="00B200E5"/>
    <w:rsid w:val="00B20107"/>
    <w:rsid w:val="00B201A6"/>
    <w:rsid w:val="00B201E5"/>
    <w:rsid w:val="00B202B0"/>
    <w:rsid w:val="00B2036E"/>
    <w:rsid w:val="00B2038A"/>
    <w:rsid w:val="00B203A8"/>
    <w:rsid w:val="00B205C5"/>
    <w:rsid w:val="00B20606"/>
    <w:rsid w:val="00B206A8"/>
    <w:rsid w:val="00B20706"/>
    <w:rsid w:val="00B20AC4"/>
    <w:rsid w:val="00B20AD2"/>
    <w:rsid w:val="00B20C59"/>
    <w:rsid w:val="00B20E3B"/>
    <w:rsid w:val="00B2101A"/>
    <w:rsid w:val="00B2106C"/>
    <w:rsid w:val="00B210A7"/>
    <w:rsid w:val="00B210C5"/>
    <w:rsid w:val="00B21104"/>
    <w:rsid w:val="00B211F1"/>
    <w:rsid w:val="00B211F9"/>
    <w:rsid w:val="00B21283"/>
    <w:rsid w:val="00B21293"/>
    <w:rsid w:val="00B21326"/>
    <w:rsid w:val="00B2134F"/>
    <w:rsid w:val="00B2145D"/>
    <w:rsid w:val="00B2147C"/>
    <w:rsid w:val="00B21532"/>
    <w:rsid w:val="00B21620"/>
    <w:rsid w:val="00B217A0"/>
    <w:rsid w:val="00B219C9"/>
    <w:rsid w:val="00B21AEB"/>
    <w:rsid w:val="00B21AF8"/>
    <w:rsid w:val="00B21B2F"/>
    <w:rsid w:val="00B21B52"/>
    <w:rsid w:val="00B21CC5"/>
    <w:rsid w:val="00B21CD9"/>
    <w:rsid w:val="00B21E35"/>
    <w:rsid w:val="00B21E98"/>
    <w:rsid w:val="00B21EA3"/>
    <w:rsid w:val="00B21EFE"/>
    <w:rsid w:val="00B21F2C"/>
    <w:rsid w:val="00B21F3D"/>
    <w:rsid w:val="00B21F65"/>
    <w:rsid w:val="00B21F6B"/>
    <w:rsid w:val="00B2200C"/>
    <w:rsid w:val="00B22028"/>
    <w:rsid w:val="00B220CB"/>
    <w:rsid w:val="00B22103"/>
    <w:rsid w:val="00B22127"/>
    <w:rsid w:val="00B22163"/>
    <w:rsid w:val="00B222D5"/>
    <w:rsid w:val="00B2234B"/>
    <w:rsid w:val="00B2268C"/>
    <w:rsid w:val="00B226F8"/>
    <w:rsid w:val="00B2274B"/>
    <w:rsid w:val="00B227D2"/>
    <w:rsid w:val="00B228AE"/>
    <w:rsid w:val="00B228D3"/>
    <w:rsid w:val="00B2297F"/>
    <w:rsid w:val="00B229C9"/>
    <w:rsid w:val="00B22A21"/>
    <w:rsid w:val="00B22D00"/>
    <w:rsid w:val="00B22EFB"/>
    <w:rsid w:val="00B22F0E"/>
    <w:rsid w:val="00B230AA"/>
    <w:rsid w:val="00B230D6"/>
    <w:rsid w:val="00B2310B"/>
    <w:rsid w:val="00B231E6"/>
    <w:rsid w:val="00B23366"/>
    <w:rsid w:val="00B235EB"/>
    <w:rsid w:val="00B235EF"/>
    <w:rsid w:val="00B23670"/>
    <w:rsid w:val="00B23682"/>
    <w:rsid w:val="00B236E8"/>
    <w:rsid w:val="00B23718"/>
    <w:rsid w:val="00B23766"/>
    <w:rsid w:val="00B237A5"/>
    <w:rsid w:val="00B237CE"/>
    <w:rsid w:val="00B23803"/>
    <w:rsid w:val="00B238D6"/>
    <w:rsid w:val="00B239B5"/>
    <w:rsid w:val="00B239E1"/>
    <w:rsid w:val="00B23AC3"/>
    <w:rsid w:val="00B23AEA"/>
    <w:rsid w:val="00B23C27"/>
    <w:rsid w:val="00B23CFD"/>
    <w:rsid w:val="00B23DC5"/>
    <w:rsid w:val="00B23DD0"/>
    <w:rsid w:val="00B23E0B"/>
    <w:rsid w:val="00B23E0D"/>
    <w:rsid w:val="00B23E7C"/>
    <w:rsid w:val="00B23EB0"/>
    <w:rsid w:val="00B23F6E"/>
    <w:rsid w:val="00B240A8"/>
    <w:rsid w:val="00B24138"/>
    <w:rsid w:val="00B24291"/>
    <w:rsid w:val="00B24451"/>
    <w:rsid w:val="00B24585"/>
    <w:rsid w:val="00B245A6"/>
    <w:rsid w:val="00B2468E"/>
    <w:rsid w:val="00B24696"/>
    <w:rsid w:val="00B246B6"/>
    <w:rsid w:val="00B246D0"/>
    <w:rsid w:val="00B246D5"/>
    <w:rsid w:val="00B24801"/>
    <w:rsid w:val="00B24948"/>
    <w:rsid w:val="00B24B3F"/>
    <w:rsid w:val="00B24B71"/>
    <w:rsid w:val="00B24BD7"/>
    <w:rsid w:val="00B24BE4"/>
    <w:rsid w:val="00B24BFA"/>
    <w:rsid w:val="00B24C89"/>
    <w:rsid w:val="00B24D05"/>
    <w:rsid w:val="00B24DED"/>
    <w:rsid w:val="00B24FE5"/>
    <w:rsid w:val="00B25028"/>
    <w:rsid w:val="00B25085"/>
    <w:rsid w:val="00B2510D"/>
    <w:rsid w:val="00B25122"/>
    <w:rsid w:val="00B25246"/>
    <w:rsid w:val="00B252FC"/>
    <w:rsid w:val="00B25395"/>
    <w:rsid w:val="00B254AD"/>
    <w:rsid w:val="00B25500"/>
    <w:rsid w:val="00B255EF"/>
    <w:rsid w:val="00B25629"/>
    <w:rsid w:val="00B25704"/>
    <w:rsid w:val="00B2573F"/>
    <w:rsid w:val="00B25772"/>
    <w:rsid w:val="00B259E2"/>
    <w:rsid w:val="00B25AD7"/>
    <w:rsid w:val="00B25B20"/>
    <w:rsid w:val="00B25C16"/>
    <w:rsid w:val="00B25D5A"/>
    <w:rsid w:val="00B25FF4"/>
    <w:rsid w:val="00B2602D"/>
    <w:rsid w:val="00B2603D"/>
    <w:rsid w:val="00B261A0"/>
    <w:rsid w:val="00B26212"/>
    <w:rsid w:val="00B26277"/>
    <w:rsid w:val="00B26374"/>
    <w:rsid w:val="00B2637C"/>
    <w:rsid w:val="00B2644E"/>
    <w:rsid w:val="00B264EE"/>
    <w:rsid w:val="00B26524"/>
    <w:rsid w:val="00B2666D"/>
    <w:rsid w:val="00B267FE"/>
    <w:rsid w:val="00B268C0"/>
    <w:rsid w:val="00B268D6"/>
    <w:rsid w:val="00B2691D"/>
    <w:rsid w:val="00B26930"/>
    <w:rsid w:val="00B26C37"/>
    <w:rsid w:val="00B26C4B"/>
    <w:rsid w:val="00B26D55"/>
    <w:rsid w:val="00B26D8B"/>
    <w:rsid w:val="00B26DDE"/>
    <w:rsid w:val="00B26EA0"/>
    <w:rsid w:val="00B26F1F"/>
    <w:rsid w:val="00B271CB"/>
    <w:rsid w:val="00B271CD"/>
    <w:rsid w:val="00B2737E"/>
    <w:rsid w:val="00B274C0"/>
    <w:rsid w:val="00B2752E"/>
    <w:rsid w:val="00B27694"/>
    <w:rsid w:val="00B276BA"/>
    <w:rsid w:val="00B27754"/>
    <w:rsid w:val="00B27772"/>
    <w:rsid w:val="00B27850"/>
    <w:rsid w:val="00B27856"/>
    <w:rsid w:val="00B27A55"/>
    <w:rsid w:val="00B27C0A"/>
    <w:rsid w:val="00B27CB0"/>
    <w:rsid w:val="00B27D05"/>
    <w:rsid w:val="00B27D5D"/>
    <w:rsid w:val="00B27E28"/>
    <w:rsid w:val="00B27E86"/>
    <w:rsid w:val="00B27E8F"/>
    <w:rsid w:val="00B27ECE"/>
    <w:rsid w:val="00B27F66"/>
    <w:rsid w:val="00B27FF1"/>
    <w:rsid w:val="00B300C6"/>
    <w:rsid w:val="00B302FF"/>
    <w:rsid w:val="00B30369"/>
    <w:rsid w:val="00B30456"/>
    <w:rsid w:val="00B3051E"/>
    <w:rsid w:val="00B306CB"/>
    <w:rsid w:val="00B30819"/>
    <w:rsid w:val="00B3085D"/>
    <w:rsid w:val="00B308CE"/>
    <w:rsid w:val="00B308D5"/>
    <w:rsid w:val="00B308DF"/>
    <w:rsid w:val="00B308FF"/>
    <w:rsid w:val="00B30925"/>
    <w:rsid w:val="00B30A3C"/>
    <w:rsid w:val="00B30A83"/>
    <w:rsid w:val="00B30AA2"/>
    <w:rsid w:val="00B30AE0"/>
    <w:rsid w:val="00B30C41"/>
    <w:rsid w:val="00B30C96"/>
    <w:rsid w:val="00B30EEC"/>
    <w:rsid w:val="00B30F33"/>
    <w:rsid w:val="00B30F38"/>
    <w:rsid w:val="00B30F8B"/>
    <w:rsid w:val="00B30F99"/>
    <w:rsid w:val="00B310C2"/>
    <w:rsid w:val="00B310EB"/>
    <w:rsid w:val="00B311AC"/>
    <w:rsid w:val="00B312C1"/>
    <w:rsid w:val="00B3143B"/>
    <w:rsid w:val="00B314B1"/>
    <w:rsid w:val="00B31710"/>
    <w:rsid w:val="00B31767"/>
    <w:rsid w:val="00B317DF"/>
    <w:rsid w:val="00B31871"/>
    <w:rsid w:val="00B31916"/>
    <w:rsid w:val="00B319E6"/>
    <w:rsid w:val="00B31A08"/>
    <w:rsid w:val="00B31A20"/>
    <w:rsid w:val="00B31A87"/>
    <w:rsid w:val="00B31B60"/>
    <w:rsid w:val="00B31DF2"/>
    <w:rsid w:val="00B31E92"/>
    <w:rsid w:val="00B31F05"/>
    <w:rsid w:val="00B320F8"/>
    <w:rsid w:val="00B32127"/>
    <w:rsid w:val="00B3214A"/>
    <w:rsid w:val="00B3215D"/>
    <w:rsid w:val="00B3217E"/>
    <w:rsid w:val="00B3220A"/>
    <w:rsid w:val="00B32270"/>
    <w:rsid w:val="00B322A0"/>
    <w:rsid w:val="00B322DF"/>
    <w:rsid w:val="00B32389"/>
    <w:rsid w:val="00B323DB"/>
    <w:rsid w:val="00B323F6"/>
    <w:rsid w:val="00B32547"/>
    <w:rsid w:val="00B32582"/>
    <w:rsid w:val="00B325BA"/>
    <w:rsid w:val="00B3261B"/>
    <w:rsid w:val="00B3284C"/>
    <w:rsid w:val="00B329F7"/>
    <w:rsid w:val="00B32AA5"/>
    <w:rsid w:val="00B32AD6"/>
    <w:rsid w:val="00B32B6D"/>
    <w:rsid w:val="00B32C57"/>
    <w:rsid w:val="00B32E11"/>
    <w:rsid w:val="00B33165"/>
    <w:rsid w:val="00B331DF"/>
    <w:rsid w:val="00B33237"/>
    <w:rsid w:val="00B3329D"/>
    <w:rsid w:val="00B332F4"/>
    <w:rsid w:val="00B3334A"/>
    <w:rsid w:val="00B33419"/>
    <w:rsid w:val="00B336BB"/>
    <w:rsid w:val="00B33712"/>
    <w:rsid w:val="00B33730"/>
    <w:rsid w:val="00B337CC"/>
    <w:rsid w:val="00B33839"/>
    <w:rsid w:val="00B33ACC"/>
    <w:rsid w:val="00B33BC2"/>
    <w:rsid w:val="00B33C41"/>
    <w:rsid w:val="00B33D16"/>
    <w:rsid w:val="00B33D89"/>
    <w:rsid w:val="00B33E56"/>
    <w:rsid w:val="00B33E5E"/>
    <w:rsid w:val="00B33F20"/>
    <w:rsid w:val="00B33F67"/>
    <w:rsid w:val="00B33FF2"/>
    <w:rsid w:val="00B34019"/>
    <w:rsid w:val="00B34052"/>
    <w:rsid w:val="00B34101"/>
    <w:rsid w:val="00B34119"/>
    <w:rsid w:val="00B34137"/>
    <w:rsid w:val="00B34164"/>
    <w:rsid w:val="00B34286"/>
    <w:rsid w:val="00B343FF"/>
    <w:rsid w:val="00B34401"/>
    <w:rsid w:val="00B3448C"/>
    <w:rsid w:val="00B3449F"/>
    <w:rsid w:val="00B34541"/>
    <w:rsid w:val="00B34583"/>
    <w:rsid w:val="00B346B5"/>
    <w:rsid w:val="00B347E7"/>
    <w:rsid w:val="00B347FF"/>
    <w:rsid w:val="00B348D9"/>
    <w:rsid w:val="00B34A13"/>
    <w:rsid w:val="00B34A35"/>
    <w:rsid w:val="00B34B35"/>
    <w:rsid w:val="00B34C2C"/>
    <w:rsid w:val="00B34D6C"/>
    <w:rsid w:val="00B34E09"/>
    <w:rsid w:val="00B34ED4"/>
    <w:rsid w:val="00B350A1"/>
    <w:rsid w:val="00B3514E"/>
    <w:rsid w:val="00B35299"/>
    <w:rsid w:val="00B35355"/>
    <w:rsid w:val="00B35407"/>
    <w:rsid w:val="00B3541D"/>
    <w:rsid w:val="00B35465"/>
    <w:rsid w:val="00B3546C"/>
    <w:rsid w:val="00B354F0"/>
    <w:rsid w:val="00B35513"/>
    <w:rsid w:val="00B355EA"/>
    <w:rsid w:val="00B3570A"/>
    <w:rsid w:val="00B35832"/>
    <w:rsid w:val="00B35855"/>
    <w:rsid w:val="00B3589C"/>
    <w:rsid w:val="00B35907"/>
    <w:rsid w:val="00B35A00"/>
    <w:rsid w:val="00B35BF6"/>
    <w:rsid w:val="00B35C50"/>
    <w:rsid w:val="00B35C82"/>
    <w:rsid w:val="00B35D8D"/>
    <w:rsid w:val="00B35DFE"/>
    <w:rsid w:val="00B35ED5"/>
    <w:rsid w:val="00B35EE9"/>
    <w:rsid w:val="00B36085"/>
    <w:rsid w:val="00B36100"/>
    <w:rsid w:val="00B361EC"/>
    <w:rsid w:val="00B361FB"/>
    <w:rsid w:val="00B362A0"/>
    <w:rsid w:val="00B362E5"/>
    <w:rsid w:val="00B36525"/>
    <w:rsid w:val="00B365CF"/>
    <w:rsid w:val="00B36766"/>
    <w:rsid w:val="00B36771"/>
    <w:rsid w:val="00B3684A"/>
    <w:rsid w:val="00B3694D"/>
    <w:rsid w:val="00B369A8"/>
    <w:rsid w:val="00B369B4"/>
    <w:rsid w:val="00B36BC1"/>
    <w:rsid w:val="00B36C09"/>
    <w:rsid w:val="00B36C27"/>
    <w:rsid w:val="00B36C8B"/>
    <w:rsid w:val="00B36D16"/>
    <w:rsid w:val="00B36DA5"/>
    <w:rsid w:val="00B36DF5"/>
    <w:rsid w:val="00B36E1F"/>
    <w:rsid w:val="00B36E2F"/>
    <w:rsid w:val="00B36F72"/>
    <w:rsid w:val="00B36FF7"/>
    <w:rsid w:val="00B370CF"/>
    <w:rsid w:val="00B370EB"/>
    <w:rsid w:val="00B370F1"/>
    <w:rsid w:val="00B3723B"/>
    <w:rsid w:val="00B3723F"/>
    <w:rsid w:val="00B3731C"/>
    <w:rsid w:val="00B37324"/>
    <w:rsid w:val="00B37373"/>
    <w:rsid w:val="00B3752D"/>
    <w:rsid w:val="00B378B6"/>
    <w:rsid w:val="00B378D0"/>
    <w:rsid w:val="00B3795C"/>
    <w:rsid w:val="00B37962"/>
    <w:rsid w:val="00B379B1"/>
    <w:rsid w:val="00B37C64"/>
    <w:rsid w:val="00B37CA9"/>
    <w:rsid w:val="00B37D27"/>
    <w:rsid w:val="00B37D2E"/>
    <w:rsid w:val="00B37EF9"/>
    <w:rsid w:val="00B37FE9"/>
    <w:rsid w:val="00B4008D"/>
    <w:rsid w:val="00B40090"/>
    <w:rsid w:val="00B400BE"/>
    <w:rsid w:val="00B40117"/>
    <w:rsid w:val="00B40145"/>
    <w:rsid w:val="00B4015C"/>
    <w:rsid w:val="00B40180"/>
    <w:rsid w:val="00B402B4"/>
    <w:rsid w:val="00B405A1"/>
    <w:rsid w:val="00B405FC"/>
    <w:rsid w:val="00B4069D"/>
    <w:rsid w:val="00B407CD"/>
    <w:rsid w:val="00B40896"/>
    <w:rsid w:val="00B4099F"/>
    <w:rsid w:val="00B40AA0"/>
    <w:rsid w:val="00B40B69"/>
    <w:rsid w:val="00B41135"/>
    <w:rsid w:val="00B4118F"/>
    <w:rsid w:val="00B411A3"/>
    <w:rsid w:val="00B4128B"/>
    <w:rsid w:val="00B412AA"/>
    <w:rsid w:val="00B4131F"/>
    <w:rsid w:val="00B4140C"/>
    <w:rsid w:val="00B41453"/>
    <w:rsid w:val="00B415F2"/>
    <w:rsid w:val="00B41628"/>
    <w:rsid w:val="00B416E5"/>
    <w:rsid w:val="00B41706"/>
    <w:rsid w:val="00B41828"/>
    <w:rsid w:val="00B41919"/>
    <w:rsid w:val="00B41930"/>
    <w:rsid w:val="00B4193D"/>
    <w:rsid w:val="00B41B40"/>
    <w:rsid w:val="00B41C0D"/>
    <w:rsid w:val="00B41C68"/>
    <w:rsid w:val="00B41C74"/>
    <w:rsid w:val="00B41CF3"/>
    <w:rsid w:val="00B41D1E"/>
    <w:rsid w:val="00B41D36"/>
    <w:rsid w:val="00B41F8D"/>
    <w:rsid w:val="00B422D3"/>
    <w:rsid w:val="00B422D8"/>
    <w:rsid w:val="00B424E4"/>
    <w:rsid w:val="00B42561"/>
    <w:rsid w:val="00B4261E"/>
    <w:rsid w:val="00B42684"/>
    <w:rsid w:val="00B42722"/>
    <w:rsid w:val="00B4279D"/>
    <w:rsid w:val="00B429D2"/>
    <w:rsid w:val="00B42A04"/>
    <w:rsid w:val="00B42A3A"/>
    <w:rsid w:val="00B42AB4"/>
    <w:rsid w:val="00B42ADE"/>
    <w:rsid w:val="00B42C3C"/>
    <w:rsid w:val="00B42C78"/>
    <w:rsid w:val="00B42EF4"/>
    <w:rsid w:val="00B42F29"/>
    <w:rsid w:val="00B43011"/>
    <w:rsid w:val="00B430B6"/>
    <w:rsid w:val="00B430C3"/>
    <w:rsid w:val="00B43102"/>
    <w:rsid w:val="00B43135"/>
    <w:rsid w:val="00B4317D"/>
    <w:rsid w:val="00B4320F"/>
    <w:rsid w:val="00B43268"/>
    <w:rsid w:val="00B432B6"/>
    <w:rsid w:val="00B432BB"/>
    <w:rsid w:val="00B43321"/>
    <w:rsid w:val="00B43348"/>
    <w:rsid w:val="00B4347C"/>
    <w:rsid w:val="00B43495"/>
    <w:rsid w:val="00B435A4"/>
    <w:rsid w:val="00B43659"/>
    <w:rsid w:val="00B43679"/>
    <w:rsid w:val="00B43698"/>
    <w:rsid w:val="00B43806"/>
    <w:rsid w:val="00B43832"/>
    <w:rsid w:val="00B4397A"/>
    <w:rsid w:val="00B43A6F"/>
    <w:rsid w:val="00B43B29"/>
    <w:rsid w:val="00B43D0F"/>
    <w:rsid w:val="00B43D64"/>
    <w:rsid w:val="00B43DC3"/>
    <w:rsid w:val="00B43E73"/>
    <w:rsid w:val="00B44001"/>
    <w:rsid w:val="00B44021"/>
    <w:rsid w:val="00B44090"/>
    <w:rsid w:val="00B440D4"/>
    <w:rsid w:val="00B44159"/>
    <w:rsid w:val="00B44173"/>
    <w:rsid w:val="00B44292"/>
    <w:rsid w:val="00B442D1"/>
    <w:rsid w:val="00B4438C"/>
    <w:rsid w:val="00B44445"/>
    <w:rsid w:val="00B44472"/>
    <w:rsid w:val="00B44483"/>
    <w:rsid w:val="00B44578"/>
    <w:rsid w:val="00B4457C"/>
    <w:rsid w:val="00B44644"/>
    <w:rsid w:val="00B446D9"/>
    <w:rsid w:val="00B447F8"/>
    <w:rsid w:val="00B44827"/>
    <w:rsid w:val="00B4484E"/>
    <w:rsid w:val="00B44AE6"/>
    <w:rsid w:val="00B44C38"/>
    <w:rsid w:val="00B44D30"/>
    <w:rsid w:val="00B44D97"/>
    <w:rsid w:val="00B44E9B"/>
    <w:rsid w:val="00B44EAF"/>
    <w:rsid w:val="00B44F02"/>
    <w:rsid w:val="00B44F77"/>
    <w:rsid w:val="00B450B8"/>
    <w:rsid w:val="00B450E2"/>
    <w:rsid w:val="00B45105"/>
    <w:rsid w:val="00B451FE"/>
    <w:rsid w:val="00B4528D"/>
    <w:rsid w:val="00B45468"/>
    <w:rsid w:val="00B454AC"/>
    <w:rsid w:val="00B454E3"/>
    <w:rsid w:val="00B4553D"/>
    <w:rsid w:val="00B455CA"/>
    <w:rsid w:val="00B45686"/>
    <w:rsid w:val="00B456E2"/>
    <w:rsid w:val="00B456E4"/>
    <w:rsid w:val="00B457D0"/>
    <w:rsid w:val="00B457F4"/>
    <w:rsid w:val="00B45827"/>
    <w:rsid w:val="00B458DB"/>
    <w:rsid w:val="00B4596C"/>
    <w:rsid w:val="00B459C0"/>
    <w:rsid w:val="00B459EC"/>
    <w:rsid w:val="00B45A2E"/>
    <w:rsid w:val="00B45ACC"/>
    <w:rsid w:val="00B45AE5"/>
    <w:rsid w:val="00B45B56"/>
    <w:rsid w:val="00B45B82"/>
    <w:rsid w:val="00B45C6F"/>
    <w:rsid w:val="00B45C74"/>
    <w:rsid w:val="00B45C83"/>
    <w:rsid w:val="00B45CCA"/>
    <w:rsid w:val="00B45E3D"/>
    <w:rsid w:val="00B45E52"/>
    <w:rsid w:val="00B45EE1"/>
    <w:rsid w:val="00B46137"/>
    <w:rsid w:val="00B461AD"/>
    <w:rsid w:val="00B46208"/>
    <w:rsid w:val="00B46217"/>
    <w:rsid w:val="00B46233"/>
    <w:rsid w:val="00B462B7"/>
    <w:rsid w:val="00B46315"/>
    <w:rsid w:val="00B4650D"/>
    <w:rsid w:val="00B46558"/>
    <w:rsid w:val="00B46668"/>
    <w:rsid w:val="00B466B2"/>
    <w:rsid w:val="00B46826"/>
    <w:rsid w:val="00B468C0"/>
    <w:rsid w:val="00B468EC"/>
    <w:rsid w:val="00B469DD"/>
    <w:rsid w:val="00B469F5"/>
    <w:rsid w:val="00B46A34"/>
    <w:rsid w:val="00B46B32"/>
    <w:rsid w:val="00B46C40"/>
    <w:rsid w:val="00B46C79"/>
    <w:rsid w:val="00B46E12"/>
    <w:rsid w:val="00B46E69"/>
    <w:rsid w:val="00B46E7F"/>
    <w:rsid w:val="00B46F37"/>
    <w:rsid w:val="00B46F38"/>
    <w:rsid w:val="00B4755D"/>
    <w:rsid w:val="00B47575"/>
    <w:rsid w:val="00B475BA"/>
    <w:rsid w:val="00B475D4"/>
    <w:rsid w:val="00B476BA"/>
    <w:rsid w:val="00B476E3"/>
    <w:rsid w:val="00B47854"/>
    <w:rsid w:val="00B478E1"/>
    <w:rsid w:val="00B478EB"/>
    <w:rsid w:val="00B479DC"/>
    <w:rsid w:val="00B479F9"/>
    <w:rsid w:val="00B47A4B"/>
    <w:rsid w:val="00B47AAD"/>
    <w:rsid w:val="00B47AB0"/>
    <w:rsid w:val="00B47B0F"/>
    <w:rsid w:val="00B47D27"/>
    <w:rsid w:val="00B47E0A"/>
    <w:rsid w:val="00B47EA7"/>
    <w:rsid w:val="00B47F58"/>
    <w:rsid w:val="00B50007"/>
    <w:rsid w:val="00B500AC"/>
    <w:rsid w:val="00B50269"/>
    <w:rsid w:val="00B502AD"/>
    <w:rsid w:val="00B502DD"/>
    <w:rsid w:val="00B5043C"/>
    <w:rsid w:val="00B504C3"/>
    <w:rsid w:val="00B504CB"/>
    <w:rsid w:val="00B50535"/>
    <w:rsid w:val="00B50615"/>
    <w:rsid w:val="00B506EE"/>
    <w:rsid w:val="00B508B2"/>
    <w:rsid w:val="00B50A85"/>
    <w:rsid w:val="00B50B78"/>
    <w:rsid w:val="00B50C81"/>
    <w:rsid w:val="00B50C99"/>
    <w:rsid w:val="00B50E2B"/>
    <w:rsid w:val="00B50EB4"/>
    <w:rsid w:val="00B50F3A"/>
    <w:rsid w:val="00B510D8"/>
    <w:rsid w:val="00B5136E"/>
    <w:rsid w:val="00B51401"/>
    <w:rsid w:val="00B514C1"/>
    <w:rsid w:val="00B51501"/>
    <w:rsid w:val="00B515CA"/>
    <w:rsid w:val="00B51682"/>
    <w:rsid w:val="00B5171A"/>
    <w:rsid w:val="00B51738"/>
    <w:rsid w:val="00B518C4"/>
    <w:rsid w:val="00B519E0"/>
    <w:rsid w:val="00B51A00"/>
    <w:rsid w:val="00B51A80"/>
    <w:rsid w:val="00B51B05"/>
    <w:rsid w:val="00B51BE3"/>
    <w:rsid w:val="00B51BF0"/>
    <w:rsid w:val="00B51C7B"/>
    <w:rsid w:val="00B51D6E"/>
    <w:rsid w:val="00B51DAD"/>
    <w:rsid w:val="00B51EA8"/>
    <w:rsid w:val="00B51F0E"/>
    <w:rsid w:val="00B520DA"/>
    <w:rsid w:val="00B5215F"/>
    <w:rsid w:val="00B5221C"/>
    <w:rsid w:val="00B52297"/>
    <w:rsid w:val="00B522EE"/>
    <w:rsid w:val="00B5254E"/>
    <w:rsid w:val="00B52596"/>
    <w:rsid w:val="00B525A4"/>
    <w:rsid w:val="00B5267D"/>
    <w:rsid w:val="00B5271B"/>
    <w:rsid w:val="00B52794"/>
    <w:rsid w:val="00B528B9"/>
    <w:rsid w:val="00B528CD"/>
    <w:rsid w:val="00B52A68"/>
    <w:rsid w:val="00B52B16"/>
    <w:rsid w:val="00B52BD7"/>
    <w:rsid w:val="00B52CE9"/>
    <w:rsid w:val="00B52DE0"/>
    <w:rsid w:val="00B52F21"/>
    <w:rsid w:val="00B53010"/>
    <w:rsid w:val="00B53037"/>
    <w:rsid w:val="00B53091"/>
    <w:rsid w:val="00B53116"/>
    <w:rsid w:val="00B53145"/>
    <w:rsid w:val="00B5329B"/>
    <w:rsid w:val="00B532A3"/>
    <w:rsid w:val="00B532BE"/>
    <w:rsid w:val="00B532D9"/>
    <w:rsid w:val="00B53524"/>
    <w:rsid w:val="00B53636"/>
    <w:rsid w:val="00B53674"/>
    <w:rsid w:val="00B5373B"/>
    <w:rsid w:val="00B537A1"/>
    <w:rsid w:val="00B537FC"/>
    <w:rsid w:val="00B53971"/>
    <w:rsid w:val="00B539E3"/>
    <w:rsid w:val="00B53B0A"/>
    <w:rsid w:val="00B53BDD"/>
    <w:rsid w:val="00B53C1A"/>
    <w:rsid w:val="00B53CB3"/>
    <w:rsid w:val="00B53E3A"/>
    <w:rsid w:val="00B53E4C"/>
    <w:rsid w:val="00B53F21"/>
    <w:rsid w:val="00B53F31"/>
    <w:rsid w:val="00B53FA9"/>
    <w:rsid w:val="00B540CC"/>
    <w:rsid w:val="00B5422B"/>
    <w:rsid w:val="00B54436"/>
    <w:rsid w:val="00B544C5"/>
    <w:rsid w:val="00B544CF"/>
    <w:rsid w:val="00B544E6"/>
    <w:rsid w:val="00B5454E"/>
    <w:rsid w:val="00B5459C"/>
    <w:rsid w:val="00B5483D"/>
    <w:rsid w:val="00B54980"/>
    <w:rsid w:val="00B54A15"/>
    <w:rsid w:val="00B54BEE"/>
    <w:rsid w:val="00B54CB8"/>
    <w:rsid w:val="00B54E98"/>
    <w:rsid w:val="00B54EB1"/>
    <w:rsid w:val="00B5512D"/>
    <w:rsid w:val="00B551D8"/>
    <w:rsid w:val="00B551D9"/>
    <w:rsid w:val="00B5522E"/>
    <w:rsid w:val="00B5523F"/>
    <w:rsid w:val="00B55301"/>
    <w:rsid w:val="00B553B9"/>
    <w:rsid w:val="00B55470"/>
    <w:rsid w:val="00B55511"/>
    <w:rsid w:val="00B55549"/>
    <w:rsid w:val="00B555ED"/>
    <w:rsid w:val="00B55642"/>
    <w:rsid w:val="00B55650"/>
    <w:rsid w:val="00B55740"/>
    <w:rsid w:val="00B55799"/>
    <w:rsid w:val="00B557B9"/>
    <w:rsid w:val="00B558FA"/>
    <w:rsid w:val="00B55948"/>
    <w:rsid w:val="00B5596D"/>
    <w:rsid w:val="00B559A9"/>
    <w:rsid w:val="00B559BD"/>
    <w:rsid w:val="00B55ABC"/>
    <w:rsid w:val="00B55B9F"/>
    <w:rsid w:val="00B55D00"/>
    <w:rsid w:val="00B55E0A"/>
    <w:rsid w:val="00B55FD0"/>
    <w:rsid w:val="00B56033"/>
    <w:rsid w:val="00B5621F"/>
    <w:rsid w:val="00B562CF"/>
    <w:rsid w:val="00B56372"/>
    <w:rsid w:val="00B563C1"/>
    <w:rsid w:val="00B56465"/>
    <w:rsid w:val="00B56700"/>
    <w:rsid w:val="00B56727"/>
    <w:rsid w:val="00B5692E"/>
    <w:rsid w:val="00B569BE"/>
    <w:rsid w:val="00B569D0"/>
    <w:rsid w:val="00B56A3D"/>
    <w:rsid w:val="00B56D4E"/>
    <w:rsid w:val="00B56D73"/>
    <w:rsid w:val="00B56DCC"/>
    <w:rsid w:val="00B56DE1"/>
    <w:rsid w:val="00B56E59"/>
    <w:rsid w:val="00B56EBC"/>
    <w:rsid w:val="00B56EC0"/>
    <w:rsid w:val="00B5700E"/>
    <w:rsid w:val="00B57021"/>
    <w:rsid w:val="00B57080"/>
    <w:rsid w:val="00B57081"/>
    <w:rsid w:val="00B571DF"/>
    <w:rsid w:val="00B57260"/>
    <w:rsid w:val="00B57453"/>
    <w:rsid w:val="00B575B8"/>
    <w:rsid w:val="00B57657"/>
    <w:rsid w:val="00B5779E"/>
    <w:rsid w:val="00B577BC"/>
    <w:rsid w:val="00B5781E"/>
    <w:rsid w:val="00B57833"/>
    <w:rsid w:val="00B578AF"/>
    <w:rsid w:val="00B578B6"/>
    <w:rsid w:val="00B57952"/>
    <w:rsid w:val="00B579C8"/>
    <w:rsid w:val="00B57A20"/>
    <w:rsid w:val="00B57A4E"/>
    <w:rsid w:val="00B57A53"/>
    <w:rsid w:val="00B57A5D"/>
    <w:rsid w:val="00B57B81"/>
    <w:rsid w:val="00B57C3B"/>
    <w:rsid w:val="00B57C81"/>
    <w:rsid w:val="00B57CCE"/>
    <w:rsid w:val="00B57E31"/>
    <w:rsid w:val="00B600A8"/>
    <w:rsid w:val="00B600AD"/>
    <w:rsid w:val="00B6026A"/>
    <w:rsid w:val="00B604D6"/>
    <w:rsid w:val="00B6054F"/>
    <w:rsid w:val="00B6057B"/>
    <w:rsid w:val="00B605E3"/>
    <w:rsid w:val="00B6078C"/>
    <w:rsid w:val="00B607DF"/>
    <w:rsid w:val="00B607E3"/>
    <w:rsid w:val="00B6084E"/>
    <w:rsid w:val="00B608A4"/>
    <w:rsid w:val="00B60966"/>
    <w:rsid w:val="00B6099B"/>
    <w:rsid w:val="00B609C1"/>
    <w:rsid w:val="00B60B5F"/>
    <w:rsid w:val="00B60B9A"/>
    <w:rsid w:val="00B60D0B"/>
    <w:rsid w:val="00B60F40"/>
    <w:rsid w:val="00B60F4D"/>
    <w:rsid w:val="00B60FD4"/>
    <w:rsid w:val="00B610AD"/>
    <w:rsid w:val="00B610F2"/>
    <w:rsid w:val="00B6112E"/>
    <w:rsid w:val="00B61162"/>
    <w:rsid w:val="00B61258"/>
    <w:rsid w:val="00B612B9"/>
    <w:rsid w:val="00B6142D"/>
    <w:rsid w:val="00B6144A"/>
    <w:rsid w:val="00B614B8"/>
    <w:rsid w:val="00B6154B"/>
    <w:rsid w:val="00B6157F"/>
    <w:rsid w:val="00B615AF"/>
    <w:rsid w:val="00B61612"/>
    <w:rsid w:val="00B6185A"/>
    <w:rsid w:val="00B618F7"/>
    <w:rsid w:val="00B61A55"/>
    <w:rsid w:val="00B61AAA"/>
    <w:rsid w:val="00B61CF1"/>
    <w:rsid w:val="00B61CFB"/>
    <w:rsid w:val="00B61EA0"/>
    <w:rsid w:val="00B61FDB"/>
    <w:rsid w:val="00B61FE1"/>
    <w:rsid w:val="00B61FF8"/>
    <w:rsid w:val="00B62071"/>
    <w:rsid w:val="00B620D8"/>
    <w:rsid w:val="00B62285"/>
    <w:rsid w:val="00B622D9"/>
    <w:rsid w:val="00B62340"/>
    <w:rsid w:val="00B623F5"/>
    <w:rsid w:val="00B62595"/>
    <w:rsid w:val="00B625F1"/>
    <w:rsid w:val="00B6286F"/>
    <w:rsid w:val="00B628FC"/>
    <w:rsid w:val="00B62931"/>
    <w:rsid w:val="00B62972"/>
    <w:rsid w:val="00B62AAD"/>
    <w:rsid w:val="00B62ADA"/>
    <w:rsid w:val="00B62ADC"/>
    <w:rsid w:val="00B62B3E"/>
    <w:rsid w:val="00B62BB9"/>
    <w:rsid w:val="00B62C92"/>
    <w:rsid w:val="00B62CE7"/>
    <w:rsid w:val="00B62D46"/>
    <w:rsid w:val="00B62E6A"/>
    <w:rsid w:val="00B62F00"/>
    <w:rsid w:val="00B62F33"/>
    <w:rsid w:val="00B62F94"/>
    <w:rsid w:val="00B631EF"/>
    <w:rsid w:val="00B63201"/>
    <w:rsid w:val="00B6321B"/>
    <w:rsid w:val="00B63314"/>
    <w:rsid w:val="00B63515"/>
    <w:rsid w:val="00B6354E"/>
    <w:rsid w:val="00B6355F"/>
    <w:rsid w:val="00B6360D"/>
    <w:rsid w:val="00B63710"/>
    <w:rsid w:val="00B639A3"/>
    <w:rsid w:val="00B639D3"/>
    <w:rsid w:val="00B63C6B"/>
    <w:rsid w:val="00B63CB5"/>
    <w:rsid w:val="00B63EEF"/>
    <w:rsid w:val="00B63F8B"/>
    <w:rsid w:val="00B63FB1"/>
    <w:rsid w:val="00B6406B"/>
    <w:rsid w:val="00B6406F"/>
    <w:rsid w:val="00B64173"/>
    <w:rsid w:val="00B64293"/>
    <w:rsid w:val="00B642E0"/>
    <w:rsid w:val="00B642E8"/>
    <w:rsid w:val="00B64370"/>
    <w:rsid w:val="00B64405"/>
    <w:rsid w:val="00B6446B"/>
    <w:rsid w:val="00B64619"/>
    <w:rsid w:val="00B64622"/>
    <w:rsid w:val="00B6465F"/>
    <w:rsid w:val="00B64742"/>
    <w:rsid w:val="00B64813"/>
    <w:rsid w:val="00B64829"/>
    <w:rsid w:val="00B648DF"/>
    <w:rsid w:val="00B6499F"/>
    <w:rsid w:val="00B649C0"/>
    <w:rsid w:val="00B64A2A"/>
    <w:rsid w:val="00B64AD4"/>
    <w:rsid w:val="00B64B21"/>
    <w:rsid w:val="00B64B28"/>
    <w:rsid w:val="00B64B3D"/>
    <w:rsid w:val="00B64C07"/>
    <w:rsid w:val="00B64C09"/>
    <w:rsid w:val="00B64C1A"/>
    <w:rsid w:val="00B64C72"/>
    <w:rsid w:val="00B64D5C"/>
    <w:rsid w:val="00B64DA8"/>
    <w:rsid w:val="00B64DB7"/>
    <w:rsid w:val="00B64DDA"/>
    <w:rsid w:val="00B64EA0"/>
    <w:rsid w:val="00B64EC0"/>
    <w:rsid w:val="00B64F09"/>
    <w:rsid w:val="00B64F6B"/>
    <w:rsid w:val="00B64FD2"/>
    <w:rsid w:val="00B65011"/>
    <w:rsid w:val="00B650CD"/>
    <w:rsid w:val="00B6530B"/>
    <w:rsid w:val="00B653E8"/>
    <w:rsid w:val="00B65542"/>
    <w:rsid w:val="00B65573"/>
    <w:rsid w:val="00B6570F"/>
    <w:rsid w:val="00B657D4"/>
    <w:rsid w:val="00B657DF"/>
    <w:rsid w:val="00B658CB"/>
    <w:rsid w:val="00B6594A"/>
    <w:rsid w:val="00B659E0"/>
    <w:rsid w:val="00B65B2A"/>
    <w:rsid w:val="00B65B52"/>
    <w:rsid w:val="00B65C86"/>
    <w:rsid w:val="00B65C97"/>
    <w:rsid w:val="00B65D58"/>
    <w:rsid w:val="00B65D95"/>
    <w:rsid w:val="00B65DAD"/>
    <w:rsid w:val="00B65DDA"/>
    <w:rsid w:val="00B65EC1"/>
    <w:rsid w:val="00B6600C"/>
    <w:rsid w:val="00B6605A"/>
    <w:rsid w:val="00B66091"/>
    <w:rsid w:val="00B660FD"/>
    <w:rsid w:val="00B66199"/>
    <w:rsid w:val="00B6619B"/>
    <w:rsid w:val="00B66319"/>
    <w:rsid w:val="00B664BD"/>
    <w:rsid w:val="00B664DB"/>
    <w:rsid w:val="00B66515"/>
    <w:rsid w:val="00B66604"/>
    <w:rsid w:val="00B66706"/>
    <w:rsid w:val="00B66725"/>
    <w:rsid w:val="00B667E0"/>
    <w:rsid w:val="00B66934"/>
    <w:rsid w:val="00B66997"/>
    <w:rsid w:val="00B66B3D"/>
    <w:rsid w:val="00B66C19"/>
    <w:rsid w:val="00B66CB7"/>
    <w:rsid w:val="00B66D2A"/>
    <w:rsid w:val="00B66E70"/>
    <w:rsid w:val="00B66F10"/>
    <w:rsid w:val="00B670C6"/>
    <w:rsid w:val="00B67103"/>
    <w:rsid w:val="00B67334"/>
    <w:rsid w:val="00B6735E"/>
    <w:rsid w:val="00B6737F"/>
    <w:rsid w:val="00B6746C"/>
    <w:rsid w:val="00B67512"/>
    <w:rsid w:val="00B67601"/>
    <w:rsid w:val="00B67657"/>
    <w:rsid w:val="00B676FF"/>
    <w:rsid w:val="00B67840"/>
    <w:rsid w:val="00B678DC"/>
    <w:rsid w:val="00B678EB"/>
    <w:rsid w:val="00B67903"/>
    <w:rsid w:val="00B6796F"/>
    <w:rsid w:val="00B67977"/>
    <w:rsid w:val="00B679DA"/>
    <w:rsid w:val="00B67AE3"/>
    <w:rsid w:val="00B67BEE"/>
    <w:rsid w:val="00B67CB3"/>
    <w:rsid w:val="00B67CD6"/>
    <w:rsid w:val="00B67DAF"/>
    <w:rsid w:val="00B67DED"/>
    <w:rsid w:val="00B67E84"/>
    <w:rsid w:val="00B67E9F"/>
    <w:rsid w:val="00B67EA3"/>
    <w:rsid w:val="00B67FA7"/>
    <w:rsid w:val="00B7018C"/>
    <w:rsid w:val="00B702C6"/>
    <w:rsid w:val="00B702D5"/>
    <w:rsid w:val="00B7030D"/>
    <w:rsid w:val="00B7038F"/>
    <w:rsid w:val="00B704A0"/>
    <w:rsid w:val="00B704A3"/>
    <w:rsid w:val="00B7054A"/>
    <w:rsid w:val="00B70572"/>
    <w:rsid w:val="00B705C2"/>
    <w:rsid w:val="00B70671"/>
    <w:rsid w:val="00B706B0"/>
    <w:rsid w:val="00B708F4"/>
    <w:rsid w:val="00B70981"/>
    <w:rsid w:val="00B70A67"/>
    <w:rsid w:val="00B70B18"/>
    <w:rsid w:val="00B70C17"/>
    <w:rsid w:val="00B70DE4"/>
    <w:rsid w:val="00B70E5E"/>
    <w:rsid w:val="00B70E65"/>
    <w:rsid w:val="00B70FDC"/>
    <w:rsid w:val="00B7102E"/>
    <w:rsid w:val="00B7107C"/>
    <w:rsid w:val="00B7112E"/>
    <w:rsid w:val="00B7120D"/>
    <w:rsid w:val="00B71382"/>
    <w:rsid w:val="00B713DD"/>
    <w:rsid w:val="00B714C5"/>
    <w:rsid w:val="00B714E4"/>
    <w:rsid w:val="00B7155A"/>
    <w:rsid w:val="00B716E7"/>
    <w:rsid w:val="00B71729"/>
    <w:rsid w:val="00B71745"/>
    <w:rsid w:val="00B7176A"/>
    <w:rsid w:val="00B71882"/>
    <w:rsid w:val="00B71891"/>
    <w:rsid w:val="00B71896"/>
    <w:rsid w:val="00B718CA"/>
    <w:rsid w:val="00B718EE"/>
    <w:rsid w:val="00B7198E"/>
    <w:rsid w:val="00B71A4D"/>
    <w:rsid w:val="00B71B87"/>
    <w:rsid w:val="00B71C59"/>
    <w:rsid w:val="00B71D23"/>
    <w:rsid w:val="00B71DEE"/>
    <w:rsid w:val="00B71E61"/>
    <w:rsid w:val="00B72069"/>
    <w:rsid w:val="00B720C1"/>
    <w:rsid w:val="00B720E3"/>
    <w:rsid w:val="00B720F4"/>
    <w:rsid w:val="00B72140"/>
    <w:rsid w:val="00B72183"/>
    <w:rsid w:val="00B721FB"/>
    <w:rsid w:val="00B72212"/>
    <w:rsid w:val="00B72285"/>
    <w:rsid w:val="00B722A5"/>
    <w:rsid w:val="00B722AD"/>
    <w:rsid w:val="00B723B2"/>
    <w:rsid w:val="00B723E7"/>
    <w:rsid w:val="00B72431"/>
    <w:rsid w:val="00B72438"/>
    <w:rsid w:val="00B72557"/>
    <w:rsid w:val="00B72582"/>
    <w:rsid w:val="00B725D3"/>
    <w:rsid w:val="00B72626"/>
    <w:rsid w:val="00B72683"/>
    <w:rsid w:val="00B7272E"/>
    <w:rsid w:val="00B729AA"/>
    <w:rsid w:val="00B72BDD"/>
    <w:rsid w:val="00B72C2D"/>
    <w:rsid w:val="00B72CE1"/>
    <w:rsid w:val="00B72D7D"/>
    <w:rsid w:val="00B72EFB"/>
    <w:rsid w:val="00B72F27"/>
    <w:rsid w:val="00B73099"/>
    <w:rsid w:val="00B730AD"/>
    <w:rsid w:val="00B732A0"/>
    <w:rsid w:val="00B73332"/>
    <w:rsid w:val="00B733CA"/>
    <w:rsid w:val="00B734E0"/>
    <w:rsid w:val="00B735DE"/>
    <w:rsid w:val="00B736BD"/>
    <w:rsid w:val="00B7380A"/>
    <w:rsid w:val="00B73823"/>
    <w:rsid w:val="00B73826"/>
    <w:rsid w:val="00B73C3B"/>
    <w:rsid w:val="00B73C82"/>
    <w:rsid w:val="00B73D7A"/>
    <w:rsid w:val="00B73E54"/>
    <w:rsid w:val="00B73E91"/>
    <w:rsid w:val="00B73EEC"/>
    <w:rsid w:val="00B73F19"/>
    <w:rsid w:val="00B73FF1"/>
    <w:rsid w:val="00B74098"/>
    <w:rsid w:val="00B742FA"/>
    <w:rsid w:val="00B74382"/>
    <w:rsid w:val="00B74395"/>
    <w:rsid w:val="00B743C4"/>
    <w:rsid w:val="00B74440"/>
    <w:rsid w:val="00B74491"/>
    <w:rsid w:val="00B744DA"/>
    <w:rsid w:val="00B74686"/>
    <w:rsid w:val="00B74700"/>
    <w:rsid w:val="00B74790"/>
    <w:rsid w:val="00B749DE"/>
    <w:rsid w:val="00B74A5A"/>
    <w:rsid w:val="00B74ACA"/>
    <w:rsid w:val="00B74AF5"/>
    <w:rsid w:val="00B74B34"/>
    <w:rsid w:val="00B74B57"/>
    <w:rsid w:val="00B74B6C"/>
    <w:rsid w:val="00B74BD5"/>
    <w:rsid w:val="00B74C57"/>
    <w:rsid w:val="00B74CE3"/>
    <w:rsid w:val="00B74D6C"/>
    <w:rsid w:val="00B74E13"/>
    <w:rsid w:val="00B74FD6"/>
    <w:rsid w:val="00B74FF8"/>
    <w:rsid w:val="00B750DE"/>
    <w:rsid w:val="00B7524C"/>
    <w:rsid w:val="00B75414"/>
    <w:rsid w:val="00B75504"/>
    <w:rsid w:val="00B7550C"/>
    <w:rsid w:val="00B7550D"/>
    <w:rsid w:val="00B7551A"/>
    <w:rsid w:val="00B755C2"/>
    <w:rsid w:val="00B75613"/>
    <w:rsid w:val="00B756BC"/>
    <w:rsid w:val="00B75771"/>
    <w:rsid w:val="00B7587C"/>
    <w:rsid w:val="00B7593B"/>
    <w:rsid w:val="00B75A7A"/>
    <w:rsid w:val="00B75B63"/>
    <w:rsid w:val="00B75B9D"/>
    <w:rsid w:val="00B75C42"/>
    <w:rsid w:val="00B75C51"/>
    <w:rsid w:val="00B75D4A"/>
    <w:rsid w:val="00B75F66"/>
    <w:rsid w:val="00B75FAD"/>
    <w:rsid w:val="00B75FE7"/>
    <w:rsid w:val="00B76033"/>
    <w:rsid w:val="00B760B4"/>
    <w:rsid w:val="00B76153"/>
    <w:rsid w:val="00B76186"/>
    <w:rsid w:val="00B7629F"/>
    <w:rsid w:val="00B7639D"/>
    <w:rsid w:val="00B763FD"/>
    <w:rsid w:val="00B7642A"/>
    <w:rsid w:val="00B76545"/>
    <w:rsid w:val="00B765E1"/>
    <w:rsid w:val="00B7663E"/>
    <w:rsid w:val="00B7677B"/>
    <w:rsid w:val="00B767B9"/>
    <w:rsid w:val="00B767E4"/>
    <w:rsid w:val="00B7689D"/>
    <w:rsid w:val="00B76B4F"/>
    <w:rsid w:val="00B76BA3"/>
    <w:rsid w:val="00B76CC0"/>
    <w:rsid w:val="00B76CF9"/>
    <w:rsid w:val="00B76D75"/>
    <w:rsid w:val="00B76F0F"/>
    <w:rsid w:val="00B76FF5"/>
    <w:rsid w:val="00B77054"/>
    <w:rsid w:val="00B77173"/>
    <w:rsid w:val="00B772C9"/>
    <w:rsid w:val="00B773CF"/>
    <w:rsid w:val="00B77474"/>
    <w:rsid w:val="00B775F4"/>
    <w:rsid w:val="00B77648"/>
    <w:rsid w:val="00B7773D"/>
    <w:rsid w:val="00B77861"/>
    <w:rsid w:val="00B7793B"/>
    <w:rsid w:val="00B77984"/>
    <w:rsid w:val="00B77A73"/>
    <w:rsid w:val="00B77B2E"/>
    <w:rsid w:val="00B77B80"/>
    <w:rsid w:val="00B77C1F"/>
    <w:rsid w:val="00B77CAC"/>
    <w:rsid w:val="00B77DCF"/>
    <w:rsid w:val="00B77E81"/>
    <w:rsid w:val="00B80299"/>
    <w:rsid w:val="00B80311"/>
    <w:rsid w:val="00B80508"/>
    <w:rsid w:val="00B80851"/>
    <w:rsid w:val="00B8099D"/>
    <w:rsid w:val="00B80B5E"/>
    <w:rsid w:val="00B80C48"/>
    <w:rsid w:val="00B80D68"/>
    <w:rsid w:val="00B80EC6"/>
    <w:rsid w:val="00B80F41"/>
    <w:rsid w:val="00B80FAD"/>
    <w:rsid w:val="00B80FDD"/>
    <w:rsid w:val="00B8100D"/>
    <w:rsid w:val="00B81018"/>
    <w:rsid w:val="00B810EE"/>
    <w:rsid w:val="00B811D3"/>
    <w:rsid w:val="00B811D5"/>
    <w:rsid w:val="00B81334"/>
    <w:rsid w:val="00B81423"/>
    <w:rsid w:val="00B8168C"/>
    <w:rsid w:val="00B816B6"/>
    <w:rsid w:val="00B81704"/>
    <w:rsid w:val="00B81723"/>
    <w:rsid w:val="00B81765"/>
    <w:rsid w:val="00B81773"/>
    <w:rsid w:val="00B817DE"/>
    <w:rsid w:val="00B817E3"/>
    <w:rsid w:val="00B819BD"/>
    <w:rsid w:val="00B81B7E"/>
    <w:rsid w:val="00B81C4F"/>
    <w:rsid w:val="00B81C8D"/>
    <w:rsid w:val="00B81D9F"/>
    <w:rsid w:val="00B81EF8"/>
    <w:rsid w:val="00B81F30"/>
    <w:rsid w:val="00B81F70"/>
    <w:rsid w:val="00B820E4"/>
    <w:rsid w:val="00B821F5"/>
    <w:rsid w:val="00B8221F"/>
    <w:rsid w:val="00B82221"/>
    <w:rsid w:val="00B82255"/>
    <w:rsid w:val="00B8237D"/>
    <w:rsid w:val="00B82452"/>
    <w:rsid w:val="00B82538"/>
    <w:rsid w:val="00B82574"/>
    <w:rsid w:val="00B82581"/>
    <w:rsid w:val="00B8277E"/>
    <w:rsid w:val="00B82AB7"/>
    <w:rsid w:val="00B82AF8"/>
    <w:rsid w:val="00B82B3A"/>
    <w:rsid w:val="00B82B3E"/>
    <w:rsid w:val="00B82BF4"/>
    <w:rsid w:val="00B82C7F"/>
    <w:rsid w:val="00B82D4D"/>
    <w:rsid w:val="00B82D93"/>
    <w:rsid w:val="00B82DE0"/>
    <w:rsid w:val="00B82E1B"/>
    <w:rsid w:val="00B82EEE"/>
    <w:rsid w:val="00B82F3F"/>
    <w:rsid w:val="00B8305C"/>
    <w:rsid w:val="00B830B3"/>
    <w:rsid w:val="00B83166"/>
    <w:rsid w:val="00B8320B"/>
    <w:rsid w:val="00B83326"/>
    <w:rsid w:val="00B8334C"/>
    <w:rsid w:val="00B8335E"/>
    <w:rsid w:val="00B833D6"/>
    <w:rsid w:val="00B83502"/>
    <w:rsid w:val="00B8359B"/>
    <w:rsid w:val="00B836F2"/>
    <w:rsid w:val="00B83771"/>
    <w:rsid w:val="00B83776"/>
    <w:rsid w:val="00B838CE"/>
    <w:rsid w:val="00B83A23"/>
    <w:rsid w:val="00B83A61"/>
    <w:rsid w:val="00B83A82"/>
    <w:rsid w:val="00B83A96"/>
    <w:rsid w:val="00B83AB0"/>
    <w:rsid w:val="00B83AE6"/>
    <w:rsid w:val="00B83AFD"/>
    <w:rsid w:val="00B83BDC"/>
    <w:rsid w:val="00B83C5B"/>
    <w:rsid w:val="00B83CF2"/>
    <w:rsid w:val="00B83E4E"/>
    <w:rsid w:val="00B83F76"/>
    <w:rsid w:val="00B83FCF"/>
    <w:rsid w:val="00B840A2"/>
    <w:rsid w:val="00B842AB"/>
    <w:rsid w:val="00B8433C"/>
    <w:rsid w:val="00B84394"/>
    <w:rsid w:val="00B843E2"/>
    <w:rsid w:val="00B848CD"/>
    <w:rsid w:val="00B8494A"/>
    <w:rsid w:val="00B84BE2"/>
    <w:rsid w:val="00B84C6E"/>
    <w:rsid w:val="00B84CE0"/>
    <w:rsid w:val="00B84DE0"/>
    <w:rsid w:val="00B84DE5"/>
    <w:rsid w:val="00B84FE5"/>
    <w:rsid w:val="00B85049"/>
    <w:rsid w:val="00B85163"/>
    <w:rsid w:val="00B851C4"/>
    <w:rsid w:val="00B85206"/>
    <w:rsid w:val="00B85255"/>
    <w:rsid w:val="00B852AF"/>
    <w:rsid w:val="00B85354"/>
    <w:rsid w:val="00B8542C"/>
    <w:rsid w:val="00B85671"/>
    <w:rsid w:val="00B85688"/>
    <w:rsid w:val="00B8572C"/>
    <w:rsid w:val="00B857B7"/>
    <w:rsid w:val="00B8586B"/>
    <w:rsid w:val="00B8597D"/>
    <w:rsid w:val="00B859BB"/>
    <w:rsid w:val="00B859E6"/>
    <w:rsid w:val="00B85A8C"/>
    <w:rsid w:val="00B85AAB"/>
    <w:rsid w:val="00B85AE3"/>
    <w:rsid w:val="00B85B4A"/>
    <w:rsid w:val="00B85B7C"/>
    <w:rsid w:val="00B85BCB"/>
    <w:rsid w:val="00B85BCD"/>
    <w:rsid w:val="00B85C5A"/>
    <w:rsid w:val="00B85EA1"/>
    <w:rsid w:val="00B86209"/>
    <w:rsid w:val="00B8624A"/>
    <w:rsid w:val="00B8643E"/>
    <w:rsid w:val="00B86526"/>
    <w:rsid w:val="00B8661E"/>
    <w:rsid w:val="00B8673B"/>
    <w:rsid w:val="00B8674A"/>
    <w:rsid w:val="00B8675A"/>
    <w:rsid w:val="00B86811"/>
    <w:rsid w:val="00B8683D"/>
    <w:rsid w:val="00B86841"/>
    <w:rsid w:val="00B868AF"/>
    <w:rsid w:val="00B868E6"/>
    <w:rsid w:val="00B86989"/>
    <w:rsid w:val="00B86A91"/>
    <w:rsid w:val="00B86AB4"/>
    <w:rsid w:val="00B86C23"/>
    <w:rsid w:val="00B86C95"/>
    <w:rsid w:val="00B86D01"/>
    <w:rsid w:val="00B86D4D"/>
    <w:rsid w:val="00B86D6B"/>
    <w:rsid w:val="00B86DBE"/>
    <w:rsid w:val="00B87015"/>
    <w:rsid w:val="00B87074"/>
    <w:rsid w:val="00B870EF"/>
    <w:rsid w:val="00B87131"/>
    <w:rsid w:val="00B8718F"/>
    <w:rsid w:val="00B8730E"/>
    <w:rsid w:val="00B875F7"/>
    <w:rsid w:val="00B876AB"/>
    <w:rsid w:val="00B8789D"/>
    <w:rsid w:val="00B878A7"/>
    <w:rsid w:val="00B878DE"/>
    <w:rsid w:val="00B8790B"/>
    <w:rsid w:val="00B8796E"/>
    <w:rsid w:val="00B879D2"/>
    <w:rsid w:val="00B87A09"/>
    <w:rsid w:val="00B87ACD"/>
    <w:rsid w:val="00B87AEF"/>
    <w:rsid w:val="00B87B5E"/>
    <w:rsid w:val="00B87DC9"/>
    <w:rsid w:val="00B87DFE"/>
    <w:rsid w:val="00B87ECF"/>
    <w:rsid w:val="00B87F09"/>
    <w:rsid w:val="00B87F4A"/>
    <w:rsid w:val="00B9007F"/>
    <w:rsid w:val="00B90091"/>
    <w:rsid w:val="00B90133"/>
    <w:rsid w:val="00B9013D"/>
    <w:rsid w:val="00B90159"/>
    <w:rsid w:val="00B903C0"/>
    <w:rsid w:val="00B903CC"/>
    <w:rsid w:val="00B903EC"/>
    <w:rsid w:val="00B90443"/>
    <w:rsid w:val="00B9061F"/>
    <w:rsid w:val="00B90676"/>
    <w:rsid w:val="00B9081A"/>
    <w:rsid w:val="00B90855"/>
    <w:rsid w:val="00B908F3"/>
    <w:rsid w:val="00B90964"/>
    <w:rsid w:val="00B909E3"/>
    <w:rsid w:val="00B90A77"/>
    <w:rsid w:val="00B90C68"/>
    <w:rsid w:val="00B90E0B"/>
    <w:rsid w:val="00B90E5A"/>
    <w:rsid w:val="00B90F36"/>
    <w:rsid w:val="00B910E6"/>
    <w:rsid w:val="00B91235"/>
    <w:rsid w:val="00B91323"/>
    <w:rsid w:val="00B914F1"/>
    <w:rsid w:val="00B9152A"/>
    <w:rsid w:val="00B91532"/>
    <w:rsid w:val="00B9155E"/>
    <w:rsid w:val="00B915F1"/>
    <w:rsid w:val="00B916A9"/>
    <w:rsid w:val="00B91771"/>
    <w:rsid w:val="00B917AB"/>
    <w:rsid w:val="00B91854"/>
    <w:rsid w:val="00B91B47"/>
    <w:rsid w:val="00B91C08"/>
    <w:rsid w:val="00B91CD4"/>
    <w:rsid w:val="00B91DAB"/>
    <w:rsid w:val="00B91DCA"/>
    <w:rsid w:val="00B91E4A"/>
    <w:rsid w:val="00B91E66"/>
    <w:rsid w:val="00B91E97"/>
    <w:rsid w:val="00B91EAE"/>
    <w:rsid w:val="00B91FDD"/>
    <w:rsid w:val="00B91FFE"/>
    <w:rsid w:val="00B92050"/>
    <w:rsid w:val="00B920FC"/>
    <w:rsid w:val="00B92131"/>
    <w:rsid w:val="00B92139"/>
    <w:rsid w:val="00B9215D"/>
    <w:rsid w:val="00B921DA"/>
    <w:rsid w:val="00B9223B"/>
    <w:rsid w:val="00B9226F"/>
    <w:rsid w:val="00B9227E"/>
    <w:rsid w:val="00B92294"/>
    <w:rsid w:val="00B922CA"/>
    <w:rsid w:val="00B92353"/>
    <w:rsid w:val="00B92452"/>
    <w:rsid w:val="00B924E6"/>
    <w:rsid w:val="00B9250A"/>
    <w:rsid w:val="00B925FB"/>
    <w:rsid w:val="00B92623"/>
    <w:rsid w:val="00B92646"/>
    <w:rsid w:val="00B9291D"/>
    <w:rsid w:val="00B92935"/>
    <w:rsid w:val="00B92AC5"/>
    <w:rsid w:val="00B92B08"/>
    <w:rsid w:val="00B92C68"/>
    <w:rsid w:val="00B92D7C"/>
    <w:rsid w:val="00B92DD6"/>
    <w:rsid w:val="00B92EE5"/>
    <w:rsid w:val="00B92F06"/>
    <w:rsid w:val="00B92F89"/>
    <w:rsid w:val="00B92F97"/>
    <w:rsid w:val="00B93008"/>
    <w:rsid w:val="00B93024"/>
    <w:rsid w:val="00B93080"/>
    <w:rsid w:val="00B930E4"/>
    <w:rsid w:val="00B93112"/>
    <w:rsid w:val="00B93286"/>
    <w:rsid w:val="00B9333B"/>
    <w:rsid w:val="00B9334F"/>
    <w:rsid w:val="00B93397"/>
    <w:rsid w:val="00B933C5"/>
    <w:rsid w:val="00B935D5"/>
    <w:rsid w:val="00B935E1"/>
    <w:rsid w:val="00B93637"/>
    <w:rsid w:val="00B9366D"/>
    <w:rsid w:val="00B93684"/>
    <w:rsid w:val="00B93733"/>
    <w:rsid w:val="00B93768"/>
    <w:rsid w:val="00B93783"/>
    <w:rsid w:val="00B937DF"/>
    <w:rsid w:val="00B937E8"/>
    <w:rsid w:val="00B93814"/>
    <w:rsid w:val="00B93985"/>
    <w:rsid w:val="00B93ACE"/>
    <w:rsid w:val="00B93AF3"/>
    <w:rsid w:val="00B93AFB"/>
    <w:rsid w:val="00B93CA4"/>
    <w:rsid w:val="00B93D77"/>
    <w:rsid w:val="00B93D88"/>
    <w:rsid w:val="00B93EC6"/>
    <w:rsid w:val="00B93EE3"/>
    <w:rsid w:val="00B93F39"/>
    <w:rsid w:val="00B940CA"/>
    <w:rsid w:val="00B941D2"/>
    <w:rsid w:val="00B941E9"/>
    <w:rsid w:val="00B943CF"/>
    <w:rsid w:val="00B94494"/>
    <w:rsid w:val="00B944C6"/>
    <w:rsid w:val="00B9451C"/>
    <w:rsid w:val="00B94567"/>
    <w:rsid w:val="00B946E4"/>
    <w:rsid w:val="00B946F8"/>
    <w:rsid w:val="00B94718"/>
    <w:rsid w:val="00B947BD"/>
    <w:rsid w:val="00B949BB"/>
    <w:rsid w:val="00B949D6"/>
    <w:rsid w:val="00B94A43"/>
    <w:rsid w:val="00B94B56"/>
    <w:rsid w:val="00B94CFF"/>
    <w:rsid w:val="00B94E0A"/>
    <w:rsid w:val="00B9506F"/>
    <w:rsid w:val="00B9507D"/>
    <w:rsid w:val="00B950A7"/>
    <w:rsid w:val="00B95110"/>
    <w:rsid w:val="00B95181"/>
    <w:rsid w:val="00B95279"/>
    <w:rsid w:val="00B953AD"/>
    <w:rsid w:val="00B9543A"/>
    <w:rsid w:val="00B9549D"/>
    <w:rsid w:val="00B954A9"/>
    <w:rsid w:val="00B95535"/>
    <w:rsid w:val="00B9556F"/>
    <w:rsid w:val="00B9567E"/>
    <w:rsid w:val="00B95696"/>
    <w:rsid w:val="00B9573D"/>
    <w:rsid w:val="00B95769"/>
    <w:rsid w:val="00B95A0E"/>
    <w:rsid w:val="00B95B28"/>
    <w:rsid w:val="00B95C88"/>
    <w:rsid w:val="00B95CBA"/>
    <w:rsid w:val="00B95D72"/>
    <w:rsid w:val="00B95DD2"/>
    <w:rsid w:val="00B95E42"/>
    <w:rsid w:val="00B95E52"/>
    <w:rsid w:val="00B95E6B"/>
    <w:rsid w:val="00B95EB6"/>
    <w:rsid w:val="00B95F25"/>
    <w:rsid w:val="00B96152"/>
    <w:rsid w:val="00B962D2"/>
    <w:rsid w:val="00B9639A"/>
    <w:rsid w:val="00B96581"/>
    <w:rsid w:val="00B9658E"/>
    <w:rsid w:val="00B965C0"/>
    <w:rsid w:val="00B965F1"/>
    <w:rsid w:val="00B966C7"/>
    <w:rsid w:val="00B967D6"/>
    <w:rsid w:val="00B969D4"/>
    <w:rsid w:val="00B969EE"/>
    <w:rsid w:val="00B96A70"/>
    <w:rsid w:val="00B96B5E"/>
    <w:rsid w:val="00B96C7B"/>
    <w:rsid w:val="00B96D53"/>
    <w:rsid w:val="00B96D89"/>
    <w:rsid w:val="00B96DC1"/>
    <w:rsid w:val="00B96E64"/>
    <w:rsid w:val="00B97032"/>
    <w:rsid w:val="00B97068"/>
    <w:rsid w:val="00B971A8"/>
    <w:rsid w:val="00B971F4"/>
    <w:rsid w:val="00B97522"/>
    <w:rsid w:val="00B97592"/>
    <w:rsid w:val="00B97644"/>
    <w:rsid w:val="00B976B6"/>
    <w:rsid w:val="00B976F3"/>
    <w:rsid w:val="00B97829"/>
    <w:rsid w:val="00B9783B"/>
    <w:rsid w:val="00B97908"/>
    <w:rsid w:val="00B97988"/>
    <w:rsid w:val="00B97A4A"/>
    <w:rsid w:val="00B97A7E"/>
    <w:rsid w:val="00B97A9D"/>
    <w:rsid w:val="00B97B7B"/>
    <w:rsid w:val="00B97CA9"/>
    <w:rsid w:val="00B97CF4"/>
    <w:rsid w:val="00B97D0A"/>
    <w:rsid w:val="00B97D4F"/>
    <w:rsid w:val="00B97DF9"/>
    <w:rsid w:val="00B97F8F"/>
    <w:rsid w:val="00BA0011"/>
    <w:rsid w:val="00BA0035"/>
    <w:rsid w:val="00BA00E8"/>
    <w:rsid w:val="00BA0172"/>
    <w:rsid w:val="00BA01A3"/>
    <w:rsid w:val="00BA01DA"/>
    <w:rsid w:val="00BA01F9"/>
    <w:rsid w:val="00BA030D"/>
    <w:rsid w:val="00BA0370"/>
    <w:rsid w:val="00BA0375"/>
    <w:rsid w:val="00BA045B"/>
    <w:rsid w:val="00BA04B9"/>
    <w:rsid w:val="00BA04BC"/>
    <w:rsid w:val="00BA04E8"/>
    <w:rsid w:val="00BA05D7"/>
    <w:rsid w:val="00BA0645"/>
    <w:rsid w:val="00BA06A0"/>
    <w:rsid w:val="00BA06D9"/>
    <w:rsid w:val="00BA0776"/>
    <w:rsid w:val="00BA07D9"/>
    <w:rsid w:val="00BA0872"/>
    <w:rsid w:val="00BA093D"/>
    <w:rsid w:val="00BA09C7"/>
    <w:rsid w:val="00BA0A45"/>
    <w:rsid w:val="00BA0ADF"/>
    <w:rsid w:val="00BA0B06"/>
    <w:rsid w:val="00BA0BAA"/>
    <w:rsid w:val="00BA0BE5"/>
    <w:rsid w:val="00BA0C0E"/>
    <w:rsid w:val="00BA0C26"/>
    <w:rsid w:val="00BA0D1E"/>
    <w:rsid w:val="00BA0EB2"/>
    <w:rsid w:val="00BA0F23"/>
    <w:rsid w:val="00BA0F47"/>
    <w:rsid w:val="00BA0F6A"/>
    <w:rsid w:val="00BA1049"/>
    <w:rsid w:val="00BA1059"/>
    <w:rsid w:val="00BA10D9"/>
    <w:rsid w:val="00BA11CF"/>
    <w:rsid w:val="00BA1263"/>
    <w:rsid w:val="00BA136C"/>
    <w:rsid w:val="00BA1556"/>
    <w:rsid w:val="00BA1591"/>
    <w:rsid w:val="00BA15DD"/>
    <w:rsid w:val="00BA15E3"/>
    <w:rsid w:val="00BA161B"/>
    <w:rsid w:val="00BA1791"/>
    <w:rsid w:val="00BA1882"/>
    <w:rsid w:val="00BA1883"/>
    <w:rsid w:val="00BA18F2"/>
    <w:rsid w:val="00BA1963"/>
    <w:rsid w:val="00BA19D0"/>
    <w:rsid w:val="00BA1D04"/>
    <w:rsid w:val="00BA1D25"/>
    <w:rsid w:val="00BA1D91"/>
    <w:rsid w:val="00BA1E2B"/>
    <w:rsid w:val="00BA1EFD"/>
    <w:rsid w:val="00BA1F30"/>
    <w:rsid w:val="00BA1FD6"/>
    <w:rsid w:val="00BA2070"/>
    <w:rsid w:val="00BA21BA"/>
    <w:rsid w:val="00BA2204"/>
    <w:rsid w:val="00BA22CC"/>
    <w:rsid w:val="00BA2481"/>
    <w:rsid w:val="00BA2484"/>
    <w:rsid w:val="00BA25FA"/>
    <w:rsid w:val="00BA26D2"/>
    <w:rsid w:val="00BA26D3"/>
    <w:rsid w:val="00BA279E"/>
    <w:rsid w:val="00BA287F"/>
    <w:rsid w:val="00BA2966"/>
    <w:rsid w:val="00BA29B5"/>
    <w:rsid w:val="00BA29DD"/>
    <w:rsid w:val="00BA2A84"/>
    <w:rsid w:val="00BA2B76"/>
    <w:rsid w:val="00BA2B8B"/>
    <w:rsid w:val="00BA2C70"/>
    <w:rsid w:val="00BA2C99"/>
    <w:rsid w:val="00BA2D9B"/>
    <w:rsid w:val="00BA2DB7"/>
    <w:rsid w:val="00BA2E17"/>
    <w:rsid w:val="00BA2F4D"/>
    <w:rsid w:val="00BA30D8"/>
    <w:rsid w:val="00BA3148"/>
    <w:rsid w:val="00BA31F0"/>
    <w:rsid w:val="00BA32C8"/>
    <w:rsid w:val="00BA33B6"/>
    <w:rsid w:val="00BA3737"/>
    <w:rsid w:val="00BA37A5"/>
    <w:rsid w:val="00BA3898"/>
    <w:rsid w:val="00BA39AE"/>
    <w:rsid w:val="00BA39D9"/>
    <w:rsid w:val="00BA3AFA"/>
    <w:rsid w:val="00BA3B6D"/>
    <w:rsid w:val="00BA3B72"/>
    <w:rsid w:val="00BA3C27"/>
    <w:rsid w:val="00BA3C6D"/>
    <w:rsid w:val="00BA3CA1"/>
    <w:rsid w:val="00BA3D02"/>
    <w:rsid w:val="00BA3D41"/>
    <w:rsid w:val="00BA3D8C"/>
    <w:rsid w:val="00BA3E95"/>
    <w:rsid w:val="00BA3E9C"/>
    <w:rsid w:val="00BA3F7E"/>
    <w:rsid w:val="00BA3FBD"/>
    <w:rsid w:val="00BA3FD1"/>
    <w:rsid w:val="00BA4081"/>
    <w:rsid w:val="00BA4097"/>
    <w:rsid w:val="00BA4136"/>
    <w:rsid w:val="00BA4404"/>
    <w:rsid w:val="00BA45D1"/>
    <w:rsid w:val="00BA4862"/>
    <w:rsid w:val="00BA4962"/>
    <w:rsid w:val="00BA4B64"/>
    <w:rsid w:val="00BA4BA1"/>
    <w:rsid w:val="00BA4D12"/>
    <w:rsid w:val="00BA4D8E"/>
    <w:rsid w:val="00BA4DB2"/>
    <w:rsid w:val="00BA4E54"/>
    <w:rsid w:val="00BA4F0B"/>
    <w:rsid w:val="00BA500A"/>
    <w:rsid w:val="00BA5011"/>
    <w:rsid w:val="00BA50BC"/>
    <w:rsid w:val="00BA5267"/>
    <w:rsid w:val="00BA52D0"/>
    <w:rsid w:val="00BA54E1"/>
    <w:rsid w:val="00BA54F5"/>
    <w:rsid w:val="00BA550D"/>
    <w:rsid w:val="00BA560F"/>
    <w:rsid w:val="00BA5977"/>
    <w:rsid w:val="00BA59BC"/>
    <w:rsid w:val="00BA5ACA"/>
    <w:rsid w:val="00BA5BD3"/>
    <w:rsid w:val="00BA5C95"/>
    <w:rsid w:val="00BA5CFA"/>
    <w:rsid w:val="00BA5EF7"/>
    <w:rsid w:val="00BA5EFC"/>
    <w:rsid w:val="00BA5FAA"/>
    <w:rsid w:val="00BA62DD"/>
    <w:rsid w:val="00BA630C"/>
    <w:rsid w:val="00BA63AD"/>
    <w:rsid w:val="00BA66B2"/>
    <w:rsid w:val="00BA699D"/>
    <w:rsid w:val="00BA69AF"/>
    <w:rsid w:val="00BA6A7A"/>
    <w:rsid w:val="00BA6A99"/>
    <w:rsid w:val="00BA6B21"/>
    <w:rsid w:val="00BA6B44"/>
    <w:rsid w:val="00BA6BF6"/>
    <w:rsid w:val="00BA6CDA"/>
    <w:rsid w:val="00BA6D13"/>
    <w:rsid w:val="00BA6D41"/>
    <w:rsid w:val="00BA6D6E"/>
    <w:rsid w:val="00BA6E52"/>
    <w:rsid w:val="00BA6EC0"/>
    <w:rsid w:val="00BA6F46"/>
    <w:rsid w:val="00BA6FCD"/>
    <w:rsid w:val="00BA702A"/>
    <w:rsid w:val="00BA70FE"/>
    <w:rsid w:val="00BA71AB"/>
    <w:rsid w:val="00BA727E"/>
    <w:rsid w:val="00BA7365"/>
    <w:rsid w:val="00BA73EE"/>
    <w:rsid w:val="00BA740B"/>
    <w:rsid w:val="00BA74D8"/>
    <w:rsid w:val="00BA756C"/>
    <w:rsid w:val="00BA77D2"/>
    <w:rsid w:val="00BA79B5"/>
    <w:rsid w:val="00BA7AAD"/>
    <w:rsid w:val="00BA7B09"/>
    <w:rsid w:val="00BA7DE2"/>
    <w:rsid w:val="00BA7E09"/>
    <w:rsid w:val="00BA7E17"/>
    <w:rsid w:val="00BA7F14"/>
    <w:rsid w:val="00BA7F51"/>
    <w:rsid w:val="00BB0056"/>
    <w:rsid w:val="00BB0236"/>
    <w:rsid w:val="00BB029B"/>
    <w:rsid w:val="00BB031B"/>
    <w:rsid w:val="00BB042D"/>
    <w:rsid w:val="00BB042F"/>
    <w:rsid w:val="00BB0435"/>
    <w:rsid w:val="00BB0471"/>
    <w:rsid w:val="00BB0479"/>
    <w:rsid w:val="00BB050B"/>
    <w:rsid w:val="00BB0624"/>
    <w:rsid w:val="00BB066D"/>
    <w:rsid w:val="00BB0741"/>
    <w:rsid w:val="00BB075E"/>
    <w:rsid w:val="00BB07F3"/>
    <w:rsid w:val="00BB0809"/>
    <w:rsid w:val="00BB0829"/>
    <w:rsid w:val="00BB0834"/>
    <w:rsid w:val="00BB08A7"/>
    <w:rsid w:val="00BB0908"/>
    <w:rsid w:val="00BB09E3"/>
    <w:rsid w:val="00BB09F7"/>
    <w:rsid w:val="00BB0A7F"/>
    <w:rsid w:val="00BB0B33"/>
    <w:rsid w:val="00BB0BB0"/>
    <w:rsid w:val="00BB0C4F"/>
    <w:rsid w:val="00BB0EBB"/>
    <w:rsid w:val="00BB0EC8"/>
    <w:rsid w:val="00BB0F4A"/>
    <w:rsid w:val="00BB0F95"/>
    <w:rsid w:val="00BB1052"/>
    <w:rsid w:val="00BB1067"/>
    <w:rsid w:val="00BB1088"/>
    <w:rsid w:val="00BB10B4"/>
    <w:rsid w:val="00BB10FE"/>
    <w:rsid w:val="00BB112F"/>
    <w:rsid w:val="00BB1297"/>
    <w:rsid w:val="00BB1344"/>
    <w:rsid w:val="00BB13D1"/>
    <w:rsid w:val="00BB143B"/>
    <w:rsid w:val="00BB14D3"/>
    <w:rsid w:val="00BB151E"/>
    <w:rsid w:val="00BB1712"/>
    <w:rsid w:val="00BB171C"/>
    <w:rsid w:val="00BB1771"/>
    <w:rsid w:val="00BB18FC"/>
    <w:rsid w:val="00BB1AB9"/>
    <w:rsid w:val="00BB1B05"/>
    <w:rsid w:val="00BB1C56"/>
    <w:rsid w:val="00BB1CB1"/>
    <w:rsid w:val="00BB1CCF"/>
    <w:rsid w:val="00BB1D9E"/>
    <w:rsid w:val="00BB1E21"/>
    <w:rsid w:val="00BB1E2B"/>
    <w:rsid w:val="00BB1E53"/>
    <w:rsid w:val="00BB1EFE"/>
    <w:rsid w:val="00BB2002"/>
    <w:rsid w:val="00BB206B"/>
    <w:rsid w:val="00BB2084"/>
    <w:rsid w:val="00BB2267"/>
    <w:rsid w:val="00BB22D9"/>
    <w:rsid w:val="00BB22DD"/>
    <w:rsid w:val="00BB236B"/>
    <w:rsid w:val="00BB2390"/>
    <w:rsid w:val="00BB245E"/>
    <w:rsid w:val="00BB24CC"/>
    <w:rsid w:val="00BB2587"/>
    <w:rsid w:val="00BB2761"/>
    <w:rsid w:val="00BB27B4"/>
    <w:rsid w:val="00BB2801"/>
    <w:rsid w:val="00BB2855"/>
    <w:rsid w:val="00BB2900"/>
    <w:rsid w:val="00BB2A07"/>
    <w:rsid w:val="00BB2ABE"/>
    <w:rsid w:val="00BB2BFF"/>
    <w:rsid w:val="00BB2CF8"/>
    <w:rsid w:val="00BB2D77"/>
    <w:rsid w:val="00BB2DFE"/>
    <w:rsid w:val="00BB2E11"/>
    <w:rsid w:val="00BB2E61"/>
    <w:rsid w:val="00BB2EAD"/>
    <w:rsid w:val="00BB2EFB"/>
    <w:rsid w:val="00BB2F74"/>
    <w:rsid w:val="00BB3004"/>
    <w:rsid w:val="00BB3096"/>
    <w:rsid w:val="00BB3202"/>
    <w:rsid w:val="00BB3351"/>
    <w:rsid w:val="00BB33C6"/>
    <w:rsid w:val="00BB3430"/>
    <w:rsid w:val="00BB34D4"/>
    <w:rsid w:val="00BB350C"/>
    <w:rsid w:val="00BB352F"/>
    <w:rsid w:val="00BB3645"/>
    <w:rsid w:val="00BB3646"/>
    <w:rsid w:val="00BB3678"/>
    <w:rsid w:val="00BB3716"/>
    <w:rsid w:val="00BB391B"/>
    <w:rsid w:val="00BB39AD"/>
    <w:rsid w:val="00BB39B7"/>
    <w:rsid w:val="00BB3D4D"/>
    <w:rsid w:val="00BB3E87"/>
    <w:rsid w:val="00BB3ED0"/>
    <w:rsid w:val="00BB3F0A"/>
    <w:rsid w:val="00BB3F39"/>
    <w:rsid w:val="00BB3F4D"/>
    <w:rsid w:val="00BB3FB1"/>
    <w:rsid w:val="00BB400C"/>
    <w:rsid w:val="00BB411B"/>
    <w:rsid w:val="00BB4191"/>
    <w:rsid w:val="00BB4218"/>
    <w:rsid w:val="00BB4337"/>
    <w:rsid w:val="00BB43B4"/>
    <w:rsid w:val="00BB449A"/>
    <w:rsid w:val="00BB44B2"/>
    <w:rsid w:val="00BB44C2"/>
    <w:rsid w:val="00BB44D9"/>
    <w:rsid w:val="00BB44E4"/>
    <w:rsid w:val="00BB4691"/>
    <w:rsid w:val="00BB4750"/>
    <w:rsid w:val="00BB4772"/>
    <w:rsid w:val="00BB47E2"/>
    <w:rsid w:val="00BB4851"/>
    <w:rsid w:val="00BB4942"/>
    <w:rsid w:val="00BB49C5"/>
    <w:rsid w:val="00BB4A71"/>
    <w:rsid w:val="00BB4AD7"/>
    <w:rsid w:val="00BB4AEB"/>
    <w:rsid w:val="00BB4B03"/>
    <w:rsid w:val="00BB4B8A"/>
    <w:rsid w:val="00BB4BBA"/>
    <w:rsid w:val="00BB4BD2"/>
    <w:rsid w:val="00BB4BF9"/>
    <w:rsid w:val="00BB4C00"/>
    <w:rsid w:val="00BB4C3A"/>
    <w:rsid w:val="00BB5006"/>
    <w:rsid w:val="00BB5033"/>
    <w:rsid w:val="00BB505A"/>
    <w:rsid w:val="00BB510D"/>
    <w:rsid w:val="00BB5180"/>
    <w:rsid w:val="00BB522B"/>
    <w:rsid w:val="00BB52AF"/>
    <w:rsid w:val="00BB52F1"/>
    <w:rsid w:val="00BB53C9"/>
    <w:rsid w:val="00BB545A"/>
    <w:rsid w:val="00BB5A50"/>
    <w:rsid w:val="00BB5A6D"/>
    <w:rsid w:val="00BB5ABB"/>
    <w:rsid w:val="00BB5BF1"/>
    <w:rsid w:val="00BB5C42"/>
    <w:rsid w:val="00BB5C92"/>
    <w:rsid w:val="00BB5D1C"/>
    <w:rsid w:val="00BB5D59"/>
    <w:rsid w:val="00BB5DF4"/>
    <w:rsid w:val="00BB5E36"/>
    <w:rsid w:val="00BB5E3F"/>
    <w:rsid w:val="00BB5F79"/>
    <w:rsid w:val="00BB60AA"/>
    <w:rsid w:val="00BB62FB"/>
    <w:rsid w:val="00BB64BA"/>
    <w:rsid w:val="00BB64E9"/>
    <w:rsid w:val="00BB6548"/>
    <w:rsid w:val="00BB65BB"/>
    <w:rsid w:val="00BB65BC"/>
    <w:rsid w:val="00BB660E"/>
    <w:rsid w:val="00BB6646"/>
    <w:rsid w:val="00BB6686"/>
    <w:rsid w:val="00BB679B"/>
    <w:rsid w:val="00BB6884"/>
    <w:rsid w:val="00BB6925"/>
    <w:rsid w:val="00BB692D"/>
    <w:rsid w:val="00BB6AC2"/>
    <w:rsid w:val="00BB6B23"/>
    <w:rsid w:val="00BB6B2C"/>
    <w:rsid w:val="00BB6C1B"/>
    <w:rsid w:val="00BB6CD9"/>
    <w:rsid w:val="00BB6D16"/>
    <w:rsid w:val="00BB6DF3"/>
    <w:rsid w:val="00BB6E21"/>
    <w:rsid w:val="00BB6E55"/>
    <w:rsid w:val="00BB6EC5"/>
    <w:rsid w:val="00BB6F2E"/>
    <w:rsid w:val="00BB6F87"/>
    <w:rsid w:val="00BB70D4"/>
    <w:rsid w:val="00BB7118"/>
    <w:rsid w:val="00BB7152"/>
    <w:rsid w:val="00BB7157"/>
    <w:rsid w:val="00BB7302"/>
    <w:rsid w:val="00BB7382"/>
    <w:rsid w:val="00BB744B"/>
    <w:rsid w:val="00BB7465"/>
    <w:rsid w:val="00BB7470"/>
    <w:rsid w:val="00BB748D"/>
    <w:rsid w:val="00BB74AB"/>
    <w:rsid w:val="00BB74BD"/>
    <w:rsid w:val="00BB75FE"/>
    <w:rsid w:val="00BB7657"/>
    <w:rsid w:val="00BB7683"/>
    <w:rsid w:val="00BB7696"/>
    <w:rsid w:val="00BB76C7"/>
    <w:rsid w:val="00BB7828"/>
    <w:rsid w:val="00BB78C3"/>
    <w:rsid w:val="00BB78D7"/>
    <w:rsid w:val="00BB7A6D"/>
    <w:rsid w:val="00BB7AC9"/>
    <w:rsid w:val="00BB7ADE"/>
    <w:rsid w:val="00BB7B1D"/>
    <w:rsid w:val="00BB7B69"/>
    <w:rsid w:val="00BB7CB5"/>
    <w:rsid w:val="00BB7CE2"/>
    <w:rsid w:val="00BB7D3D"/>
    <w:rsid w:val="00BB7DC7"/>
    <w:rsid w:val="00BC002A"/>
    <w:rsid w:val="00BC00D5"/>
    <w:rsid w:val="00BC00E6"/>
    <w:rsid w:val="00BC027D"/>
    <w:rsid w:val="00BC0285"/>
    <w:rsid w:val="00BC02E4"/>
    <w:rsid w:val="00BC0444"/>
    <w:rsid w:val="00BC05E8"/>
    <w:rsid w:val="00BC08FC"/>
    <w:rsid w:val="00BC094E"/>
    <w:rsid w:val="00BC0968"/>
    <w:rsid w:val="00BC0AF1"/>
    <w:rsid w:val="00BC0B75"/>
    <w:rsid w:val="00BC0B82"/>
    <w:rsid w:val="00BC0C91"/>
    <w:rsid w:val="00BC0D55"/>
    <w:rsid w:val="00BC0D8E"/>
    <w:rsid w:val="00BC0DDC"/>
    <w:rsid w:val="00BC0FD9"/>
    <w:rsid w:val="00BC105C"/>
    <w:rsid w:val="00BC10E9"/>
    <w:rsid w:val="00BC12E0"/>
    <w:rsid w:val="00BC131B"/>
    <w:rsid w:val="00BC150D"/>
    <w:rsid w:val="00BC16E4"/>
    <w:rsid w:val="00BC17E7"/>
    <w:rsid w:val="00BC18C5"/>
    <w:rsid w:val="00BC19A7"/>
    <w:rsid w:val="00BC19DF"/>
    <w:rsid w:val="00BC1B09"/>
    <w:rsid w:val="00BC1B65"/>
    <w:rsid w:val="00BC1B87"/>
    <w:rsid w:val="00BC1C5F"/>
    <w:rsid w:val="00BC1C9F"/>
    <w:rsid w:val="00BC1D5D"/>
    <w:rsid w:val="00BC1DB8"/>
    <w:rsid w:val="00BC1DF4"/>
    <w:rsid w:val="00BC1E13"/>
    <w:rsid w:val="00BC1F03"/>
    <w:rsid w:val="00BC1F4D"/>
    <w:rsid w:val="00BC1F7B"/>
    <w:rsid w:val="00BC1FD7"/>
    <w:rsid w:val="00BC201A"/>
    <w:rsid w:val="00BC210C"/>
    <w:rsid w:val="00BC21C1"/>
    <w:rsid w:val="00BC21E1"/>
    <w:rsid w:val="00BC21E7"/>
    <w:rsid w:val="00BC2219"/>
    <w:rsid w:val="00BC22D1"/>
    <w:rsid w:val="00BC2351"/>
    <w:rsid w:val="00BC23C1"/>
    <w:rsid w:val="00BC23EF"/>
    <w:rsid w:val="00BC24B6"/>
    <w:rsid w:val="00BC2510"/>
    <w:rsid w:val="00BC257C"/>
    <w:rsid w:val="00BC25A9"/>
    <w:rsid w:val="00BC26F8"/>
    <w:rsid w:val="00BC2781"/>
    <w:rsid w:val="00BC284C"/>
    <w:rsid w:val="00BC2A14"/>
    <w:rsid w:val="00BC2ACB"/>
    <w:rsid w:val="00BC2C3A"/>
    <w:rsid w:val="00BC2D0A"/>
    <w:rsid w:val="00BC2D52"/>
    <w:rsid w:val="00BC2E1F"/>
    <w:rsid w:val="00BC2E33"/>
    <w:rsid w:val="00BC2E6D"/>
    <w:rsid w:val="00BC2F2C"/>
    <w:rsid w:val="00BC2FD0"/>
    <w:rsid w:val="00BC311D"/>
    <w:rsid w:val="00BC3180"/>
    <w:rsid w:val="00BC31C9"/>
    <w:rsid w:val="00BC337E"/>
    <w:rsid w:val="00BC33CD"/>
    <w:rsid w:val="00BC3508"/>
    <w:rsid w:val="00BC350A"/>
    <w:rsid w:val="00BC3528"/>
    <w:rsid w:val="00BC356C"/>
    <w:rsid w:val="00BC3585"/>
    <w:rsid w:val="00BC3603"/>
    <w:rsid w:val="00BC36F4"/>
    <w:rsid w:val="00BC36FF"/>
    <w:rsid w:val="00BC375D"/>
    <w:rsid w:val="00BC38A3"/>
    <w:rsid w:val="00BC38B0"/>
    <w:rsid w:val="00BC38F0"/>
    <w:rsid w:val="00BC392B"/>
    <w:rsid w:val="00BC395A"/>
    <w:rsid w:val="00BC39D2"/>
    <w:rsid w:val="00BC3A37"/>
    <w:rsid w:val="00BC3ACD"/>
    <w:rsid w:val="00BC3C28"/>
    <w:rsid w:val="00BC3C65"/>
    <w:rsid w:val="00BC3C66"/>
    <w:rsid w:val="00BC3E5B"/>
    <w:rsid w:val="00BC3FD4"/>
    <w:rsid w:val="00BC406A"/>
    <w:rsid w:val="00BC426D"/>
    <w:rsid w:val="00BC431A"/>
    <w:rsid w:val="00BC43CC"/>
    <w:rsid w:val="00BC465E"/>
    <w:rsid w:val="00BC46FF"/>
    <w:rsid w:val="00BC4848"/>
    <w:rsid w:val="00BC4939"/>
    <w:rsid w:val="00BC4A41"/>
    <w:rsid w:val="00BC4A77"/>
    <w:rsid w:val="00BC4AE5"/>
    <w:rsid w:val="00BC4B10"/>
    <w:rsid w:val="00BC4B8E"/>
    <w:rsid w:val="00BC4C8F"/>
    <w:rsid w:val="00BC4DB5"/>
    <w:rsid w:val="00BC4E6C"/>
    <w:rsid w:val="00BC4F36"/>
    <w:rsid w:val="00BC4F9D"/>
    <w:rsid w:val="00BC4FEF"/>
    <w:rsid w:val="00BC5109"/>
    <w:rsid w:val="00BC5187"/>
    <w:rsid w:val="00BC5197"/>
    <w:rsid w:val="00BC52BD"/>
    <w:rsid w:val="00BC52CA"/>
    <w:rsid w:val="00BC52D2"/>
    <w:rsid w:val="00BC52F4"/>
    <w:rsid w:val="00BC53BD"/>
    <w:rsid w:val="00BC55E5"/>
    <w:rsid w:val="00BC561E"/>
    <w:rsid w:val="00BC56E9"/>
    <w:rsid w:val="00BC58C4"/>
    <w:rsid w:val="00BC58FC"/>
    <w:rsid w:val="00BC5924"/>
    <w:rsid w:val="00BC5929"/>
    <w:rsid w:val="00BC5950"/>
    <w:rsid w:val="00BC595F"/>
    <w:rsid w:val="00BC5977"/>
    <w:rsid w:val="00BC59F0"/>
    <w:rsid w:val="00BC5BFB"/>
    <w:rsid w:val="00BC5C8E"/>
    <w:rsid w:val="00BC5EF0"/>
    <w:rsid w:val="00BC5F6B"/>
    <w:rsid w:val="00BC5FB9"/>
    <w:rsid w:val="00BC60F3"/>
    <w:rsid w:val="00BC6108"/>
    <w:rsid w:val="00BC618F"/>
    <w:rsid w:val="00BC619D"/>
    <w:rsid w:val="00BC62D5"/>
    <w:rsid w:val="00BC63EF"/>
    <w:rsid w:val="00BC641C"/>
    <w:rsid w:val="00BC65C1"/>
    <w:rsid w:val="00BC6609"/>
    <w:rsid w:val="00BC660A"/>
    <w:rsid w:val="00BC681D"/>
    <w:rsid w:val="00BC682E"/>
    <w:rsid w:val="00BC6851"/>
    <w:rsid w:val="00BC692C"/>
    <w:rsid w:val="00BC6A33"/>
    <w:rsid w:val="00BC6A9E"/>
    <w:rsid w:val="00BC6B82"/>
    <w:rsid w:val="00BC6D4A"/>
    <w:rsid w:val="00BC6D6A"/>
    <w:rsid w:val="00BC6EA7"/>
    <w:rsid w:val="00BC6EAD"/>
    <w:rsid w:val="00BC6ECF"/>
    <w:rsid w:val="00BC6ED5"/>
    <w:rsid w:val="00BC6ED6"/>
    <w:rsid w:val="00BC6FAE"/>
    <w:rsid w:val="00BC6FD4"/>
    <w:rsid w:val="00BC701E"/>
    <w:rsid w:val="00BC7053"/>
    <w:rsid w:val="00BC708A"/>
    <w:rsid w:val="00BC70AE"/>
    <w:rsid w:val="00BC7158"/>
    <w:rsid w:val="00BC72A2"/>
    <w:rsid w:val="00BC72FD"/>
    <w:rsid w:val="00BC73B7"/>
    <w:rsid w:val="00BC73F4"/>
    <w:rsid w:val="00BC7513"/>
    <w:rsid w:val="00BC7518"/>
    <w:rsid w:val="00BC7524"/>
    <w:rsid w:val="00BC770D"/>
    <w:rsid w:val="00BC784A"/>
    <w:rsid w:val="00BC7989"/>
    <w:rsid w:val="00BC79C8"/>
    <w:rsid w:val="00BC79D5"/>
    <w:rsid w:val="00BC7A3F"/>
    <w:rsid w:val="00BC7A48"/>
    <w:rsid w:val="00BC7B8E"/>
    <w:rsid w:val="00BC7C59"/>
    <w:rsid w:val="00BC7CFF"/>
    <w:rsid w:val="00BC7D56"/>
    <w:rsid w:val="00BC7DF7"/>
    <w:rsid w:val="00BC7ED8"/>
    <w:rsid w:val="00BD002B"/>
    <w:rsid w:val="00BD015B"/>
    <w:rsid w:val="00BD0196"/>
    <w:rsid w:val="00BD02FC"/>
    <w:rsid w:val="00BD042C"/>
    <w:rsid w:val="00BD044B"/>
    <w:rsid w:val="00BD04BD"/>
    <w:rsid w:val="00BD0520"/>
    <w:rsid w:val="00BD056C"/>
    <w:rsid w:val="00BD063D"/>
    <w:rsid w:val="00BD06A6"/>
    <w:rsid w:val="00BD06E4"/>
    <w:rsid w:val="00BD088E"/>
    <w:rsid w:val="00BD096B"/>
    <w:rsid w:val="00BD0A03"/>
    <w:rsid w:val="00BD0C03"/>
    <w:rsid w:val="00BD0D05"/>
    <w:rsid w:val="00BD0DAC"/>
    <w:rsid w:val="00BD0E00"/>
    <w:rsid w:val="00BD0EBA"/>
    <w:rsid w:val="00BD0F47"/>
    <w:rsid w:val="00BD1079"/>
    <w:rsid w:val="00BD107E"/>
    <w:rsid w:val="00BD1080"/>
    <w:rsid w:val="00BD10ED"/>
    <w:rsid w:val="00BD10FC"/>
    <w:rsid w:val="00BD1123"/>
    <w:rsid w:val="00BD114D"/>
    <w:rsid w:val="00BD117A"/>
    <w:rsid w:val="00BD118F"/>
    <w:rsid w:val="00BD128C"/>
    <w:rsid w:val="00BD12A0"/>
    <w:rsid w:val="00BD13DC"/>
    <w:rsid w:val="00BD1461"/>
    <w:rsid w:val="00BD146F"/>
    <w:rsid w:val="00BD158A"/>
    <w:rsid w:val="00BD15FE"/>
    <w:rsid w:val="00BD16C2"/>
    <w:rsid w:val="00BD1732"/>
    <w:rsid w:val="00BD1761"/>
    <w:rsid w:val="00BD195F"/>
    <w:rsid w:val="00BD19CE"/>
    <w:rsid w:val="00BD19E4"/>
    <w:rsid w:val="00BD1A11"/>
    <w:rsid w:val="00BD1A1F"/>
    <w:rsid w:val="00BD1BBC"/>
    <w:rsid w:val="00BD1BD3"/>
    <w:rsid w:val="00BD1C6E"/>
    <w:rsid w:val="00BD1CE2"/>
    <w:rsid w:val="00BD1D25"/>
    <w:rsid w:val="00BD1D53"/>
    <w:rsid w:val="00BD1DD9"/>
    <w:rsid w:val="00BD1EDE"/>
    <w:rsid w:val="00BD1FA7"/>
    <w:rsid w:val="00BD2039"/>
    <w:rsid w:val="00BD2040"/>
    <w:rsid w:val="00BD20DE"/>
    <w:rsid w:val="00BD225A"/>
    <w:rsid w:val="00BD2304"/>
    <w:rsid w:val="00BD2305"/>
    <w:rsid w:val="00BD236A"/>
    <w:rsid w:val="00BD23F8"/>
    <w:rsid w:val="00BD242B"/>
    <w:rsid w:val="00BD24CB"/>
    <w:rsid w:val="00BD25FC"/>
    <w:rsid w:val="00BD27AD"/>
    <w:rsid w:val="00BD2804"/>
    <w:rsid w:val="00BD2893"/>
    <w:rsid w:val="00BD28C6"/>
    <w:rsid w:val="00BD2904"/>
    <w:rsid w:val="00BD2B81"/>
    <w:rsid w:val="00BD2BAE"/>
    <w:rsid w:val="00BD2BFB"/>
    <w:rsid w:val="00BD2C15"/>
    <w:rsid w:val="00BD2C8E"/>
    <w:rsid w:val="00BD2C98"/>
    <w:rsid w:val="00BD2CBE"/>
    <w:rsid w:val="00BD2D0A"/>
    <w:rsid w:val="00BD2D23"/>
    <w:rsid w:val="00BD2D4B"/>
    <w:rsid w:val="00BD2DB1"/>
    <w:rsid w:val="00BD2E7C"/>
    <w:rsid w:val="00BD2FE2"/>
    <w:rsid w:val="00BD3090"/>
    <w:rsid w:val="00BD30B0"/>
    <w:rsid w:val="00BD3125"/>
    <w:rsid w:val="00BD32A8"/>
    <w:rsid w:val="00BD34B2"/>
    <w:rsid w:val="00BD351E"/>
    <w:rsid w:val="00BD352F"/>
    <w:rsid w:val="00BD3608"/>
    <w:rsid w:val="00BD368A"/>
    <w:rsid w:val="00BD36CD"/>
    <w:rsid w:val="00BD36E1"/>
    <w:rsid w:val="00BD3786"/>
    <w:rsid w:val="00BD382E"/>
    <w:rsid w:val="00BD388E"/>
    <w:rsid w:val="00BD399E"/>
    <w:rsid w:val="00BD3B1E"/>
    <w:rsid w:val="00BD3B24"/>
    <w:rsid w:val="00BD3B4F"/>
    <w:rsid w:val="00BD3B54"/>
    <w:rsid w:val="00BD3CA6"/>
    <w:rsid w:val="00BD3D14"/>
    <w:rsid w:val="00BD3D39"/>
    <w:rsid w:val="00BD3DCA"/>
    <w:rsid w:val="00BD3DD2"/>
    <w:rsid w:val="00BD3E36"/>
    <w:rsid w:val="00BD3E74"/>
    <w:rsid w:val="00BD3EAF"/>
    <w:rsid w:val="00BD3F65"/>
    <w:rsid w:val="00BD3FF3"/>
    <w:rsid w:val="00BD4026"/>
    <w:rsid w:val="00BD4038"/>
    <w:rsid w:val="00BD40A6"/>
    <w:rsid w:val="00BD40B4"/>
    <w:rsid w:val="00BD4309"/>
    <w:rsid w:val="00BD4330"/>
    <w:rsid w:val="00BD43FC"/>
    <w:rsid w:val="00BD4493"/>
    <w:rsid w:val="00BD4501"/>
    <w:rsid w:val="00BD454B"/>
    <w:rsid w:val="00BD4629"/>
    <w:rsid w:val="00BD4632"/>
    <w:rsid w:val="00BD4637"/>
    <w:rsid w:val="00BD46FB"/>
    <w:rsid w:val="00BD4757"/>
    <w:rsid w:val="00BD475E"/>
    <w:rsid w:val="00BD4765"/>
    <w:rsid w:val="00BD47E8"/>
    <w:rsid w:val="00BD483A"/>
    <w:rsid w:val="00BD4877"/>
    <w:rsid w:val="00BD4CFA"/>
    <w:rsid w:val="00BD4D1B"/>
    <w:rsid w:val="00BD4D5E"/>
    <w:rsid w:val="00BD4D84"/>
    <w:rsid w:val="00BD4E20"/>
    <w:rsid w:val="00BD4E3F"/>
    <w:rsid w:val="00BD4F52"/>
    <w:rsid w:val="00BD4F61"/>
    <w:rsid w:val="00BD4FD2"/>
    <w:rsid w:val="00BD50E8"/>
    <w:rsid w:val="00BD510C"/>
    <w:rsid w:val="00BD52EB"/>
    <w:rsid w:val="00BD532C"/>
    <w:rsid w:val="00BD53E9"/>
    <w:rsid w:val="00BD545F"/>
    <w:rsid w:val="00BD54D0"/>
    <w:rsid w:val="00BD5574"/>
    <w:rsid w:val="00BD55A3"/>
    <w:rsid w:val="00BD56ED"/>
    <w:rsid w:val="00BD573B"/>
    <w:rsid w:val="00BD577D"/>
    <w:rsid w:val="00BD57C7"/>
    <w:rsid w:val="00BD5835"/>
    <w:rsid w:val="00BD58B8"/>
    <w:rsid w:val="00BD5AB6"/>
    <w:rsid w:val="00BD5B31"/>
    <w:rsid w:val="00BD5BAA"/>
    <w:rsid w:val="00BD5CD6"/>
    <w:rsid w:val="00BD5E6A"/>
    <w:rsid w:val="00BD5F77"/>
    <w:rsid w:val="00BD602A"/>
    <w:rsid w:val="00BD603C"/>
    <w:rsid w:val="00BD603D"/>
    <w:rsid w:val="00BD60A3"/>
    <w:rsid w:val="00BD61A0"/>
    <w:rsid w:val="00BD61C1"/>
    <w:rsid w:val="00BD620F"/>
    <w:rsid w:val="00BD621F"/>
    <w:rsid w:val="00BD62FB"/>
    <w:rsid w:val="00BD63AA"/>
    <w:rsid w:val="00BD64C7"/>
    <w:rsid w:val="00BD64F4"/>
    <w:rsid w:val="00BD64F9"/>
    <w:rsid w:val="00BD6529"/>
    <w:rsid w:val="00BD6588"/>
    <w:rsid w:val="00BD6692"/>
    <w:rsid w:val="00BD66E6"/>
    <w:rsid w:val="00BD673E"/>
    <w:rsid w:val="00BD6779"/>
    <w:rsid w:val="00BD6801"/>
    <w:rsid w:val="00BD681A"/>
    <w:rsid w:val="00BD693C"/>
    <w:rsid w:val="00BD69BD"/>
    <w:rsid w:val="00BD6A4B"/>
    <w:rsid w:val="00BD6B00"/>
    <w:rsid w:val="00BD6B6C"/>
    <w:rsid w:val="00BD6BFC"/>
    <w:rsid w:val="00BD6DC4"/>
    <w:rsid w:val="00BD6E92"/>
    <w:rsid w:val="00BD6F46"/>
    <w:rsid w:val="00BD6FC2"/>
    <w:rsid w:val="00BD701E"/>
    <w:rsid w:val="00BD70B9"/>
    <w:rsid w:val="00BD7124"/>
    <w:rsid w:val="00BD71B4"/>
    <w:rsid w:val="00BD7223"/>
    <w:rsid w:val="00BD732D"/>
    <w:rsid w:val="00BD734B"/>
    <w:rsid w:val="00BD7357"/>
    <w:rsid w:val="00BD735E"/>
    <w:rsid w:val="00BD739C"/>
    <w:rsid w:val="00BD7469"/>
    <w:rsid w:val="00BD7527"/>
    <w:rsid w:val="00BD7590"/>
    <w:rsid w:val="00BD760D"/>
    <w:rsid w:val="00BD76B2"/>
    <w:rsid w:val="00BD76CD"/>
    <w:rsid w:val="00BD7947"/>
    <w:rsid w:val="00BD795B"/>
    <w:rsid w:val="00BD7AB3"/>
    <w:rsid w:val="00BD7B00"/>
    <w:rsid w:val="00BD7B4C"/>
    <w:rsid w:val="00BD7C18"/>
    <w:rsid w:val="00BD7C8F"/>
    <w:rsid w:val="00BD7D09"/>
    <w:rsid w:val="00BD7D53"/>
    <w:rsid w:val="00BD7D67"/>
    <w:rsid w:val="00BD7DC0"/>
    <w:rsid w:val="00BD7E37"/>
    <w:rsid w:val="00BD7EC4"/>
    <w:rsid w:val="00BE00DF"/>
    <w:rsid w:val="00BE024F"/>
    <w:rsid w:val="00BE02FB"/>
    <w:rsid w:val="00BE0399"/>
    <w:rsid w:val="00BE044A"/>
    <w:rsid w:val="00BE0522"/>
    <w:rsid w:val="00BE0585"/>
    <w:rsid w:val="00BE060B"/>
    <w:rsid w:val="00BE0682"/>
    <w:rsid w:val="00BE06D6"/>
    <w:rsid w:val="00BE06F1"/>
    <w:rsid w:val="00BE070B"/>
    <w:rsid w:val="00BE08E3"/>
    <w:rsid w:val="00BE0A56"/>
    <w:rsid w:val="00BE0AA2"/>
    <w:rsid w:val="00BE0BBB"/>
    <w:rsid w:val="00BE0C44"/>
    <w:rsid w:val="00BE0D5C"/>
    <w:rsid w:val="00BE0D8A"/>
    <w:rsid w:val="00BE0DDF"/>
    <w:rsid w:val="00BE0EE8"/>
    <w:rsid w:val="00BE10E6"/>
    <w:rsid w:val="00BE11C8"/>
    <w:rsid w:val="00BE123B"/>
    <w:rsid w:val="00BE1277"/>
    <w:rsid w:val="00BE12DD"/>
    <w:rsid w:val="00BE131E"/>
    <w:rsid w:val="00BE1352"/>
    <w:rsid w:val="00BE1383"/>
    <w:rsid w:val="00BE13D7"/>
    <w:rsid w:val="00BE1421"/>
    <w:rsid w:val="00BE14AC"/>
    <w:rsid w:val="00BE150A"/>
    <w:rsid w:val="00BE1606"/>
    <w:rsid w:val="00BE16F3"/>
    <w:rsid w:val="00BE17FF"/>
    <w:rsid w:val="00BE18D8"/>
    <w:rsid w:val="00BE199C"/>
    <w:rsid w:val="00BE19A2"/>
    <w:rsid w:val="00BE19B0"/>
    <w:rsid w:val="00BE1B65"/>
    <w:rsid w:val="00BE1BCD"/>
    <w:rsid w:val="00BE1E0E"/>
    <w:rsid w:val="00BE1E33"/>
    <w:rsid w:val="00BE1E34"/>
    <w:rsid w:val="00BE1E68"/>
    <w:rsid w:val="00BE1F0E"/>
    <w:rsid w:val="00BE1F1B"/>
    <w:rsid w:val="00BE2026"/>
    <w:rsid w:val="00BE20A0"/>
    <w:rsid w:val="00BE20B5"/>
    <w:rsid w:val="00BE224B"/>
    <w:rsid w:val="00BE2291"/>
    <w:rsid w:val="00BE2410"/>
    <w:rsid w:val="00BE24D3"/>
    <w:rsid w:val="00BE2530"/>
    <w:rsid w:val="00BE25F4"/>
    <w:rsid w:val="00BE260A"/>
    <w:rsid w:val="00BE270C"/>
    <w:rsid w:val="00BE2741"/>
    <w:rsid w:val="00BE288F"/>
    <w:rsid w:val="00BE2966"/>
    <w:rsid w:val="00BE2B58"/>
    <w:rsid w:val="00BE2C15"/>
    <w:rsid w:val="00BE2D0E"/>
    <w:rsid w:val="00BE2DCE"/>
    <w:rsid w:val="00BE2EBB"/>
    <w:rsid w:val="00BE2F04"/>
    <w:rsid w:val="00BE2F1D"/>
    <w:rsid w:val="00BE2F9A"/>
    <w:rsid w:val="00BE3076"/>
    <w:rsid w:val="00BE307C"/>
    <w:rsid w:val="00BE30FA"/>
    <w:rsid w:val="00BE3129"/>
    <w:rsid w:val="00BE3141"/>
    <w:rsid w:val="00BE32B1"/>
    <w:rsid w:val="00BE32C9"/>
    <w:rsid w:val="00BE3617"/>
    <w:rsid w:val="00BE37C0"/>
    <w:rsid w:val="00BE3964"/>
    <w:rsid w:val="00BE39A7"/>
    <w:rsid w:val="00BE3A40"/>
    <w:rsid w:val="00BE3A83"/>
    <w:rsid w:val="00BE3B36"/>
    <w:rsid w:val="00BE3B51"/>
    <w:rsid w:val="00BE3C1E"/>
    <w:rsid w:val="00BE3C65"/>
    <w:rsid w:val="00BE3C79"/>
    <w:rsid w:val="00BE3DB1"/>
    <w:rsid w:val="00BE3E20"/>
    <w:rsid w:val="00BE3E64"/>
    <w:rsid w:val="00BE40B6"/>
    <w:rsid w:val="00BE40B9"/>
    <w:rsid w:val="00BE43B0"/>
    <w:rsid w:val="00BE443D"/>
    <w:rsid w:val="00BE448B"/>
    <w:rsid w:val="00BE44FE"/>
    <w:rsid w:val="00BE452B"/>
    <w:rsid w:val="00BE45F0"/>
    <w:rsid w:val="00BE46C1"/>
    <w:rsid w:val="00BE46D8"/>
    <w:rsid w:val="00BE4843"/>
    <w:rsid w:val="00BE49A3"/>
    <w:rsid w:val="00BE4AC8"/>
    <w:rsid w:val="00BE4B74"/>
    <w:rsid w:val="00BE4D30"/>
    <w:rsid w:val="00BE4E38"/>
    <w:rsid w:val="00BE4E74"/>
    <w:rsid w:val="00BE4EC0"/>
    <w:rsid w:val="00BE4EE9"/>
    <w:rsid w:val="00BE4EF4"/>
    <w:rsid w:val="00BE515B"/>
    <w:rsid w:val="00BE51B8"/>
    <w:rsid w:val="00BE520B"/>
    <w:rsid w:val="00BE5224"/>
    <w:rsid w:val="00BE52A9"/>
    <w:rsid w:val="00BE52B0"/>
    <w:rsid w:val="00BE52D6"/>
    <w:rsid w:val="00BE53AB"/>
    <w:rsid w:val="00BE53F2"/>
    <w:rsid w:val="00BE54CC"/>
    <w:rsid w:val="00BE55F5"/>
    <w:rsid w:val="00BE56D5"/>
    <w:rsid w:val="00BE575A"/>
    <w:rsid w:val="00BE57C2"/>
    <w:rsid w:val="00BE5808"/>
    <w:rsid w:val="00BE5855"/>
    <w:rsid w:val="00BE58E7"/>
    <w:rsid w:val="00BE593E"/>
    <w:rsid w:val="00BE5985"/>
    <w:rsid w:val="00BE5A24"/>
    <w:rsid w:val="00BE5A60"/>
    <w:rsid w:val="00BE5C65"/>
    <w:rsid w:val="00BE5CDD"/>
    <w:rsid w:val="00BE5D77"/>
    <w:rsid w:val="00BE5D7E"/>
    <w:rsid w:val="00BE5E0C"/>
    <w:rsid w:val="00BE5E39"/>
    <w:rsid w:val="00BE5E91"/>
    <w:rsid w:val="00BE5F7F"/>
    <w:rsid w:val="00BE5FF4"/>
    <w:rsid w:val="00BE60CF"/>
    <w:rsid w:val="00BE626D"/>
    <w:rsid w:val="00BE6290"/>
    <w:rsid w:val="00BE631C"/>
    <w:rsid w:val="00BE6450"/>
    <w:rsid w:val="00BE6458"/>
    <w:rsid w:val="00BE6576"/>
    <w:rsid w:val="00BE6644"/>
    <w:rsid w:val="00BE66EB"/>
    <w:rsid w:val="00BE6768"/>
    <w:rsid w:val="00BE6776"/>
    <w:rsid w:val="00BE684A"/>
    <w:rsid w:val="00BE6B0B"/>
    <w:rsid w:val="00BE6B3C"/>
    <w:rsid w:val="00BE6BAA"/>
    <w:rsid w:val="00BE6BB8"/>
    <w:rsid w:val="00BE6BCE"/>
    <w:rsid w:val="00BE6D8B"/>
    <w:rsid w:val="00BE6E63"/>
    <w:rsid w:val="00BE6E99"/>
    <w:rsid w:val="00BE6F13"/>
    <w:rsid w:val="00BE6F4C"/>
    <w:rsid w:val="00BE7144"/>
    <w:rsid w:val="00BE71F3"/>
    <w:rsid w:val="00BE731B"/>
    <w:rsid w:val="00BE73E0"/>
    <w:rsid w:val="00BE7407"/>
    <w:rsid w:val="00BE7439"/>
    <w:rsid w:val="00BE744E"/>
    <w:rsid w:val="00BE7456"/>
    <w:rsid w:val="00BE74B1"/>
    <w:rsid w:val="00BE75A6"/>
    <w:rsid w:val="00BE760D"/>
    <w:rsid w:val="00BE7672"/>
    <w:rsid w:val="00BE76CF"/>
    <w:rsid w:val="00BE798D"/>
    <w:rsid w:val="00BE79BE"/>
    <w:rsid w:val="00BE79C6"/>
    <w:rsid w:val="00BE79CF"/>
    <w:rsid w:val="00BE7A08"/>
    <w:rsid w:val="00BE7A4C"/>
    <w:rsid w:val="00BE7A8A"/>
    <w:rsid w:val="00BE7B54"/>
    <w:rsid w:val="00BE7BFA"/>
    <w:rsid w:val="00BE7C8C"/>
    <w:rsid w:val="00BE7D07"/>
    <w:rsid w:val="00BE7DA4"/>
    <w:rsid w:val="00BE7DB8"/>
    <w:rsid w:val="00BE7EBE"/>
    <w:rsid w:val="00BE7ED4"/>
    <w:rsid w:val="00BE7F28"/>
    <w:rsid w:val="00BED33A"/>
    <w:rsid w:val="00BF00D9"/>
    <w:rsid w:val="00BF01C9"/>
    <w:rsid w:val="00BF01EE"/>
    <w:rsid w:val="00BF01F5"/>
    <w:rsid w:val="00BF0264"/>
    <w:rsid w:val="00BF02A3"/>
    <w:rsid w:val="00BF0410"/>
    <w:rsid w:val="00BF0427"/>
    <w:rsid w:val="00BF063F"/>
    <w:rsid w:val="00BF0661"/>
    <w:rsid w:val="00BF080E"/>
    <w:rsid w:val="00BF083E"/>
    <w:rsid w:val="00BF08B3"/>
    <w:rsid w:val="00BF08E3"/>
    <w:rsid w:val="00BF0AE7"/>
    <w:rsid w:val="00BF0B63"/>
    <w:rsid w:val="00BF0F20"/>
    <w:rsid w:val="00BF0F49"/>
    <w:rsid w:val="00BF0F4B"/>
    <w:rsid w:val="00BF1091"/>
    <w:rsid w:val="00BF123D"/>
    <w:rsid w:val="00BF1374"/>
    <w:rsid w:val="00BF13CD"/>
    <w:rsid w:val="00BF14B1"/>
    <w:rsid w:val="00BF156A"/>
    <w:rsid w:val="00BF1578"/>
    <w:rsid w:val="00BF15B9"/>
    <w:rsid w:val="00BF1652"/>
    <w:rsid w:val="00BF1678"/>
    <w:rsid w:val="00BF1697"/>
    <w:rsid w:val="00BF181E"/>
    <w:rsid w:val="00BF183B"/>
    <w:rsid w:val="00BF1843"/>
    <w:rsid w:val="00BF185F"/>
    <w:rsid w:val="00BF18CA"/>
    <w:rsid w:val="00BF1A73"/>
    <w:rsid w:val="00BF1ACA"/>
    <w:rsid w:val="00BF1AFC"/>
    <w:rsid w:val="00BF1B2F"/>
    <w:rsid w:val="00BF1B3E"/>
    <w:rsid w:val="00BF1BD9"/>
    <w:rsid w:val="00BF1C6A"/>
    <w:rsid w:val="00BF1C95"/>
    <w:rsid w:val="00BF1D95"/>
    <w:rsid w:val="00BF1E56"/>
    <w:rsid w:val="00BF1E6A"/>
    <w:rsid w:val="00BF1FA2"/>
    <w:rsid w:val="00BF20AD"/>
    <w:rsid w:val="00BF225F"/>
    <w:rsid w:val="00BF23C9"/>
    <w:rsid w:val="00BF24F1"/>
    <w:rsid w:val="00BF2791"/>
    <w:rsid w:val="00BF27DE"/>
    <w:rsid w:val="00BF2868"/>
    <w:rsid w:val="00BF29A5"/>
    <w:rsid w:val="00BF2B93"/>
    <w:rsid w:val="00BF2C93"/>
    <w:rsid w:val="00BF2D9E"/>
    <w:rsid w:val="00BF2DDD"/>
    <w:rsid w:val="00BF2E36"/>
    <w:rsid w:val="00BF2FC5"/>
    <w:rsid w:val="00BF3041"/>
    <w:rsid w:val="00BF309C"/>
    <w:rsid w:val="00BF30EF"/>
    <w:rsid w:val="00BF324A"/>
    <w:rsid w:val="00BF326C"/>
    <w:rsid w:val="00BF3442"/>
    <w:rsid w:val="00BF3567"/>
    <w:rsid w:val="00BF367E"/>
    <w:rsid w:val="00BF3732"/>
    <w:rsid w:val="00BF375F"/>
    <w:rsid w:val="00BF37A1"/>
    <w:rsid w:val="00BF37CB"/>
    <w:rsid w:val="00BF3AA8"/>
    <w:rsid w:val="00BF3AC5"/>
    <w:rsid w:val="00BF3AF9"/>
    <w:rsid w:val="00BF3BC9"/>
    <w:rsid w:val="00BF3BD7"/>
    <w:rsid w:val="00BF3CD9"/>
    <w:rsid w:val="00BF3D56"/>
    <w:rsid w:val="00BF3E56"/>
    <w:rsid w:val="00BF3E5F"/>
    <w:rsid w:val="00BF3EB1"/>
    <w:rsid w:val="00BF3F4E"/>
    <w:rsid w:val="00BF3FB6"/>
    <w:rsid w:val="00BF40CA"/>
    <w:rsid w:val="00BF40F9"/>
    <w:rsid w:val="00BF4149"/>
    <w:rsid w:val="00BF4192"/>
    <w:rsid w:val="00BF41FE"/>
    <w:rsid w:val="00BF44AB"/>
    <w:rsid w:val="00BF4696"/>
    <w:rsid w:val="00BF47C7"/>
    <w:rsid w:val="00BF4988"/>
    <w:rsid w:val="00BF49E9"/>
    <w:rsid w:val="00BF4A26"/>
    <w:rsid w:val="00BF4A68"/>
    <w:rsid w:val="00BF4A8F"/>
    <w:rsid w:val="00BF4B05"/>
    <w:rsid w:val="00BF4B1C"/>
    <w:rsid w:val="00BF4B59"/>
    <w:rsid w:val="00BF4D55"/>
    <w:rsid w:val="00BF4E6D"/>
    <w:rsid w:val="00BF4E8E"/>
    <w:rsid w:val="00BF4F0D"/>
    <w:rsid w:val="00BF4F81"/>
    <w:rsid w:val="00BF4FFF"/>
    <w:rsid w:val="00BF505A"/>
    <w:rsid w:val="00BF5112"/>
    <w:rsid w:val="00BF5143"/>
    <w:rsid w:val="00BF5192"/>
    <w:rsid w:val="00BF51F4"/>
    <w:rsid w:val="00BF5274"/>
    <w:rsid w:val="00BF52D2"/>
    <w:rsid w:val="00BF5399"/>
    <w:rsid w:val="00BF53D6"/>
    <w:rsid w:val="00BF5660"/>
    <w:rsid w:val="00BF56B8"/>
    <w:rsid w:val="00BF56CD"/>
    <w:rsid w:val="00BF58E6"/>
    <w:rsid w:val="00BF59DF"/>
    <w:rsid w:val="00BF5B6E"/>
    <w:rsid w:val="00BF5C36"/>
    <w:rsid w:val="00BF5D85"/>
    <w:rsid w:val="00BF5DAA"/>
    <w:rsid w:val="00BF5DED"/>
    <w:rsid w:val="00BF5E46"/>
    <w:rsid w:val="00BF5E6A"/>
    <w:rsid w:val="00BF5F64"/>
    <w:rsid w:val="00BF5F91"/>
    <w:rsid w:val="00BF608F"/>
    <w:rsid w:val="00BF60E8"/>
    <w:rsid w:val="00BF6215"/>
    <w:rsid w:val="00BF627B"/>
    <w:rsid w:val="00BF62B5"/>
    <w:rsid w:val="00BF643F"/>
    <w:rsid w:val="00BF64F2"/>
    <w:rsid w:val="00BF650E"/>
    <w:rsid w:val="00BF6592"/>
    <w:rsid w:val="00BF6612"/>
    <w:rsid w:val="00BF6622"/>
    <w:rsid w:val="00BF6734"/>
    <w:rsid w:val="00BF6743"/>
    <w:rsid w:val="00BF69EE"/>
    <w:rsid w:val="00BF6B54"/>
    <w:rsid w:val="00BF6BE7"/>
    <w:rsid w:val="00BF6BF5"/>
    <w:rsid w:val="00BF6E2C"/>
    <w:rsid w:val="00BF6E73"/>
    <w:rsid w:val="00BF6EE0"/>
    <w:rsid w:val="00BF6FBD"/>
    <w:rsid w:val="00BF705F"/>
    <w:rsid w:val="00BF7225"/>
    <w:rsid w:val="00BF7242"/>
    <w:rsid w:val="00BF7336"/>
    <w:rsid w:val="00BF7475"/>
    <w:rsid w:val="00BF758A"/>
    <w:rsid w:val="00BF7784"/>
    <w:rsid w:val="00BF77B8"/>
    <w:rsid w:val="00BF77E4"/>
    <w:rsid w:val="00BF78FF"/>
    <w:rsid w:val="00BF7995"/>
    <w:rsid w:val="00BF7999"/>
    <w:rsid w:val="00BF7AD0"/>
    <w:rsid w:val="00BF7AEC"/>
    <w:rsid w:val="00BF7B55"/>
    <w:rsid w:val="00BF7C13"/>
    <w:rsid w:val="00BF7C60"/>
    <w:rsid w:val="00BF7DBC"/>
    <w:rsid w:val="00BF7DCF"/>
    <w:rsid w:val="00BF7DF4"/>
    <w:rsid w:val="00BF7F7F"/>
    <w:rsid w:val="00C00013"/>
    <w:rsid w:val="00C0001A"/>
    <w:rsid w:val="00C00065"/>
    <w:rsid w:val="00C0012B"/>
    <w:rsid w:val="00C001D7"/>
    <w:rsid w:val="00C00260"/>
    <w:rsid w:val="00C00337"/>
    <w:rsid w:val="00C003AB"/>
    <w:rsid w:val="00C004D9"/>
    <w:rsid w:val="00C00708"/>
    <w:rsid w:val="00C00761"/>
    <w:rsid w:val="00C007F3"/>
    <w:rsid w:val="00C00906"/>
    <w:rsid w:val="00C00AD8"/>
    <w:rsid w:val="00C00B38"/>
    <w:rsid w:val="00C00B70"/>
    <w:rsid w:val="00C00BE6"/>
    <w:rsid w:val="00C00C22"/>
    <w:rsid w:val="00C00D02"/>
    <w:rsid w:val="00C00D54"/>
    <w:rsid w:val="00C00D5E"/>
    <w:rsid w:val="00C00D8D"/>
    <w:rsid w:val="00C00F8D"/>
    <w:rsid w:val="00C00F98"/>
    <w:rsid w:val="00C0110D"/>
    <w:rsid w:val="00C0110F"/>
    <w:rsid w:val="00C01138"/>
    <w:rsid w:val="00C011DF"/>
    <w:rsid w:val="00C0135B"/>
    <w:rsid w:val="00C01444"/>
    <w:rsid w:val="00C0157A"/>
    <w:rsid w:val="00C015D4"/>
    <w:rsid w:val="00C01628"/>
    <w:rsid w:val="00C016E9"/>
    <w:rsid w:val="00C01727"/>
    <w:rsid w:val="00C017AF"/>
    <w:rsid w:val="00C017F1"/>
    <w:rsid w:val="00C01849"/>
    <w:rsid w:val="00C01897"/>
    <w:rsid w:val="00C01B34"/>
    <w:rsid w:val="00C01BD4"/>
    <w:rsid w:val="00C01BE9"/>
    <w:rsid w:val="00C01C44"/>
    <w:rsid w:val="00C01F15"/>
    <w:rsid w:val="00C01F51"/>
    <w:rsid w:val="00C01F93"/>
    <w:rsid w:val="00C01FC5"/>
    <w:rsid w:val="00C02021"/>
    <w:rsid w:val="00C02054"/>
    <w:rsid w:val="00C020BA"/>
    <w:rsid w:val="00C02244"/>
    <w:rsid w:val="00C02276"/>
    <w:rsid w:val="00C023D0"/>
    <w:rsid w:val="00C0247A"/>
    <w:rsid w:val="00C024A9"/>
    <w:rsid w:val="00C02500"/>
    <w:rsid w:val="00C02708"/>
    <w:rsid w:val="00C0289A"/>
    <w:rsid w:val="00C0290A"/>
    <w:rsid w:val="00C0298E"/>
    <w:rsid w:val="00C029B0"/>
    <w:rsid w:val="00C02A43"/>
    <w:rsid w:val="00C02A66"/>
    <w:rsid w:val="00C02AE8"/>
    <w:rsid w:val="00C02B1E"/>
    <w:rsid w:val="00C02B5A"/>
    <w:rsid w:val="00C02C91"/>
    <w:rsid w:val="00C02D44"/>
    <w:rsid w:val="00C02DF2"/>
    <w:rsid w:val="00C02E63"/>
    <w:rsid w:val="00C02F08"/>
    <w:rsid w:val="00C02FD1"/>
    <w:rsid w:val="00C0304E"/>
    <w:rsid w:val="00C03058"/>
    <w:rsid w:val="00C03102"/>
    <w:rsid w:val="00C033A2"/>
    <w:rsid w:val="00C0340B"/>
    <w:rsid w:val="00C03588"/>
    <w:rsid w:val="00C035A5"/>
    <w:rsid w:val="00C036B5"/>
    <w:rsid w:val="00C038AC"/>
    <w:rsid w:val="00C039A5"/>
    <w:rsid w:val="00C03A52"/>
    <w:rsid w:val="00C03A9C"/>
    <w:rsid w:val="00C03ADF"/>
    <w:rsid w:val="00C03B26"/>
    <w:rsid w:val="00C03B38"/>
    <w:rsid w:val="00C03C8B"/>
    <w:rsid w:val="00C03D50"/>
    <w:rsid w:val="00C03D86"/>
    <w:rsid w:val="00C03D88"/>
    <w:rsid w:val="00C03FCC"/>
    <w:rsid w:val="00C03FE5"/>
    <w:rsid w:val="00C041C6"/>
    <w:rsid w:val="00C0422E"/>
    <w:rsid w:val="00C04353"/>
    <w:rsid w:val="00C0437B"/>
    <w:rsid w:val="00C0440D"/>
    <w:rsid w:val="00C0449B"/>
    <w:rsid w:val="00C04538"/>
    <w:rsid w:val="00C04561"/>
    <w:rsid w:val="00C045AA"/>
    <w:rsid w:val="00C045B1"/>
    <w:rsid w:val="00C04702"/>
    <w:rsid w:val="00C04721"/>
    <w:rsid w:val="00C047F4"/>
    <w:rsid w:val="00C048A5"/>
    <w:rsid w:val="00C048C7"/>
    <w:rsid w:val="00C04A92"/>
    <w:rsid w:val="00C04AD3"/>
    <w:rsid w:val="00C04AE7"/>
    <w:rsid w:val="00C04BA5"/>
    <w:rsid w:val="00C04CF7"/>
    <w:rsid w:val="00C04F41"/>
    <w:rsid w:val="00C04F83"/>
    <w:rsid w:val="00C04FA2"/>
    <w:rsid w:val="00C0506F"/>
    <w:rsid w:val="00C0508A"/>
    <w:rsid w:val="00C050A5"/>
    <w:rsid w:val="00C0529C"/>
    <w:rsid w:val="00C05351"/>
    <w:rsid w:val="00C05463"/>
    <w:rsid w:val="00C054A5"/>
    <w:rsid w:val="00C054AE"/>
    <w:rsid w:val="00C054D5"/>
    <w:rsid w:val="00C054F2"/>
    <w:rsid w:val="00C05530"/>
    <w:rsid w:val="00C056EB"/>
    <w:rsid w:val="00C0577E"/>
    <w:rsid w:val="00C0579E"/>
    <w:rsid w:val="00C058A6"/>
    <w:rsid w:val="00C059AF"/>
    <w:rsid w:val="00C05AEE"/>
    <w:rsid w:val="00C05B86"/>
    <w:rsid w:val="00C05B8D"/>
    <w:rsid w:val="00C05CF8"/>
    <w:rsid w:val="00C05DE6"/>
    <w:rsid w:val="00C06013"/>
    <w:rsid w:val="00C0623D"/>
    <w:rsid w:val="00C0624D"/>
    <w:rsid w:val="00C062E4"/>
    <w:rsid w:val="00C06329"/>
    <w:rsid w:val="00C0654C"/>
    <w:rsid w:val="00C0654F"/>
    <w:rsid w:val="00C06551"/>
    <w:rsid w:val="00C065F3"/>
    <w:rsid w:val="00C066D2"/>
    <w:rsid w:val="00C06739"/>
    <w:rsid w:val="00C0673F"/>
    <w:rsid w:val="00C06875"/>
    <w:rsid w:val="00C068C0"/>
    <w:rsid w:val="00C06936"/>
    <w:rsid w:val="00C069CE"/>
    <w:rsid w:val="00C06BCC"/>
    <w:rsid w:val="00C06DF0"/>
    <w:rsid w:val="00C07143"/>
    <w:rsid w:val="00C07182"/>
    <w:rsid w:val="00C071AE"/>
    <w:rsid w:val="00C072B8"/>
    <w:rsid w:val="00C07328"/>
    <w:rsid w:val="00C07339"/>
    <w:rsid w:val="00C0749F"/>
    <w:rsid w:val="00C0759E"/>
    <w:rsid w:val="00C0767B"/>
    <w:rsid w:val="00C076E0"/>
    <w:rsid w:val="00C078C0"/>
    <w:rsid w:val="00C0792F"/>
    <w:rsid w:val="00C079F9"/>
    <w:rsid w:val="00C07A3E"/>
    <w:rsid w:val="00C07B9D"/>
    <w:rsid w:val="00C07C89"/>
    <w:rsid w:val="00C07D2C"/>
    <w:rsid w:val="00C07E65"/>
    <w:rsid w:val="00C07F0F"/>
    <w:rsid w:val="00C07F44"/>
    <w:rsid w:val="00C10200"/>
    <w:rsid w:val="00C10201"/>
    <w:rsid w:val="00C10209"/>
    <w:rsid w:val="00C10271"/>
    <w:rsid w:val="00C1038B"/>
    <w:rsid w:val="00C1047C"/>
    <w:rsid w:val="00C105AB"/>
    <w:rsid w:val="00C105FF"/>
    <w:rsid w:val="00C1063E"/>
    <w:rsid w:val="00C106A5"/>
    <w:rsid w:val="00C10721"/>
    <w:rsid w:val="00C10A41"/>
    <w:rsid w:val="00C10A6E"/>
    <w:rsid w:val="00C10AD2"/>
    <w:rsid w:val="00C10B40"/>
    <w:rsid w:val="00C10B77"/>
    <w:rsid w:val="00C10CC0"/>
    <w:rsid w:val="00C10CF8"/>
    <w:rsid w:val="00C10D9D"/>
    <w:rsid w:val="00C10F9B"/>
    <w:rsid w:val="00C10FC4"/>
    <w:rsid w:val="00C1105A"/>
    <w:rsid w:val="00C11062"/>
    <w:rsid w:val="00C11083"/>
    <w:rsid w:val="00C1113C"/>
    <w:rsid w:val="00C1132E"/>
    <w:rsid w:val="00C11333"/>
    <w:rsid w:val="00C11353"/>
    <w:rsid w:val="00C1135B"/>
    <w:rsid w:val="00C11529"/>
    <w:rsid w:val="00C1173E"/>
    <w:rsid w:val="00C11825"/>
    <w:rsid w:val="00C11827"/>
    <w:rsid w:val="00C11B4E"/>
    <w:rsid w:val="00C11B73"/>
    <w:rsid w:val="00C11E9C"/>
    <w:rsid w:val="00C11F15"/>
    <w:rsid w:val="00C12056"/>
    <w:rsid w:val="00C12150"/>
    <w:rsid w:val="00C1217A"/>
    <w:rsid w:val="00C12268"/>
    <w:rsid w:val="00C12371"/>
    <w:rsid w:val="00C12472"/>
    <w:rsid w:val="00C1251E"/>
    <w:rsid w:val="00C125EC"/>
    <w:rsid w:val="00C126F5"/>
    <w:rsid w:val="00C12741"/>
    <w:rsid w:val="00C1274C"/>
    <w:rsid w:val="00C127D5"/>
    <w:rsid w:val="00C1282D"/>
    <w:rsid w:val="00C1292F"/>
    <w:rsid w:val="00C1296C"/>
    <w:rsid w:val="00C129ED"/>
    <w:rsid w:val="00C12A53"/>
    <w:rsid w:val="00C12BFF"/>
    <w:rsid w:val="00C12D17"/>
    <w:rsid w:val="00C12D4B"/>
    <w:rsid w:val="00C12E98"/>
    <w:rsid w:val="00C12EEF"/>
    <w:rsid w:val="00C13023"/>
    <w:rsid w:val="00C13035"/>
    <w:rsid w:val="00C13353"/>
    <w:rsid w:val="00C133B1"/>
    <w:rsid w:val="00C1356E"/>
    <w:rsid w:val="00C135D3"/>
    <w:rsid w:val="00C136B0"/>
    <w:rsid w:val="00C13708"/>
    <w:rsid w:val="00C137ED"/>
    <w:rsid w:val="00C1391D"/>
    <w:rsid w:val="00C13960"/>
    <w:rsid w:val="00C139B4"/>
    <w:rsid w:val="00C139CB"/>
    <w:rsid w:val="00C13A21"/>
    <w:rsid w:val="00C13A86"/>
    <w:rsid w:val="00C13D31"/>
    <w:rsid w:val="00C13EDB"/>
    <w:rsid w:val="00C13EE5"/>
    <w:rsid w:val="00C13EEE"/>
    <w:rsid w:val="00C14065"/>
    <w:rsid w:val="00C1419D"/>
    <w:rsid w:val="00C142AC"/>
    <w:rsid w:val="00C14379"/>
    <w:rsid w:val="00C143CB"/>
    <w:rsid w:val="00C1443C"/>
    <w:rsid w:val="00C14505"/>
    <w:rsid w:val="00C1450C"/>
    <w:rsid w:val="00C14548"/>
    <w:rsid w:val="00C1457B"/>
    <w:rsid w:val="00C14782"/>
    <w:rsid w:val="00C14866"/>
    <w:rsid w:val="00C1496B"/>
    <w:rsid w:val="00C14BF4"/>
    <w:rsid w:val="00C14C3A"/>
    <w:rsid w:val="00C14C99"/>
    <w:rsid w:val="00C14CAF"/>
    <w:rsid w:val="00C14E6B"/>
    <w:rsid w:val="00C14E81"/>
    <w:rsid w:val="00C14F07"/>
    <w:rsid w:val="00C14F9F"/>
    <w:rsid w:val="00C150F6"/>
    <w:rsid w:val="00C152CA"/>
    <w:rsid w:val="00C154A8"/>
    <w:rsid w:val="00C155F1"/>
    <w:rsid w:val="00C15619"/>
    <w:rsid w:val="00C15755"/>
    <w:rsid w:val="00C1583A"/>
    <w:rsid w:val="00C15856"/>
    <w:rsid w:val="00C158FB"/>
    <w:rsid w:val="00C15982"/>
    <w:rsid w:val="00C159FC"/>
    <w:rsid w:val="00C15A50"/>
    <w:rsid w:val="00C15AE3"/>
    <w:rsid w:val="00C15AF7"/>
    <w:rsid w:val="00C15B6C"/>
    <w:rsid w:val="00C15BCE"/>
    <w:rsid w:val="00C15C9B"/>
    <w:rsid w:val="00C15D19"/>
    <w:rsid w:val="00C15F8F"/>
    <w:rsid w:val="00C15FE9"/>
    <w:rsid w:val="00C16015"/>
    <w:rsid w:val="00C16130"/>
    <w:rsid w:val="00C16150"/>
    <w:rsid w:val="00C1620F"/>
    <w:rsid w:val="00C16214"/>
    <w:rsid w:val="00C16331"/>
    <w:rsid w:val="00C1639E"/>
    <w:rsid w:val="00C163F0"/>
    <w:rsid w:val="00C16531"/>
    <w:rsid w:val="00C16545"/>
    <w:rsid w:val="00C16578"/>
    <w:rsid w:val="00C165A3"/>
    <w:rsid w:val="00C16670"/>
    <w:rsid w:val="00C16842"/>
    <w:rsid w:val="00C16888"/>
    <w:rsid w:val="00C16990"/>
    <w:rsid w:val="00C16A39"/>
    <w:rsid w:val="00C16A5D"/>
    <w:rsid w:val="00C16B35"/>
    <w:rsid w:val="00C16B8D"/>
    <w:rsid w:val="00C16BDD"/>
    <w:rsid w:val="00C16C00"/>
    <w:rsid w:val="00C16C80"/>
    <w:rsid w:val="00C16CC9"/>
    <w:rsid w:val="00C16D2D"/>
    <w:rsid w:val="00C16F7E"/>
    <w:rsid w:val="00C16FC3"/>
    <w:rsid w:val="00C16FF0"/>
    <w:rsid w:val="00C17000"/>
    <w:rsid w:val="00C17079"/>
    <w:rsid w:val="00C170BF"/>
    <w:rsid w:val="00C171DB"/>
    <w:rsid w:val="00C1729C"/>
    <w:rsid w:val="00C172A1"/>
    <w:rsid w:val="00C173DC"/>
    <w:rsid w:val="00C1757F"/>
    <w:rsid w:val="00C178C6"/>
    <w:rsid w:val="00C179D5"/>
    <w:rsid w:val="00C17ADB"/>
    <w:rsid w:val="00C17AEC"/>
    <w:rsid w:val="00C17D5B"/>
    <w:rsid w:val="00C17E41"/>
    <w:rsid w:val="00C17EAF"/>
    <w:rsid w:val="00C17F38"/>
    <w:rsid w:val="00C2005C"/>
    <w:rsid w:val="00C200CB"/>
    <w:rsid w:val="00C202B0"/>
    <w:rsid w:val="00C2038B"/>
    <w:rsid w:val="00C203C4"/>
    <w:rsid w:val="00C20510"/>
    <w:rsid w:val="00C205AF"/>
    <w:rsid w:val="00C205C5"/>
    <w:rsid w:val="00C2084D"/>
    <w:rsid w:val="00C20B89"/>
    <w:rsid w:val="00C20CB3"/>
    <w:rsid w:val="00C20D25"/>
    <w:rsid w:val="00C20DD5"/>
    <w:rsid w:val="00C20DEC"/>
    <w:rsid w:val="00C20E38"/>
    <w:rsid w:val="00C20F0D"/>
    <w:rsid w:val="00C20F15"/>
    <w:rsid w:val="00C20F3F"/>
    <w:rsid w:val="00C20F65"/>
    <w:rsid w:val="00C20FE0"/>
    <w:rsid w:val="00C21028"/>
    <w:rsid w:val="00C210D8"/>
    <w:rsid w:val="00C213FF"/>
    <w:rsid w:val="00C21453"/>
    <w:rsid w:val="00C2162F"/>
    <w:rsid w:val="00C2172E"/>
    <w:rsid w:val="00C21770"/>
    <w:rsid w:val="00C218F1"/>
    <w:rsid w:val="00C21951"/>
    <w:rsid w:val="00C219E5"/>
    <w:rsid w:val="00C21B1A"/>
    <w:rsid w:val="00C21B53"/>
    <w:rsid w:val="00C21BB6"/>
    <w:rsid w:val="00C21D8D"/>
    <w:rsid w:val="00C21DD8"/>
    <w:rsid w:val="00C21E2B"/>
    <w:rsid w:val="00C21EC7"/>
    <w:rsid w:val="00C21F1B"/>
    <w:rsid w:val="00C21FEB"/>
    <w:rsid w:val="00C2211D"/>
    <w:rsid w:val="00C2213B"/>
    <w:rsid w:val="00C222F0"/>
    <w:rsid w:val="00C223D3"/>
    <w:rsid w:val="00C2243C"/>
    <w:rsid w:val="00C224C7"/>
    <w:rsid w:val="00C224F0"/>
    <w:rsid w:val="00C2257D"/>
    <w:rsid w:val="00C225ED"/>
    <w:rsid w:val="00C225FE"/>
    <w:rsid w:val="00C226CE"/>
    <w:rsid w:val="00C226CF"/>
    <w:rsid w:val="00C226DA"/>
    <w:rsid w:val="00C228C2"/>
    <w:rsid w:val="00C228C4"/>
    <w:rsid w:val="00C228EB"/>
    <w:rsid w:val="00C228F4"/>
    <w:rsid w:val="00C22906"/>
    <w:rsid w:val="00C22935"/>
    <w:rsid w:val="00C22949"/>
    <w:rsid w:val="00C22967"/>
    <w:rsid w:val="00C22B79"/>
    <w:rsid w:val="00C22D79"/>
    <w:rsid w:val="00C22D8F"/>
    <w:rsid w:val="00C22E32"/>
    <w:rsid w:val="00C22E52"/>
    <w:rsid w:val="00C22EA4"/>
    <w:rsid w:val="00C22EBF"/>
    <w:rsid w:val="00C22F68"/>
    <w:rsid w:val="00C22F77"/>
    <w:rsid w:val="00C22FEB"/>
    <w:rsid w:val="00C23079"/>
    <w:rsid w:val="00C2316B"/>
    <w:rsid w:val="00C2319C"/>
    <w:rsid w:val="00C231FC"/>
    <w:rsid w:val="00C2323F"/>
    <w:rsid w:val="00C2330B"/>
    <w:rsid w:val="00C23490"/>
    <w:rsid w:val="00C23684"/>
    <w:rsid w:val="00C23844"/>
    <w:rsid w:val="00C23919"/>
    <w:rsid w:val="00C2398E"/>
    <w:rsid w:val="00C2399A"/>
    <w:rsid w:val="00C23A51"/>
    <w:rsid w:val="00C23B3D"/>
    <w:rsid w:val="00C23B7B"/>
    <w:rsid w:val="00C23C2D"/>
    <w:rsid w:val="00C23C97"/>
    <w:rsid w:val="00C23D52"/>
    <w:rsid w:val="00C23D6F"/>
    <w:rsid w:val="00C23D87"/>
    <w:rsid w:val="00C23DC8"/>
    <w:rsid w:val="00C23E41"/>
    <w:rsid w:val="00C23F34"/>
    <w:rsid w:val="00C23FAE"/>
    <w:rsid w:val="00C23FEE"/>
    <w:rsid w:val="00C24005"/>
    <w:rsid w:val="00C2420F"/>
    <w:rsid w:val="00C2425E"/>
    <w:rsid w:val="00C242B6"/>
    <w:rsid w:val="00C243E1"/>
    <w:rsid w:val="00C243E9"/>
    <w:rsid w:val="00C243F1"/>
    <w:rsid w:val="00C24469"/>
    <w:rsid w:val="00C2451D"/>
    <w:rsid w:val="00C245DB"/>
    <w:rsid w:val="00C24640"/>
    <w:rsid w:val="00C24787"/>
    <w:rsid w:val="00C247B9"/>
    <w:rsid w:val="00C248F7"/>
    <w:rsid w:val="00C24BB8"/>
    <w:rsid w:val="00C24CA6"/>
    <w:rsid w:val="00C24CE4"/>
    <w:rsid w:val="00C24D23"/>
    <w:rsid w:val="00C24DB5"/>
    <w:rsid w:val="00C24DC7"/>
    <w:rsid w:val="00C24DF6"/>
    <w:rsid w:val="00C250F5"/>
    <w:rsid w:val="00C25130"/>
    <w:rsid w:val="00C25222"/>
    <w:rsid w:val="00C252FC"/>
    <w:rsid w:val="00C253DD"/>
    <w:rsid w:val="00C25416"/>
    <w:rsid w:val="00C25447"/>
    <w:rsid w:val="00C254DB"/>
    <w:rsid w:val="00C2554B"/>
    <w:rsid w:val="00C255DB"/>
    <w:rsid w:val="00C256E9"/>
    <w:rsid w:val="00C2580E"/>
    <w:rsid w:val="00C25824"/>
    <w:rsid w:val="00C2590E"/>
    <w:rsid w:val="00C25BB1"/>
    <w:rsid w:val="00C25C47"/>
    <w:rsid w:val="00C25C53"/>
    <w:rsid w:val="00C25CF4"/>
    <w:rsid w:val="00C25D86"/>
    <w:rsid w:val="00C25E20"/>
    <w:rsid w:val="00C25EF0"/>
    <w:rsid w:val="00C25F46"/>
    <w:rsid w:val="00C25F98"/>
    <w:rsid w:val="00C26096"/>
    <w:rsid w:val="00C260C0"/>
    <w:rsid w:val="00C26159"/>
    <w:rsid w:val="00C262D1"/>
    <w:rsid w:val="00C262E5"/>
    <w:rsid w:val="00C26443"/>
    <w:rsid w:val="00C26535"/>
    <w:rsid w:val="00C2653D"/>
    <w:rsid w:val="00C26667"/>
    <w:rsid w:val="00C26680"/>
    <w:rsid w:val="00C2689D"/>
    <w:rsid w:val="00C268A0"/>
    <w:rsid w:val="00C26901"/>
    <w:rsid w:val="00C26960"/>
    <w:rsid w:val="00C269DF"/>
    <w:rsid w:val="00C26B6D"/>
    <w:rsid w:val="00C26C14"/>
    <w:rsid w:val="00C26DD8"/>
    <w:rsid w:val="00C26E65"/>
    <w:rsid w:val="00C26EE5"/>
    <w:rsid w:val="00C270B6"/>
    <w:rsid w:val="00C2731E"/>
    <w:rsid w:val="00C274DD"/>
    <w:rsid w:val="00C27638"/>
    <w:rsid w:val="00C276B2"/>
    <w:rsid w:val="00C276EC"/>
    <w:rsid w:val="00C27761"/>
    <w:rsid w:val="00C27812"/>
    <w:rsid w:val="00C27815"/>
    <w:rsid w:val="00C27989"/>
    <w:rsid w:val="00C27A9A"/>
    <w:rsid w:val="00C27AA2"/>
    <w:rsid w:val="00C27B38"/>
    <w:rsid w:val="00C27B5F"/>
    <w:rsid w:val="00C27D39"/>
    <w:rsid w:val="00C27D61"/>
    <w:rsid w:val="00C27D66"/>
    <w:rsid w:val="00C27E69"/>
    <w:rsid w:val="00C27F37"/>
    <w:rsid w:val="00C300F7"/>
    <w:rsid w:val="00C30144"/>
    <w:rsid w:val="00C301E9"/>
    <w:rsid w:val="00C3022A"/>
    <w:rsid w:val="00C3028C"/>
    <w:rsid w:val="00C30512"/>
    <w:rsid w:val="00C30617"/>
    <w:rsid w:val="00C30620"/>
    <w:rsid w:val="00C3073E"/>
    <w:rsid w:val="00C30767"/>
    <w:rsid w:val="00C30897"/>
    <w:rsid w:val="00C308B2"/>
    <w:rsid w:val="00C30945"/>
    <w:rsid w:val="00C309B0"/>
    <w:rsid w:val="00C30AC7"/>
    <w:rsid w:val="00C30B4A"/>
    <w:rsid w:val="00C30C2F"/>
    <w:rsid w:val="00C30D07"/>
    <w:rsid w:val="00C30E82"/>
    <w:rsid w:val="00C3101F"/>
    <w:rsid w:val="00C31076"/>
    <w:rsid w:val="00C310AD"/>
    <w:rsid w:val="00C31174"/>
    <w:rsid w:val="00C31216"/>
    <w:rsid w:val="00C312ED"/>
    <w:rsid w:val="00C31432"/>
    <w:rsid w:val="00C31482"/>
    <w:rsid w:val="00C314D3"/>
    <w:rsid w:val="00C3151A"/>
    <w:rsid w:val="00C31572"/>
    <w:rsid w:val="00C315A7"/>
    <w:rsid w:val="00C3165C"/>
    <w:rsid w:val="00C316F0"/>
    <w:rsid w:val="00C31734"/>
    <w:rsid w:val="00C31756"/>
    <w:rsid w:val="00C317EB"/>
    <w:rsid w:val="00C317F2"/>
    <w:rsid w:val="00C31814"/>
    <w:rsid w:val="00C3181C"/>
    <w:rsid w:val="00C318BE"/>
    <w:rsid w:val="00C3192C"/>
    <w:rsid w:val="00C31941"/>
    <w:rsid w:val="00C319CE"/>
    <w:rsid w:val="00C31A9F"/>
    <w:rsid w:val="00C31B4B"/>
    <w:rsid w:val="00C31B92"/>
    <w:rsid w:val="00C31C88"/>
    <w:rsid w:val="00C31CAD"/>
    <w:rsid w:val="00C31D04"/>
    <w:rsid w:val="00C31D46"/>
    <w:rsid w:val="00C31E07"/>
    <w:rsid w:val="00C31E21"/>
    <w:rsid w:val="00C320BC"/>
    <w:rsid w:val="00C32227"/>
    <w:rsid w:val="00C3227A"/>
    <w:rsid w:val="00C323CB"/>
    <w:rsid w:val="00C32473"/>
    <w:rsid w:val="00C324B6"/>
    <w:rsid w:val="00C324D5"/>
    <w:rsid w:val="00C32525"/>
    <w:rsid w:val="00C325D5"/>
    <w:rsid w:val="00C32642"/>
    <w:rsid w:val="00C32648"/>
    <w:rsid w:val="00C32775"/>
    <w:rsid w:val="00C32776"/>
    <w:rsid w:val="00C327D3"/>
    <w:rsid w:val="00C327F5"/>
    <w:rsid w:val="00C3294A"/>
    <w:rsid w:val="00C3294C"/>
    <w:rsid w:val="00C32A32"/>
    <w:rsid w:val="00C32AFB"/>
    <w:rsid w:val="00C32B85"/>
    <w:rsid w:val="00C32BAE"/>
    <w:rsid w:val="00C32C3D"/>
    <w:rsid w:val="00C32C5B"/>
    <w:rsid w:val="00C32D08"/>
    <w:rsid w:val="00C32F93"/>
    <w:rsid w:val="00C3300B"/>
    <w:rsid w:val="00C3304E"/>
    <w:rsid w:val="00C33079"/>
    <w:rsid w:val="00C33230"/>
    <w:rsid w:val="00C3323A"/>
    <w:rsid w:val="00C332B0"/>
    <w:rsid w:val="00C33329"/>
    <w:rsid w:val="00C33336"/>
    <w:rsid w:val="00C33387"/>
    <w:rsid w:val="00C3342A"/>
    <w:rsid w:val="00C3358F"/>
    <w:rsid w:val="00C33621"/>
    <w:rsid w:val="00C33656"/>
    <w:rsid w:val="00C3378A"/>
    <w:rsid w:val="00C33878"/>
    <w:rsid w:val="00C339F7"/>
    <w:rsid w:val="00C33A1D"/>
    <w:rsid w:val="00C33A2D"/>
    <w:rsid w:val="00C33B1A"/>
    <w:rsid w:val="00C33B23"/>
    <w:rsid w:val="00C33C88"/>
    <w:rsid w:val="00C33CEC"/>
    <w:rsid w:val="00C33CFC"/>
    <w:rsid w:val="00C33D07"/>
    <w:rsid w:val="00C33D70"/>
    <w:rsid w:val="00C33DB4"/>
    <w:rsid w:val="00C33EDC"/>
    <w:rsid w:val="00C3403F"/>
    <w:rsid w:val="00C343BC"/>
    <w:rsid w:val="00C34428"/>
    <w:rsid w:val="00C34535"/>
    <w:rsid w:val="00C345F7"/>
    <w:rsid w:val="00C34691"/>
    <w:rsid w:val="00C346D7"/>
    <w:rsid w:val="00C34759"/>
    <w:rsid w:val="00C34A72"/>
    <w:rsid w:val="00C34AB3"/>
    <w:rsid w:val="00C34ABB"/>
    <w:rsid w:val="00C34B5E"/>
    <w:rsid w:val="00C34BF6"/>
    <w:rsid w:val="00C34C8E"/>
    <w:rsid w:val="00C34D3A"/>
    <w:rsid w:val="00C34E2D"/>
    <w:rsid w:val="00C34F5F"/>
    <w:rsid w:val="00C34F6A"/>
    <w:rsid w:val="00C350C7"/>
    <w:rsid w:val="00C350CD"/>
    <w:rsid w:val="00C350E0"/>
    <w:rsid w:val="00C3523B"/>
    <w:rsid w:val="00C35272"/>
    <w:rsid w:val="00C3541C"/>
    <w:rsid w:val="00C35562"/>
    <w:rsid w:val="00C35586"/>
    <w:rsid w:val="00C355D0"/>
    <w:rsid w:val="00C35718"/>
    <w:rsid w:val="00C35832"/>
    <w:rsid w:val="00C3591C"/>
    <w:rsid w:val="00C35A31"/>
    <w:rsid w:val="00C35A9D"/>
    <w:rsid w:val="00C35AE3"/>
    <w:rsid w:val="00C35AF0"/>
    <w:rsid w:val="00C35B52"/>
    <w:rsid w:val="00C35BBB"/>
    <w:rsid w:val="00C35E01"/>
    <w:rsid w:val="00C3602A"/>
    <w:rsid w:val="00C3632A"/>
    <w:rsid w:val="00C36355"/>
    <w:rsid w:val="00C363A7"/>
    <w:rsid w:val="00C363D5"/>
    <w:rsid w:val="00C36634"/>
    <w:rsid w:val="00C36651"/>
    <w:rsid w:val="00C366C7"/>
    <w:rsid w:val="00C36730"/>
    <w:rsid w:val="00C367D4"/>
    <w:rsid w:val="00C3698C"/>
    <w:rsid w:val="00C36993"/>
    <w:rsid w:val="00C36A46"/>
    <w:rsid w:val="00C36B69"/>
    <w:rsid w:val="00C36C19"/>
    <w:rsid w:val="00C36CE1"/>
    <w:rsid w:val="00C36D0A"/>
    <w:rsid w:val="00C36D20"/>
    <w:rsid w:val="00C36EDB"/>
    <w:rsid w:val="00C36F70"/>
    <w:rsid w:val="00C36FC0"/>
    <w:rsid w:val="00C37035"/>
    <w:rsid w:val="00C370C5"/>
    <w:rsid w:val="00C3736F"/>
    <w:rsid w:val="00C37394"/>
    <w:rsid w:val="00C374B6"/>
    <w:rsid w:val="00C37516"/>
    <w:rsid w:val="00C37911"/>
    <w:rsid w:val="00C37913"/>
    <w:rsid w:val="00C37999"/>
    <w:rsid w:val="00C3799A"/>
    <w:rsid w:val="00C379F8"/>
    <w:rsid w:val="00C37A01"/>
    <w:rsid w:val="00C37A2B"/>
    <w:rsid w:val="00C37AC4"/>
    <w:rsid w:val="00C37B05"/>
    <w:rsid w:val="00C37BDF"/>
    <w:rsid w:val="00C37C8F"/>
    <w:rsid w:val="00C37CD3"/>
    <w:rsid w:val="00C37D94"/>
    <w:rsid w:val="00C37ECE"/>
    <w:rsid w:val="00C37F9E"/>
    <w:rsid w:val="00C37FCF"/>
    <w:rsid w:val="00C400CB"/>
    <w:rsid w:val="00C400DD"/>
    <w:rsid w:val="00C40320"/>
    <w:rsid w:val="00C4032B"/>
    <w:rsid w:val="00C4032F"/>
    <w:rsid w:val="00C4039D"/>
    <w:rsid w:val="00C403E4"/>
    <w:rsid w:val="00C40409"/>
    <w:rsid w:val="00C404D4"/>
    <w:rsid w:val="00C4051E"/>
    <w:rsid w:val="00C4059E"/>
    <w:rsid w:val="00C40629"/>
    <w:rsid w:val="00C406E3"/>
    <w:rsid w:val="00C40749"/>
    <w:rsid w:val="00C407DF"/>
    <w:rsid w:val="00C409C5"/>
    <w:rsid w:val="00C409FD"/>
    <w:rsid w:val="00C40A4B"/>
    <w:rsid w:val="00C40A6D"/>
    <w:rsid w:val="00C40AF2"/>
    <w:rsid w:val="00C40B8F"/>
    <w:rsid w:val="00C40D1D"/>
    <w:rsid w:val="00C40E58"/>
    <w:rsid w:val="00C40E91"/>
    <w:rsid w:val="00C40EE1"/>
    <w:rsid w:val="00C41039"/>
    <w:rsid w:val="00C41061"/>
    <w:rsid w:val="00C41074"/>
    <w:rsid w:val="00C41188"/>
    <w:rsid w:val="00C41203"/>
    <w:rsid w:val="00C41239"/>
    <w:rsid w:val="00C412CA"/>
    <w:rsid w:val="00C412F1"/>
    <w:rsid w:val="00C413B7"/>
    <w:rsid w:val="00C414D1"/>
    <w:rsid w:val="00C414E3"/>
    <w:rsid w:val="00C414E9"/>
    <w:rsid w:val="00C414F0"/>
    <w:rsid w:val="00C41540"/>
    <w:rsid w:val="00C41606"/>
    <w:rsid w:val="00C41697"/>
    <w:rsid w:val="00C416B5"/>
    <w:rsid w:val="00C41748"/>
    <w:rsid w:val="00C4176F"/>
    <w:rsid w:val="00C41823"/>
    <w:rsid w:val="00C418E7"/>
    <w:rsid w:val="00C41A39"/>
    <w:rsid w:val="00C41AE3"/>
    <w:rsid w:val="00C41B68"/>
    <w:rsid w:val="00C41B93"/>
    <w:rsid w:val="00C41C6F"/>
    <w:rsid w:val="00C41CD5"/>
    <w:rsid w:val="00C41CFB"/>
    <w:rsid w:val="00C41D65"/>
    <w:rsid w:val="00C41E1B"/>
    <w:rsid w:val="00C41E29"/>
    <w:rsid w:val="00C41E45"/>
    <w:rsid w:val="00C41E6C"/>
    <w:rsid w:val="00C420CE"/>
    <w:rsid w:val="00C421E3"/>
    <w:rsid w:val="00C421F2"/>
    <w:rsid w:val="00C42210"/>
    <w:rsid w:val="00C4221B"/>
    <w:rsid w:val="00C422A5"/>
    <w:rsid w:val="00C422BB"/>
    <w:rsid w:val="00C423A7"/>
    <w:rsid w:val="00C42492"/>
    <w:rsid w:val="00C42541"/>
    <w:rsid w:val="00C4256E"/>
    <w:rsid w:val="00C425F3"/>
    <w:rsid w:val="00C426EE"/>
    <w:rsid w:val="00C4285F"/>
    <w:rsid w:val="00C42882"/>
    <w:rsid w:val="00C42987"/>
    <w:rsid w:val="00C429AA"/>
    <w:rsid w:val="00C42C57"/>
    <w:rsid w:val="00C42C76"/>
    <w:rsid w:val="00C42DC9"/>
    <w:rsid w:val="00C42EF6"/>
    <w:rsid w:val="00C4315C"/>
    <w:rsid w:val="00C431E9"/>
    <w:rsid w:val="00C4326C"/>
    <w:rsid w:val="00C43357"/>
    <w:rsid w:val="00C43385"/>
    <w:rsid w:val="00C43441"/>
    <w:rsid w:val="00C43483"/>
    <w:rsid w:val="00C43549"/>
    <w:rsid w:val="00C43681"/>
    <w:rsid w:val="00C436A2"/>
    <w:rsid w:val="00C43774"/>
    <w:rsid w:val="00C4385E"/>
    <w:rsid w:val="00C438CD"/>
    <w:rsid w:val="00C4396A"/>
    <w:rsid w:val="00C43BB5"/>
    <w:rsid w:val="00C43BE7"/>
    <w:rsid w:val="00C43C63"/>
    <w:rsid w:val="00C43C6C"/>
    <w:rsid w:val="00C43CEA"/>
    <w:rsid w:val="00C43D32"/>
    <w:rsid w:val="00C43E93"/>
    <w:rsid w:val="00C43EAA"/>
    <w:rsid w:val="00C43F3C"/>
    <w:rsid w:val="00C4401D"/>
    <w:rsid w:val="00C44058"/>
    <w:rsid w:val="00C441E2"/>
    <w:rsid w:val="00C44223"/>
    <w:rsid w:val="00C4425B"/>
    <w:rsid w:val="00C442DA"/>
    <w:rsid w:val="00C442E3"/>
    <w:rsid w:val="00C44432"/>
    <w:rsid w:val="00C44531"/>
    <w:rsid w:val="00C4468C"/>
    <w:rsid w:val="00C446A2"/>
    <w:rsid w:val="00C446AB"/>
    <w:rsid w:val="00C44764"/>
    <w:rsid w:val="00C4482B"/>
    <w:rsid w:val="00C44967"/>
    <w:rsid w:val="00C44A02"/>
    <w:rsid w:val="00C44A1D"/>
    <w:rsid w:val="00C44CB3"/>
    <w:rsid w:val="00C44D91"/>
    <w:rsid w:val="00C44E2C"/>
    <w:rsid w:val="00C44E45"/>
    <w:rsid w:val="00C44E4D"/>
    <w:rsid w:val="00C44E80"/>
    <w:rsid w:val="00C44E85"/>
    <w:rsid w:val="00C450D1"/>
    <w:rsid w:val="00C45195"/>
    <w:rsid w:val="00C4520D"/>
    <w:rsid w:val="00C45329"/>
    <w:rsid w:val="00C45473"/>
    <w:rsid w:val="00C454F1"/>
    <w:rsid w:val="00C45670"/>
    <w:rsid w:val="00C4570E"/>
    <w:rsid w:val="00C45848"/>
    <w:rsid w:val="00C458ED"/>
    <w:rsid w:val="00C458F9"/>
    <w:rsid w:val="00C45936"/>
    <w:rsid w:val="00C45983"/>
    <w:rsid w:val="00C459A3"/>
    <w:rsid w:val="00C45AC5"/>
    <w:rsid w:val="00C45AF9"/>
    <w:rsid w:val="00C45B45"/>
    <w:rsid w:val="00C45CBA"/>
    <w:rsid w:val="00C45CD1"/>
    <w:rsid w:val="00C45E87"/>
    <w:rsid w:val="00C45FB7"/>
    <w:rsid w:val="00C460C2"/>
    <w:rsid w:val="00C460F8"/>
    <w:rsid w:val="00C46169"/>
    <w:rsid w:val="00C463ED"/>
    <w:rsid w:val="00C463FD"/>
    <w:rsid w:val="00C46470"/>
    <w:rsid w:val="00C46544"/>
    <w:rsid w:val="00C46552"/>
    <w:rsid w:val="00C46583"/>
    <w:rsid w:val="00C46721"/>
    <w:rsid w:val="00C4673C"/>
    <w:rsid w:val="00C4684E"/>
    <w:rsid w:val="00C4686D"/>
    <w:rsid w:val="00C46979"/>
    <w:rsid w:val="00C469B4"/>
    <w:rsid w:val="00C469C6"/>
    <w:rsid w:val="00C469D1"/>
    <w:rsid w:val="00C46A9A"/>
    <w:rsid w:val="00C46AFD"/>
    <w:rsid w:val="00C46B72"/>
    <w:rsid w:val="00C46B87"/>
    <w:rsid w:val="00C46C1C"/>
    <w:rsid w:val="00C46C9A"/>
    <w:rsid w:val="00C46DB8"/>
    <w:rsid w:val="00C46DD9"/>
    <w:rsid w:val="00C46DFB"/>
    <w:rsid w:val="00C46ED7"/>
    <w:rsid w:val="00C46F93"/>
    <w:rsid w:val="00C4713F"/>
    <w:rsid w:val="00C471CA"/>
    <w:rsid w:val="00C47201"/>
    <w:rsid w:val="00C4727D"/>
    <w:rsid w:val="00C473AE"/>
    <w:rsid w:val="00C473D8"/>
    <w:rsid w:val="00C473E6"/>
    <w:rsid w:val="00C47470"/>
    <w:rsid w:val="00C474CE"/>
    <w:rsid w:val="00C477E9"/>
    <w:rsid w:val="00C47831"/>
    <w:rsid w:val="00C47880"/>
    <w:rsid w:val="00C478BF"/>
    <w:rsid w:val="00C47908"/>
    <w:rsid w:val="00C47915"/>
    <w:rsid w:val="00C47983"/>
    <w:rsid w:val="00C47A1B"/>
    <w:rsid w:val="00C47A2A"/>
    <w:rsid w:val="00C47A84"/>
    <w:rsid w:val="00C47B68"/>
    <w:rsid w:val="00C47B89"/>
    <w:rsid w:val="00C47C84"/>
    <w:rsid w:val="00C47CBA"/>
    <w:rsid w:val="00C47DF9"/>
    <w:rsid w:val="00C47F1E"/>
    <w:rsid w:val="00C500E7"/>
    <w:rsid w:val="00C50137"/>
    <w:rsid w:val="00C501FB"/>
    <w:rsid w:val="00C502EE"/>
    <w:rsid w:val="00C504C5"/>
    <w:rsid w:val="00C504D8"/>
    <w:rsid w:val="00C50754"/>
    <w:rsid w:val="00C507A3"/>
    <w:rsid w:val="00C507DF"/>
    <w:rsid w:val="00C50A36"/>
    <w:rsid w:val="00C50B41"/>
    <w:rsid w:val="00C50B98"/>
    <w:rsid w:val="00C50CC7"/>
    <w:rsid w:val="00C50D2F"/>
    <w:rsid w:val="00C50D5C"/>
    <w:rsid w:val="00C50E59"/>
    <w:rsid w:val="00C50E8A"/>
    <w:rsid w:val="00C50EF5"/>
    <w:rsid w:val="00C50F13"/>
    <w:rsid w:val="00C51000"/>
    <w:rsid w:val="00C51013"/>
    <w:rsid w:val="00C51092"/>
    <w:rsid w:val="00C51260"/>
    <w:rsid w:val="00C51280"/>
    <w:rsid w:val="00C51319"/>
    <w:rsid w:val="00C51371"/>
    <w:rsid w:val="00C513CD"/>
    <w:rsid w:val="00C51433"/>
    <w:rsid w:val="00C51477"/>
    <w:rsid w:val="00C51541"/>
    <w:rsid w:val="00C5166F"/>
    <w:rsid w:val="00C516A5"/>
    <w:rsid w:val="00C51818"/>
    <w:rsid w:val="00C51840"/>
    <w:rsid w:val="00C51848"/>
    <w:rsid w:val="00C51891"/>
    <w:rsid w:val="00C51A58"/>
    <w:rsid w:val="00C51AF0"/>
    <w:rsid w:val="00C51B15"/>
    <w:rsid w:val="00C51C09"/>
    <w:rsid w:val="00C51CAA"/>
    <w:rsid w:val="00C51CED"/>
    <w:rsid w:val="00C51EF0"/>
    <w:rsid w:val="00C51FA3"/>
    <w:rsid w:val="00C51FBB"/>
    <w:rsid w:val="00C5200C"/>
    <w:rsid w:val="00C52248"/>
    <w:rsid w:val="00C52252"/>
    <w:rsid w:val="00C523CB"/>
    <w:rsid w:val="00C52486"/>
    <w:rsid w:val="00C5251A"/>
    <w:rsid w:val="00C52636"/>
    <w:rsid w:val="00C52642"/>
    <w:rsid w:val="00C526B1"/>
    <w:rsid w:val="00C52755"/>
    <w:rsid w:val="00C52773"/>
    <w:rsid w:val="00C5290C"/>
    <w:rsid w:val="00C529B4"/>
    <w:rsid w:val="00C529D0"/>
    <w:rsid w:val="00C52A25"/>
    <w:rsid w:val="00C52C1B"/>
    <w:rsid w:val="00C52D62"/>
    <w:rsid w:val="00C52D85"/>
    <w:rsid w:val="00C52D9E"/>
    <w:rsid w:val="00C52E00"/>
    <w:rsid w:val="00C52ECE"/>
    <w:rsid w:val="00C52F30"/>
    <w:rsid w:val="00C5313D"/>
    <w:rsid w:val="00C5318D"/>
    <w:rsid w:val="00C5323B"/>
    <w:rsid w:val="00C5323C"/>
    <w:rsid w:val="00C532AC"/>
    <w:rsid w:val="00C5330E"/>
    <w:rsid w:val="00C5331B"/>
    <w:rsid w:val="00C5334A"/>
    <w:rsid w:val="00C53361"/>
    <w:rsid w:val="00C53370"/>
    <w:rsid w:val="00C53433"/>
    <w:rsid w:val="00C534E9"/>
    <w:rsid w:val="00C53564"/>
    <w:rsid w:val="00C53769"/>
    <w:rsid w:val="00C537C1"/>
    <w:rsid w:val="00C53850"/>
    <w:rsid w:val="00C538A4"/>
    <w:rsid w:val="00C538C4"/>
    <w:rsid w:val="00C538F2"/>
    <w:rsid w:val="00C5394B"/>
    <w:rsid w:val="00C539C3"/>
    <w:rsid w:val="00C53A1E"/>
    <w:rsid w:val="00C53AD8"/>
    <w:rsid w:val="00C53BF3"/>
    <w:rsid w:val="00C53D27"/>
    <w:rsid w:val="00C53E3C"/>
    <w:rsid w:val="00C53E5E"/>
    <w:rsid w:val="00C54022"/>
    <w:rsid w:val="00C54032"/>
    <w:rsid w:val="00C54134"/>
    <w:rsid w:val="00C541B7"/>
    <w:rsid w:val="00C5422C"/>
    <w:rsid w:val="00C54548"/>
    <w:rsid w:val="00C545AD"/>
    <w:rsid w:val="00C5465A"/>
    <w:rsid w:val="00C5466D"/>
    <w:rsid w:val="00C54693"/>
    <w:rsid w:val="00C54742"/>
    <w:rsid w:val="00C548A0"/>
    <w:rsid w:val="00C548F1"/>
    <w:rsid w:val="00C549A9"/>
    <w:rsid w:val="00C54A9E"/>
    <w:rsid w:val="00C54AC0"/>
    <w:rsid w:val="00C54B86"/>
    <w:rsid w:val="00C54D1A"/>
    <w:rsid w:val="00C54D7B"/>
    <w:rsid w:val="00C54EBE"/>
    <w:rsid w:val="00C54EF4"/>
    <w:rsid w:val="00C54F03"/>
    <w:rsid w:val="00C55081"/>
    <w:rsid w:val="00C5515A"/>
    <w:rsid w:val="00C55179"/>
    <w:rsid w:val="00C5517A"/>
    <w:rsid w:val="00C55196"/>
    <w:rsid w:val="00C551A5"/>
    <w:rsid w:val="00C551ED"/>
    <w:rsid w:val="00C55226"/>
    <w:rsid w:val="00C55461"/>
    <w:rsid w:val="00C555F2"/>
    <w:rsid w:val="00C55612"/>
    <w:rsid w:val="00C5569C"/>
    <w:rsid w:val="00C556C7"/>
    <w:rsid w:val="00C55814"/>
    <w:rsid w:val="00C559AE"/>
    <w:rsid w:val="00C55B16"/>
    <w:rsid w:val="00C55B57"/>
    <w:rsid w:val="00C55C24"/>
    <w:rsid w:val="00C55DDD"/>
    <w:rsid w:val="00C55E15"/>
    <w:rsid w:val="00C55E82"/>
    <w:rsid w:val="00C55EDE"/>
    <w:rsid w:val="00C56266"/>
    <w:rsid w:val="00C562B5"/>
    <w:rsid w:val="00C5638D"/>
    <w:rsid w:val="00C56528"/>
    <w:rsid w:val="00C566D0"/>
    <w:rsid w:val="00C56AAD"/>
    <w:rsid w:val="00C56B9B"/>
    <w:rsid w:val="00C56C7A"/>
    <w:rsid w:val="00C56D23"/>
    <w:rsid w:val="00C56D67"/>
    <w:rsid w:val="00C56DCE"/>
    <w:rsid w:val="00C56E54"/>
    <w:rsid w:val="00C56F5C"/>
    <w:rsid w:val="00C56F9E"/>
    <w:rsid w:val="00C57154"/>
    <w:rsid w:val="00C5718F"/>
    <w:rsid w:val="00C571FB"/>
    <w:rsid w:val="00C5729A"/>
    <w:rsid w:val="00C5733B"/>
    <w:rsid w:val="00C573D4"/>
    <w:rsid w:val="00C573F0"/>
    <w:rsid w:val="00C57401"/>
    <w:rsid w:val="00C574AA"/>
    <w:rsid w:val="00C574D1"/>
    <w:rsid w:val="00C57784"/>
    <w:rsid w:val="00C57A1E"/>
    <w:rsid w:val="00C57B0F"/>
    <w:rsid w:val="00C57B59"/>
    <w:rsid w:val="00C57C02"/>
    <w:rsid w:val="00C57C2B"/>
    <w:rsid w:val="00C57E21"/>
    <w:rsid w:val="00C600AE"/>
    <w:rsid w:val="00C60142"/>
    <w:rsid w:val="00C60154"/>
    <w:rsid w:val="00C602A9"/>
    <w:rsid w:val="00C603DD"/>
    <w:rsid w:val="00C603EA"/>
    <w:rsid w:val="00C603F8"/>
    <w:rsid w:val="00C60457"/>
    <w:rsid w:val="00C60493"/>
    <w:rsid w:val="00C605E8"/>
    <w:rsid w:val="00C60637"/>
    <w:rsid w:val="00C607A4"/>
    <w:rsid w:val="00C608E7"/>
    <w:rsid w:val="00C60972"/>
    <w:rsid w:val="00C609BA"/>
    <w:rsid w:val="00C60BB1"/>
    <w:rsid w:val="00C60D15"/>
    <w:rsid w:val="00C60D45"/>
    <w:rsid w:val="00C60EAA"/>
    <w:rsid w:val="00C60FD1"/>
    <w:rsid w:val="00C6102B"/>
    <w:rsid w:val="00C6104A"/>
    <w:rsid w:val="00C61094"/>
    <w:rsid w:val="00C610A6"/>
    <w:rsid w:val="00C610E1"/>
    <w:rsid w:val="00C6114F"/>
    <w:rsid w:val="00C611D4"/>
    <w:rsid w:val="00C6125F"/>
    <w:rsid w:val="00C61368"/>
    <w:rsid w:val="00C613A7"/>
    <w:rsid w:val="00C613A9"/>
    <w:rsid w:val="00C6167B"/>
    <w:rsid w:val="00C61735"/>
    <w:rsid w:val="00C617AF"/>
    <w:rsid w:val="00C618F4"/>
    <w:rsid w:val="00C6198E"/>
    <w:rsid w:val="00C61A4D"/>
    <w:rsid w:val="00C61BB2"/>
    <w:rsid w:val="00C61CB9"/>
    <w:rsid w:val="00C61D1D"/>
    <w:rsid w:val="00C61D7A"/>
    <w:rsid w:val="00C61E46"/>
    <w:rsid w:val="00C61E4D"/>
    <w:rsid w:val="00C620CA"/>
    <w:rsid w:val="00C620D6"/>
    <w:rsid w:val="00C620D7"/>
    <w:rsid w:val="00C6221B"/>
    <w:rsid w:val="00C62537"/>
    <w:rsid w:val="00C62592"/>
    <w:rsid w:val="00C625FF"/>
    <w:rsid w:val="00C62601"/>
    <w:rsid w:val="00C6260E"/>
    <w:rsid w:val="00C62940"/>
    <w:rsid w:val="00C629A1"/>
    <w:rsid w:val="00C62A1C"/>
    <w:rsid w:val="00C62D15"/>
    <w:rsid w:val="00C62D17"/>
    <w:rsid w:val="00C62DCF"/>
    <w:rsid w:val="00C62E1D"/>
    <w:rsid w:val="00C62F24"/>
    <w:rsid w:val="00C63105"/>
    <w:rsid w:val="00C63117"/>
    <w:rsid w:val="00C63153"/>
    <w:rsid w:val="00C632C0"/>
    <w:rsid w:val="00C63325"/>
    <w:rsid w:val="00C63358"/>
    <w:rsid w:val="00C633D7"/>
    <w:rsid w:val="00C63409"/>
    <w:rsid w:val="00C6341A"/>
    <w:rsid w:val="00C63436"/>
    <w:rsid w:val="00C63443"/>
    <w:rsid w:val="00C634CF"/>
    <w:rsid w:val="00C63707"/>
    <w:rsid w:val="00C6372C"/>
    <w:rsid w:val="00C63776"/>
    <w:rsid w:val="00C638C0"/>
    <w:rsid w:val="00C638D7"/>
    <w:rsid w:val="00C6391D"/>
    <w:rsid w:val="00C6396F"/>
    <w:rsid w:val="00C63A3F"/>
    <w:rsid w:val="00C63AC5"/>
    <w:rsid w:val="00C63ADE"/>
    <w:rsid w:val="00C63B10"/>
    <w:rsid w:val="00C63B1F"/>
    <w:rsid w:val="00C63CE4"/>
    <w:rsid w:val="00C63CFE"/>
    <w:rsid w:val="00C63D2A"/>
    <w:rsid w:val="00C63D46"/>
    <w:rsid w:val="00C63D6E"/>
    <w:rsid w:val="00C63DCD"/>
    <w:rsid w:val="00C63EEE"/>
    <w:rsid w:val="00C63F96"/>
    <w:rsid w:val="00C64185"/>
    <w:rsid w:val="00C64191"/>
    <w:rsid w:val="00C642B1"/>
    <w:rsid w:val="00C64357"/>
    <w:rsid w:val="00C64389"/>
    <w:rsid w:val="00C64390"/>
    <w:rsid w:val="00C64545"/>
    <w:rsid w:val="00C647BB"/>
    <w:rsid w:val="00C64870"/>
    <w:rsid w:val="00C648C4"/>
    <w:rsid w:val="00C64920"/>
    <w:rsid w:val="00C649D0"/>
    <w:rsid w:val="00C649E4"/>
    <w:rsid w:val="00C64A81"/>
    <w:rsid w:val="00C64C8D"/>
    <w:rsid w:val="00C64CB1"/>
    <w:rsid w:val="00C64D2A"/>
    <w:rsid w:val="00C64D9A"/>
    <w:rsid w:val="00C64F14"/>
    <w:rsid w:val="00C64F29"/>
    <w:rsid w:val="00C64F57"/>
    <w:rsid w:val="00C64F59"/>
    <w:rsid w:val="00C65048"/>
    <w:rsid w:val="00C651B3"/>
    <w:rsid w:val="00C65241"/>
    <w:rsid w:val="00C65242"/>
    <w:rsid w:val="00C65288"/>
    <w:rsid w:val="00C653CC"/>
    <w:rsid w:val="00C65413"/>
    <w:rsid w:val="00C65421"/>
    <w:rsid w:val="00C65480"/>
    <w:rsid w:val="00C65752"/>
    <w:rsid w:val="00C657E9"/>
    <w:rsid w:val="00C65807"/>
    <w:rsid w:val="00C65948"/>
    <w:rsid w:val="00C65AFF"/>
    <w:rsid w:val="00C65BC8"/>
    <w:rsid w:val="00C65C6C"/>
    <w:rsid w:val="00C65CBF"/>
    <w:rsid w:val="00C65CE0"/>
    <w:rsid w:val="00C65CE2"/>
    <w:rsid w:val="00C65F51"/>
    <w:rsid w:val="00C65F67"/>
    <w:rsid w:val="00C66290"/>
    <w:rsid w:val="00C662F4"/>
    <w:rsid w:val="00C6632D"/>
    <w:rsid w:val="00C6640C"/>
    <w:rsid w:val="00C66446"/>
    <w:rsid w:val="00C66649"/>
    <w:rsid w:val="00C667A2"/>
    <w:rsid w:val="00C6684F"/>
    <w:rsid w:val="00C669F1"/>
    <w:rsid w:val="00C669FB"/>
    <w:rsid w:val="00C66A21"/>
    <w:rsid w:val="00C66AF4"/>
    <w:rsid w:val="00C66B16"/>
    <w:rsid w:val="00C66BD6"/>
    <w:rsid w:val="00C66BFA"/>
    <w:rsid w:val="00C66BFF"/>
    <w:rsid w:val="00C66CB6"/>
    <w:rsid w:val="00C66D11"/>
    <w:rsid w:val="00C66D5C"/>
    <w:rsid w:val="00C67033"/>
    <w:rsid w:val="00C67034"/>
    <w:rsid w:val="00C6713B"/>
    <w:rsid w:val="00C6719D"/>
    <w:rsid w:val="00C672F0"/>
    <w:rsid w:val="00C675D8"/>
    <w:rsid w:val="00C67660"/>
    <w:rsid w:val="00C6776B"/>
    <w:rsid w:val="00C67A5F"/>
    <w:rsid w:val="00C67AE3"/>
    <w:rsid w:val="00C67B3F"/>
    <w:rsid w:val="00C67B83"/>
    <w:rsid w:val="00C67CDD"/>
    <w:rsid w:val="00C67CFF"/>
    <w:rsid w:val="00C67DC8"/>
    <w:rsid w:val="00C67DD9"/>
    <w:rsid w:val="00C67E16"/>
    <w:rsid w:val="00C67F03"/>
    <w:rsid w:val="00C70003"/>
    <w:rsid w:val="00C70073"/>
    <w:rsid w:val="00C700DA"/>
    <w:rsid w:val="00C70115"/>
    <w:rsid w:val="00C701B0"/>
    <w:rsid w:val="00C7025B"/>
    <w:rsid w:val="00C70619"/>
    <w:rsid w:val="00C7086B"/>
    <w:rsid w:val="00C709ED"/>
    <w:rsid w:val="00C70F64"/>
    <w:rsid w:val="00C70F9E"/>
    <w:rsid w:val="00C711C3"/>
    <w:rsid w:val="00C71228"/>
    <w:rsid w:val="00C7126A"/>
    <w:rsid w:val="00C7127B"/>
    <w:rsid w:val="00C71383"/>
    <w:rsid w:val="00C71411"/>
    <w:rsid w:val="00C714B9"/>
    <w:rsid w:val="00C715C3"/>
    <w:rsid w:val="00C71641"/>
    <w:rsid w:val="00C71791"/>
    <w:rsid w:val="00C717B2"/>
    <w:rsid w:val="00C717ED"/>
    <w:rsid w:val="00C718A4"/>
    <w:rsid w:val="00C718B5"/>
    <w:rsid w:val="00C7194B"/>
    <w:rsid w:val="00C71952"/>
    <w:rsid w:val="00C71D3E"/>
    <w:rsid w:val="00C71E11"/>
    <w:rsid w:val="00C71FCA"/>
    <w:rsid w:val="00C72049"/>
    <w:rsid w:val="00C720D2"/>
    <w:rsid w:val="00C721CB"/>
    <w:rsid w:val="00C721DD"/>
    <w:rsid w:val="00C721F9"/>
    <w:rsid w:val="00C72432"/>
    <w:rsid w:val="00C7248D"/>
    <w:rsid w:val="00C72563"/>
    <w:rsid w:val="00C7258E"/>
    <w:rsid w:val="00C725DB"/>
    <w:rsid w:val="00C72634"/>
    <w:rsid w:val="00C726B8"/>
    <w:rsid w:val="00C7278A"/>
    <w:rsid w:val="00C728FB"/>
    <w:rsid w:val="00C72A0B"/>
    <w:rsid w:val="00C72A59"/>
    <w:rsid w:val="00C72AAA"/>
    <w:rsid w:val="00C72ABC"/>
    <w:rsid w:val="00C72AD4"/>
    <w:rsid w:val="00C72B34"/>
    <w:rsid w:val="00C72B62"/>
    <w:rsid w:val="00C72B86"/>
    <w:rsid w:val="00C72C15"/>
    <w:rsid w:val="00C72E5F"/>
    <w:rsid w:val="00C73011"/>
    <w:rsid w:val="00C7313B"/>
    <w:rsid w:val="00C73152"/>
    <w:rsid w:val="00C73302"/>
    <w:rsid w:val="00C7345B"/>
    <w:rsid w:val="00C734CD"/>
    <w:rsid w:val="00C734D3"/>
    <w:rsid w:val="00C7358A"/>
    <w:rsid w:val="00C73779"/>
    <w:rsid w:val="00C73853"/>
    <w:rsid w:val="00C7389D"/>
    <w:rsid w:val="00C73946"/>
    <w:rsid w:val="00C73A07"/>
    <w:rsid w:val="00C73C72"/>
    <w:rsid w:val="00C73CFC"/>
    <w:rsid w:val="00C73D89"/>
    <w:rsid w:val="00C73E16"/>
    <w:rsid w:val="00C73E48"/>
    <w:rsid w:val="00C73E8E"/>
    <w:rsid w:val="00C73EAB"/>
    <w:rsid w:val="00C73EDB"/>
    <w:rsid w:val="00C73F46"/>
    <w:rsid w:val="00C74210"/>
    <w:rsid w:val="00C7429C"/>
    <w:rsid w:val="00C742C3"/>
    <w:rsid w:val="00C742DA"/>
    <w:rsid w:val="00C744F4"/>
    <w:rsid w:val="00C74543"/>
    <w:rsid w:val="00C74546"/>
    <w:rsid w:val="00C745B3"/>
    <w:rsid w:val="00C745F8"/>
    <w:rsid w:val="00C7491A"/>
    <w:rsid w:val="00C749EF"/>
    <w:rsid w:val="00C74C3C"/>
    <w:rsid w:val="00C74DA4"/>
    <w:rsid w:val="00C74E87"/>
    <w:rsid w:val="00C74F08"/>
    <w:rsid w:val="00C74FBE"/>
    <w:rsid w:val="00C74FF9"/>
    <w:rsid w:val="00C75345"/>
    <w:rsid w:val="00C754EC"/>
    <w:rsid w:val="00C75571"/>
    <w:rsid w:val="00C755DA"/>
    <w:rsid w:val="00C75731"/>
    <w:rsid w:val="00C7580D"/>
    <w:rsid w:val="00C759BC"/>
    <w:rsid w:val="00C759C3"/>
    <w:rsid w:val="00C75A8E"/>
    <w:rsid w:val="00C75AA0"/>
    <w:rsid w:val="00C75B4B"/>
    <w:rsid w:val="00C75BEA"/>
    <w:rsid w:val="00C75D01"/>
    <w:rsid w:val="00C75D3A"/>
    <w:rsid w:val="00C75DAD"/>
    <w:rsid w:val="00C75E18"/>
    <w:rsid w:val="00C75E52"/>
    <w:rsid w:val="00C75FEE"/>
    <w:rsid w:val="00C76131"/>
    <w:rsid w:val="00C76418"/>
    <w:rsid w:val="00C76439"/>
    <w:rsid w:val="00C766E5"/>
    <w:rsid w:val="00C76739"/>
    <w:rsid w:val="00C7673D"/>
    <w:rsid w:val="00C76752"/>
    <w:rsid w:val="00C7676A"/>
    <w:rsid w:val="00C767ED"/>
    <w:rsid w:val="00C767EE"/>
    <w:rsid w:val="00C7689C"/>
    <w:rsid w:val="00C768A6"/>
    <w:rsid w:val="00C768F6"/>
    <w:rsid w:val="00C76941"/>
    <w:rsid w:val="00C7698A"/>
    <w:rsid w:val="00C769AD"/>
    <w:rsid w:val="00C76A95"/>
    <w:rsid w:val="00C76B7F"/>
    <w:rsid w:val="00C76DD5"/>
    <w:rsid w:val="00C76DEA"/>
    <w:rsid w:val="00C76EBC"/>
    <w:rsid w:val="00C76F28"/>
    <w:rsid w:val="00C76F95"/>
    <w:rsid w:val="00C77009"/>
    <w:rsid w:val="00C77128"/>
    <w:rsid w:val="00C771FE"/>
    <w:rsid w:val="00C77284"/>
    <w:rsid w:val="00C77538"/>
    <w:rsid w:val="00C77594"/>
    <w:rsid w:val="00C775FD"/>
    <w:rsid w:val="00C7764A"/>
    <w:rsid w:val="00C77844"/>
    <w:rsid w:val="00C778B1"/>
    <w:rsid w:val="00C77B64"/>
    <w:rsid w:val="00C77BAB"/>
    <w:rsid w:val="00C77C41"/>
    <w:rsid w:val="00C77D5E"/>
    <w:rsid w:val="00C77D9E"/>
    <w:rsid w:val="00C77E13"/>
    <w:rsid w:val="00C80092"/>
    <w:rsid w:val="00C801DE"/>
    <w:rsid w:val="00C80270"/>
    <w:rsid w:val="00C80383"/>
    <w:rsid w:val="00C80431"/>
    <w:rsid w:val="00C80447"/>
    <w:rsid w:val="00C80545"/>
    <w:rsid w:val="00C808AB"/>
    <w:rsid w:val="00C808AC"/>
    <w:rsid w:val="00C80966"/>
    <w:rsid w:val="00C80A02"/>
    <w:rsid w:val="00C80B40"/>
    <w:rsid w:val="00C80C13"/>
    <w:rsid w:val="00C80C8A"/>
    <w:rsid w:val="00C80CB1"/>
    <w:rsid w:val="00C80DCD"/>
    <w:rsid w:val="00C80ECC"/>
    <w:rsid w:val="00C80F4D"/>
    <w:rsid w:val="00C80FC4"/>
    <w:rsid w:val="00C81016"/>
    <w:rsid w:val="00C81272"/>
    <w:rsid w:val="00C8150F"/>
    <w:rsid w:val="00C815F1"/>
    <w:rsid w:val="00C81676"/>
    <w:rsid w:val="00C81756"/>
    <w:rsid w:val="00C817CE"/>
    <w:rsid w:val="00C8185A"/>
    <w:rsid w:val="00C81874"/>
    <w:rsid w:val="00C819A9"/>
    <w:rsid w:val="00C819BE"/>
    <w:rsid w:val="00C81B09"/>
    <w:rsid w:val="00C81B4D"/>
    <w:rsid w:val="00C81B50"/>
    <w:rsid w:val="00C81B59"/>
    <w:rsid w:val="00C81C2D"/>
    <w:rsid w:val="00C81ECB"/>
    <w:rsid w:val="00C81F4E"/>
    <w:rsid w:val="00C81FAB"/>
    <w:rsid w:val="00C82016"/>
    <w:rsid w:val="00C8209B"/>
    <w:rsid w:val="00C820CC"/>
    <w:rsid w:val="00C820DF"/>
    <w:rsid w:val="00C823DE"/>
    <w:rsid w:val="00C823F3"/>
    <w:rsid w:val="00C82457"/>
    <w:rsid w:val="00C8248A"/>
    <w:rsid w:val="00C824F3"/>
    <w:rsid w:val="00C82520"/>
    <w:rsid w:val="00C8269E"/>
    <w:rsid w:val="00C828F8"/>
    <w:rsid w:val="00C82A2E"/>
    <w:rsid w:val="00C82AB9"/>
    <w:rsid w:val="00C82B4F"/>
    <w:rsid w:val="00C82B59"/>
    <w:rsid w:val="00C82BE7"/>
    <w:rsid w:val="00C82CC5"/>
    <w:rsid w:val="00C8304E"/>
    <w:rsid w:val="00C83079"/>
    <w:rsid w:val="00C8315D"/>
    <w:rsid w:val="00C831C4"/>
    <w:rsid w:val="00C831D6"/>
    <w:rsid w:val="00C83334"/>
    <w:rsid w:val="00C8333F"/>
    <w:rsid w:val="00C8335B"/>
    <w:rsid w:val="00C834E7"/>
    <w:rsid w:val="00C83649"/>
    <w:rsid w:val="00C83733"/>
    <w:rsid w:val="00C8376D"/>
    <w:rsid w:val="00C837AB"/>
    <w:rsid w:val="00C837F8"/>
    <w:rsid w:val="00C83A86"/>
    <w:rsid w:val="00C83B77"/>
    <w:rsid w:val="00C83C8C"/>
    <w:rsid w:val="00C83CA0"/>
    <w:rsid w:val="00C83CD9"/>
    <w:rsid w:val="00C83D5E"/>
    <w:rsid w:val="00C83E01"/>
    <w:rsid w:val="00C83F81"/>
    <w:rsid w:val="00C84005"/>
    <w:rsid w:val="00C84088"/>
    <w:rsid w:val="00C84205"/>
    <w:rsid w:val="00C8420E"/>
    <w:rsid w:val="00C84539"/>
    <w:rsid w:val="00C845DF"/>
    <w:rsid w:val="00C84614"/>
    <w:rsid w:val="00C846C3"/>
    <w:rsid w:val="00C848E1"/>
    <w:rsid w:val="00C8499A"/>
    <w:rsid w:val="00C849C7"/>
    <w:rsid w:val="00C849FD"/>
    <w:rsid w:val="00C84AB4"/>
    <w:rsid w:val="00C84B3B"/>
    <w:rsid w:val="00C84B43"/>
    <w:rsid w:val="00C84CBE"/>
    <w:rsid w:val="00C85043"/>
    <w:rsid w:val="00C850FB"/>
    <w:rsid w:val="00C85279"/>
    <w:rsid w:val="00C85359"/>
    <w:rsid w:val="00C853BD"/>
    <w:rsid w:val="00C8553B"/>
    <w:rsid w:val="00C85542"/>
    <w:rsid w:val="00C85613"/>
    <w:rsid w:val="00C8565F"/>
    <w:rsid w:val="00C8567A"/>
    <w:rsid w:val="00C856A2"/>
    <w:rsid w:val="00C856AB"/>
    <w:rsid w:val="00C856EC"/>
    <w:rsid w:val="00C857AE"/>
    <w:rsid w:val="00C85810"/>
    <w:rsid w:val="00C8592C"/>
    <w:rsid w:val="00C859A9"/>
    <w:rsid w:val="00C85A35"/>
    <w:rsid w:val="00C85B1F"/>
    <w:rsid w:val="00C85BBB"/>
    <w:rsid w:val="00C85BED"/>
    <w:rsid w:val="00C85C85"/>
    <w:rsid w:val="00C85DC1"/>
    <w:rsid w:val="00C85DE4"/>
    <w:rsid w:val="00C85E31"/>
    <w:rsid w:val="00C85ED7"/>
    <w:rsid w:val="00C85F0C"/>
    <w:rsid w:val="00C85F7E"/>
    <w:rsid w:val="00C861A3"/>
    <w:rsid w:val="00C861F7"/>
    <w:rsid w:val="00C862B5"/>
    <w:rsid w:val="00C863AE"/>
    <w:rsid w:val="00C8641A"/>
    <w:rsid w:val="00C86445"/>
    <w:rsid w:val="00C8653B"/>
    <w:rsid w:val="00C86587"/>
    <w:rsid w:val="00C865FB"/>
    <w:rsid w:val="00C866C1"/>
    <w:rsid w:val="00C866F8"/>
    <w:rsid w:val="00C867A1"/>
    <w:rsid w:val="00C86926"/>
    <w:rsid w:val="00C86B5A"/>
    <w:rsid w:val="00C86BF5"/>
    <w:rsid w:val="00C86BF6"/>
    <w:rsid w:val="00C86CAF"/>
    <w:rsid w:val="00C86E67"/>
    <w:rsid w:val="00C86F2C"/>
    <w:rsid w:val="00C87055"/>
    <w:rsid w:val="00C87065"/>
    <w:rsid w:val="00C87074"/>
    <w:rsid w:val="00C8708E"/>
    <w:rsid w:val="00C872B4"/>
    <w:rsid w:val="00C872E1"/>
    <w:rsid w:val="00C87406"/>
    <w:rsid w:val="00C87463"/>
    <w:rsid w:val="00C87645"/>
    <w:rsid w:val="00C876FE"/>
    <w:rsid w:val="00C87704"/>
    <w:rsid w:val="00C87786"/>
    <w:rsid w:val="00C8783A"/>
    <w:rsid w:val="00C87859"/>
    <w:rsid w:val="00C8792F"/>
    <w:rsid w:val="00C879CD"/>
    <w:rsid w:val="00C87ABA"/>
    <w:rsid w:val="00C87B55"/>
    <w:rsid w:val="00C87C46"/>
    <w:rsid w:val="00C87C76"/>
    <w:rsid w:val="00C87CE3"/>
    <w:rsid w:val="00C87D83"/>
    <w:rsid w:val="00C87FEF"/>
    <w:rsid w:val="00C900C6"/>
    <w:rsid w:val="00C9011A"/>
    <w:rsid w:val="00C902C9"/>
    <w:rsid w:val="00C90397"/>
    <w:rsid w:val="00C903E3"/>
    <w:rsid w:val="00C90420"/>
    <w:rsid w:val="00C9045F"/>
    <w:rsid w:val="00C904EC"/>
    <w:rsid w:val="00C906CF"/>
    <w:rsid w:val="00C9093B"/>
    <w:rsid w:val="00C909C5"/>
    <w:rsid w:val="00C909F2"/>
    <w:rsid w:val="00C90AD1"/>
    <w:rsid w:val="00C90B8A"/>
    <w:rsid w:val="00C90C99"/>
    <w:rsid w:val="00C90D40"/>
    <w:rsid w:val="00C90DC2"/>
    <w:rsid w:val="00C90E43"/>
    <w:rsid w:val="00C9104E"/>
    <w:rsid w:val="00C91091"/>
    <w:rsid w:val="00C9110A"/>
    <w:rsid w:val="00C912E6"/>
    <w:rsid w:val="00C912EE"/>
    <w:rsid w:val="00C914C9"/>
    <w:rsid w:val="00C91608"/>
    <w:rsid w:val="00C91666"/>
    <w:rsid w:val="00C91672"/>
    <w:rsid w:val="00C9174E"/>
    <w:rsid w:val="00C917DB"/>
    <w:rsid w:val="00C9192A"/>
    <w:rsid w:val="00C91ACB"/>
    <w:rsid w:val="00C91DC2"/>
    <w:rsid w:val="00C91F88"/>
    <w:rsid w:val="00C91FC7"/>
    <w:rsid w:val="00C920F1"/>
    <w:rsid w:val="00C921E9"/>
    <w:rsid w:val="00C92389"/>
    <w:rsid w:val="00C92477"/>
    <w:rsid w:val="00C925D4"/>
    <w:rsid w:val="00C927A2"/>
    <w:rsid w:val="00C927BB"/>
    <w:rsid w:val="00C927E0"/>
    <w:rsid w:val="00C92ACD"/>
    <w:rsid w:val="00C92B8F"/>
    <w:rsid w:val="00C92CA3"/>
    <w:rsid w:val="00C92CE5"/>
    <w:rsid w:val="00C92D0E"/>
    <w:rsid w:val="00C92E1F"/>
    <w:rsid w:val="00C92E22"/>
    <w:rsid w:val="00C92E40"/>
    <w:rsid w:val="00C92E98"/>
    <w:rsid w:val="00C92ED8"/>
    <w:rsid w:val="00C92F09"/>
    <w:rsid w:val="00C92F1F"/>
    <w:rsid w:val="00C92F40"/>
    <w:rsid w:val="00C92F51"/>
    <w:rsid w:val="00C930A2"/>
    <w:rsid w:val="00C93134"/>
    <w:rsid w:val="00C93172"/>
    <w:rsid w:val="00C932CB"/>
    <w:rsid w:val="00C933AF"/>
    <w:rsid w:val="00C933B9"/>
    <w:rsid w:val="00C934C9"/>
    <w:rsid w:val="00C9370E"/>
    <w:rsid w:val="00C93758"/>
    <w:rsid w:val="00C93779"/>
    <w:rsid w:val="00C93923"/>
    <w:rsid w:val="00C93A08"/>
    <w:rsid w:val="00C93A1E"/>
    <w:rsid w:val="00C93A4A"/>
    <w:rsid w:val="00C93DA9"/>
    <w:rsid w:val="00C93E28"/>
    <w:rsid w:val="00C93EB3"/>
    <w:rsid w:val="00C93F3E"/>
    <w:rsid w:val="00C9402E"/>
    <w:rsid w:val="00C94235"/>
    <w:rsid w:val="00C94279"/>
    <w:rsid w:val="00C942DF"/>
    <w:rsid w:val="00C94422"/>
    <w:rsid w:val="00C9447D"/>
    <w:rsid w:val="00C944C3"/>
    <w:rsid w:val="00C9450B"/>
    <w:rsid w:val="00C94542"/>
    <w:rsid w:val="00C94582"/>
    <w:rsid w:val="00C94698"/>
    <w:rsid w:val="00C946C3"/>
    <w:rsid w:val="00C9470A"/>
    <w:rsid w:val="00C94773"/>
    <w:rsid w:val="00C947B0"/>
    <w:rsid w:val="00C947EF"/>
    <w:rsid w:val="00C948D5"/>
    <w:rsid w:val="00C9492F"/>
    <w:rsid w:val="00C949B5"/>
    <w:rsid w:val="00C94A29"/>
    <w:rsid w:val="00C94A46"/>
    <w:rsid w:val="00C94ABF"/>
    <w:rsid w:val="00C94B50"/>
    <w:rsid w:val="00C94BC8"/>
    <w:rsid w:val="00C94CB0"/>
    <w:rsid w:val="00C94CBF"/>
    <w:rsid w:val="00C94CE7"/>
    <w:rsid w:val="00C94E48"/>
    <w:rsid w:val="00C94E5D"/>
    <w:rsid w:val="00C94E96"/>
    <w:rsid w:val="00C94F27"/>
    <w:rsid w:val="00C94FDD"/>
    <w:rsid w:val="00C95080"/>
    <w:rsid w:val="00C95111"/>
    <w:rsid w:val="00C95184"/>
    <w:rsid w:val="00C95241"/>
    <w:rsid w:val="00C9525A"/>
    <w:rsid w:val="00C95282"/>
    <w:rsid w:val="00C952DC"/>
    <w:rsid w:val="00C95371"/>
    <w:rsid w:val="00C95488"/>
    <w:rsid w:val="00C954E0"/>
    <w:rsid w:val="00C95513"/>
    <w:rsid w:val="00C95621"/>
    <w:rsid w:val="00C956BD"/>
    <w:rsid w:val="00C958A5"/>
    <w:rsid w:val="00C95924"/>
    <w:rsid w:val="00C959DE"/>
    <w:rsid w:val="00C95A4F"/>
    <w:rsid w:val="00C95C87"/>
    <w:rsid w:val="00C95C8E"/>
    <w:rsid w:val="00C95D19"/>
    <w:rsid w:val="00C95D98"/>
    <w:rsid w:val="00C95F75"/>
    <w:rsid w:val="00C95FAD"/>
    <w:rsid w:val="00C96004"/>
    <w:rsid w:val="00C96016"/>
    <w:rsid w:val="00C961BB"/>
    <w:rsid w:val="00C961F8"/>
    <w:rsid w:val="00C962F8"/>
    <w:rsid w:val="00C96398"/>
    <w:rsid w:val="00C963EA"/>
    <w:rsid w:val="00C96516"/>
    <w:rsid w:val="00C96657"/>
    <w:rsid w:val="00C96818"/>
    <w:rsid w:val="00C96886"/>
    <w:rsid w:val="00C968C0"/>
    <w:rsid w:val="00C96960"/>
    <w:rsid w:val="00C96A0E"/>
    <w:rsid w:val="00C96A37"/>
    <w:rsid w:val="00C96A7F"/>
    <w:rsid w:val="00C96ABD"/>
    <w:rsid w:val="00C96BD7"/>
    <w:rsid w:val="00C96C48"/>
    <w:rsid w:val="00C96CBC"/>
    <w:rsid w:val="00C96CDC"/>
    <w:rsid w:val="00C96ED9"/>
    <w:rsid w:val="00C96F03"/>
    <w:rsid w:val="00C96F55"/>
    <w:rsid w:val="00C96FBF"/>
    <w:rsid w:val="00C96FF3"/>
    <w:rsid w:val="00C970AA"/>
    <w:rsid w:val="00C9711E"/>
    <w:rsid w:val="00C971C1"/>
    <w:rsid w:val="00C971CF"/>
    <w:rsid w:val="00C97226"/>
    <w:rsid w:val="00C9723E"/>
    <w:rsid w:val="00C97384"/>
    <w:rsid w:val="00C9743D"/>
    <w:rsid w:val="00C9749E"/>
    <w:rsid w:val="00C97594"/>
    <w:rsid w:val="00C97599"/>
    <w:rsid w:val="00C975B1"/>
    <w:rsid w:val="00C978A7"/>
    <w:rsid w:val="00C979C4"/>
    <w:rsid w:val="00C97A31"/>
    <w:rsid w:val="00C97B22"/>
    <w:rsid w:val="00C97B54"/>
    <w:rsid w:val="00C97C60"/>
    <w:rsid w:val="00C97C96"/>
    <w:rsid w:val="00C97CFD"/>
    <w:rsid w:val="00C97D88"/>
    <w:rsid w:val="00C97F55"/>
    <w:rsid w:val="00C97F69"/>
    <w:rsid w:val="00CA001B"/>
    <w:rsid w:val="00CA0077"/>
    <w:rsid w:val="00CA0078"/>
    <w:rsid w:val="00CA0110"/>
    <w:rsid w:val="00CA0262"/>
    <w:rsid w:val="00CA0277"/>
    <w:rsid w:val="00CA0321"/>
    <w:rsid w:val="00CA033F"/>
    <w:rsid w:val="00CA03C8"/>
    <w:rsid w:val="00CA03DB"/>
    <w:rsid w:val="00CA051E"/>
    <w:rsid w:val="00CA065A"/>
    <w:rsid w:val="00CA067F"/>
    <w:rsid w:val="00CA084A"/>
    <w:rsid w:val="00CA08D1"/>
    <w:rsid w:val="00CA0916"/>
    <w:rsid w:val="00CA0B7B"/>
    <w:rsid w:val="00CA0B95"/>
    <w:rsid w:val="00CA0CD1"/>
    <w:rsid w:val="00CA0D56"/>
    <w:rsid w:val="00CA0D5F"/>
    <w:rsid w:val="00CA0D6C"/>
    <w:rsid w:val="00CA0E2B"/>
    <w:rsid w:val="00CA0E92"/>
    <w:rsid w:val="00CA0EBB"/>
    <w:rsid w:val="00CA0ECE"/>
    <w:rsid w:val="00CA0EFF"/>
    <w:rsid w:val="00CA1119"/>
    <w:rsid w:val="00CA118F"/>
    <w:rsid w:val="00CA11D9"/>
    <w:rsid w:val="00CA121B"/>
    <w:rsid w:val="00CA1255"/>
    <w:rsid w:val="00CA1277"/>
    <w:rsid w:val="00CA1324"/>
    <w:rsid w:val="00CA159C"/>
    <w:rsid w:val="00CA168A"/>
    <w:rsid w:val="00CA168B"/>
    <w:rsid w:val="00CA16DA"/>
    <w:rsid w:val="00CA18C3"/>
    <w:rsid w:val="00CA19E1"/>
    <w:rsid w:val="00CA1A0F"/>
    <w:rsid w:val="00CA1A7A"/>
    <w:rsid w:val="00CA1ABF"/>
    <w:rsid w:val="00CA1B3C"/>
    <w:rsid w:val="00CA1C0B"/>
    <w:rsid w:val="00CA1D3B"/>
    <w:rsid w:val="00CA1D79"/>
    <w:rsid w:val="00CA1E38"/>
    <w:rsid w:val="00CA1E3D"/>
    <w:rsid w:val="00CA1F42"/>
    <w:rsid w:val="00CA203E"/>
    <w:rsid w:val="00CA20FB"/>
    <w:rsid w:val="00CA2111"/>
    <w:rsid w:val="00CA2140"/>
    <w:rsid w:val="00CA21DD"/>
    <w:rsid w:val="00CA2235"/>
    <w:rsid w:val="00CA24A4"/>
    <w:rsid w:val="00CA263A"/>
    <w:rsid w:val="00CA2756"/>
    <w:rsid w:val="00CA285C"/>
    <w:rsid w:val="00CA28DA"/>
    <w:rsid w:val="00CA297E"/>
    <w:rsid w:val="00CA29C2"/>
    <w:rsid w:val="00CA2A70"/>
    <w:rsid w:val="00CA2BB1"/>
    <w:rsid w:val="00CA2C22"/>
    <w:rsid w:val="00CA2C4B"/>
    <w:rsid w:val="00CA2C51"/>
    <w:rsid w:val="00CA2C59"/>
    <w:rsid w:val="00CA2CA9"/>
    <w:rsid w:val="00CA2DB6"/>
    <w:rsid w:val="00CA2DCB"/>
    <w:rsid w:val="00CA2E2D"/>
    <w:rsid w:val="00CA2F15"/>
    <w:rsid w:val="00CA2FCA"/>
    <w:rsid w:val="00CA3020"/>
    <w:rsid w:val="00CA3062"/>
    <w:rsid w:val="00CA307F"/>
    <w:rsid w:val="00CA30A9"/>
    <w:rsid w:val="00CA30F2"/>
    <w:rsid w:val="00CA3138"/>
    <w:rsid w:val="00CA32F0"/>
    <w:rsid w:val="00CA3350"/>
    <w:rsid w:val="00CA3427"/>
    <w:rsid w:val="00CA3491"/>
    <w:rsid w:val="00CA34C1"/>
    <w:rsid w:val="00CA34C6"/>
    <w:rsid w:val="00CA34FD"/>
    <w:rsid w:val="00CA3587"/>
    <w:rsid w:val="00CA35B8"/>
    <w:rsid w:val="00CA35FB"/>
    <w:rsid w:val="00CA3756"/>
    <w:rsid w:val="00CA3835"/>
    <w:rsid w:val="00CA39FF"/>
    <w:rsid w:val="00CA3AE1"/>
    <w:rsid w:val="00CA3AFB"/>
    <w:rsid w:val="00CA3B0C"/>
    <w:rsid w:val="00CA3B48"/>
    <w:rsid w:val="00CA3BD0"/>
    <w:rsid w:val="00CA3C9E"/>
    <w:rsid w:val="00CA3CD6"/>
    <w:rsid w:val="00CA3D9C"/>
    <w:rsid w:val="00CA3E18"/>
    <w:rsid w:val="00CA3E79"/>
    <w:rsid w:val="00CA3EBD"/>
    <w:rsid w:val="00CA4203"/>
    <w:rsid w:val="00CA4233"/>
    <w:rsid w:val="00CA426B"/>
    <w:rsid w:val="00CA429E"/>
    <w:rsid w:val="00CA42FB"/>
    <w:rsid w:val="00CA4345"/>
    <w:rsid w:val="00CA4557"/>
    <w:rsid w:val="00CA46AA"/>
    <w:rsid w:val="00CA4732"/>
    <w:rsid w:val="00CA4755"/>
    <w:rsid w:val="00CA485B"/>
    <w:rsid w:val="00CA4914"/>
    <w:rsid w:val="00CA49DC"/>
    <w:rsid w:val="00CA4A20"/>
    <w:rsid w:val="00CA4B09"/>
    <w:rsid w:val="00CA4C1A"/>
    <w:rsid w:val="00CA4D12"/>
    <w:rsid w:val="00CA4DD3"/>
    <w:rsid w:val="00CA4FEA"/>
    <w:rsid w:val="00CA50B3"/>
    <w:rsid w:val="00CA50EF"/>
    <w:rsid w:val="00CA5220"/>
    <w:rsid w:val="00CA5266"/>
    <w:rsid w:val="00CA5282"/>
    <w:rsid w:val="00CA52BD"/>
    <w:rsid w:val="00CA5325"/>
    <w:rsid w:val="00CA55A9"/>
    <w:rsid w:val="00CA55C0"/>
    <w:rsid w:val="00CA560B"/>
    <w:rsid w:val="00CA564C"/>
    <w:rsid w:val="00CA5674"/>
    <w:rsid w:val="00CA567E"/>
    <w:rsid w:val="00CA56C1"/>
    <w:rsid w:val="00CA587D"/>
    <w:rsid w:val="00CA5886"/>
    <w:rsid w:val="00CA58AB"/>
    <w:rsid w:val="00CA59AE"/>
    <w:rsid w:val="00CA5A4D"/>
    <w:rsid w:val="00CA5A87"/>
    <w:rsid w:val="00CA5ABC"/>
    <w:rsid w:val="00CA5ADF"/>
    <w:rsid w:val="00CA5D11"/>
    <w:rsid w:val="00CA5DAE"/>
    <w:rsid w:val="00CA6024"/>
    <w:rsid w:val="00CA60FE"/>
    <w:rsid w:val="00CA61A1"/>
    <w:rsid w:val="00CA6263"/>
    <w:rsid w:val="00CA64E3"/>
    <w:rsid w:val="00CA6521"/>
    <w:rsid w:val="00CA66C4"/>
    <w:rsid w:val="00CA683B"/>
    <w:rsid w:val="00CA6ADB"/>
    <w:rsid w:val="00CA6B28"/>
    <w:rsid w:val="00CA6C29"/>
    <w:rsid w:val="00CA6C51"/>
    <w:rsid w:val="00CA6CE5"/>
    <w:rsid w:val="00CA6D84"/>
    <w:rsid w:val="00CA6EC4"/>
    <w:rsid w:val="00CA6ECF"/>
    <w:rsid w:val="00CA6F5F"/>
    <w:rsid w:val="00CA705E"/>
    <w:rsid w:val="00CA7142"/>
    <w:rsid w:val="00CA71DD"/>
    <w:rsid w:val="00CA7204"/>
    <w:rsid w:val="00CA7386"/>
    <w:rsid w:val="00CA73FB"/>
    <w:rsid w:val="00CA74E5"/>
    <w:rsid w:val="00CA7574"/>
    <w:rsid w:val="00CA7594"/>
    <w:rsid w:val="00CA75FC"/>
    <w:rsid w:val="00CA769C"/>
    <w:rsid w:val="00CA76F4"/>
    <w:rsid w:val="00CA773A"/>
    <w:rsid w:val="00CA7768"/>
    <w:rsid w:val="00CA77E8"/>
    <w:rsid w:val="00CA7815"/>
    <w:rsid w:val="00CA781C"/>
    <w:rsid w:val="00CA78F8"/>
    <w:rsid w:val="00CA7971"/>
    <w:rsid w:val="00CA7974"/>
    <w:rsid w:val="00CA7A39"/>
    <w:rsid w:val="00CA7B13"/>
    <w:rsid w:val="00CA7B43"/>
    <w:rsid w:val="00CA7C02"/>
    <w:rsid w:val="00CA7CC9"/>
    <w:rsid w:val="00CA7CF4"/>
    <w:rsid w:val="00CA7D47"/>
    <w:rsid w:val="00CA7DB0"/>
    <w:rsid w:val="00CA7DFC"/>
    <w:rsid w:val="00CA7EA6"/>
    <w:rsid w:val="00CB004E"/>
    <w:rsid w:val="00CB013D"/>
    <w:rsid w:val="00CB020C"/>
    <w:rsid w:val="00CB026B"/>
    <w:rsid w:val="00CB0390"/>
    <w:rsid w:val="00CB0457"/>
    <w:rsid w:val="00CB04C7"/>
    <w:rsid w:val="00CB08CC"/>
    <w:rsid w:val="00CB0931"/>
    <w:rsid w:val="00CB0B1E"/>
    <w:rsid w:val="00CB0B28"/>
    <w:rsid w:val="00CB0B37"/>
    <w:rsid w:val="00CB0C03"/>
    <w:rsid w:val="00CB0C18"/>
    <w:rsid w:val="00CB0E6B"/>
    <w:rsid w:val="00CB0EBF"/>
    <w:rsid w:val="00CB0F7B"/>
    <w:rsid w:val="00CB0F94"/>
    <w:rsid w:val="00CB10E0"/>
    <w:rsid w:val="00CB1121"/>
    <w:rsid w:val="00CB12C7"/>
    <w:rsid w:val="00CB12FE"/>
    <w:rsid w:val="00CB1655"/>
    <w:rsid w:val="00CB16A1"/>
    <w:rsid w:val="00CB19CB"/>
    <w:rsid w:val="00CB19E5"/>
    <w:rsid w:val="00CB1A33"/>
    <w:rsid w:val="00CB1AAE"/>
    <w:rsid w:val="00CB1B4B"/>
    <w:rsid w:val="00CB1BCF"/>
    <w:rsid w:val="00CB1CD1"/>
    <w:rsid w:val="00CB1D41"/>
    <w:rsid w:val="00CB1D50"/>
    <w:rsid w:val="00CB1E14"/>
    <w:rsid w:val="00CB2091"/>
    <w:rsid w:val="00CB20A7"/>
    <w:rsid w:val="00CB214D"/>
    <w:rsid w:val="00CB2247"/>
    <w:rsid w:val="00CB22D6"/>
    <w:rsid w:val="00CB2432"/>
    <w:rsid w:val="00CB2461"/>
    <w:rsid w:val="00CB254F"/>
    <w:rsid w:val="00CB2675"/>
    <w:rsid w:val="00CB26EF"/>
    <w:rsid w:val="00CB27B8"/>
    <w:rsid w:val="00CB2823"/>
    <w:rsid w:val="00CB2884"/>
    <w:rsid w:val="00CB28B3"/>
    <w:rsid w:val="00CB28D0"/>
    <w:rsid w:val="00CB295C"/>
    <w:rsid w:val="00CB296E"/>
    <w:rsid w:val="00CB29AE"/>
    <w:rsid w:val="00CB29C2"/>
    <w:rsid w:val="00CB29D8"/>
    <w:rsid w:val="00CB2A04"/>
    <w:rsid w:val="00CB2A16"/>
    <w:rsid w:val="00CB2AE7"/>
    <w:rsid w:val="00CB2D48"/>
    <w:rsid w:val="00CB2D54"/>
    <w:rsid w:val="00CB2ECC"/>
    <w:rsid w:val="00CB2EE4"/>
    <w:rsid w:val="00CB30D5"/>
    <w:rsid w:val="00CB3216"/>
    <w:rsid w:val="00CB335D"/>
    <w:rsid w:val="00CB33A3"/>
    <w:rsid w:val="00CB348A"/>
    <w:rsid w:val="00CB34E0"/>
    <w:rsid w:val="00CB34EF"/>
    <w:rsid w:val="00CB35F1"/>
    <w:rsid w:val="00CB384C"/>
    <w:rsid w:val="00CB38EE"/>
    <w:rsid w:val="00CB3A1C"/>
    <w:rsid w:val="00CB3A22"/>
    <w:rsid w:val="00CB3C5D"/>
    <w:rsid w:val="00CB3C96"/>
    <w:rsid w:val="00CB3CA9"/>
    <w:rsid w:val="00CB3DC9"/>
    <w:rsid w:val="00CB3E17"/>
    <w:rsid w:val="00CB3E2F"/>
    <w:rsid w:val="00CB3EC7"/>
    <w:rsid w:val="00CB3F16"/>
    <w:rsid w:val="00CB4022"/>
    <w:rsid w:val="00CB4058"/>
    <w:rsid w:val="00CB4113"/>
    <w:rsid w:val="00CB41F5"/>
    <w:rsid w:val="00CB427A"/>
    <w:rsid w:val="00CB42C2"/>
    <w:rsid w:val="00CB42E8"/>
    <w:rsid w:val="00CB4343"/>
    <w:rsid w:val="00CB4459"/>
    <w:rsid w:val="00CB45D6"/>
    <w:rsid w:val="00CB46FD"/>
    <w:rsid w:val="00CB4723"/>
    <w:rsid w:val="00CB4770"/>
    <w:rsid w:val="00CB47AE"/>
    <w:rsid w:val="00CB47F5"/>
    <w:rsid w:val="00CB4877"/>
    <w:rsid w:val="00CB48D0"/>
    <w:rsid w:val="00CB48F5"/>
    <w:rsid w:val="00CB49E6"/>
    <w:rsid w:val="00CB4A56"/>
    <w:rsid w:val="00CB4A6E"/>
    <w:rsid w:val="00CB4B1F"/>
    <w:rsid w:val="00CB4C19"/>
    <w:rsid w:val="00CB4C41"/>
    <w:rsid w:val="00CB4C49"/>
    <w:rsid w:val="00CB4FFC"/>
    <w:rsid w:val="00CB503B"/>
    <w:rsid w:val="00CB50AA"/>
    <w:rsid w:val="00CB50CD"/>
    <w:rsid w:val="00CB52F0"/>
    <w:rsid w:val="00CB52F7"/>
    <w:rsid w:val="00CB5300"/>
    <w:rsid w:val="00CB530C"/>
    <w:rsid w:val="00CB5511"/>
    <w:rsid w:val="00CB5544"/>
    <w:rsid w:val="00CB557B"/>
    <w:rsid w:val="00CB5707"/>
    <w:rsid w:val="00CB5719"/>
    <w:rsid w:val="00CB5768"/>
    <w:rsid w:val="00CB57DA"/>
    <w:rsid w:val="00CB5871"/>
    <w:rsid w:val="00CB59B1"/>
    <w:rsid w:val="00CB59C6"/>
    <w:rsid w:val="00CB5A3B"/>
    <w:rsid w:val="00CB5A66"/>
    <w:rsid w:val="00CB5A68"/>
    <w:rsid w:val="00CB5A82"/>
    <w:rsid w:val="00CB5ABA"/>
    <w:rsid w:val="00CB5AF1"/>
    <w:rsid w:val="00CB5C2E"/>
    <w:rsid w:val="00CB5DED"/>
    <w:rsid w:val="00CB5E6A"/>
    <w:rsid w:val="00CB5F06"/>
    <w:rsid w:val="00CB5F53"/>
    <w:rsid w:val="00CB6016"/>
    <w:rsid w:val="00CB6182"/>
    <w:rsid w:val="00CB618F"/>
    <w:rsid w:val="00CB6219"/>
    <w:rsid w:val="00CB6284"/>
    <w:rsid w:val="00CB62B3"/>
    <w:rsid w:val="00CB6510"/>
    <w:rsid w:val="00CB653C"/>
    <w:rsid w:val="00CB65B6"/>
    <w:rsid w:val="00CB65C5"/>
    <w:rsid w:val="00CB65D1"/>
    <w:rsid w:val="00CB6658"/>
    <w:rsid w:val="00CB683B"/>
    <w:rsid w:val="00CB68CF"/>
    <w:rsid w:val="00CB68FE"/>
    <w:rsid w:val="00CB6A24"/>
    <w:rsid w:val="00CB6ACE"/>
    <w:rsid w:val="00CB6B19"/>
    <w:rsid w:val="00CB6B5B"/>
    <w:rsid w:val="00CB6B73"/>
    <w:rsid w:val="00CB6C08"/>
    <w:rsid w:val="00CB6C77"/>
    <w:rsid w:val="00CB6C94"/>
    <w:rsid w:val="00CB6DCF"/>
    <w:rsid w:val="00CB6E28"/>
    <w:rsid w:val="00CB6EAB"/>
    <w:rsid w:val="00CB72A8"/>
    <w:rsid w:val="00CB7302"/>
    <w:rsid w:val="00CB7518"/>
    <w:rsid w:val="00CB75F4"/>
    <w:rsid w:val="00CB7684"/>
    <w:rsid w:val="00CB77EA"/>
    <w:rsid w:val="00CB7900"/>
    <w:rsid w:val="00CB790A"/>
    <w:rsid w:val="00CB7995"/>
    <w:rsid w:val="00CB7B11"/>
    <w:rsid w:val="00CB7B62"/>
    <w:rsid w:val="00CB7C3A"/>
    <w:rsid w:val="00CB7C66"/>
    <w:rsid w:val="00CB7C85"/>
    <w:rsid w:val="00CB7E11"/>
    <w:rsid w:val="00CB7E43"/>
    <w:rsid w:val="00CB7F91"/>
    <w:rsid w:val="00CC023A"/>
    <w:rsid w:val="00CC026F"/>
    <w:rsid w:val="00CC032D"/>
    <w:rsid w:val="00CC039D"/>
    <w:rsid w:val="00CC05B5"/>
    <w:rsid w:val="00CC05D1"/>
    <w:rsid w:val="00CC0636"/>
    <w:rsid w:val="00CC0648"/>
    <w:rsid w:val="00CC0663"/>
    <w:rsid w:val="00CC0788"/>
    <w:rsid w:val="00CC07DD"/>
    <w:rsid w:val="00CC082B"/>
    <w:rsid w:val="00CC0A67"/>
    <w:rsid w:val="00CC0A77"/>
    <w:rsid w:val="00CC0BD5"/>
    <w:rsid w:val="00CC0C43"/>
    <w:rsid w:val="00CC0D79"/>
    <w:rsid w:val="00CC0DC3"/>
    <w:rsid w:val="00CC0EC0"/>
    <w:rsid w:val="00CC10B6"/>
    <w:rsid w:val="00CC13A8"/>
    <w:rsid w:val="00CC14CB"/>
    <w:rsid w:val="00CC14D8"/>
    <w:rsid w:val="00CC153E"/>
    <w:rsid w:val="00CC156D"/>
    <w:rsid w:val="00CC15D2"/>
    <w:rsid w:val="00CC169B"/>
    <w:rsid w:val="00CC16D7"/>
    <w:rsid w:val="00CC17A0"/>
    <w:rsid w:val="00CC1862"/>
    <w:rsid w:val="00CC1997"/>
    <w:rsid w:val="00CC19EA"/>
    <w:rsid w:val="00CC1A70"/>
    <w:rsid w:val="00CC1AFF"/>
    <w:rsid w:val="00CC1B16"/>
    <w:rsid w:val="00CC1B74"/>
    <w:rsid w:val="00CC1C47"/>
    <w:rsid w:val="00CC1CC6"/>
    <w:rsid w:val="00CC1D0B"/>
    <w:rsid w:val="00CC1D15"/>
    <w:rsid w:val="00CC1E3F"/>
    <w:rsid w:val="00CC1EAE"/>
    <w:rsid w:val="00CC1ED3"/>
    <w:rsid w:val="00CC1F8F"/>
    <w:rsid w:val="00CC1FCD"/>
    <w:rsid w:val="00CC2008"/>
    <w:rsid w:val="00CC20DB"/>
    <w:rsid w:val="00CC20F9"/>
    <w:rsid w:val="00CC211A"/>
    <w:rsid w:val="00CC213C"/>
    <w:rsid w:val="00CC2211"/>
    <w:rsid w:val="00CC2318"/>
    <w:rsid w:val="00CC23A9"/>
    <w:rsid w:val="00CC23D3"/>
    <w:rsid w:val="00CC2418"/>
    <w:rsid w:val="00CC2641"/>
    <w:rsid w:val="00CC2647"/>
    <w:rsid w:val="00CC267C"/>
    <w:rsid w:val="00CC26C8"/>
    <w:rsid w:val="00CC277E"/>
    <w:rsid w:val="00CC27EF"/>
    <w:rsid w:val="00CC28AD"/>
    <w:rsid w:val="00CC28E1"/>
    <w:rsid w:val="00CC2A93"/>
    <w:rsid w:val="00CC2BC7"/>
    <w:rsid w:val="00CC2C73"/>
    <w:rsid w:val="00CC2CB4"/>
    <w:rsid w:val="00CC2EB8"/>
    <w:rsid w:val="00CC2FFA"/>
    <w:rsid w:val="00CC3104"/>
    <w:rsid w:val="00CC3136"/>
    <w:rsid w:val="00CC331D"/>
    <w:rsid w:val="00CC3380"/>
    <w:rsid w:val="00CC343A"/>
    <w:rsid w:val="00CC34EE"/>
    <w:rsid w:val="00CC355E"/>
    <w:rsid w:val="00CC3653"/>
    <w:rsid w:val="00CC368E"/>
    <w:rsid w:val="00CC36DC"/>
    <w:rsid w:val="00CC36DF"/>
    <w:rsid w:val="00CC37A2"/>
    <w:rsid w:val="00CC3810"/>
    <w:rsid w:val="00CC3867"/>
    <w:rsid w:val="00CC38FA"/>
    <w:rsid w:val="00CC39E6"/>
    <w:rsid w:val="00CC3B06"/>
    <w:rsid w:val="00CC3BDA"/>
    <w:rsid w:val="00CC3CE0"/>
    <w:rsid w:val="00CC3D01"/>
    <w:rsid w:val="00CC3EC0"/>
    <w:rsid w:val="00CC3F3A"/>
    <w:rsid w:val="00CC3F47"/>
    <w:rsid w:val="00CC3F60"/>
    <w:rsid w:val="00CC3FCA"/>
    <w:rsid w:val="00CC40AA"/>
    <w:rsid w:val="00CC41A1"/>
    <w:rsid w:val="00CC4233"/>
    <w:rsid w:val="00CC44D1"/>
    <w:rsid w:val="00CC4537"/>
    <w:rsid w:val="00CC4576"/>
    <w:rsid w:val="00CC4584"/>
    <w:rsid w:val="00CC462D"/>
    <w:rsid w:val="00CC475C"/>
    <w:rsid w:val="00CC4775"/>
    <w:rsid w:val="00CC47DD"/>
    <w:rsid w:val="00CC4816"/>
    <w:rsid w:val="00CC48A6"/>
    <w:rsid w:val="00CC4A70"/>
    <w:rsid w:val="00CC4C4E"/>
    <w:rsid w:val="00CC4C9A"/>
    <w:rsid w:val="00CC4CB4"/>
    <w:rsid w:val="00CC4CE1"/>
    <w:rsid w:val="00CC4D0F"/>
    <w:rsid w:val="00CC4D16"/>
    <w:rsid w:val="00CC4E1F"/>
    <w:rsid w:val="00CC5190"/>
    <w:rsid w:val="00CC5251"/>
    <w:rsid w:val="00CC528C"/>
    <w:rsid w:val="00CC52BB"/>
    <w:rsid w:val="00CC5372"/>
    <w:rsid w:val="00CC5391"/>
    <w:rsid w:val="00CC549F"/>
    <w:rsid w:val="00CC54F2"/>
    <w:rsid w:val="00CC54FB"/>
    <w:rsid w:val="00CC555B"/>
    <w:rsid w:val="00CC55BA"/>
    <w:rsid w:val="00CC5607"/>
    <w:rsid w:val="00CC5641"/>
    <w:rsid w:val="00CC56C2"/>
    <w:rsid w:val="00CC56D1"/>
    <w:rsid w:val="00CC5884"/>
    <w:rsid w:val="00CC58F2"/>
    <w:rsid w:val="00CC595D"/>
    <w:rsid w:val="00CC598C"/>
    <w:rsid w:val="00CC5A52"/>
    <w:rsid w:val="00CC5A90"/>
    <w:rsid w:val="00CC5A9B"/>
    <w:rsid w:val="00CC5C0D"/>
    <w:rsid w:val="00CC5D34"/>
    <w:rsid w:val="00CC5D37"/>
    <w:rsid w:val="00CC5D8A"/>
    <w:rsid w:val="00CC5E94"/>
    <w:rsid w:val="00CC5EE5"/>
    <w:rsid w:val="00CC5F02"/>
    <w:rsid w:val="00CC5F57"/>
    <w:rsid w:val="00CC5FBB"/>
    <w:rsid w:val="00CC5FE3"/>
    <w:rsid w:val="00CC60BC"/>
    <w:rsid w:val="00CC61B4"/>
    <w:rsid w:val="00CC61DB"/>
    <w:rsid w:val="00CC61E4"/>
    <w:rsid w:val="00CC6202"/>
    <w:rsid w:val="00CC624D"/>
    <w:rsid w:val="00CC62F6"/>
    <w:rsid w:val="00CC632D"/>
    <w:rsid w:val="00CC6336"/>
    <w:rsid w:val="00CC6350"/>
    <w:rsid w:val="00CC637E"/>
    <w:rsid w:val="00CC639E"/>
    <w:rsid w:val="00CC63BA"/>
    <w:rsid w:val="00CC63C5"/>
    <w:rsid w:val="00CC6442"/>
    <w:rsid w:val="00CC650A"/>
    <w:rsid w:val="00CC6582"/>
    <w:rsid w:val="00CC668D"/>
    <w:rsid w:val="00CC6875"/>
    <w:rsid w:val="00CC68CF"/>
    <w:rsid w:val="00CC68D7"/>
    <w:rsid w:val="00CC6C12"/>
    <w:rsid w:val="00CC6C13"/>
    <w:rsid w:val="00CC6C33"/>
    <w:rsid w:val="00CC6F47"/>
    <w:rsid w:val="00CC7009"/>
    <w:rsid w:val="00CC7078"/>
    <w:rsid w:val="00CC7096"/>
    <w:rsid w:val="00CC7118"/>
    <w:rsid w:val="00CC711C"/>
    <w:rsid w:val="00CC7207"/>
    <w:rsid w:val="00CC7275"/>
    <w:rsid w:val="00CC7315"/>
    <w:rsid w:val="00CC7678"/>
    <w:rsid w:val="00CC76D4"/>
    <w:rsid w:val="00CC76E4"/>
    <w:rsid w:val="00CC78B5"/>
    <w:rsid w:val="00CC78EA"/>
    <w:rsid w:val="00CC7B6A"/>
    <w:rsid w:val="00CC7B6F"/>
    <w:rsid w:val="00CC7BA0"/>
    <w:rsid w:val="00CC7D63"/>
    <w:rsid w:val="00CC7E6F"/>
    <w:rsid w:val="00CD0035"/>
    <w:rsid w:val="00CD0075"/>
    <w:rsid w:val="00CD02C5"/>
    <w:rsid w:val="00CD031C"/>
    <w:rsid w:val="00CD040E"/>
    <w:rsid w:val="00CD040F"/>
    <w:rsid w:val="00CD0483"/>
    <w:rsid w:val="00CD0542"/>
    <w:rsid w:val="00CD05AF"/>
    <w:rsid w:val="00CD05E8"/>
    <w:rsid w:val="00CD07B6"/>
    <w:rsid w:val="00CD09DB"/>
    <w:rsid w:val="00CD0A21"/>
    <w:rsid w:val="00CD0AC5"/>
    <w:rsid w:val="00CD0B05"/>
    <w:rsid w:val="00CD0B7A"/>
    <w:rsid w:val="00CD0BB8"/>
    <w:rsid w:val="00CD0BBF"/>
    <w:rsid w:val="00CD0C10"/>
    <w:rsid w:val="00CD0C5D"/>
    <w:rsid w:val="00CD0CF2"/>
    <w:rsid w:val="00CD0DBB"/>
    <w:rsid w:val="00CD0E3E"/>
    <w:rsid w:val="00CD0E5D"/>
    <w:rsid w:val="00CD0E6D"/>
    <w:rsid w:val="00CD0F8A"/>
    <w:rsid w:val="00CD0FE8"/>
    <w:rsid w:val="00CD1038"/>
    <w:rsid w:val="00CD103F"/>
    <w:rsid w:val="00CD109A"/>
    <w:rsid w:val="00CD1149"/>
    <w:rsid w:val="00CD11B4"/>
    <w:rsid w:val="00CD1271"/>
    <w:rsid w:val="00CD1370"/>
    <w:rsid w:val="00CD13F7"/>
    <w:rsid w:val="00CD14DB"/>
    <w:rsid w:val="00CD14F5"/>
    <w:rsid w:val="00CD16E0"/>
    <w:rsid w:val="00CD1985"/>
    <w:rsid w:val="00CD199A"/>
    <w:rsid w:val="00CD199B"/>
    <w:rsid w:val="00CD1B00"/>
    <w:rsid w:val="00CD1B2A"/>
    <w:rsid w:val="00CD1BD9"/>
    <w:rsid w:val="00CD1BF2"/>
    <w:rsid w:val="00CD1BF5"/>
    <w:rsid w:val="00CD1C9D"/>
    <w:rsid w:val="00CD1CB1"/>
    <w:rsid w:val="00CD1CD1"/>
    <w:rsid w:val="00CD1CD2"/>
    <w:rsid w:val="00CD1DA0"/>
    <w:rsid w:val="00CD1DA1"/>
    <w:rsid w:val="00CD1DA8"/>
    <w:rsid w:val="00CD1E27"/>
    <w:rsid w:val="00CD1E43"/>
    <w:rsid w:val="00CD1ED9"/>
    <w:rsid w:val="00CD1FDE"/>
    <w:rsid w:val="00CD206D"/>
    <w:rsid w:val="00CD21FD"/>
    <w:rsid w:val="00CD2229"/>
    <w:rsid w:val="00CD2234"/>
    <w:rsid w:val="00CD226C"/>
    <w:rsid w:val="00CD2373"/>
    <w:rsid w:val="00CD23AB"/>
    <w:rsid w:val="00CD23E4"/>
    <w:rsid w:val="00CD240D"/>
    <w:rsid w:val="00CD24BE"/>
    <w:rsid w:val="00CD255F"/>
    <w:rsid w:val="00CD2579"/>
    <w:rsid w:val="00CD25BA"/>
    <w:rsid w:val="00CD268F"/>
    <w:rsid w:val="00CD26B2"/>
    <w:rsid w:val="00CD26F1"/>
    <w:rsid w:val="00CD26F2"/>
    <w:rsid w:val="00CD284A"/>
    <w:rsid w:val="00CD2866"/>
    <w:rsid w:val="00CD2932"/>
    <w:rsid w:val="00CD295A"/>
    <w:rsid w:val="00CD2A00"/>
    <w:rsid w:val="00CD2A0B"/>
    <w:rsid w:val="00CD2A60"/>
    <w:rsid w:val="00CD2ACD"/>
    <w:rsid w:val="00CD2C98"/>
    <w:rsid w:val="00CD2DB0"/>
    <w:rsid w:val="00CD2DC2"/>
    <w:rsid w:val="00CD2DFF"/>
    <w:rsid w:val="00CD2E5C"/>
    <w:rsid w:val="00CD2F85"/>
    <w:rsid w:val="00CD3019"/>
    <w:rsid w:val="00CD312F"/>
    <w:rsid w:val="00CD3153"/>
    <w:rsid w:val="00CD31C3"/>
    <w:rsid w:val="00CD31C9"/>
    <w:rsid w:val="00CD330B"/>
    <w:rsid w:val="00CD3386"/>
    <w:rsid w:val="00CD3467"/>
    <w:rsid w:val="00CD3470"/>
    <w:rsid w:val="00CD34B8"/>
    <w:rsid w:val="00CD3525"/>
    <w:rsid w:val="00CD361C"/>
    <w:rsid w:val="00CD374B"/>
    <w:rsid w:val="00CD38CF"/>
    <w:rsid w:val="00CD3943"/>
    <w:rsid w:val="00CD3988"/>
    <w:rsid w:val="00CD3A20"/>
    <w:rsid w:val="00CD3A79"/>
    <w:rsid w:val="00CD3A82"/>
    <w:rsid w:val="00CD3AC3"/>
    <w:rsid w:val="00CD3AE3"/>
    <w:rsid w:val="00CD3CDE"/>
    <w:rsid w:val="00CD3D68"/>
    <w:rsid w:val="00CD3DD5"/>
    <w:rsid w:val="00CD3E29"/>
    <w:rsid w:val="00CD3E9C"/>
    <w:rsid w:val="00CD3F2D"/>
    <w:rsid w:val="00CD4153"/>
    <w:rsid w:val="00CD41C3"/>
    <w:rsid w:val="00CD41DC"/>
    <w:rsid w:val="00CD429E"/>
    <w:rsid w:val="00CD4453"/>
    <w:rsid w:val="00CD44AC"/>
    <w:rsid w:val="00CD46AE"/>
    <w:rsid w:val="00CD4774"/>
    <w:rsid w:val="00CD4894"/>
    <w:rsid w:val="00CD49AA"/>
    <w:rsid w:val="00CD49DF"/>
    <w:rsid w:val="00CD4AD5"/>
    <w:rsid w:val="00CD4AF2"/>
    <w:rsid w:val="00CD4B20"/>
    <w:rsid w:val="00CD4B51"/>
    <w:rsid w:val="00CD4B74"/>
    <w:rsid w:val="00CD4B82"/>
    <w:rsid w:val="00CD4B97"/>
    <w:rsid w:val="00CD4DEC"/>
    <w:rsid w:val="00CD4E00"/>
    <w:rsid w:val="00CD4E7C"/>
    <w:rsid w:val="00CD4E85"/>
    <w:rsid w:val="00CD4E86"/>
    <w:rsid w:val="00CD4EE4"/>
    <w:rsid w:val="00CD4F34"/>
    <w:rsid w:val="00CD5007"/>
    <w:rsid w:val="00CD5031"/>
    <w:rsid w:val="00CD51B3"/>
    <w:rsid w:val="00CD51DB"/>
    <w:rsid w:val="00CD521B"/>
    <w:rsid w:val="00CD5239"/>
    <w:rsid w:val="00CD52C2"/>
    <w:rsid w:val="00CD5332"/>
    <w:rsid w:val="00CD5446"/>
    <w:rsid w:val="00CD5598"/>
    <w:rsid w:val="00CD56F8"/>
    <w:rsid w:val="00CD57AC"/>
    <w:rsid w:val="00CD57BA"/>
    <w:rsid w:val="00CD58AB"/>
    <w:rsid w:val="00CD594D"/>
    <w:rsid w:val="00CD5A2B"/>
    <w:rsid w:val="00CD5AD4"/>
    <w:rsid w:val="00CD5B9B"/>
    <w:rsid w:val="00CD5BEE"/>
    <w:rsid w:val="00CD5D98"/>
    <w:rsid w:val="00CD5E43"/>
    <w:rsid w:val="00CD5E99"/>
    <w:rsid w:val="00CD5F4C"/>
    <w:rsid w:val="00CD5F8C"/>
    <w:rsid w:val="00CD5FB3"/>
    <w:rsid w:val="00CD6020"/>
    <w:rsid w:val="00CD6108"/>
    <w:rsid w:val="00CD6289"/>
    <w:rsid w:val="00CD632C"/>
    <w:rsid w:val="00CD63E3"/>
    <w:rsid w:val="00CD6496"/>
    <w:rsid w:val="00CD64D7"/>
    <w:rsid w:val="00CD6624"/>
    <w:rsid w:val="00CD668D"/>
    <w:rsid w:val="00CD67AC"/>
    <w:rsid w:val="00CD67C0"/>
    <w:rsid w:val="00CD680E"/>
    <w:rsid w:val="00CD6910"/>
    <w:rsid w:val="00CD691E"/>
    <w:rsid w:val="00CD69D7"/>
    <w:rsid w:val="00CD6B46"/>
    <w:rsid w:val="00CD6BA0"/>
    <w:rsid w:val="00CD6C01"/>
    <w:rsid w:val="00CD6C54"/>
    <w:rsid w:val="00CD6D5B"/>
    <w:rsid w:val="00CD6DC7"/>
    <w:rsid w:val="00CD71F4"/>
    <w:rsid w:val="00CD7213"/>
    <w:rsid w:val="00CD722D"/>
    <w:rsid w:val="00CD7245"/>
    <w:rsid w:val="00CD73ED"/>
    <w:rsid w:val="00CD742A"/>
    <w:rsid w:val="00CD748D"/>
    <w:rsid w:val="00CD7667"/>
    <w:rsid w:val="00CD782D"/>
    <w:rsid w:val="00CD7942"/>
    <w:rsid w:val="00CD79A6"/>
    <w:rsid w:val="00CD7BB5"/>
    <w:rsid w:val="00CD7BFF"/>
    <w:rsid w:val="00CD7D44"/>
    <w:rsid w:val="00CD7DE9"/>
    <w:rsid w:val="00CD7F60"/>
    <w:rsid w:val="00CE0007"/>
    <w:rsid w:val="00CE0031"/>
    <w:rsid w:val="00CE00CF"/>
    <w:rsid w:val="00CE00F0"/>
    <w:rsid w:val="00CE010F"/>
    <w:rsid w:val="00CE0113"/>
    <w:rsid w:val="00CE01D3"/>
    <w:rsid w:val="00CE035C"/>
    <w:rsid w:val="00CE039D"/>
    <w:rsid w:val="00CE041C"/>
    <w:rsid w:val="00CE0461"/>
    <w:rsid w:val="00CE059B"/>
    <w:rsid w:val="00CE05D7"/>
    <w:rsid w:val="00CE0779"/>
    <w:rsid w:val="00CE0835"/>
    <w:rsid w:val="00CE083D"/>
    <w:rsid w:val="00CE0843"/>
    <w:rsid w:val="00CE0881"/>
    <w:rsid w:val="00CE091D"/>
    <w:rsid w:val="00CE09B5"/>
    <w:rsid w:val="00CE0AEE"/>
    <w:rsid w:val="00CE0B76"/>
    <w:rsid w:val="00CE0B9E"/>
    <w:rsid w:val="00CE0BC4"/>
    <w:rsid w:val="00CE0BD0"/>
    <w:rsid w:val="00CE0C80"/>
    <w:rsid w:val="00CE0CAF"/>
    <w:rsid w:val="00CE0F48"/>
    <w:rsid w:val="00CE0F71"/>
    <w:rsid w:val="00CE0FE3"/>
    <w:rsid w:val="00CE100F"/>
    <w:rsid w:val="00CE10FA"/>
    <w:rsid w:val="00CE1199"/>
    <w:rsid w:val="00CE123C"/>
    <w:rsid w:val="00CE12AE"/>
    <w:rsid w:val="00CE12BC"/>
    <w:rsid w:val="00CE12F1"/>
    <w:rsid w:val="00CE1386"/>
    <w:rsid w:val="00CE139E"/>
    <w:rsid w:val="00CE13D0"/>
    <w:rsid w:val="00CE13E3"/>
    <w:rsid w:val="00CE13E8"/>
    <w:rsid w:val="00CE154B"/>
    <w:rsid w:val="00CE1559"/>
    <w:rsid w:val="00CE1747"/>
    <w:rsid w:val="00CE17B8"/>
    <w:rsid w:val="00CE17BF"/>
    <w:rsid w:val="00CE19A0"/>
    <w:rsid w:val="00CE19E7"/>
    <w:rsid w:val="00CE1A8F"/>
    <w:rsid w:val="00CE1B73"/>
    <w:rsid w:val="00CE1B98"/>
    <w:rsid w:val="00CE1CBA"/>
    <w:rsid w:val="00CE1CDC"/>
    <w:rsid w:val="00CE1DD7"/>
    <w:rsid w:val="00CE1E29"/>
    <w:rsid w:val="00CE1F5D"/>
    <w:rsid w:val="00CE201C"/>
    <w:rsid w:val="00CE2066"/>
    <w:rsid w:val="00CE2131"/>
    <w:rsid w:val="00CE214F"/>
    <w:rsid w:val="00CE2152"/>
    <w:rsid w:val="00CE22B9"/>
    <w:rsid w:val="00CE2334"/>
    <w:rsid w:val="00CE2491"/>
    <w:rsid w:val="00CE249D"/>
    <w:rsid w:val="00CE24E4"/>
    <w:rsid w:val="00CE253A"/>
    <w:rsid w:val="00CE27CB"/>
    <w:rsid w:val="00CE2851"/>
    <w:rsid w:val="00CE2895"/>
    <w:rsid w:val="00CE28F9"/>
    <w:rsid w:val="00CE2902"/>
    <w:rsid w:val="00CE2B2B"/>
    <w:rsid w:val="00CE2C35"/>
    <w:rsid w:val="00CE2D12"/>
    <w:rsid w:val="00CE2D2B"/>
    <w:rsid w:val="00CE2D93"/>
    <w:rsid w:val="00CE2E07"/>
    <w:rsid w:val="00CE2E6D"/>
    <w:rsid w:val="00CE2E9F"/>
    <w:rsid w:val="00CE2EB2"/>
    <w:rsid w:val="00CE2ED6"/>
    <w:rsid w:val="00CE3009"/>
    <w:rsid w:val="00CE315E"/>
    <w:rsid w:val="00CE3248"/>
    <w:rsid w:val="00CE33CC"/>
    <w:rsid w:val="00CE34B4"/>
    <w:rsid w:val="00CE34C5"/>
    <w:rsid w:val="00CE34FF"/>
    <w:rsid w:val="00CE350E"/>
    <w:rsid w:val="00CE36C0"/>
    <w:rsid w:val="00CE374A"/>
    <w:rsid w:val="00CE378A"/>
    <w:rsid w:val="00CE37BE"/>
    <w:rsid w:val="00CE3967"/>
    <w:rsid w:val="00CE3B9F"/>
    <w:rsid w:val="00CE3BB1"/>
    <w:rsid w:val="00CE3CFB"/>
    <w:rsid w:val="00CE3D20"/>
    <w:rsid w:val="00CE3E4F"/>
    <w:rsid w:val="00CE3E53"/>
    <w:rsid w:val="00CE3E90"/>
    <w:rsid w:val="00CE3EC3"/>
    <w:rsid w:val="00CE3EC4"/>
    <w:rsid w:val="00CE3F38"/>
    <w:rsid w:val="00CE3F5A"/>
    <w:rsid w:val="00CE400E"/>
    <w:rsid w:val="00CE404F"/>
    <w:rsid w:val="00CE40D1"/>
    <w:rsid w:val="00CE425C"/>
    <w:rsid w:val="00CE42CD"/>
    <w:rsid w:val="00CE431E"/>
    <w:rsid w:val="00CE4414"/>
    <w:rsid w:val="00CE4440"/>
    <w:rsid w:val="00CE4483"/>
    <w:rsid w:val="00CE452E"/>
    <w:rsid w:val="00CE456B"/>
    <w:rsid w:val="00CE45BE"/>
    <w:rsid w:val="00CE45D1"/>
    <w:rsid w:val="00CE46F8"/>
    <w:rsid w:val="00CE48A2"/>
    <w:rsid w:val="00CE4924"/>
    <w:rsid w:val="00CE493B"/>
    <w:rsid w:val="00CE4973"/>
    <w:rsid w:val="00CE49A8"/>
    <w:rsid w:val="00CE4A5B"/>
    <w:rsid w:val="00CE4A95"/>
    <w:rsid w:val="00CE4BBC"/>
    <w:rsid w:val="00CE4E01"/>
    <w:rsid w:val="00CE4E29"/>
    <w:rsid w:val="00CE4FD6"/>
    <w:rsid w:val="00CE502E"/>
    <w:rsid w:val="00CE515F"/>
    <w:rsid w:val="00CE51A9"/>
    <w:rsid w:val="00CE528F"/>
    <w:rsid w:val="00CE5315"/>
    <w:rsid w:val="00CE5328"/>
    <w:rsid w:val="00CE532B"/>
    <w:rsid w:val="00CE5403"/>
    <w:rsid w:val="00CE54D0"/>
    <w:rsid w:val="00CE54E7"/>
    <w:rsid w:val="00CE556F"/>
    <w:rsid w:val="00CE55D4"/>
    <w:rsid w:val="00CE563A"/>
    <w:rsid w:val="00CE573F"/>
    <w:rsid w:val="00CE57C2"/>
    <w:rsid w:val="00CE57E4"/>
    <w:rsid w:val="00CE592B"/>
    <w:rsid w:val="00CE5B5F"/>
    <w:rsid w:val="00CE5B6F"/>
    <w:rsid w:val="00CE5B7E"/>
    <w:rsid w:val="00CE5B84"/>
    <w:rsid w:val="00CE5D63"/>
    <w:rsid w:val="00CE5F50"/>
    <w:rsid w:val="00CE5FF4"/>
    <w:rsid w:val="00CE6049"/>
    <w:rsid w:val="00CE61A3"/>
    <w:rsid w:val="00CE61CC"/>
    <w:rsid w:val="00CE6213"/>
    <w:rsid w:val="00CE629D"/>
    <w:rsid w:val="00CE63DC"/>
    <w:rsid w:val="00CE642D"/>
    <w:rsid w:val="00CE645D"/>
    <w:rsid w:val="00CE6475"/>
    <w:rsid w:val="00CE65F8"/>
    <w:rsid w:val="00CE663F"/>
    <w:rsid w:val="00CE66F5"/>
    <w:rsid w:val="00CE67C0"/>
    <w:rsid w:val="00CE681F"/>
    <w:rsid w:val="00CE68BE"/>
    <w:rsid w:val="00CE68EC"/>
    <w:rsid w:val="00CE6933"/>
    <w:rsid w:val="00CE69A9"/>
    <w:rsid w:val="00CE69EC"/>
    <w:rsid w:val="00CE6A02"/>
    <w:rsid w:val="00CE6A2C"/>
    <w:rsid w:val="00CE6A5F"/>
    <w:rsid w:val="00CE6AFC"/>
    <w:rsid w:val="00CE6DFD"/>
    <w:rsid w:val="00CE6EFB"/>
    <w:rsid w:val="00CE6F2A"/>
    <w:rsid w:val="00CE7068"/>
    <w:rsid w:val="00CE70BA"/>
    <w:rsid w:val="00CE70BD"/>
    <w:rsid w:val="00CE7111"/>
    <w:rsid w:val="00CE7288"/>
    <w:rsid w:val="00CE728C"/>
    <w:rsid w:val="00CE732D"/>
    <w:rsid w:val="00CE7335"/>
    <w:rsid w:val="00CE73E0"/>
    <w:rsid w:val="00CE740A"/>
    <w:rsid w:val="00CE757B"/>
    <w:rsid w:val="00CE761F"/>
    <w:rsid w:val="00CE7635"/>
    <w:rsid w:val="00CE7693"/>
    <w:rsid w:val="00CE776D"/>
    <w:rsid w:val="00CE779E"/>
    <w:rsid w:val="00CE7802"/>
    <w:rsid w:val="00CE78A3"/>
    <w:rsid w:val="00CE7A47"/>
    <w:rsid w:val="00CE7AD6"/>
    <w:rsid w:val="00CE7AF8"/>
    <w:rsid w:val="00CE7B06"/>
    <w:rsid w:val="00CE7B24"/>
    <w:rsid w:val="00CE7B30"/>
    <w:rsid w:val="00CE7B98"/>
    <w:rsid w:val="00CE7C34"/>
    <w:rsid w:val="00CE7E1B"/>
    <w:rsid w:val="00CE7F44"/>
    <w:rsid w:val="00CE7F6D"/>
    <w:rsid w:val="00CE7F90"/>
    <w:rsid w:val="00CE7FF3"/>
    <w:rsid w:val="00CF03A2"/>
    <w:rsid w:val="00CF03CA"/>
    <w:rsid w:val="00CF0417"/>
    <w:rsid w:val="00CF0433"/>
    <w:rsid w:val="00CF0513"/>
    <w:rsid w:val="00CF054C"/>
    <w:rsid w:val="00CF069F"/>
    <w:rsid w:val="00CF06CF"/>
    <w:rsid w:val="00CF0716"/>
    <w:rsid w:val="00CF07E4"/>
    <w:rsid w:val="00CF07FF"/>
    <w:rsid w:val="00CF0880"/>
    <w:rsid w:val="00CF0953"/>
    <w:rsid w:val="00CF0AE9"/>
    <w:rsid w:val="00CF0B8B"/>
    <w:rsid w:val="00CF0C12"/>
    <w:rsid w:val="00CF0D79"/>
    <w:rsid w:val="00CF0DF4"/>
    <w:rsid w:val="00CF0E9A"/>
    <w:rsid w:val="00CF0EBC"/>
    <w:rsid w:val="00CF1051"/>
    <w:rsid w:val="00CF11D8"/>
    <w:rsid w:val="00CF1203"/>
    <w:rsid w:val="00CF123B"/>
    <w:rsid w:val="00CF1539"/>
    <w:rsid w:val="00CF1560"/>
    <w:rsid w:val="00CF1665"/>
    <w:rsid w:val="00CF16AF"/>
    <w:rsid w:val="00CF171E"/>
    <w:rsid w:val="00CF17C0"/>
    <w:rsid w:val="00CF19AD"/>
    <w:rsid w:val="00CF19C4"/>
    <w:rsid w:val="00CF19DC"/>
    <w:rsid w:val="00CF1A53"/>
    <w:rsid w:val="00CF1A54"/>
    <w:rsid w:val="00CF1AF3"/>
    <w:rsid w:val="00CF1B37"/>
    <w:rsid w:val="00CF1C04"/>
    <w:rsid w:val="00CF1CAD"/>
    <w:rsid w:val="00CF1D53"/>
    <w:rsid w:val="00CF1D8B"/>
    <w:rsid w:val="00CF1DAD"/>
    <w:rsid w:val="00CF1DC9"/>
    <w:rsid w:val="00CF1E1D"/>
    <w:rsid w:val="00CF1E38"/>
    <w:rsid w:val="00CF1EB4"/>
    <w:rsid w:val="00CF1F67"/>
    <w:rsid w:val="00CF21E5"/>
    <w:rsid w:val="00CF233D"/>
    <w:rsid w:val="00CF23BB"/>
    <w:rsid w:val="00CF2487"/>
    <w:rsid w:val="00CF24AE"/>
    <w:rsid w:val="00CF24D5"/>
    <w:rsid w:val="00CF2649"/>
    <w:rsid w:val="00CF2652"/>
    <w:rsid w:val="00CF2666"/>
    <w:rsid w:val="00CF279F"/>
    <w:rsid w:val="00CF2915"/>
    <w:rsid w:val="00CF294F"/>
    <w:rsid w:val="00CF2958"/>
    <w:rsid w:val="00CF2BA0"/>
    <w:rsid w:val="00CF2BC5"/>
    <w:rsid w:val="00CF2D0B"/>
    <w:rsid w:val="00CF2D15"/>
    <w:rsid w:val="00CF2D32"/>
    <w:rsid w:val="00CF2E6D"/>
    <w:rsid w:val="00CF2E94"/>
    <w:rsid w:val="00CF2EFD"/>
    <w:rsid w:val="00CF2F2A"/>
    <w:rsid w:val="00CF2F65"/>
    <w:rsid w:val="00CF2F7C"/>
    <w:rsid w:val="00CF2F90"/>
    <w:rsid w:val="00CF302F"/>
    <w:rsid w:val="00CF327E"/>
    <w:rsid w:val="00CF3337"/>
    <w:rsid w:val="00CF3364"/>
    <w:rsid w:val="00CF3402"/>
    <w:rsid w:val="00CF349F"/>
    <w:rsid w:val="00CF34AD"/>
    <w:rsid w:val="00CF34FE"/>
    <w:rsid w:val="00CF3521"/>
    <w:rsid w:val="00CF35CE"/>
    <w:rsid w:val="00CF3682"/>
    <w:rsid w:val="00CF36BE"/>
    <w:rsid w:val="00CF3842"/>
    <w:rsid w:val="00CF387A"/>
    <w:rsid w:val="00CF38A2"/>
    <w:rsid w:val="00CF3909"/>
    <w:rsid w:val="00CF3930"/>
    <w:rsid w:val="00CF3A4E"/>
    <w:rsid w:val="00CF3ABD"/>
    <w:rsid w:val="00CF3B46"/>
    <w:rsid w:val="00CF3C42"/>
    <w:rsid w:val="00CF3C5B"/>
    <w:rsid w:val="00CF3D14"/>
    <w:rsid w:val="00CF3D97"/>
    <w:rsid w:val="00CF3EFF"/>
    <w:rsid w:val="00CF401C"/>
    <w:rsid w:val="00CF407E"/>
    <w:rsid w:val="00CF416E"/>
    <w:rsid w:val="00CF4237"/>
    <w:rsid w:val="00CF42A9"/>
    <w:rsid w:val="00CF4335"/>
    <w:rsid w:val="00CF43A6"/>
    <w:rsid w:val="00CF45AA"/>
    <w:rsid w:val="00CF45F3"/>
    <w:rsid w:val="00CF46D9"/>
    <w:rsid w:val="00CF470E"/>
    <w:rsid w:val="00CF4A0E"/>
    <w:rsid w:val="00CF4B9F"/>
    <w:rsid w:val="00CF4C35"/>
    <w:rsid w:val="00CF4CFC"/>
    <w:rsid w:val="00CF4D30"/>
    <w:rsid w:val="00CF4F44"/>
    <w:rsid w:val="00CF505E"/>
    <w:rsid w:val="00CF50CF"/>
    <w:rsid w:val="00CF51E1"/>
    <w:rsid w:val="00CF52CA"/>
    <w:rsid w:val="00CF535B"/>
    <w:rsid w:val="00CF5406"/>
    <w:rsid w:val="00CF542F"/>
    <w:rsid w:val="00CF5444"/>
    <w:rsid w:val="00CF54E4"/>
    <w:rsid w:val="00CF54FB"/>
    <w:rsid w:val="00CF553C"/>
    <w:rsid w:val="00CF563B"/>
    <w:rsid w:val="00CF5651"/>
    <w:rsid w:val="00CF568A"/>
    <w:rsid w:val="00CF56EA"/>
    <w:rsid w:val="00CF5757"/>
    <w:rsid w:val="00CF577D"/>
    <w:rsid w:val="00CF5785"/>
    <w:rsid w:val="00CF5874"/>
    <w:rsid w:val="00CF58AD"/>
    <w:rsid w:val="00CF5997"/>
    <w:rsid w:val="00CF5A68"/>
    <w:rsid w:val="00CF5BBF"/>
    <w:rsid w:val="00CF5BE9"/>
    <w:rsid w:val="00CF5C78"/>
    <w:rsid w:val="00CF5C88"/>
    <w:rsid w:val="00CF5CE1"/>
    <w:rsid w:val="00CF5DC2"/>
    <w:rsid w:val="00CF5EAB"/>
    <w:rsid w:val="00CF5FA3"/>
    <w:rsid w:val="00CF5FCB"/>
    <w:rsid w:val="00CF609C"/>
    <w:rsid w:val="00CF6219"/>
    <w:rsid w:val="00CF6284"/>
    <w:rsid w:val="00CF62A1"/>
    <w:rsid w:val="00CF62CA"/>
    <w:rsid w:val="00CF630A"/>
    <w:rsid w:val="00CF6443"/>
    <w:rsid w:val="00CF6460"/>
    <w:rsid w:val="00CF65E6"/>
    <w:rsid w:val="00CF6661"/>
    <w:rsid w:val="00CF674D"/>
    <w:rsid w:val="00CF68FB"/>
    <w:rsid w:val="00CF6A23"/>
    <w:rsid w:val="00CF6A29"/>
    <w:rsid w:val="00CF6BFB"/>
    <w:rsid w:val="00CF6C4E"/>
    <w:rsid w:val="00CF6D5E"/>
    <w:rsid w:val="00CF6D79"/>
    <w:rsid w:val="00CF6D89"/>
    <w:rsid w:val="00CF6EBB"/>
    <w:rsid w:val="00CF6F41"/>
    <w:rsid w:val="00CF6FBF"/>
    <w:rsid w:val="00CF737B"/>
    <w:rsid w:val="00CF73C8"/>
    <w:rsid w:val="00CF744C"/>
    <w:rsid w:val="00CF74BA"/>
    <w:rsid w:val="00CF75C7"/>
    <w:rsid w:val="00CF75EA"/>
    <w:rsid w:val="00CF7612"/>
    <w:rsid w:val="00CF76FB"/>
    <w:rsid w:val="00CF771A"/>
    <w:rsid w:val="00CF79A2"/>
    <w:rsid w:val="00CF7A65"/>
    <w:rsid w:val="00CF7AE2"/>
    <w:rsid w:val="00CF7BDF"/>
    <w:rsid w:val="00CF7E27"/>
    <w:rsid w:val="00CF7E30"/>
    <w:rsid w:val="00CF7F32"/>
    <w:rsid w:val="00D0003D"/>
    <w:rsid w:val="00D0006C"/>
    <w:rsid w:val="00D00091"/>
    <w:rsid w:val="00D001A8"/>
    <w:rsid w:val="00D003DB"/>
    <w:rsid w:val="00D00674"/>
    <w:rsid w:val="00D007E6"/>
    <w:rsid w:val="00D00828"/>
    <w:rsid w:val="00D008E6"/>
    <w:rsid w:val="00D008F8"/>
    <w:rsid w:val="00D00953"/>
    <w:rsid w:val="00D009E5"/>
    <w:rsid w:val="00D00A37"/>
    <w:rsid w:val="00D00ABA"/>
    <w:rsid w:val="00D00BA6"/>
    <w:rsid w:val="00D00BFF"/>
    <w:rsid w:val="00D00C73"/>
    <w:rsid w:val="00D00DAC"/>
    <w:rsid w:val="00D00E81"/>
    <w:rsid w:val="00D010C1"/>
    <w:rsid w:val="00D011A1"/>
    <w:rsid w:val="00D011DB"/>
    <w:rsid w:val="00D011FA"/>
    <w:rsid w:val="00D0122B"/>
    <w:rsid w:val="00D01237"/>
    <w:rsid w:val="00D01402"/>
    <w:rsid w:val="00D01428"/>
    <w:rsid w:val="00D0149E"/>
    <w:rsid w:val="00D015F0"/>
    <w:rsid w:val="00D01634"/>
    <w:rsid w:val="00D01645"/>
    <w:rsid w:val="00D01657"/>
    <w:rsid w:val="00D017CF"/>
    <w:rsid w:val="00D01839"/>
    <w:rsid w:val="00D01A8E"/>
    <w:rsid w:val="00D01AE7"/>
    <w:rsid w:val="00D01B7C"/>
    <w:rsid w:val="00D01C04"/>
    <w:rsid w:val="00D01C98"/>
    <w:rsid w:val="00D01F01"/>
    <w:rsid w:val="00D01F71"/>
    <w:rsid w:val="00D02018"/>
    <w:rsid w:val="00D0201E"/>
    <w:rsid w:val="00D0207F"/>
    <w:rsid w:val="00D0218A"/>
    <w:rsid w:val="00D0219E"/>
    <w:rsid w:val="00D021E1"/>
    <w:rsid w:val="00D02436"/>
    <w:rsid w:val="00D02542"/>
    <w:rsid w:val="00D025F6"/>
    <w:rsid w:val="00D02789"/>
    <w:rsid w:val="00D0286B"/>
    <w:rsid w:val="00D02880"/>
    <w:rsid w:val="00D0291A"/>
    <w:rsid w:val="00D02964"/>
    <w:rsid w:val="00D02CF2"/>
    <w:rsid w:val="00D02E34"/>
    <w:rsid w:val="00D02EF4"/>
    <w:rsid w:val="00D02F5D"/>
    <w:rsid w:val="00D02F67"/>
    <w:rsid w:val="00D02FB5"/>
    <w:rsid w:val="00D02FFD"/>
    <w:rsid w:val="00D030CA"/>
    <w:rsid w:val="00D034B1"/>
    <w:rsid w:val="00D03522"/>
    <w:rsid w:val="00D036A1"/>
    <w:rsid w:val="00D036E4"/>
    <w:rsid w:val="00D03795"/>
    <w:rsid w:val="00D037DE"/>
    <w:rsid w:val="00D038A1"/>
    <w:rsid w:val="00D03A50"/>
    <w:rsid w:val="00D03B55"/>
    <w:rsid w:val="00D03BAA"/>
    <w:rsid w:val="00D03BEB"/>
    <w:rsid w:val="00D03E52"/>
    <w:rsid w:val="00D03F2A"/>
    <w:rsid w:val="00D03FE4"/>
    <w:rsid w:val="00D04061"/>
    <w:rsid w:val="00D04172"/>
    <w:rsid w:val="00D04218"/>
    <w:rsid w:val="00D043D2"/>
    <w:rsid w:val="00D044BB"/>
    <w:rsid w:val="00D04608"/>
    <w:rsid w:val="00D04650"/>
    <w:rsid w:val="00D046B9"/>
    <w:rsid w:val="00D0475D"/>
    <w:rsid w:val="00D0482F"/>
    <w:rsid w:val="00D04936"/>
    <w:rsid w:val="00D04994"/>
    <w:rsid w:val="00D04A40"/>
    <w:rsid w:val="00D04AD4"/>
    <w:rsid w:val="00D04EC9"/>
    <w:rsid w:val="00D05262"/>
    <w:rsid w:val="00D052A2"/>
    <w:rsid w:val="00D0532E"/>
    <w:rsid w:val="00D05362"/>
    <w:rsid w:val="00D05452"/>
    <w:rsid w:val="00D05498"/>
    <w:rsid w:val="00D054A4"/>
    <w:rsid w:val="00D054B4"/>
    <w:rsid w:val="00D05539"/>
    <w:rsid w:val="00D055AC"/>
    <w:rsid w:val="00D055B2"/>
    <w:rsid w:val="00D0561D"/>
    <w:rsid w:val="00D05690"/>
    <w:rsid w:val="00D0572F"/>
    <w:rsid w:val="00D05786"/>
    <w:rsid w:val="00D0594D"/>
    <w:rsid w:val="00D0596F"/>
    <w:rsid w:val="00D05BB0"/>
    <w:rsid w:val="00D05C09"/>
    <w:rsid w:val="00D05CBE"/>
    <w:rsid w:val="00D05DCF"/>
    <w:rsid w:val="00D05DD4"/>
    <w:rsid w:val="00D05F76"/>
    <w:rsid w:val="00D05FF0"/>
    <w:rsid w:val="00D060A1"/>
    <w:rsid w:val="00D06175"/>
    <w:rsid w:val="00D0620E"/>
    <w:rsid w:val="00D063A4"/>
    <w:rsid w:val="00D06481"/>
    <w:rsid w:val="00D065E9"/>
    <w:rsid w:val="00D06638"/>
    <w:rsid w:val="00D06685"/>
    <w:rsid w:val="00D068A4"/>
    <w:rsid w:val="00D06954"/>
    <w:rsid w:val="00D06969"/>
    <w:rsid w:val="00D06999"/>
    <w:rsid w:val="00D06AA8"/>
    <w:rsid w:val="00D06ADE"/>
    <w:rsid w:val="00D06B2A"/>
    <w:rsid w:val="00D06BE6"/>
    <w:rsid w:val="00D06C36"/>
    <w:rsid w:val="00D06C8B"/>
    <w:rsid w:val="00D06DDF"/>
    <w:rsid w:val="00D06EAD"/>
    <w:rsid w:val="00D06F18"/>
    <w:rsid w:val="00D06F51"/>
    <w:rsid w:val="00D06F54"/>
    <w:rsid w:val="00D07021"/>
    <w:rsid w:val="00D07056"/>
    <w:rsid w:val="00D07165"/>
    <w:rsid w:val="00D071AC"/>
    <w:rsid w:val="00D071C2"/>
    <w:rsid w:val="00D071F6"/>
    <w:rsid w:val="00D07239"/>
    <w:rsid w:val="00D07257"/>
    <w:rsid w:val="00D07455"/>
    <w:rsid w:val="00D074DE"/>
    <w:rsid w:val="00D075FC"/>
    <w:rsid w:val="00D0767C"/>
    <w:rsid w:val="00D07853"/>
    <w:rsid w:val="00D078E4"/>
    <w:rsid w:val="00D078E7"/>
    <w:rsid w:val="00D07927"/>
    <w:rsid w:val="00D07A34"/>
    <w:rsid w:val="00D07BC4"/>
    <w:rsid w:val="00D07C98"/>
    <w:rsid w:val="00D07CA0"/>
    <w:rsid w:val="00D07DF8"/>
    <w:rsid w:val="00D07E3D"/>
    <w:rsid w:val="00D07F6D"/>
    <w:rsid w:val="00D07FAE"/>
    <w:rsid w:val="00D1005F"/>
    <w:rsid w:val="00D100E7"/>
    <w:rsid w:val="00D101B5"/>
    <w:rsid w:val="00D101CA"/>
    <w:rsid w:val="00D10238"/>
    <w:rsid w:val="00D1026D"/>
    <w:rsid w:val="00D102D8"/>
    <w:rsid w:val="00D102DA"/>
    <w:rsid w:val="00D102EA"/>
    <w:rsid w:val="00D103DB"/>
    <w:rsid w:val="00D1055A"/>
    <w:rsid w:val="00D10638"/>
    <w:rsid w:val="00D10743"/>
    <w:rsid w:val="00D1076C"/>
    <w:rsid w:val="00D1078B"/>
    <w:rsid w:val="00D1087F"/>
    <w:rsid w:val="00D109F7"/>
    <w:rsid w:val="00D10CD0"/>
    <w:rsid w:val="00D11167"/>
    <w:rsid w:val="00D11227"/>
    <w:rsid w:val="00D11262"/>
    <w:rsid w:val="00D112F0"/>
    <w:rsid w:val="00D115B8"/>
    <w:rsid w:val="00D1161B"/>
    <w:rsid w:val="00D117B3"/>
    <w:rsid w:val="00D117DB"/>
    <w:rsid w:val="00D1182E"/>
    <w:rsid w:val="00D118C5"/>
    <w:rsid w:val="00D11911"/>
    <w:rsid w:val="00D11995"/>
    <w:rsid w:val="00D119A1"/>
    <w:rsid w:val="00D11A00"/>
    <w:rsid w:val="00D11A94"/>
    <w:rsid w:val="00D11B23"/>
    <w:rsid w:val="00D11CD0"/>
    <w:rsid w:val="00D11D17"/>
    <w:rsid w:val="00D11D98"/>
    <w:rsid w:val="00D11E12"/>
    <w:rsid w:val="00D11E76"/>
    <w:rsid w:val="00D11F56"/>
    <w:rsid w:val="00D12033"/>
    <w:rsid w:val="00D12084"/>
    <w:rsid w:val="00D120F7"/>
    <w:rsid w:val="00D12483"/>
    <w:rsid w:val="00D12533"/>
    <w:rsid w:val="00D125B6"/>
    <w:rsid w:val="00D125C6"/>
    <w:rsid w:val="00D12600"/>
    <w:rsid w:val="00D12634"/>
    <w:rsid w:val="00D1266B"/>
    <w:rsid w:val="00D12691"/>
    <w:rsid w:val="00D12712"/>
    <w:rsid w:val="00D12716"/>
    <w:rsid w:val="00D1286D"/>
    <w:rsid w:val="00D12908"/>
    <w:rsid w:val="00D129D5"/>
    <w:rsid w:val="00D12A6E"/>
    <w:rsid w:val="00D12CC9"/>
    <w:rsid w:val="00D12D6A"/>
    <w:rsid w:val="00D12E7C"/>
    <w:rsid w:val="00D13085"/>
    <w:rsid w:val="00D13223"/>
    <w:rsid w:val="00D1322E"/>
    <w:rsid w:val="00D13249"/>
    <w:rsid w:val="00D132B8"/>
    <w:rsid w:val="00D132E0"/>
    <w:rsid w:val="00D13398"/>
    <w:rsid w:val="00D133E4"/>
    <w:rsid w:val="00D13420"/>
    <w:rsid w:val="00D13476"/>
    <w:rsid w:val="00D1347B"/>
    <w:rsid w:val="00D1353E"/>
    <w:rsid w:val="00D1360F"/>
    <w:rsid w:val="00D13686"/>
    <w:rsid w:val="00D1391C"/>
    <w:rsid w:val="00D13AF7"/>
    <w:rsid w:val="00D13B16"/>
    <w:rsid w:val="00D13B2C"/>
    <w:rsid w:val="00D13B34"/>
    <w:rsid w:val="00D13B76"/>
    <w:rsid w:val="00D13C81"/>
    <w:rsid w:val="00D13CA7"/>
    <w:rsid w:val="00D13D15"/>
    <w:rsid w:val="00D13EC4"/>
    <w:rsid w:val="00D13F2D"/>
    <w:rsid w:val="00D14062"/>
    <w:rsid w:val="00D1407C"/>
    <w:rsid w:val="00D1419F"/>
    <w:rsid w:val="00D142BD"/>
    <w:rsid w:val="00D142E2"/>
    <w:rsid w:val="00D142E9"/>
    <w:rsid w:val="00D14351"/>
    <w:rsid w:val="00D143CF"/>
    <w:rsid w:val="00D14441"/>
    <w:rsid w:val="00D14456"/>
    <w:rsid w:val="00D144FC"/>
    <w:rsid w:val="00D14645"/>
    <w:rsid w:val="00D146FD"/>
    <w:rsid w:val="00D147EB"/>
    <w:rsid w:val="00D1480F"/>
    <w:rsid w:val="00D14833"/>
    <w:rsid w:val="00D148A9"/>
    <w:rsid w:val="00D14B47"/>
    <w:rsid w:val="00D14C21"/>
    <w:rsid w:val="00D14C3E"/>
    <w:rsid w:val="00D14C6B"/>
    <w:rsid w:val="00D14CD6"/>
    <w:rsid w:val="00D14D03"/>
    <w:rsid w:val="00D14D58"/>
    <w:rsid w:val="00D14DAA"/>
    <w:rsid w:val="00D14F2E"/>
    <w:rsid w:val="00D14F70"/>
    <w:rsid w:val="00D14FED"/>
    <w:rsid w:val="00D15164"/>
    <w:rsid w:val="00D151D9"/>
    <w:rsid w:val="00D15246"/>
    <w:rsid w:val="00D153E9"/>
    <w:rsid w:val="00D154E7"/>
    <w:rsid w:val="00D154F2"/>
    <w:rsid w:val="00D15542"/>
    <w:rsid w:val="00D1568E"/>
    <w:rsid w:val="00D157C9"/>
    <w:rsid w:val="00D157EA"/>
    <w:rsid w:val="00D15804"/>
    <w:rsid w:val="00D158E2"/>
    <w:rsid w:val="00D15975"/>
    <w:rsid w:val="00D159A8"/>
    <w:rsid w:val="00D15B28"/>
    <w:rsid w:val="00D15BEC"/>
    <w:rsid w:val="00D15D29"/>
    <w:rsid w:val="00D15D4B"/>
    <w:rsid w:val="00D15DCB"/>
    <w:rsid w:val="00D15F45"/>
    <w:rsid w:val="00D16116"/>
    <w:rsid w:val="00D162C2"/>
    <w:rsid w:val="00D162F6"/>
    <w:rsid w:val="00D16354"/>
    <w:rsid w:val="00D163C2"/>
    <w:rsid w:val="00D163E9"/>
    <w:rsid w:val="00D16539"/>
    <w:rsid w:val="00D165C8"/>
    <w:rsid w:val="00D16794"/>
    <w:rsid w:val="00D167A6"/>
    <w:rsid w:val="00D167C0"/>
    <w:rsid w:val="00D16862"/>
    <w:rsid w:val="00D16934"/>
    <w:rsid w:val="00D169E3"/>
    <w:rsid w:val="00D16A43"/>
    <w:rsid w:val="00D16AEE"/>
    <w:rsid w:val="00D16BC0"/>
    <w:rsid w:val="00D16C13"/>
    <w:rsid w:val="00D16C27"/>
    <w:rsid w:val="00D16C3F"/>
    <w:rsid w:val="00D16CF5"/>
    <w:rsid w:val="00D16E7F"/>
    <w:rsid w:val="00D16E82"/>
    <w:rsid w:val="00D16F41"/>
    <w:rsid w:val="00D171B3"/>
    <w:rsid w:val="00D171FD"/>
    <w:rsid w:val="00D17285"/>
    <w:rsid w:val="00D1734D"/>
    <w:rsid w:val="00D173DC"/>
    <w:rsid w:val="00D17436"/>
    <w:rsid w:val="00D17486"/>
    <w:rsid w:val="00D174D0"/>
    <w:rsid w:val="00D174D3"/>
    <w:rsid w:val="00D17508"/>
    <w:rsid w:val="00D1759D"/>
    <w:rsid w:val="00D1761B"/>
    <w:rsid w:val="00D17643"/>
    <w:rsid w:val="00D1769A"/>
    <w:rsid w:val="00D176AA"/>
    <w:rsid w:val="00D1773E"/>
    <w:rsid w:val="00D17765"/>
    <w:rsid w:val="00D1778E"/>
    <w:rsid w:val="00D17964"/>
    <w:rsid w:val="00D17B19"/>
    <w:rsid w:val="00D17B38"/>
    <w:rsid w:val="00D17DEC"/>
    <w:rsid w:val="00D17F2C"/>
    <w:rsid w:val="00D17F3A"/>
    <w:rsid w:val="00D17F3C"/>
    <w:rsid w:val="00D17F5E"/>
    <w:rsid w:val="00D200B7"/>
    <w:rsid w:val="00D20230"/>
    <w:rsid w:val="00D2035C"/>
    <w:rsid w:val="00D203A1"/>
    <w:rsid w:val="00D203B4"/>
    <w:rsid w:val="00D2040D"/>
    <w:rsid w:val="00D204F1"/>
    <w:rsid w:val="00D2058D"/>
    <w:rsid w:val="00D205B0"/>
    <w:rsid w:val="00D20614"/>
    <w:rsid w:val="00D20617"/>
    <w:rsid w:val="00D2087E"/>
    <w:rsid w:val="00D20945"/>
    <w:rsid w:val="00D20A26"/>
    <w:rsid w:val="00D20BC6"/>
    <w:rsid w:val="00D20BC9"/>
    <w:rsid w:val="00D20BDD"/>
    <w:rsid w:val="00D20C33"/>
    <w:rsid w:val="00D20CD3"/>
    <w:rsid w:val="00D20CFF"/>
    <w:rsid w:val="00D20D54"/>
    <w:rsid w:val="00D20E2E"/>
    <w:rsid w:val="00D20E59"/>
    <w:rsid w:val="00D20E91"/>
    <w:rsid w:val="00D20F9D"/>
    <w:rsid w:val="00D210EB"/>
    <w:rsid w:val="00D21275"/>
    <w:rsid w:val="00D213D1"/>
    <w:rsid w:val="00D214DB"/>
    <w:rsid w:val="00D21519"/>
    <w:rsid w:val="00D21533"/>
    <w:rsid w:val="00D2157D"/>
    <w:rsid w:val="00D21615"/>
    <w:rsid w:val="00D2163C"/>
    <w:rsid w:val="00D21752"/>
    <w:rsid w:val="00D2178E"/>
    <w:rsid w:val="00D2179F"/>
    <w:rsid w:val="00D217F4"/>
    <w:rsid w:val="00D21802"/>
    <w:rsid w:val="00D2182C"/>
    <w:rsid w:val="00D21A44"/>
    <w:rsid w:val="00D21AB2"/>
    <w:rsid w:val="00D21AB4"/>
    <w:rsid w:val="00D21CC4"/>
    <w:rsid w:val="00D21D1D"/>
    <w:rsid w:val="00D21EC1"/>
    <w:rsid w:val="00D21F9E"/>
    <w:rsid w:val="00D21FBD"/>
    <w:rsid w:val="00D21FE2"/>
    <w:rsid w:val="00D2203A"/>
    <w:rsid w:val="00D22113"/>
    <w:rsid w:val="00D22121"/>
    <w:rsid w:val="00D2212C"/>
    <w:rsid w:val="00D22186"/>
    <w:rsid w:val="00D221A3"/>
    <w:rsid w:val="00D221AF"/>
    <w:rsid w:val="00D2239E"/>
    <w:rsid w:val="00D2242C"/>
    <w:rsid w:val="00D2245C"/>
    <w:rsid w:val="00D22468"/>
    <w:rsid w:val="00D224F0"/>
    <w:rsid w:val="00D224FF"/>
    <w:rsid w:val="00D225AA"/>
    <w:rsid w:val="00D2277E"/>
    <w:rsid w:val="00D2282B"/>
    <w:rsid w:val="00D22930"/>
    <w:rsid w:val="00D2296C"/>
    <w:rsid w:val="00D22AD5"/>
    <w:rsid w:val="00D22C26"/>
    <w:rsid w:val="00D22C9A"/>
    <w:rsid w:val="00D22E26"/>
    <w:rsid w:val="00D22E6D"/>
    <w:rsid w:val="00D22F76"/>
    <w:rsid w:val="00D23123"/>
    <w:rsid w:val="00D23306"/>
    <w:rsid w:val="00D23459"/>
    <w:rsid w:val="00D236DE"/>
    <w:rsid w:val="00D23715"/>
    <w:rsid w:val="00D23720"/>
    <w:rsid w:val="00D2387E"/>
    <w:rsid w:val="00D238B0"/>
    <w:rsid w:val="00D239F2"/>
    <w:rsid w:val="00D23A9B"/>
    <w:rsid w:val="00D23BA4"/>
    <w:rsid w:val="00D23CF6"/>
    <w:rsid w:val="00D23D60"/>
    <w:rsid w:val="00D23DC4"/>
    <w:rsid w:val="00D23E45"/>
    <w:rsid w:val="00D23E50"/>
    <w:rsid w:val="00D23EED"/>
    <w:rsid w:val="00D23F5D"/>
    <w:rsid w:val="00D24019"/>
    <w:rsid w:val="00D240BC"/>
    <w:rsid w:val="00D241BF"/>
    <w:rsid w:val="00D241F0"/>
    <w:rsid w:val="00D242C2"/>
    <w:rsid w:val="00D242F8"/>
    <w:rsid w:val="00D24387"/>
    <w:rsid w:val="00D244DB"/>
    <w:rsid w:val="00D24535"/>
    <w:rsid w:val="00D245DC"/>
    <w:rsid w:val="00D24626"/>
    <w:rsid w:val="00D24672"/>
    <w:rsid w:val="00D24674"/>
    <w:rsid w:val="00D246F9"/>
    <w:rsid w:val="00D24868"/>
    <w:rsid w:val="00D249CA"/>
    <w:rsid w:val="00D249F4"/>
    <w:rsid w:val="00D24A14"/>
    <w:rsid w:val="00D24AAE"/>
    <w:rsid w:val="00D24C14"/>
    <w:rsid w:val="00D24D0F"/>
    <w:rsid w:val="00D24DB1"/>
    <w:rsid w:val="00D24E71"/>
    <w:rsid w:val="00D25039"/>
    <w:rsid w:val="00D25139"/>
    <w:rsid w:val="00D25185"/>
    <w:rsid w:val="00D2519A"/>
    <w:rsid w:val="00D251C5"/>
    <w:rsid w:val="00D25291"/>
    <w:rsid w:val="00D25299"/>
    <w:rsid w:val="00D252E6"/>
    <w:rsid w:val="00D253CA"/>
    <w:rsid w:val="00D2544E"/>
    <w:rsid w:val="00D254C7"/>
    <w:rsid w:val="00D2550A"/>
    <w:rsid w:val="00D25730"/>
    <w:rsid w:val="00D2590B"/>
    <w:rsid w:val="00D2597D"/>
    <w:rsid w:val="00D25ACF"/>
    <w:rsid w:val="00D25B9C"/>
    <w:rsid w:val="00D25BD0"/>
    <w:rsid w:val="00D25BFD"/>
    <w:rsid w:val="00D25CC9"/>
    <w:rsid w:val="00D25D90"/>
    <w:rsid w:val="00D25DC5"/>
    <w:rsid w:val="00D25E66"/>
    <w:rsid w:val="00D26012"/>
    <w:rsid w:val="00D26026"/>
    <w:rsid w:val="00D2612F"/>
    <w:rsid w:val="00D261CD"/>
    <w:rsid w:val="00D26223"/>
    <w:rsid w:val="00D2631B"/>
    <w:rsid w:val="00D2636F"/>
    <w:rsid w:val="00D26434"/>
    <w:rsid w:val="00D264F3"/>
    <w:rsid w:val="00D265D5"/>
    <w:rsid w:val="00D265FA"/>
    <w:rsid w:val="00D26607"/>
    <w:rsid w:val="00D26642"/>
    <w:rsid w:val="00D2665D"/>
    <w:rsid w:val="00D2669C"/>
    <w:rsid w:val="00D26787"/>
    <w:rsid w:val="00D268B3"/>
    <w:rsid w:val="00D26903"/>
    <w:rsid w:val="00D269F6"/>
    <w:rsid w:val="00D26A39"/>
    <w:rsid w:val="00D26C61"/>
    <w:rsid w:val="00D26C94"/>
    <w:rsid w:val="00D26CC6"/>
    <w:rsid w:val="00D26E1F"/>
    <w:rsid w:val="00D26E92"/>
    <w:rsid w:val="00D26EB9"/>
    <w:rsid w:val="00D26EFC"/>
    <w:rsid w:val="00D26F20"/>
    <w:rsid w:val="00D270B0"/>
    <w:rsid w:val="00D270B3"/>
    <w:rsid w:val="00D270DE"/>
    <w:rsid w:val="00D27256"/>
    <w:rsid w:val="00D2725F"/>
    <w:rsid w:val="00D272BA"/>
    <w:rsid w:val="00D27621"/>
    <w:rsid w:val="00D27651"/>
    <w:rsid w:val="00D2771D"/>
    <w:rsid w:val="00D27768"/>
    <w:rsid w:val="00D27898"/>
    <w:rsid w:val="00D27AF8"/>
    <w:rsid w:val="00D27B9C"/>
    <w:rsid w:val="00D27C32"/>
    <w:rsid w:val="00D27D39"/>
    <w:rsid w:val="00D27DAB"/>
    <w:rsid w:val="00D27E2F"/>
    <w:rsid w:val="00D27EDC"/>
    <w:rsid w:val="00D27EFA"/>
    <w:rsid w:val="00D27F05"/>
    <w:rsid w:val="00D27FAE"/>
    <w:rsid w:val="00D27FB8"/>
    <w:rsid w:val="00D300EC"/>
    <w:rsid w:val="00D30108"/>
    <w:rsid w:val="00D3013D"/>
    <w:rsid w:val="00D30252"/>
    <w:rsid w:val="00D303A0"/>
    <w:rsid w:val="00D303AD"/>
    <w:rsid w:val="00D304A1"/>
    <w:rsid w:val="00D304A2"/>
    <w:rsid w:val="00D3051A"/>
    <w:rsid w:val="00D305CF"/>
    <w:rsid w:val="00D30716"/>
    <w:rsid w:val="00D3073D"/>
    <w:rsid w:val="00D3087F"/>
    <w:rsid w:val="00D308E1"/>
    <w:rsid w:val="00D3092C"/>
    <w:rsid w:val="00D30A40"/>
    <w:rsid w:val="00D30B53"/>
    <w:rsid w:val="00D30B5E"/>
    <w:rsid w:val="00D30B77"/>
    <w:rsid w:val="00D30CA5"/>
    <w:rsid w:val="00D30CCB"/>
    <w:rsid w:val="00D30CE8"/>
    <w:rsid w:val="00D30D05"/>
    <w:rsid w:val="00D30D0F"/>
    <w:rsid w:val="00D30E18"/>
    <w:rsid w:val="00D30E37"/>
    <w:rsid w:val="00D30E77"/>
    <w:rsid w:val="00D30F63"/>
    <w:rsid w:val="00D30F92"/>
    <w:rsid w:val="00D3101F"/>
    <w:rsid w:val="00D310B1"/>
    <w:rsid w:val="00D310CE"/>
    <w:rsid w:val="00D310EC"/>
    <w:rsid w:val="00D31310"/>
    <w:rsid w:val="00D31494"/>
    <w:rsid w:val="00D314AA"/>
    <w:rsid w:val="00D314F5"/>
    <w:rsid w:val="00D3171B"/>
    <w:rsid w:val="00D31761"/>
    <w:rsid w:val="00D31878"/>
    <w:rsid w:val="00D31888"/>
    <w:rsid w:val="00D3189E"/>
    <w:rsid w:val="00D31902"/>
    <w:rsid w:val="00D31ABE"/>
    <w:rsid w:val="00D31AF6"/>
    <w:rsid w:val="00D31B27"/>
    <w:rsid w:val="00D31C2C"/>
    <w:rsid w:val="00D31D13"/>
    <w:rsid w:val="00D31D33"/>
    <w:rsid w:val="00D320E9"/>
    <w:rsid w:val="00D32125"/>
    <w:rsid w:val="00D3215E"/>
    <w:rsid w:val="00D3218F"/>
    <w:rsid w:val="00D321E2"/>
    <w:rsid w:val="00D3226A"/>
    <w:rsid w:val="00D322A8"/>
    <w:rsid w:val="00D322FF"/>
    <w:rsid w:val="00D32342"/>
    <w:rsid w:val="00D3242E"/>
    <w:rsid w:val="00D3243F"/>
    <w:rsid w:val="00D324FA"/>
    <w:rsid w:val="00D32676"/>
    <w:rsid w:val="00D326EE"/>
    <w:rsid w:val="00D32761"/>
    <w:rsid w:val="00D3294E"/>
    <w:rsid w:val="00D32FF1"/>
    <w:rsid w:val="00D330BC"/>
    <w:rsid w:val="00D33150"/>
    <w:rsid w:val="00D3317C"/>
    <w:rsid w:val="00D331E6"/>
    <w:rsid w:val="00D331E7"/>
    <w:rsid w:val="00D331F4"/>
    <w:rsid w:val="00D33218"/>
    <w:rsid w:val="00D3323E"/>
    <w:rsid w:val="00D33358"/>
    <w:rsid w:val="00D333EC"/>
    <w:rsid w:val="00D334B1"/>
    <w:rsid w:val="00D334DE"/>
    <w:rsid w:val="00D3350F"/>
    <w:rsid w:val="00D335A9"/>
    <w:rsid w:val="00D337B6"/>
    <w:rsid w:val="00D33882"/>
    <w:rsid w:val="00D33AEA"/>
    <w:rsid w:val="00D33AF6"/>
    <w:rsid w:val="00D33BF4"/>
    <w:rsid w:val="00D33BFD"/>
    <w:rsid w:val="00D33C63"/>
    <w:rsid w:val="00D33D3F"/>
    <w:rsid w:val="00D33D59"/>
    <w:rsid w:val="00D33D73"/>
    <w:rsid w:val="00D33D74"/>
    <w:rsid w:val="00D33EC5"/>
    <w:rsid w:val="00D33F4E"/>
    <w:rsid w:val="00D34010"/>
    <w:rsid w:val="00D34011"/>
    <w:rsid w:val="00D3402C"/>
    <w:rsid w:val="00D34076"/>
    <w:rsid w:val="00D34278"/>
    <w:rsid w:val="00D34388"/>
    <w:rsid w:val="00D343C8"/>
    <w:rsid w:val="00D3444D"/>
    <w:rsid w:val="00D34516"/>
    <w:rsid w:val="00D3457E"/>
    <w:rsid w:val="00D34658"/>
    <w:rsid w:val="00D3468D"/>
    <w:rsid w:val="00D34737"/>
    <w:rsid w:val="00D3482E"/>
    <w:rsid w:val="00D34A72"/>
    <w:rsid w:val="00D34A9F"/>
    <w:rsid w:val="00D34AF2"/>
    <w:rsid w:val="00D34AF7"/>
    <w:rsid w:val="00D34B41"/>
    <w:rsid w:val="00D34B7B"/>
    <w:rsid w:val="00D34C84"/>
    <w:rsid w:val="00D34DF6"/>
    <w:rsid w:val="00D34DFC"/>
    <w:rsid w:val="00D34E9B"/>
    <w:rsid w:val="00D34F29"/>
    <w:rsid w:val="00D34FB3"/>
    <w:rsid w:val="00D351EF"/>
    <w:rsid w:val="00D3522E"/>
    <w:rsid w:val="00D35292"/>
    <w:rsid w:val="00D3537B"/>
    <w:rsid w:val="00D353C2"/>
    <w:rsid w:val="00D353ED"/>
    <w:rsid w:val="00D3544A"/>
    <w:rsid w:val="00D354B0"/>
    <w:rsid w:val="00D355B5"/>
    <w:rsid w:val="00D35656"/>
    <w:rsid w:val="00D3570A"/>
    <w:rsid w:val="00D3577F"/>
    <w:rsid w:val="00D35ACD"/>
    <w:rsid w:val="00D35B64"/>
    <w:rsid w:val="00D35BA5"/>
    <w:rsid w:val="00D35BEC"/>
    <w:rsid w:val="00D35C96"/>
    <w:rsid w:val="00D35DDC"/>
    <w:rsid w:val="00D35E65"/>
    <w:rsid w:val="00D35E76"/>
    <w:rsid w:val="00D35ED7"/>
    <w:rsid w:val="00D35F60"/>
    <w:rsid w:val="00D3608C"/>
    <w:rsid w:val="00D360D3"/>
    <w:rsid w:val="00D36260"/>
    <w:rsid w:val="00D3638A"/>
    <w:rsid w:val="00D364D2"/>
    <w:rsid w:val="00D3669A"/>
    <w:rsid w:val="00D366EB"/>
    <w:rsid w:val="00D366F9"/>
    <w:rsid w:val="00D36770"/>
    <w:rsid w:val="00D367C4"/>
    <w:rsid w:val="00D367CF"/>
    <w:rsid w:val="00D36801"/>
    <w:rsid w:val="00D368F2"/>
    <w:rsid w:val="00D369E4"/>
    <w:rsid w:val="00D36A36"/>
    <w:rsid w:val="00D36AA5"/>
    <w:rsid w:val="00D36B5A"/>
    <w:rsid w:val="00D36D46"/>
    <w:rsid w:val="00D36D63"/>
    <w:rsid w:val="00D36DE1"/>
    <w:rsid w:val="00D36E51"/>
    <w:rsid w:val="00D37092"/>
    <w:rsid w:val="00D37109"/>
    <w:rsid w:val="00D3712D"/>
    <w:rsid w:val="00D3719E"/>
    <w:rsid w:val="00D37246"/>
    <w:rsid w:val="00D37389"/>
    <w:rsid w:val="00D3754D"/>
    <w:rsid w:val="00D375F3"/>
    <w:rsid w:val="00D376D2"/>
    <w:rsid w:val="00D3780C"/>
    <w:rsid w:val="00D37883"/>
    <w:rsid w:val="00D378D0"/>
    <w:rsid w:val="00D379AB"/>
    <w:rsid w:val="00D379B4"/>
    <w:rsid w:val="00D37B6F"/>
    <w:rsid w:val="00D37B76"/>
    <w:rsid w:val="00D37B9F"/>
    <w:rsid w:val="00D37D04"/>
    <w:rsid w:val="00D37D18"/>
    <w:rsid w:val="00D37D3C"/>
    <w:rsid w:val="00D37E0A"/>
    <w:rsid w:val="00D37EAF"/>
    <w:rsid w:val="00D37ED2"/>
    <w:rsid w:val="00D37EE1"/>
    <w:rsid w:val="00D4003E"/>
    <w:rsid w:val="00D4035B"/>
    <w:rsid w:val="00D403EE"/>
    <w:rsid w:val="00D40553"/>
    <w:rsid w:val="00D40655"/>
    <w:rsid w:val="00D4065E"/>
    <w:rsid w:val="00D40684"/>
    <w:rsid w:val="00D407A5"/>
    <w:rsid w:val="00D40907"/>
    <w:rsid w:val="00D4090E"/>
    <w:rsid w:val="00D40A77"/>
    <w:rsid w:val="00D40AB8"/>
    <w:rsid w:val="00D40B6B"/>
    <w:rsid w:val="00D40BF8"/>
    <w:rsid w:val="00D40C8B"/>
    <w:rsid w:val="00D40CA0"/>
    <w:rsid w:val="00D40D3D"/>
    <w:rsid w:val="00D40DAB"/>
    <w:rsid w:val="00D40E47"/>
    <w:rsid w:val="00D40EA3"/>
    <w:rsid w:val="00D41008"/>
    <w:rsid w:val="00D41026"/>
    <w:rsid w:val="00D41093"/>
    <w:rsid w:val="00D41191"/>
    <w:rsid w:val="00D4125F"/>
    <w:rsid w:val="00D412D8"/>
    <w:rsid w:val="00D412E2"/>
    <w:rsid w:val="00D41335"/>
    <w:rsid w:val="00D4144E"/>
    <w:rsid w:val="00D414A2"/>
    <w:rsid w:val="00D414D4"/>
    <w:rsid w:val="00D415D4"/>
    <w:rsid w:val="00D41618"/>
    <w:rsid w:val="00D4161E"/>
    <w:rsid w:val="00D41629"/>
    <w:rsid w:val="00D41692"/>
    <w:rsid w:val="00D416BE"/>
    <w:rsid w:val="00D41839"/>
    <w:rsid w:val="00D418CE"/>
    <w:rsid w:val="00D4197D"/>
    <w:rsid w:val="00D41BA0"/>
    <w:rsid w:val="00D41C05"/>
    <w:rsid w:val="00D41C32"/>
    <w:rsid w:val="00D41C86"/>
    <w:rsid w:val="00D41D6A"/>
    <w:rsid w:val="00D41DDA"/>
    <w:rsid w:val="00D41E04"/>
    <w:rsid w:val="00D41EF5"/>
    <w:rsid w:val="00D4201C"/>
    <w:rsid w:val="00D420FC"/>
    <w:rsid w:val="00D422FE"/>
    <w:rsid w:val="00D4232E"/>
    <w:rsid w:val="00D4244B"/>
    <w:rsid w:val="00D424CF"/>
    <w:rsid w:val="00D42512"/>
    <w:rsid w:val="00D42549"/>
    <w:rsid w:val="00D42592"/>
    <w:rsid w:val="00D426AA"/>
    <w:rsid w:val="00D42783"/>
    <w:rsid w:val="00D4287B"/>
    <w:rsid w:val="00D428C4"/>
    <w:rsid w:val="00D4290E"/>
    <w:rsid w:val="00D429E2"/>
    <w:rsid w:val="00D42A15"/>
    <w:rsid w:val="00D42B4D"/>
    <w:rsid w:val="00D42C20"/>
    <w:rsid w:val="00D42C22"/>
    <w:rsid w:val="00D42D33"/>
    <w:rsid w:val="00D42D53"/>
    <w:rsid w:val="00D42D9B"/>
    <w:rsid w:val="00D42DC7"/>
    <w:rsid w:val="00D42EC3"/>
    <w:rsid w:val="00D42EEC"/>
    <w:rsid w:val="00D42FA9"/>
    <w:rsid w:val="00D42FBA"/>
    <w:rsid w:val="00D43035"/>
    <w:rsid w:val="00D431DF"/>
    <w:rsid w:val="00D431FE"/>
    <w:rsid w:val="00D4327F"/>
    <w:rsid w:val="00D43363"/>
    <w:rsid w:val="00D4338A"/>
    <w:rsid w:val="00D4347E"/>
    <w:rsid w:val="00D43522"/>
    <w:rsid w:val="00D43574"/>
    <w:rsid w:val="00D436F2"/>
    <w:rsid w:val="00D437AD"/>
    <w:rsid w:val="00D4381E"/>
    <w:rsid w:val="00D43831"/>
    <w:rsid w:val="00D43929"/>
    <w:rsid w:val="00D43948"/>
    <w:rsid w:val="00D4394B"/>
    <w:rsid w:val="00D43978"/>
    <w:rsid w:val="00D439AD"/>
    <w:rsid w:val="00D43A72"/>
    <w:rsid w:val="00D43AC1"/>
    <w:rsid w:val="00D43AD7"/>
    <w:rsid w:val="00D43B03"/>
    <w:rsid w:val="00D43B5D"/>
    <w:rsid w:val="00D43B78"/>
    <w:rsid w:val="00D43BB3"/>
    <w:rsid w:val="00D43BEC"/>
    <w:rsid w:val="00D43C48"/>
    <w:rsid w:val="00D43C95"/>
    <w:rsid w:val="00D43D16"/>
    <w:rsid w:val="00D43D3C"/>
    <w:rsid w:val="00D43E4B"/>
    <w:rsid w:val="00D43F63"/>
    <w:rsid w:val="00D44054"/>
    <w:rsid w:val="00D4406E"/>
    <w:rsid w:val="00D44177"/>
    <w:rsid w:val="00D441AD"/>
    <w:rsid w:val="00D44325"/>
    <w:rsid w:val="00D443F2"/>
    <w:rsid w:val="00D44424"/>
    <w:rsid w:val="00D4453D"/>
    <w:rsid w:val="00D445D0"/>
    <w:rsid w:val="00D44739"/>
    <w:rsid w:val="00D44750"/>
    <w:rsid w:val="00D44894"/>
    <w:rsid w:val="00D448B3"/>
    <w:rsid w:val="00D44B00"/>
    <w:rsid w:val="00D44B6F"/>
    <w:rsid w:val="00D44C50"/>
    <w:rsid w:val="00D44D40"/>
    <w:rsid w:val="00D44D7E"/>
    <w:rsid w:val="00D44E5C"/>
    <w:rsid w:val="00D44E6A"/>
    <w:rsid w:val="00D44F7C"/>
    <w:rsid w:val="00D44FA2"/>
    <w:rsid w:val="00D451EB"/>
    <w:rsid w:val="00D452ED"/>
    <w:rsid w:val="00D4535B"/>
    <w:rsid w:val="00D4547D"/>
    <w:rsid w:val="00D454F4"/>
    <w:rsid w:val="00D45544"/>
    <w:rsid w:val="00D45573"/>
    <w:rsid w:val="00D4558A"/>
    <w:rsid w:val="00D455BC"/>
    <w:rsid w:val="00D4566D"/>
    <w:rsid w:val="00D45765"/>
    <w:rsid w:val="00D457E1"/>
    <w:rsid w:val="00D45A05"/>
    <w:rsid w:val="00D45B23"/>
    <w:rsid w:val="00D45BA6"/>
    <w:rsid w:val="00D45CE1"/>
    <w:rsid w:val="00D45CEE"/>
    <w:rsid w:val="00D45D51"/>
    <w:rsid w:val="00D45E3F"/>
    <w:rsid w:val="00D45E5B"/>
    <w:rsid w:val="00D45E7E"/>
    <w:rsid w:val="00D45E83"/>
    <w:rsid w:val="00D45ED3"/>
    <w:rsid w:val="00D45EE8"/>
    <w:rsid w:val="00D45F47"/>
    <w:rsid w:val="00D45F77"/>
    <w:rsid w:val="00D45F90"/>
    <w:rsid w:val="00D46118"/>
    <w:rsid w:val="00D4611A"/>
    <w:rsid w:val="00D4612A"/>
    <w:rsid w:val="00D46196"/>
    <w:rsid w:val="00D461B9"/>
    <w:rsid w:val="00D461D5"/>
    <w:rsid w:val="00D461DB"/>
    <w:rsid w:val="00D46242"/>
    <w:rsid w:val="00D4651E"/>
    <w:rsid w:val="00D465C7"/>
    <w:rsid w:val="00D466BC"/>
    <w:rsid w:val="00D46783"/>
    <w:rsid w:val="00D467C3"/>
    <w:rsid w:val="00D469C6"/>
    <w:rsid w:val="00D469CA"/>
    <w:rsid w:val="00D46A58"/>
    <w:rsid w:val="00D46ADD"/>
    <w:rsid w:val="00D46DBD"/>
    <w:rsid w:val="00D4709B"/>
    <w:rsid w:val="00D471AE"/>
    <w:rsid w:val="00D4722C"/>
    <w:rsid w:val="00D472F0"/>
    <w:rsid w:val="00D47391"/>
    <w:rsid w:val="00D473D9"/>
    <w:rsid w:val="00D47682"/>
    <w:rsid w:val="00D477B8"/>
    <w:rsid w:val="00D477E6"/>
    <w:rsid w:val="00D47956"/>
    <w:rsid w:val="00D47A9D"/>
    <w:rsid w:val="00D47AE0"/>
    <w:rsid w:val="00D47B9B"/>
    <w:rsid w:val="00D47BB7"/>
    <w:rsid w:val="00D47BFA"/>
    <w:rsid w:val="00D47E5E"/>
    <w:rsid w:val="00D47E8F"/>
    <w:rsid w:val="00D47FA0"/>
    <w:rsid w:val="00D50012"/>
    <w:rsid w:val="00D5001F"/>
    <w:rsid w:val="00D50098"/>
    <w:rsid w:val="00D5024D"/>
    <w:rsid w:val="00D5026E"/>
    <w:rsid w:val="00D50284"/>
    <w:rsid w:val="00D502CD"/>
    <w:rsid w:val="00D505DF"/>
    <w:rsid w:val="00D5061A"/>
    <w:rsid w:val="00D506E1"/>
    <w:rsid w:val="00D50726"/>
    <w:rsid w:val="00D5074A"/>
    <w:rsid w:val="00D50830"/>
    <w:rsid w:val="00D5097D"/>
    <w:rsid w:val="00D509F3"/>
    <w:rsid w:val="00D50A05"/>
    <w:rsid w:val="00D50B03"/>
    <w:rsid w:val="00D50B0F"/>
    <w:rsid w:val="00D50C70"/>
    <w:rsid w:val="00D50D12"/>
    <w:rsid w:val="00D50D27"/>
    <w:rsid w:val="00D50D92"/>
    <w:rsid w:val="00D50E6F"/>
    <w:rsid w:val="00D50F52"/>
    <w:rsid w:val="00D50FDA"/>
    <w:rsid w:val="00D51185"/>
    <w:rsid w:val="00D511D5"/>
    <w:rsid w:val="00D511DC"/>
    <w:rsid w:val="00D5138D"/>
    <w:rsid w:val="00D513FA"/>
    <w:rsid w:val="00D5140F"/>
    <w:rsid w:val="00D51537"/>
    <w:rsid w:val="00D515DB"/>
    <w:rsid w:val="00D515F3"/>
    <w:rsid w:val="00D515F7"/>
    <w:rsid w:val="00D51743"/>
    <w:rsid w:val="00D517B2"/>
    <w:rsid w:val="00D519E9"/>
    <w:rsid w:val="00D51A66"/>
    <w:rsid w:val="00D51B70"/>
    <w:rsid w:val="00D51C35"/>
    <w:rsid w:val="00D51C54"/>
    <w:rsid w:val="00D51C74"/>
    <w:rsid w:val="00D51CB8"/>
    <w:rsid w:val="00D51E3E"/>
    <w:rsid w:val="00D51F6D"/>
    <w:rsid w:val="00D51FA1"/>
    <w:rsid w:val="00D51FD4"/>
    <w:rsid w:val="00D52188"/>
    <w:rsid w:val="00D522A0"/>
    <w:rsid w:val="00D522EF"/>
    <w:rsid w:val="00D524DA"/>
    <w:rsid w:val="00D5254A"/>
    <w:rsid w:val="00D5255A"/>
    <w:rsid w:val="00D52575"/>
    <w:rsid w:val="00D52588"/>
    <w:rsid w:val="00D525C1"/>
    <w:rsid w:val="00D525C8"/>
    <w:rsid w:val="00D5267C"/>
    <w:rsid w:val="00D526D2"/>
    <w:rsid w:val="00D527B5"/>
    <w:rsid w:val="00D5287B"/>
    <w:rsid w:val="00D528C6"/>
    <w:rsid w:val="00D529C8"/>
    <w:rsid w:val="00D529FB"/>
    <w:rsid w:val="00D52BBD"/>
    <w:rsid w:val="00D52C37"/>
    <w:rsid w:val="00D52E61"/>
    <w:rsid w:val="00D52F4C"/>
    <w:rsid w:val="00D52F84"/>
    <w:rsid w:val="00D52F8B"/>
    <w:rsid w:val="00D53018"/>
    <w:rsid w:val="00D531C6"/>
    <w:rsid w:val="00D53230"/>
    <w:rsid w:val="00D53323"/>
    <w:rsid w:val="00D53414"/>
    <w:rsid w:val="00D534DB"/>
    <w:rsid w:val="00D535EE"/>
    <w:rsid w:val="00D536F0"/>
    <w:rsid w:val="00D5381E"/>
    <w:rsid w:val="00D538C7"/>
    <w:rsid w:val="00D539D3"/>
    <w:rsid w:val="00D53A1E"/>
    <w:rsid w:val="00D53A4F"/>
    <w:rsid w:val="00D53BE1"/>
    <w:rsid w:val="00D53EB4"/>
    <w:rsid w:val="00D53F06"/>
    <w:rsid w:val="00D53F1C"/>
    <w:rsid w:val="00D53F47"/>
    <w:rsid w:val="00D53F4C"/>
    <w:rsid w:val="00D54019"/>
    <w:rsid w:val="00D540B8"/>
    <w:rsid w:val="00D541C1"/>
    <w:rsid w:val="00D5455C"/>
    <w:rsid w:val="00D54575"/>
    <w:rsid w:val="00D545F5"/>
    <w:rsid w:val="00D5462D"/>
    <w:rsid w:val="00D5470D"/>
    <w:rsid w:val="00D547C1"/>
    <w:rsid w:val="00D549C6"/>
    <w:rsid w:val="00D54A26"/>
    <w:rsid w:val="00D54C07"/>
    <w:rsid w:val="00D54D10"/>
    <w:rsid w:val="00D54D77"/>
    <w:rsid w:val="00D54E85"/>
    <w:rsid w:val="00D54F15"/>
    <w:rsid w:val="00D55028"/>
    <w:rsid w:val="00D5504D"/>
    <w:rsid w:val="00D55128"/>
    <w:rsid w:val="00D551BE"/>
    <w:rsid w:val="00D551D4"/>
    <w:rsid w:val="00D5530A"/>
    <w:rsid w:val="00D5537F"/>
    <w:rsid w:val="00D5542F"/>
    <w:rsid w:val="00D55455"/>
    <w:rsid w:val="00D554B5"/>
    <w:rsid w:val="00D554DD"/>
    <w:rsid w:val="00D55605"/>
    <w:rsid w:val="00D55656"/>
    <w:rsid w:val="00D55674"/>
    <w:rsid w:val="00D5575A"/>
    <w:rsid w:val="00D5575F"/>
    <w:rsid w:val="00D55952"/>
    <w:rsid w:val="00D559A1"/>
    <w:rsid w:val="00D55A7E"/>
    <w:rsid w:val="00D55AB5"/>
    <w:rsid w:val="00D55B40"/>
    <w:rsid w:val="00D55C53"/>
    <w:rsid w:val="00D55C96"/>
    <w:rsid w:val="00D55DF7"/>
    <w:rsid w:val="00D5620C"/>
    <w:rsid w:val="00D5628C"/>
    <w:rsid w:val="00D56332"/>
    <w:rsid w:val="00D56347"/>
    <w:rsid w:val="00D5637A"/>
    <w:rsid w:val="00D563C2"/>
    <w:rsid w:val="00D564AF"/>
    <w:rsid w:val="00D56511"/>
    <w:rsid w:val="00D5651D"/>
    <w:rsid w:val="00D5654F"/>
    <w:rsid w:val="00D565DA"/>
    <w:rsid w:val="00D56645"/>
    <w:rsid w:val="00D566DF"/>
    <w:rsid w:val="00D569E5"/>
    <w:rsid w:val="00D56A42"/>
    <w:rsid w:val="00D56A81"/>
    <w:rsid w:val="00D56A82"/>
    <w:rsid w:val="00D56C27"/>
    <w:rsid w:val="00D56C6C"/>
    <w:rsid w:val="00D56E24"/>
    <w:rsid w:val="00D56EA0"/>
    <w:rsid w:val="00D56F91"/>
    <w:rsid w:val="00D57211"/>
    <w:rsid w:val="00D5739A"/>
    <w:rsid w:val="00D57415"/>
    <w:rsid w:val="00D5743A"/>
    <w:rsid w:val="00D575E9"/>
    <w:rsid w:val="00D57797"/>
    <w:rsid w:val="00D5779F"/>
    <w:rsid w:val="00D577A9"/>
    <w:rsid w:val="00D5788A"/>
    <w:rsid w:val="00D579AC"/>
    <w:rsid w:val="00D57AA7"/>
    <w:rsid w:val="00D57ADE"/>
    <w:rsid w:val="00D57BB1"/>
    <w:rsid w:val="00D57DE0"/>
    <w:rsid w:val="00D57E99"/>
    <w:rsid w:val="00D57F0D"/>
    <w:rsid w:val="00D60063"/>
    <w:rsid w:val="00D600BD"/>
    <w:rsid w:val="00D600E3"/>
    <w:rsid w:val="00D60140"/>
    <w:rsid w:val="00D60171"/>
    <w:rsid w:val="00D602A2"/>
    <w:rsid w:val="00D6035C"/>
    <w:rsid w:val="00D6037A"/>
    <w:rsid w:val="00D603FF"/>
    <w:rsid w:val="00D6048F"/>
    <w:rsid w:val="00D604FF"/>
    <w:rsid w:val="00D606FE"/>
    <w:rsid w:val="00D6086C"/>
    <w:rsid w:val="00D608CA"/>
    <w:rsid w:val="00D609AF"/>
    <w:rsid w:val="00D60A56"/>
    <w:rsid w:val="00D60B17"/>
    <w:rsid w:val="00D60B46"/>
    <w:rsid w:val="00D60B99"/>
    <w:rsid w:val="00D60C04"/>
    <w:rsid w:val="00D60C4E"/>
    <w:rsid w:val="00D60C8B"/>
    <w:rsid w:val="00D60C93"/>
    <w:rsid w:val="00D60CE0"/>
    <w:rsid w:val="00D60D3C"/>
    <w:rsid w:val="00D60DDD"/>
    <w:rsid w:val="00D60DFF"/>
    <w:rsid w:val="00D60E95"/>
    <w:rsid w:val="00D60EE0"/>
    <w:rsid w:val="00D61079"/>
    <w:rsid w:val="00D611F6"/>
    <w:rsid w:val="00D61244"/>
    <w:rsid w:val="00D61273"/>
    <w:rsid w:val="00D612F1"/>
    <w:rsid w:val="00D613A7"/>
    <w:rsid w:val="00D613D6"/>
    <w:rsid w:val="00D614DC"/>
    <w:rsid w:val="00D614F4"/>
    <w:rsid w:val="00D61519"/>
    <w:rsid w:val="00D61694"/>
    <w:rsid w:val="00D616EB"/>
    <w:rsid w:val="00D61802"/>
    <w:rsid w:val="00D61876"/>
    <w:rsid w:val="00D61934"/>
    <w:rsid w:val="00D6194C"/>
    <w:rsid w:val="00D6195A"/>
    <w:rsid w:val="00D6197D"/>
    <w:rsid w:val="00D6198A"/>
    <w:rsid w:val="00D61A72"/>
    <w:rsid w:val="00D61A89"/>
    <w:rsid w:val="00D61B37"/>
    <w:rsid w:val="00D61D72"/>
    <w:rsid w:val="00D61ED1"/>
    <w:rsid w:val="00D620E7"/>
    <w:rsid w:val="00D622EA"/>
    <w:rsid w:val="00D62366"/>
    <w:rsid w:val="00D62369"/>
    <w:rsid w:val="00D62568"/>
    <w:rsid w:val="00D6259C"/>
    <w:rsid w:val="00D625F3"/>
    <w:rsid w:val="00D626B6"/>
    <w:rsid w:val="00D626C4"/>
    <w:rsid w:val="00D626CD"/>
    <w:rsid w:val="00D62791"/>
    <w:rsid w:val="00D629A2"/>
    <w:rsid w:val="00D62A7F"/>
    <w:rsid w:val="00D62AFE"/>
    <w:rsid w:val="00D62B9F"/>
    <w:rsid w:val="00D62BA8"/>
    <w:rsid w:val="00D62CFE"/>
    <w:rsid w:val="00D62D23"/>
    <w:rsid w:val="00D62DCB"/>
    <w:rsid w:val="00D62E24"/>
    <w:rsid w:val="00D62E8E"/>
    <w:rsid w:val="00D62ED0"/>
    <w:rsid w:val="00D62ED8"/>
    <w:rsid w:val="00D62EE3"/>
    <w:rsid w:val="00D62EFD"/>
    <w:rsid w:val="00D62F00"/>
    <w:rsid w:val="00D62F33"/>
    <w:rsid w:val="00D62F6F"/>
    <w:rsid w:val="00D63007"/>
    <w:rsid w:val="00D630B8"/>
    <w:rsid w:val="00D630C1"/>
    <w:rsid w:val="00D63149"/>
    <w:rsid w:val="00D63343"/>
    <w:rsid w:val="00D63376"/>
    <w:rsid w:val="00D63490"/>
    <w:rsid w:val="00D634BF"/>
    <w:rsid w:val="00D63523"/>
    <w:rsid w:val="00D635FE"/>
    <w:rsid w:val="00D6369A"/>
    <w:rsid w:val="00D6373C"/>
    <w:rsid w:val="00D637C7"/>
    <w:rsid w:val="00D63838"/>
    <w:rsid w:val="00D63839"/>
    <w:rsid w:val="00D638D6"/>
    <w:rsid w:val="00D639D1"/>
    <w:rsid w:val="00D63AEC"/>
    <w:rsid w:val="00D63B51"/>
    <w:rsid w:val="00D63B78"/>
    <w:rsid w:val="00D63BFA"/>
    <w:rsid w:val="00D63C1E"/>
    <w:rsid w:val="00D63CCB"/>
    <w:rsid w:val="00D63D34"/>
    <w:rsid w:val="00D63D6F"/>
    <w:rsid w:val="00D63E8E"/>
    <w:rsid w:val="00D63EE3"/>
    <w:rsid w:val="00D63FFD"/>
    <w:rsid w:val="00D64034"/>
    <w:rsid w:val="00D640BD"/>
    <w:rsid w:val="00D641EE"/>
    <w:rsid w:val="00D64251"/>
    <w:rsid w:val="00D642B6"/>
    <w:rsid w:val="00D643A1"/>
    <w:rsid w:val="00D643C9"/>
    <w:rsid w:val="00D643E6"/>
    <w:rsid w:val="00D64445"/>
    <w:rsid w:val="00D64646"/>
    <w:rsid w:val="00D64647"/>
    <w:rsid w:val="00D6471C"/>
    <w:rsid w:val="00D648E0"/>
    <w:rsid w:val="00D64903"/>
    <w:rsid w:val="00D6499A"/>
    <w:rsid w:val="00D649A3"/>
    <w:rsid w:val="00D64A5F"/>
    <w:rsid w:val="00D64BE0"/>
    <w:rsid w:val="00D64D27"/>
    <w:rsid w:val="00D64D8D"/>
    <w:rsid w:val="00D64D9B"/>
    <w:rsid w:val="00D64F4A"/>
    <w:rsid w:val="00D64F84"/>
    <w:rsid w:val="00D64FB0"/>
    <w:rsid w:val="00D65010"/>
    <w:rsid w:val="00D650CA"/>
    <w:rsid w:val="00D651B0"/>
    <w:rsid w:val="00D65225"/>
    <w:rsid w:val="00D6524D"/>
    <w:rsid w:val="00D652DB"/>
    <w:rsid w:val="00D653E0"/>
    <w:rsid w:val="00D653F7"/>
    <w:rsid w:val="00D654CE"/>
    <w:rsid w:val="00D654E5"/>
    <w:rsid w:val="00D65562"/>
    <w:rsid w:val="00D65569"/>
    <w:rsid w:val="00D65576"/>
    <w:rsid w:val="00D65595"/>
    <w:rsid w:val="00D65718"/>
    <w:rsid w:val="00D65865"/>
    <w:rsid w:val="00D65A34"/>
    <w:rsid w:val="00D65B0D"/>
    <w:rsid w:val="00D65BF8"/>
    <w:rsid w:val="00D65BFC"/>
    <w:rsid w:val="00D65D49"/>
    <w:rsid w:val="00D65E31"/>
    <w:rsid w:val="00D65E87"/>
    <w:rsid w:val="00D65F92"/>
    <w:rsid w:val="00D660BC"/>
    <w:rsid w:val="00D660FA"/>
    <w:rsid w:val="00D6613B"/>
    <w:rsid w:val="00D663AF"/>
    <w:rsid w:val="00D6642B"/>
    <w:rsid w:val="00D66510"/>
    <w:rsid w:val="00D66636"/>
    <w:rsid w:val="00D66664"/>
    <w:rsid w:val="00D666F3"/>
    <w:rsid w:val="00D66715"/>
    <w:rsid w:val="00D6677A"/>
    <w:rsid w:val="00D6696B"/>
    <w:rsid w:val="00D66A23"/>
    <w:rsid w:val="00D66B2A"/>
    <w:rsid w:val="00D66B68"/>
    <w:rsid w:val="00D66B97"/>
    <w:rsid w:val="00D66BD7"/>
    <w:rsid w:val="00D66CEE"/>
    <w:rsid w:val="00D66D05"/>
    <w:rsid w:val="00D66DD0"/>
    <w:rsid w:val="00D66DFE"/>
    <w:rsid w:val="00D66EF3"/>
    <w:rsid w:val="00D66F29"/>
    <w:rsid w:val="00D66F49"/>
    <w:rsid w:val="00D6712D"/>
    <w:rsid w:val="00D67132"/>
    <w:rsid w:val="00D67242"/>
    <w:rsid w:val="00D6757C"/>
    <w:rsid w:val="00D67718"/>
    <w:rsid w:val="00D677A9"/>
    <w:rsid w:val="00D677C1"/>
    <w:rsid w:val="00D67875"/>
    <w:rsid w:val="00D678A6"/>
    <w:rsid w:val="00D678CA"/>
    <w:rsid w:val="00D678DD"/>
    <w:rsid w:val="00D678DF"/>
    <w:rsid w:val="00D67909"/>
    <w:rsid w:val="00D67962"/>
    <w:rsid w:val="00D67AB6"/>
    <w:rsid w:val="00D67C5F"/>
    <w:rsid w:val="00D67CAE"/>
    <w:rsid w:val="00D67D04"/>
    <w:rsid w:val="00D67D3D"/>
    <w:rsid w:val="00D67D82"/>
    <w:rsid w:val="00D67E02"/>
    <w:rsid w:val="00D67E1D"/>
    <w:rsid w:val="00D67E4B"/>
    <w:rsid w:val="00D67F7B"/>
    <w:rsid w:val="00D7002E"/>
    <w:rsid w:val="00D70035"/>
    <w:rsid w:val="00D70126"/>
    <w:rsid w:val="00D7012A"/>
    <w:rsid w:val="00D7045C"/>
    <w:rsid w:val="00D70486"/>
    <w:rsid w:val="00D70509"/>
    <w:rsid w:val="00D7051A"/>
    <w:rsid w:val="00D707BF"/>
    <w:rsid w:val="00D708D3"/>
    <w:rsid w:val="00D708DD"/>
    <w:rsid w:val="00D708DE"/>
    <w:rsid w:val="00D70A00"/>
    <w:rsid w:val="00D70A04"/>
    <w:rsid w:val="00D70A14"/>
    <w:rsid w:val="00D70AEA"/>
    <w:rsid w:val="00D70BB6"/>
    <w:rsid w:val="00D70BD8"/>
    <w:rsid w:val="00D70D43"/>
    <w:rsid w:val="00D70DA5"/>
    <w:rsid w:val="00D70DC5"/>
    <w:rsid w:val="00D70E24"/>
    <w:rsid w:val="00D70F99"/>
    <w:rsid w:val="00D71209"/>
    <w:rsid w:val="00D7129F"/>
    <w:rsid w:val="00D7132F"/>
    <w:rsid w:val="00D71406"/>
    <w:rsid w:val="00D7140C"/>
    <w:rsid w:val="00D71420"/>
    <w:rsid w:val="00D716C9"/>
    <w:rsid w:val="00D717AF"/>
    <w:rsid w:val="00D7183C"/>
    <w:rsid w:val="00D718FB"/>
    <w:rsid w:val="00D71B56"/>
    <w:rsid w:val="00D71C96"/>
    <w:rsid w:val="00D71D3F"/>
    <w:rsid w:val="00D71DFB"/>
    <w:rsid w:val="00D71E10"/>
    <w:rsid w:val="00D71E1A"/>
    <w:rsid w:val="00D71E9B"/>
    <w:rsid w:val="00D71F75"/>
    <w:rsid w:val="00D71FB9"/>
    <w:rsid w:val="00D72000"/>
    <w:rsid w:val="00D72083"/>
    <w:rsid w:val="00D720DD"/>
    <w:rsid w:val="00D72111"/>
    <w:rsid w:val="00D72142"/>
    <w:rsid w:val="00D72170"/>
    <w:rsid w:val="00D7239E"/>
    <w:rsid w:val="00D7244E"/>
    <w:rsid w:val="00D72453"/>
    <w:rsid w:val="00D72499"/>
    <w:rsid w:val="00D724F9"/>
    <w:rsid w:val="00D72596"/>
    <w:rsid w:val="00D7264C"/>
    <w:rsid w:val="00D72698"/>
    <w:rsid w:val="00D728D7"/>
    <w:rsid w:val="00D72905"/>
    <w:rsid w:val="00D72931"/>
    <w:rsid w:val="00D72948"/>
    <w:rsid w:val="00D72A6E"/>
    <w:rsid w:val="00D72AD1"/>
    <w:rsid w:val="00D72B19"/>
    <w:rsid w:val="00D72BD5"/>
    <w:rsid w:val="00D72E0F"/>
    <w:rsid w:val="00D72E59"/>
    <w:rsid w:val="00D72E77"/>
    <w:rsid w:val="00D72EA6"/>
    <w:rsid w:val="00D72F2C"/>
    <w:rsid w:val="00D73067"/>
    <w:rsid w:val="00D730F9"/>
    <w:rsid w:val="00D73169"/>
    <w:rsid w:val="00D73185"/>
    <w:rsid w:val="00D73202"/>
    <w:rsid w:val="00D73203"/>
    <w:rsid w:val="00D73227"/>
    <w:rsid w:val="00D73439"/>
    <w:rsid w:val="00D734BE"/>
    <w:rsid w:val="00D7356A"/>
    <w:rsid w:val="00D7362D"/>
    <w:rsid w:val="00D73839"/>
    <w:rsid w:val="00D73883"/>
    <w:rsid w:val="00D738C3"/>
    <w:rsid w:val="00D73ABB"/>
    <w:rsid w:val="00D73AF0"/>
    <w:rsid w:val="00D73B41"/>
    <w:rsid w:val="00D73C95"/>
    <w:rsid w:val="00D73D41"/>
    <w:rsid w:val="00D73DF6"/>
    <w:rsid w:val="00D73E8D"/>
    <w:rsid w:val="00D73E99"/>
    <w:rsid w:val="00D73EFE"/>
    <w:rsid w:val="00D73F5A"/>
    <w:rsid w:val="00D73F87"/>
    <w:rsid w:val="00D74027"/>
    <w:rsid w:val="00D74111"/>
    <w:rsid w:val="00D74170"/>
    <w:rsid w:val="00D742D4"/>
    <w:rsid w:val="00D742EF"/>
    <w:rsid w:val="00D74376"/>
    <w:rsid w:val="00D7444D"/>
    <w:rsid w:val="00D74500"/>
    <w:rsid w:val="00D74609"/>
    <w:rsid w:val="00D7463C"/>
    <w:rsid w:val="00D74668"/>
    <w:rsid w:val="00D749F8"/>
    <w:rsid w:val="00D74A54"/>
    <w:rsid w:val="00D74A9F"/>
    <w:rsid w:val="00D74AA5"/>
    <w:rsid w:val="00D74AD2"/>
    <w:rsid w:val="00D74E25"/>
    <w:rsid w:val="00D74E68"/>
    <w:rsid w:val="00D74E6D"/>
    <w:rsid w:val="00D74F6A"/>
    <w:rsid w:val="00D74F93"/>
    <w:rsid w:val="00D7508D"/>
    <w:rsid w:val="00D75139"/>
    <w:rsid w:val="00D751AF"/>
    <w:rsid w:val="00D7527F"/>
    <w:rsid w:val="00D75338"/>
    <w:rsid w:val="00D75414"/>
    <w:rsid w:val="00D75671"/>
    <w:rsid w:val="00D756BC"/>
    <w:rsid w:val="00D757A2"/>
    <w:rsid w:val="00D75864"/>
    <w:rsid w:val="00D75949"/>
    <w:rsid w:val="00D75A39"/>
    <w:rsid w:val="00D75A74"/>
    <w:rsid w:val="00D75A76"/>
    <w:rsid w:val="00D75A7A"/>
    <w:rsid w:val="00D75C30"/>
    <w:rsid w:val="00D75C8F"/>
    <w:rsid w:val="00D75D17"/>
    <w:rsid w:val="00D75D6F"/>
    <w:rsid w:val="00D7608E"/>
    <w:rsid w:val="00D76091"/>
    <w:rsid w:val="00D760E8"/>
    <w:rsid w:val="00D7616D"/>
    <w:rsid w:val="00D763CA"/>
    <w:rsid w:val="00D76411"/>
    <w:rsid w:val="00D764C1"/>
    <w:rsid w:val="00D76559"/>
    <w:rsid w:val="00D76628"/>
    <w:rsid w:val="00D76747"/>
    <w:rsid w:val="00D76810"/>
    <w:rsid w:val="00D76970"/>
    <w:rsid w:val="00D76978"/>
    <w:rsid w:val="00D76AC8"/>
    <w:rsid w:val="00D76B7E"/>
    <w:rsid w:val="00D76D62"/>
    <w:rsid w:val="00D76E23"/>
    <w:rsid w:val="00D76E84"/>
    <w:rsid w:val="00D76E98"/>
    <w:rsid w:val="00D76E9F"/>
    <w:rsid w:val="00D76F82"/>
    <w:rsid w:val="00D7711B"/>
    <w:rsid w:val="00D7721A"/>
    <w:rsid w:val="00D772CF"/>
    <w:rsid w:val="00D7730C"/>
    <w:rsid w:val="00D7733F"/>
    <w:rsid w:val="00D77365"/>
    <w:rsid w:val="00D7741A"/>
    <w:rsid w:val="00D774B4"/>
    <w:rsid w:val="00D7759E"/>
    <w:rsid w:val="00D775C8"/>
    <w:rsid w:val="00D776AC"/>
    <w:rsid w:val="00D776B4"/>
    <w:rsid w:val="00D776C7"/>
    <w:rsid w:val="00D77818"/>
    <w:rsid w:val="00D77861"/>
    <w:rsid w:val="00D77865"/>
    <w:rsid w:val="00D77995"/>
    <w:rsid w:val="00D779AB"/>
    <w:rsid w:val="00D77BB4"/>
    <w:rsid w:val="00D77BD4"/>
    <w:rsid w:val="00D77C05"/>
    <w:rsid w:val="00D77C24"/>
    <w:rsid w:val="00D77C38"/>
    <w:rsid w:val="00D77C50"/>
    <w:rsid w:val="00D77EA4"/>
    <w:rsid w:val="00D77EE5"/>
    <w:rsid w:val="00D77F09"/>
    <w:rsid w:val="00D77F85"/>
    <w:rsid w:val="00D77FDB"/>
    <w:rsid w:val="00D77FDC"/>
    <w:rsid w:val="00D8016F"/>
    <w:rsid w:val="00D8019F"/>
    <w:rsid w:val="00D8029B"/>
    <w:rsid w:val="00D803CD"/>
    <w:rsid w:val="00D803FB"/>
    <w:rsid w:val="00D8044F"/>
    <w:rsid w:val="00D804DB"/>
    <w:rsid w:val="00D804E9"/>
    <w:rsid w:val="00D80505"/>
    <w:rsid w:val="00D80579"/>
    <w:rsid w:val="00D8062E"/>
    <w:rsid w:val="00D8064C"/>
    <w:rsid w:val="00D8064D"/>
    <w:rsid w:val="00D8067A"/>
    <w:rsid w:val="00D806EE"/>
    <w:rsid w:val="00D806FB"/>
    <w:rsid w:val="00D807E6"/>
    <w:rsid w:val="00D80907"/>
    <w:rsid w:val="00D80931"/>
    <w:rsid w:val="00D80972"/>
    <w:rsid w:val="00D80AC3"/>
    <w:rsid w:val="00D80AF6"/>
    <w:rsid w:val="00D80BC5"/>
    <w:rsid w:val="00D80C9B"/>
    <w:rsid w:val="00D80C9D"/>
    <w:rsid w:val="00D80D02"/>
    <w:rsid w:val="00D80D87"/>
    <w:rsid w:val="00D80E32"/>
    <w:rsid w:val="00D80EA3"/>
    <w:rsid w:val="00D80EBB"/>
    <w:rsid w:val="00D80F7A"/>
    <w:rsid w:val="00D8100C"/>
    <w:rsid w:val="00D8105D"/>
    <w:rsid w:val="00D8123D"/>
    <w:rsid w:val="00D812AB"/>
    <w:rsid w:val="00D813DB"/>
    <w:rsid w:val="00D81411"/>
    <w:rsid w:val="00D8151B"/>
    <w:rsid w:val="00D81598"/>
    <w:rsid w:val="00D816E7"/>
    <w:rsid w:val="00D81909"/>
    <w:rsid w:val="00D81915"/>
    <w:rsid w:val="00D8192D"/>
    <w:rsid w:val="00D81983"/>
    <w:rsid w:val="00D819D9"/>
    <w:rsid w:val="00D81BCC"/>
    <w:rsid w:val="00D81D4A"/>
    <w:rsid w:val="00D81DBD"/>
    <w:rsid w:val="00D81EFD"/>
    <w:rsid w:val="00D8202C"/>
    <w:rsid w:val="00D82329"/>
    <w:rsid w:val="00D8233E"/>
    <w:rsid w:val="00D82384"/>
    <w:rsid w:val="00D8239A"/>
    <w:rsid w:val="00D8239C"/>
    <w:rsid w:val="00D82426"/>
    <w:rsid w:val="00D82461"/>
    <w:rsid w:val="00D8246B"/>
    <w:rsid w:val="00D82501"/>
    <w:rsid w:val="00D8254A"/>
    <w:rsid w:val="00D825AC"/>
    <w:rsid w:val="00D82640"/>
    <w:rsid w:val="00D826C5"/>
    <w:rsid w:val="00D82872"/>
    <w:rsid w:val="00D82984"/>
    <w:rsid w:val="00D829FF"/>
    <w:rsid w:val="00D82A4B"/>
    <w:rsid w:val="00D82AF8"/>
    <w:rsid w:val="00D82B3D"/>
    <w:rsid w:val="00D82B43"/>
    <w:rsid w:val="00D82B5F"/>
    <w:rsid w:val="00D82C24"/>
    <w:rsid w:val="00D82C78"/>
    <w:rsid w:val="00D82C95"/>
    <w:rsid w:val="00D82DA7"/>
    <w:rsid w:val="00D82DEF"/>
    <w:rsid w:val="00D82E7C"/>
    <w:rsid w:val="00D82EA0"/>
    <w:rsid w:val="00D83045"/>
    <w:rsid w:val="00D83070"/>
    <w:rsid w:val="00D830F3"/>
    <w:rsid w:val="00D83137"/>
    <w:rsid w:val="00D831B0"/>
    <w:rsid w:val="00D831B5"/>
    <w:rsid w:val="00D83246"/>
    <w:rsid w:val="00D83294"/>
    <w:rsid w:val="00D83295"/>
    <w:rsid w:val="00D833F1"/>
    <w:rsid w:val="00D83409"/>
    <w:rsid w:val="00D8347D"/>
    <w:rsid w:val="00D83484"/>
    <w:rsid w:val="00D8348C"/>
    <w:rsid w:val="00D8350D"/>
    <w:rsid w:val="00D83597"/>
    <w:rsid w:val="00D8380E"/>
    <w:rsid w:val="00D8393F"/>
    <w:rsid w:val="00D83B6A"/>
    <w:rsid w:val="00D83D81"/>
    <w:rsid w:val="00D83E22"/>
    <w:rsid w:val="00D83E2B"/>
    <w:rsid w:val="00D83E76"/>
    <w:rsid w:val="00D83F75"/>
    <w:rsid w:val="00D841E0"/>
    <w:rsid w:val="00D84268"/>
    <w:rsid w:val="00D842DB"/>
    <w:rsid w:val="00D843B7"/>
    <w:rsid w:val="00D84408"/>
    <w:rsid w:val="00D8456B"/>
    <w:rsid w:val="00D84592"/>
    <w:rsid w:val="00D845CB"/>
    <w:rsid w:val="00D84607"/>
    <w:rsid w:val="00D8475D"/>
    <w:rsid w:val="00D8497E"/>
    <w:rsid w:val="00D84A29"/>
    <w:rsid w:val="00D84A3F"/>
    <w:rsid w:val="00D84A46"/>
    <w:rsid w:val="00D84AA4"/>
    <w:rsid w:val="00D84B70"/>
    <w:rsid w:val="00D84D9D"/>
    <w:rsid w:val="00D84E3C"/>
    <w:rsid w:val="00D84E42"/>
    <w:rsid w:val="00D84EC7"/>
    <w:rsid w:val="00D84F4E"/>
    <w:rsid w:val="00D84F9D"/>
    <w:rsid w:val="00D84FCD"/>
    <w:rsid w:val="00D84FE2"/>
    <w:rsid w:val="00D85023"/>
    <w:rsid w:val="00D8503D"/>
    <w:rsid w:val="00D8507E"/>
    <w:rsid w:val="00D8512E"/>
    <w:rsid w:val="00D8513E"/>
    <w:rsid w:val="00D8518A"/>
    <w:rsid w:val="00D852CB"/>
    <w:rsid w:val="00D8535E"/>
    <w:rsid w:val="00D85479"/>
    <w:rsid w:val="00D854C4"/>
    <w:rsid w:val="00D8550E"/>
    <w:rsid w:val="00D85530"/>
    <w:rsid w:val="00D855FA"/>
    <w:rsid w:val="00D8561D"/>
    <w:rsid w:val="00D8578C"/>
    <w:rsid w:val="00D85818"/>
    <w:rsid w:val="00D8584D"/>
    <w:rsid w:val="00D85AD3"/>
    <w:rsid w:val="00D85C9C"/>
    <w:rsid w:val="00D85D79"/>
    <w:rsid w:val="00D85DDB"/>
    <w:rsid w:val="00D85E65"/>
    <w:rsid w:val="00D85F3E"/>
    <w:rsid w:val="00D86268"/>
    <w:rsid w:val="00D86295"/>
    <w:rsid w:val="00D8644F"/>
    <w:rsid w:val="00D864C3"/>
    <w:rsid w:val="00D86546"/>
    <w:rsid w:val="00D8660F"/>
    <w:rsid w:val="00D86681"/>
    <w:rsid w:val="00D867CF"/>
    <w:rsid w:val="00D867EC"/>
    <w:rsid w:val="00D867FA"/>
    <w:rsid w:val="00D86955"/>
    <w:rsid w:val="00D869A8"/>
    <w:rsid w:val="00D86A4F"/>
    <w:rsid w:val="00D86A7F"/>
    <w:rsid w:val="00D86B13"/>
    <w:rsid w:val="00D86C4D"/>
    <w:rsid w:val="00D86DB3"/>
    <w:rsid w:val="00D86DDE"/>
    <w:rsid w:val="00D86E02"/>
    <w:rsid w:val="00D86F3D"/>
    <w:rsid w:val="00D87056"/>
    <w:rsid w:val="00D8707C"/>
    <w:rsid w:val="00D8718D"/>
    <w:rsid w:val="00D871AB"/>
    <w:rsid w:val="00D871E1"/>
    <w:rsid w:val="00D87250"/>
    <w:rsid w:val="00D87285"/>
    <w:rsid w:val="00D8739C"/>
    <w:rsid w:val="00D8745F"/>
    <w:rsid w:val="00D874CA"/>
    <w:rsid w:val="00D87510"/>
    <w:rsid w:val="00D8752F"/>
    <w:rsid w:val="00D87549"/>
    <w:rsid w:val="00D8756F"/>
    <w:rsid w:val="00D87644"/>
    <w:rsid w:val="00D876CC"/>
    <w:rsid w:val="00D878ED"/>
    <w:rsid w:val="00D87A66"/>
    <w:rsid w:val="00D87AEC"/>
    <w:rsid w:val="00D87C2B"/>
    <w:rsid w:val="00D87D8F"/>
    <w:rsid w:val="00D87DA6"/>
    <w:rsid w:val="00D900A1"/>
    <w:rsid w:val="00D90132"/>
    <w:rsid w:val="00D9029B"/>
    <w:rsid w:val="00D902CB"/>
    <w:rsid w:val="00D90466"/>
    <w:rsid w:val="00D90521"/>
    <w:rsid w:val="00D9055A"/>
    <w:rsid w:val="00D90587"/>
    <w:rsid w:val="00D905D1"/>
    <w:rsid w:val="00D90676"/>
    <w:rsid w:val="00D906DF"/>
    <w:rsid w:val="00D906F5"/>
    <w:rsid w:val="00D90B75"/>
    <w:rsid w:val="00D90CC0"/>
    <w:rsid w:val="00D90D0D"/>
    <w:rsid w:val="00D90D41"/>
    <w:rsid w:val="00D90DDB"/>
    <w:rsid w:val="00D90F7A"/>
    <w:rsid w:val="00D90FEB"/>
    <w:rsid w:val="00D9116F"/>
    <w:rsid w:val="00D91273"/>
    <w:rsid w:val="00D9127E"/>
    <w:rsid w:val="00D9136D"/>
    <w:rsid w:val="00D91442"/>
    <w:rsid w:val="00D91635"/>
    <w:rsid w:val="00D9166A"/>
    <w:rsid w:val="00D9169A"/>
    <w:rsid w:val="00D916F2"/>
    <w:rsid w:val="00D91868"/>
    <w:rsid w:val="00D918F5"/>
    <w:rsid w:val="00D91A23"/>
    <w:rsid w:val="00D91A40"/>
    <w:rsid w:val="00D91CC1"/>
    <w:rsid w:val="00D91CE1"/>
    <w:rsid w:val="00D91D70"/>
    <w:rsid w:val="00D91D79"/>
    <w:rsid w:val="00D92098"/>
    <w:rsid w:val="00D9215E"/>
    <w:rsid w:val="00D92187"/>
    <w:rsid w:val="00D9219E"/>
    <w:rsid w:val="00D92376"/>
    <w:rsid w:val="00D9237B"/>
    <w:rsid w:val="00D92433"/>
    <w:rsid w:val="00D92445"/>
    <w:rsid w:val="00D9253C"/>
    <w:rsid w:val="00D92589"/>
    <w:rsid w:val="00D92655"/>
    <w:rsid w:val="00D92897"/>
    <w:rsid w:val="00D92B32"/>
    <w:rsid w:val="00D92B72"/>
    <w:rsid w:val="00D92BC7"/>
    <w:rsid w:val="00D92BDB"/>
    <w:rsid w:val="00D92D3E"/>
    <w:rsid w:val="00D92DD4"/>
    <w:rsid w:val="00D92DFA"/>
    <w:rsid w:val="00D92E4B"/>
    <w:rsid w:val="00D92FCE"/>
    <w:rsid w:val="00D930A2"/>
    <w:rsid w:val="00D930F3"/>
    <w:rsid w:val="00D93153"/>
    <w:rsid w:val="00D93167"/>
    <w:rsid w:val="00D931D0"/>
    <w:rsid w:val="00D93250"/>
    <w:rsid w:val="00D932E3"/>
    <w:rsid w:val="00D936E4"/>
    <w:rsid w:val="00D937BA"/>
    <w:rsid w:val="00D938C1"/>
    <w:rsid w:val="00D9397B"/>
    <w:rsid w:val="00D93985"/>
    <w:rsid w:val="00D939DD"/>
    <w:rsid w:val="00D93A77"/>
    <w:rsid w:val="00D93CC2"/>
    <w:rsid w:val="00D93E44"/>
    <w:rsid w:val="00D93E6F"/>
    <w:rsid w:val="00D93EE2"/>
    <w:rsid w:val="00D93EF9"/>
    <w:rsid w:val="00D93F9A"/>
    <w:rsid w:val="00D94000"/>
    <w:rsid w:val="00D94075"/>
    <w:rsid w:val="00D9418B"/>
    <w:rsid w:val="00D94465"/>
    <w:rsid w:val="00D94575"/>
    <w:rsid w:val="00D94677"/>
    <w:rsid w:val="00D94699"/>
    <w:rsid w:val="00D9473D"/>
    <w:rsid w:val="00D9473E"/>
    <w:rsid w:val="00D94773"/>
    <w:rsid w:val="00D947D5"/>
    <w:rsid w:val="00D94932"/>
    <w:rsid w:val="00D94940"/>
    <w:rsid w:val="00D949CC"/>
    <w:rsid w:val="00D949E4"/>
    <w:rsid w:val="00D94A4E"/>
    <w:rsid w:val="00D94DA0"/>
    <w:rsid w:val="00D94E78"/>
    <w:rsid w:val="00D94F7A"/>
    <w:rsid w:val="00D9503A"/>
    <w:rsid w:val="00D95125"/>
    <w:rsid w:val="00D951CD"/>
    <w:rsid w:val="00D9527C"/>
    <w:rsid w:val="00D95379"/>
    <w:rsid w:val="00D953F5"/>
    <w:rsid w:val="00D9540A"/>
    <w:rsid w:val="00D95452"/>
    <w:rsid w:val="00D954A1"/>
    <w:rsid w:val="00D95571"/>
    <w:rsid w:val="00D95598"/>
    <w:rsid w:val="00D95688"/>
    <w:rsid w:val="00D956E1"/>
    <w:rsid w:val="00D95865"/>
    <w:rsid w:val="00D9587A"/>
    <w:rsid w:val="00D95926"/>
    <w:rsid w:val="00D95950"/>
    <w:rsid w:val="00D9598B"/>
    <w:rsid w:val="00D959B8"/>
    <w:rsid w:val="00D959CB"/>
    <w:rsid w:val="00D95A32"/>
    <w:rsid w:val="00D95AF6"/>
    <w:rsid w:val="00D95B42"/>
    <w:rsid w:val="00D95BF2"/>
    <w:rsid w:val="00D95C66"/>
    <w:rsid w:val="00D95C6F"/>
    <w:rsid w:val="00D95D2A"/>
    <w:rsid w:val="00D95D58"/>
    <w:rsid w:val="00D95E6F"/>
    <w:rsid w:val="00D95F6B"/>
    <w:rsid w:val="00D95F70"/>
    <w:rsid w:val="00D9610B"/>
    <w:rsid w:val="00D96179"/>
    <w:rsid w:val="00D96206"/>
    <w:rsid w:val="00D964CC"/>
    <w:rsid w:val="00D96637"/>
    <w:rsid w:val="00D96688"/>
    <w:rsid w:val="00D967E9"/>
    <w:rsid w:val="00D9682A"/>
    <w:rsid w:val="00D9683A"/>
    <w:rsid w:val="00D96AFC"/>
    <w:rsid w:val="00D96B41"/>
    <w:rsid w:val="00D96C27"/>
    <w:rsid w:val="00D96C53"/>
    <w:rsid w:val="00D96C8B"/>
    <w:rsid w:val="00D96CD6"/>
    <w:rsid w:val="00D96E59"/>
    <w:rsid w:val="00D96E78"/>
    <w:rsid w:val="00D96ECD"/>
    <w:rsid w:val="00D96F6A"/>
    <w:rsid w:val="00D96F89"/>
    <w:rsid w:val="00D97166"/>
    <w:rsid w:val="00D972A0"/>
    <w:rsid w:val="00D97311"/>
    <w:rsid w:val="00D973D1"/>
    <w:rsid w:val="00D9747A"/>
    <w:rsid w:val="00D974CA"/>
    <w:rsid w:val="00D974F1"/>
    <w:rsid w:val="00D975D5"/>
    <w:rsid w:val="00D975EB"/>
    <w:rsid w:val="00D97678"/>
    <w:rsid w:val="00D97697"/>
    <w:rsid w:val="00D9774D"/>
    <w:rsid w:val="00D9784E"/>
    <w:rsid w:val="00D9784F"/>
    <w:rsid w:val="00D9788C"/>
    <w:rsid w:val="00D978AE"/>
    <w:rsid w:val="00D978C8"/>
    <w:rsid w:val="00D9797D"/>
    <w:rsid w:val="00D97A08"/>
    <w:rsid w:val="00D97ABA"/>
    <w:rsid w:val="00D97AC5"/>
    <w:rsid w:val="00D97AE6"/>
    <w:rsid w:val="00D97AEA"/>
    <w:rsid w:val="00D97B0C"/>
    <w:rsid w:val="00D97B3F"/>
    <w:rsid w:val="00D97BC6"/>
    <w:rsid w:val="00D97C90"/>
    <w:rsid w:val="00D97D6D"/>
    <w:rsid w:val="00D97FDF"/>
    <w:rsid w:val="00DA0019"/>
    <w:rsid w:val="00DA0227"/>
    <w:rsid w:val="00DA02C8"/>
    <w:rsid w:val="00DA041F"/>
    <w:rsid w:val="00DA0527"/>
    <w:rsid w:val="00DA057A"/>
    <w:rsid w:val="00DA058D"/>
    <w:rsid w:val="00DA05D1"/>
    <w:rsid w:val="00DA069E"/>
    <w:rsid w:val="00DA0767"/>
    <w:rsid w:val="00DA07A0"/>
    <w:rsid w:val="00DA0868"/>
    <w:rsid w:val="00DA0916"/>
    <w:rsid w:val="00DA0A66"/>
    <w:rsid w:val="00DA0A6F"/>
    <w:rsid w:val="00DA0AB6"/>
    <w:rsid w:val="00DA0B82"/>
    <w:rsid w:val="00DA0BDA"/>
    <w:rsid w:val="00DA0C0B"/>
    <w:rsid w:val="00DA0D80"/>
    <w:rsid w:val="00DA0DA2"/>
    <w:rsid w:val="00DA0DB1"/>
    <w:rsid w:val="00DA0E53"/>
    <w:rsid w:val="00DA0EC5"/>
    <w:rsid w:val="00DA0F6D"/>
    <w:rsid w:val="00DA0FB1"/>
    <w:rsid w:val="00DA112A"/>
    <w:rsid w:val="00DA1261"/>
    <w:rsid w:val="00DA13F4"/>
    <w:rsid w:val="00DA1566"/>
    <w:rsid w:val="00DA15A8"/>
    <w:rsid w:val="00DA15CE"/>
    <w:rsid w:val="00DA1605"/>
    <w:rsid w:val="00DA1656"/>
    <w:rsid w:val="00DA1695"/>
    <w:rsid w:val="00DA1714"/>
    <w:rsid w:val="00DA172B"/>
    <w:rsid w:val="00DA1786"/>
    <w:rsid w:val="00DA17A4"/>
    <w:rsid w:val="00DA18B4"/>
    <w:rsid w:val="00DA1909"/>
    <w:rsid w:val="00DA19D3"/>
    <w:rsid w:val="00DA1A9B"/>
    <w:rsid w:val="00DA1ADD"/>
    <w:rsid w:val="00DA1B21"/>
    <w:rsid w:val="00DA1B4A"/>
    <w:rsid w:val="00DA1BB4"/>
    <w:rsid w:val="00DA1C2F"/>
    <w:rsid w:val="00DA1C42"/>
    <w:rsid w:val="00DA1C77"/>
    <w:rsid w:val="00DA1CE9"/>
    <w:rsid w:val="00DA1E35"/>
    <w:rsid w:val="00DA1EB0"/>
    <w:rsid w:val="00DA1F25"/>
    <w:rsid w:val="00DA2076"/>
    <w:rsid w:val="00DA210A"/>
    <w:rsid w:val="00DA210C"/>
    <w:rsid w:val="00DA2176"/>
    <w:rsid w:val="00DA2333"/>
    <w:rsid w:val="00DA2427"/>
    <w:rsid w:val="00DA267E"/>
    <w:rsid w:val="00DA26FA"/>
    <w:rsid w:val="00DA270E"/>
    <w:rsid w:val="00DA2776"/>
    <w:rsid w:val="00DA2820"/>
    <w:rsid w:val="00DA2867"/>
    <w:rsid w:val="00DA2A2B"/>
    <w:rsid w:val="00DA2B8D"/>
    <w:rsid w:val="00DA2B91"/>
    <w:rsid w:val="00DA2C2C"/>
    <w:rsid w:val="00DA2CDA"/>
    <w:rsid w:val="00DA2D34"/>
    <w:rsid w:val="00DA2E29"/>
    <w:rsid w:val="00DA2E4C"/>
    <w:rsid w:val="00DA314E"/>
    <w:rsid w:val="00DA31D7"/>
    <w:rsid w:val="00DA3277"/>
    <w:rsid w:val="00DA331C"/>
    <w:rsid w:val="00DA34A0"/>
    <w:rsid w:val="00DA36BC"/>
    <w:rsid w:val="00DA385F"/>
    <w:rsid w:val="00DA38D5"/>
    <w:rsid w:val="00DA38E1"/>
    <w:rsid w:val="00DA3918"/>
    <w:rsid w:val="00DA3920"/>
    <w:rsid w:val="00DA3944"/>
    <w:rsid w:val="00DA3984"/>
    <w:rsid w:val="00DA39B0"/>
    <w:rsid w:val="00DA3AEF"/>
    <w:rsid w:val="00DA3BA9"/>
    <w:rsid w:val="00DA3C4D"/>
    <w:rsid w:val="00DA3CF8"/>
    <w:rsid w:val="00DA3D7C"/>
    <w:rsid w:val="00DA3E27"/>
    <w:rsid w:val="00DA3E6A"/>
    <w:rsid w:val="00DA3ED8"/>
    <w:rsid w:val="00DA3FA8"/>
    <w:rsid w:val="00DA402D"/>
    <w:rsid w:val="00DA4097"/>
    <w:rsid w:val="00DA42B5"/>
    <w:rsid w:val="00DA43F6"/>
    <w:rsid w:val="00DA4533"/>
    <w:rsid w:val="00DA4631"/>
    <w:rsid w:val="00DA46E9"/>
    <w:rsid w:val="00DA46F0"/>
    <w:rsid w:val="00DA47CA"/>
    <w:rsid w:val="00DA4958"/>
    <w:rsid w:val="00DA49DA"/>
    <w:rsid w:val="00DA4A0D"/>
    <w:rsid w:val="00DA4A7E"/>
    <w:rsid w:val="00DA4A9D"/>
    <w:rsid w:val="00DA4AEE"/>
    <w:rsid w:val="00DA4B3B"/>
    <w:rsid w:val="00DA4B6C"/>
    <w:rsid w:val="00DA4B74"/>
    <w:rsid w:val="00DA4CD2"/>
    <w:rsid w:val="00DA4E2B"/>
    <w:rsid w:val="00DA4E37"/>
    <w:rsid w:val="00DA4F04"/>
    <w:rsid w:val="00DA4F40"/>
    <w:rsid w:val="00DA5091"/>
    <w:rsid w:val="00DA513F"/>
    <w:rsid w:val="00DA5338"/>
    <w:rsid w:val="00DA537E"/>
    <w:rsid w:val="00DA5460"/>
    <w:rsid w:val="00DA55A6"/>
    <w:rsid w:val="00DA563D"/>
    <w:rsid w:val="00DA56C6"/>
    <w:rsid w:val="00DA572B"/>
    <w:rsid w:val="00DA572C"/>
    <w:rsid w:val="00DA57F6"/>
    <w:rsid w:val="00DA590C"/>
    <w:rsid w:val="00DA5975"/>
    <w:rsid w:val="00DA59D6"/>
    <w:rsid w:val="00DA5A10"/>
    <w:rsid w:val="00DA5AAC"/>
    <w:rsid w:val="00DA5AD5"/>
    <w:rsid w:val="00DA5AFF"/>
    <w:rsid w:val="00DA5BBB"/>
    <w:rsid w:val="00DA5FF5"/>
    <w:rsid w:val="00DA6028"/>
    <w:rsid w:val="00DA616A"/>
    <w:rsid w:val="00DA61CD"/>
    <w:rsid w:val="00DA6351"/>
    <w:rsid w:val="00DA63B3"/>
    <w:rsid w:val="00DA63BB"/>
    <w:rsid w:val="00DA63E4"/>
    <w:rsid w:val="00DA641A"/>
    <w:rsid w:val="00DA6485"/>
    <w:rsid w:val="00DA6528"/>
    <w:rsid w:val="00DA65CE"/>
    <w:rsid w:val="00DA65E1"/>
    <w:rsid w:val="00DA660F"/>
    <w:rsid w:val="00DA6649"/>
    <w:rsid w:val="00DA6822"/>
    <w:rsid w:val="00DA6B5A"/>
    <w:rsid w:val="00DA6C88"/>
    <w:rsid w:val="00DA6CF8"/>
    <w:rsid w:val="00DA6E9A"/>
    <w:rsid w:val="00DA7090"/>
    <w:rsid w:val="00DA71E8"/>
    <w:rsid w:val="00DA71F6"/>
    <w:rsid w:val="00DA738A"/>
    <w:rsid w:val="00DA73CF"/>
    <w:rsid w:val="00DA7555"/>
    <w:rsid w:val="00DA7661"/>
    <w:rsid w:val="00DA76EF"/>
    <w:rsid w:val="00DA77AA"/>
    <w:rsid w:val="00DA77B3"/>
    <w:rsid w:val="00DA788F"/>
    <w:rsid w:val="00DA78D4"/>
    <w:rsid w:val="00DA7902"/>
    <w:rsid w:val="00DA7904"/>
    <w:rsid w:val="00DA7A11"/>
    <w:rsid w:val="00DA7AB4"/>
    <w:rsid w:val="00DA7AE5"/>
    <w:rsid w:val="00DA7B3C"/>
    <w:rsid w:val="00DA7B96"/>
    <w:rsid w:val="00DA7BA7"/>
    <w:rsid w:val="00DA7CC6"/>
    <w:rsid w:val="00DA7CCA"/>
    <w:rsid w:val="00DA7CD8"/>
    <w:rsid w:val="00DA7D68"/>
    <w:rsid w:val="00DA7D76"/>
    <w:rsid w:val="00DA7ED1"/>
    <w:rsid w:val="00DB00A7"/>
    <w:rsid w:val="00DB01F6"/>
    <w:rsid w:val="00DB02CF"/>
    <w:rsid w:val="00DB034E"/>
    <w:rsid w:val="00DB037D"/>
    <w:rsid w:val="00DB03F6"/>
    <w:rsid w:val="00DB0763"/>
    <w:rsid w:val="00DB081B"/>
    <w:rsid w:val="00DB0831"/>
    <w:rsid w:val="00DB087E"/>
    <w:rsid w:val="00DB0925"/>
    <w:rsid w:val="00DB0971"/>
    <w:rsid w:val="00DB0AA1"/>
    <w:rsid w:val="00DB0AD3"/>
    <w:rsid w:val="00DB0B8D"/>
    <w:rsid w:val="00DB0B8E"/>
    <w:rsid w:val="00DB0C16"/>
    <w:rsid w:val="00DB0CA0"/>
    <w:rsid w:val="00DB0D47"/>
    <w:rsid w:val="00DB0D58"/>
    <w:rsid w:val="00DB0F15"/>
    <w:rsid w:val="00DB0F59"/>
    <w:rsid w:val="00DB0F5E"/>
    <w:rsid w:val="00DB1005"/>
    <w:rsid w:val="00DB10FF"/>
    <w:rsid w:val="00DB1129"/>
    <w:rsid w:val="00DB128E"/>
    <w:rsid w:val="00DB129A"/>
    <w:rsid w:val="00DB12B4"/>
    <w:rsid w:val="00DB13DD"/>
    <w:rsid w:val="00DB1457"/>
    <w:rsid w:val="00DB1478"/>
    <w:rsid w:val="00DB14D1"/>
    <w:rsid w:val="00DB1741"/>
    <w:rsid w:val="00DB1768"/>
    <w:rsid w:val="00DB17CB"/>
    <w:rsid w:val="00DB18EE"/>
    <w:rsid w:val="00DB1943"/>
    <w:rsid w:val="00DB1A51"/>
    <w:rsid w:val="00DB1ADB"/>
    <w:rsid w:val="00DB1B88"/>
    <w:rsid w:val="00DB1BBA"/>
    <w:rsid w:val="00DB1C57"/>
    <w:rsid w:val="00DB1CE0"/>
    <w:rsid w:val="00DB1E4F"/>
    <w:rsid w:val="00DB1E8A"/>
    <w:rsid w:val="00DB1EA1"/>
    <w:rsid w:val="00DB1EF5"/>
    <w:rsid w:val="00DB1F66"/>
    <w:rsid w:val="00DB201C"/>
    <w:rsid w:val="00DB2147"/>
    <w:rsid w:val="00DB2209"/>
    <w:rsid w:val="00DB22E3"/>
    <w:rsid w:val="00DB22FB"/>
    <w:rsid w:val="00DB24BC"/>
    <w:rsid w:val="00DB26CF"/>
    <w:rsid w:val="00DB2713"/>
    <w:rsid w:val="00DB293C"/>
    <w:rsid w:val="00DB29F3"/>
    <w:rsid w:val="00DB29FE"/>
    <w:rsid w:val="00DB2A7E"/>
    <w:rsid w:val="00DB2A97"/>
    <w:rsid w:val="00DB2ABA"/>
    <w:rsid w:val="00DB2BF6"/>
    <w:rsid w:val="00DB2CC6"/>
    <w:rsid w:val="00DB2D22"/>
    <w:rsid w:val="00DB2EEE"/>
    <w:rsid w:val="00DB2F3C"/>
    <w:rsid w:val="00DB2F63"/>
    <w:rsid w:val="00DB304A"/>
    <w:rsid w:val="00DB30F2"/>
    <w:rsid w:val="00DB3129"/>
    <w:rsid w:val="00DB3366"/>
    <w:rsid w:val="00DB33E1"/>
    <w:rsid w:val="00DB350B"/>
    <w:rsid w:val="00DB353D"/>
    <w:rsid w:val="00DB358D"/>
    <w:rsid w:val="00DB3669"/>
    <w:rsid w:val="00DB366A"/>
    <w:rsid w:val="00DB37D7"/>
    <w:rsid w:val="00DB38DF"/>
    <w:rsid w:val="00DB3B82"/>
    <w:rsid w:val="00DB3B90"/>
    <w:rsid w:val="00DB3DF5"/>
    <w:rsid w:val="00DB3EDA"/>
    <w:rsid w:val="00DB3F7C"/>
    <w:rsid w:val="00DB3FC2"/>
    <w:rsid w:val="00DB3FE4"/>
    <w:rsid w:val="00DB410B"/>
    <w:rsid w:val="00DB4146"/>
    <w:rsid w:val="00DB4156"/>
    <w:rsid w:val="00DB4231"/>
    <w:rsid w:val="00DB426A"/>
    <w:rsid w:val="00DB42B8"/>
    <w:rsid w:val="00DB42DA"/>
    <w:rsid w:val="00DB4303"/>
    <w:rsid w:val="00DB4316"/>
    <w:rsid w:val="00DB449E"/>
    <w:rsid w:val="00DB4599"/>
    <w:rsid w:val="00DB4657"/>
    <w:rsid w:val="00DB46A1"/>
    <w:rsid w:val="00DB4744"/>
    <w:rsid w:val="00DB488B"/>
    <w:rsid w:val="00DB48D4"/>
    <w:rsid w:val="00DB492F"/>
    <w:rsid w:val="00DB495B"/>
    <w:rsid w:val="00DB49D8"/>
    <w:rsid w:val="00DB4BFB"/>
    <w:rsid w:val="00DB4C7B"/>
    <w:rsid w:val="00DB4CF7"/>
    <w:rsid w:val="00DB4DEC"/>
    <w:rsid w:val="00DB4EDC"/>
    <w:rsid w:val="00DB4F65"/>
    <w:rsid w:val="00DB5160"/>
    <w:rsid w:val="00DB5236"/>
    <w:rsid w:val="00DB530A"/>
    <w:rsid w:val="00DB5310"/>
    <w:rsid w:val="00DB5458"/>
    <w:rsid w:val="00DB5480"/>
    <w:rsid w:val="00DB54AA"/>
    <w:rsid w:val="00DB5542"/>
    <w:rsid w:val="00DB56BC"/>
    <w:rsid w:val="00DB5847"/>
    <w:rsid w:val="00DB586C"/>
    <w:rsid w:val="00DB5912"/>
    <w:rsid w:val="00DB5ACF"/>
    <w:rsid w:val="00DB5C15"/>
    <w:rsid w:val="00DB5C34"/>
    <w:rsid w:val="00DB5EC1"/>
    <w:rsid w:val="00DB5F29"/>
    <w:rsid w:val="00DB6084"/>
    <w:rsid w:val="00DB61D6"/>
    <w:rsid w:val="00DB61F7"/>
    <w:rsid w:val="00DB6331"/>
    <w:rsid w:val="00DB6391"/>
    <w:rsid w:val="00DB63B8"/>
    <w:rsid w:val="00DB64C6"/>
    <w:rsid w:val="00DB64DB"/>
    <w:rsid w:val="00DB64DD"/>
    <w:rsid w:val="00DB650E"/>
    <w:rsid w:val="00DB65E7"/>
    <w:rsid w:val="00DB6605"/>
    <w:rsid w:val="00DB66DE"/>
    <w:rsid w:val="00DB6739"/>
    <w:rsid w:val="00DB6897"/>
    <w:rsid w:val="00DB68EB"/>
    <w:rsid w:val="00DB691D"/>
    <w:rsid w:val="00DB6A80"/>
    <w:rsid w:val="00DB6B0D"/>
    <w:rsid w:val="00DB6B55"/>
    <w:rsid w:val="00DB6C9F"/>
    <w:rsid w:val="00DB6DE3"/>
    <w:rsid w:val="00DB6EA4"/>
    <w:rsid w:val="00DB7051"/>
    <w:rsid w:val="00DB721E"/>
    <w:rsid w:val="00DB721F"/>
    <w:rsid w:val="00DB7230"/>
    <w:rsid w:val="00DB7247"/>
    <w:rsid w:val="00DB735A"/>
    <w:rsid w:val="00DB743D"/>
    <w:rsid w:val="00DB747A"/>
    <w:rsid w:val="00DB74DF"/>
    <w:rsid w:val="00DB7559"/>
    <w:rsid w:val="00DB775D"/>
    <w:rsid w:val="00DB789F"/>
    <w:rsid w:val="00DB78D2"/>
    <w:rsid w:val="00DB79CB"/>
    <w:rsid w:val="00DB7AD5"/>
    <w:rsid w:val="00DB7AEE"/>
    <w:rsid w:val="00DB7B3D"/>
    <w:rsid w:val="00DB7B62"/>
    <w:rsid w:val="00DB7B66"/>
    <w:rsid w:val="00DB7BBB"/>
    <w:rsid w:val="00DB7BEB"/>
    <w:rsid w:val="00DB7C5C"/>
    <w:rsid w:val="00DB7D13"/>
    <w:rsid w:val="00DB7E38"/>
    <w:rsid w:val="00DB7ECB"/>
    <w:rsid w:val="00DB7FBA"/>
    <w:rsid w:val="00DC00A4"/>
    <w:rsid w:val="00DC0122"/>
    <w:rsid w:val="00DC016D"/>
    <w:rsid w:val="00DC0699"/>
    <w:rsid w:val="00DC0828"/>
    <w:rsid w:val="00DC08C2"/>
    <w:rsid w:val="00DC0979"/>
    <w:rsid w:val="00DC09B6"/>
    <w:rsid w:val="00DC09D0"/>
    <w:rsid w:val="00DC0C2A"/>
    <w:rsid w:val="00DC0D64"/>
    <w:rsid w:val="00DC10DA"/>
    <w:rsid w:val="00DC1237"/>
    <w:rsid w:val="00DC135E"/>
    <w:rsid w:val="00DC1397"/>
    <w:rsid w:val="00DC172A"/>
    <w:rsid w:val="00DC1794"/>
    <w:rsid w:val="00DC188A"/>
    <w:rsid w:val="00DC189A"/>
    <w:rsid w:val="00DC19FE"/>
    <w:rsid w:val="00DC1A26"/>
    <w:rsid w:val="00DC1B67"/>
    <w:rsid w:val="00DC1B7C"/>
    <w:rsid w:val="00DC1B9B"/>
    <w:rsid w:val="00DC1B9D"/>
    <w:rsid w:val="00DC1BCD"/>
    <w:rsid w:val="00DC1ECF"/>
    <w:rsid w:val="00DC2279"/>
    <w:rsid w:val="00DC22A9"/>
    <w:rsid w:val="00DC22B3"/>
    <w:rsid w:val="00DC236F"/>
    <w:rsid w:val="00DC238D"/>
    <w:rsid w:val="00DC23D2"/>
    <w:rsid w:val="00DC24C7"/>
    <w:rsid w:val="00DC26C6"/>
    <w:rsid w:val="00DC27EC"/>
    <w:rsid w:val="00DC2815"/>
    <w:rsid w:val="00DC281A"/>
    <w:rsid w:val="00DC282D"/>
    <w:rsid w:val="00DC28A8"/>
    <w:rsid w:val="00DC2950"/>
    <w:rsid w:val="00DC2AD0"/>
    <w:rsid w:val="00DC2B9F"/>
    <w:rsid w:val="00DC2BD7"/>
    <w:rsid w:val="00DC2C66"/>
    <w:rsid w:val="00DC2CCB"/>
    <w:rsid w:val="00DC2E82"/>
    <w:rsid w:val="00DC2F32"/>
    <w:rsid w:val="00DC2F78"/>
    <w:rsid w:val="00DC2F7B"/>
    <w:rsid w:val="00DC2FFF"/>
    <w:rsid w:val="00DC30A3"/>
    <w:rsid w:val="00DC30E6"/>
    <w:rsid w:val="00DC33D0"/>
    <w:rsid w:val="00DC33D5"/>
    <w:rsid w:val="00DC35A0"/>
    <w:rsid w:val="00DC36E2"/>
    <w:rsid w:val="00DC3704"/>
    <w:rsid w:val="00DC3913"/>
    <w:rsid w:val="00DC391E"/>
    <w:rsid w:val="00DC3982"/>
    <w:rsid w:val="00DC3A2B"/>
    <w:rsid w:val="00DC3B73"/>
    <w:rsid w:val="00DC3BA7"/>
    <w:rsid w:val="00DC3C0B"/>
    <w:rsid w:val="00DC3D58"/>
    <w:rsid w:val="00DC3E82"/>
    <w:rsid w:val="00DC3EB1"/>
    <w:rsid w:val="00DC3F9A"/>
    <w:rsid w:val="00DC40BE"/>
    <w:rsid w:val="00DC43BB"/>
    <w:rsid w:val="00DC43C8"/>
    <w:rsid w:val="00DC449A"/>
    <w:rsid w:val="00DC458B"/>
    <w:rsid w:val="00DC45A6"/>
    <w:rsid w:val="00DC460E"/>
    <w:rsid w:val="00DC464B"/>
    <w:rsid w:val="00DC46AF"/>
    <w:rsid w:val="00DC46FF"/>
    <w:rsid w:val="00DC4709"/>
    <w:rsid w:val="00DC47F6"/>
    <w:rsid w:val="00DC4B00"/>
    <w:rsid w:val="00DC4B04"/>
    <w:rsid w:val="00DC4BFA"/>
    <w:rsid w:val="00DC4CE4"/>
    <w:rsid w:val="00DC4CEA"/>
    <w:rsid w:val="00DC4D9E"/>
    <w:rsid w:val="00DC4EC4"/>
    <w:rsid w:val="00DC4EDC"/>
    <w:rsid w:val="00DC4EFE"/>
    <w:rsid w:val="00DC4F17"/>
    <w:rsid w:val="00DC5184"/>
    <w:rsid w:val="00DC5192"/>
    <w:rsid w:val="00DC51C8"/>
    <w:rsid w:val="00DC52BF"/>
    <w:rsid w:val="00DC52EE"/>
    <w:rsid w:val="00DC52F5"/>
    <w:rsid w:val="00DC5479"/>
    <w:rsid w:val="00DC54CD"/>
    <w:rsid w:val="00DC5514"/>
    <w:rsid w:val="00DC560E"/>
    <w:rsid w:val="00DC5659"/>
    <w:rsid w:val="00DC5694"/>
    <w:rsid w:val="00DC56DA"/>
    <w:rsid w:val="00DC57A6"/>
    <w:rsid w:val="00DC57BA"/>
    <w:rsid w:val="00DC580D"/>
    <w:rsid w:val="00DC581E"/>
    <w:rsid w:val="00DC582C"/>
    <w:rsid w:val="00DC58C7"/>
    <w:rsid w:val="00DC59E9"/>
    <w:rsid w:val="00DC59F5"/>
    <w:rsid w:val="00DC5B14"/>
    <w:rsid w:val="00DC5B7F"/>
    <w:rsid w:val="00DC5D3B"/>
    <w:rsid w:val="00DC5D71"/>
    <w:rsid w:val="00DC5DCB"/>
    <w:rsid w:val="00DC5DDB"/>
    <w:rsid w:val="00DC5E6C"/>
    <w:rsid w:val="00DC5F5A"/>
    <w:rsid w:val="00DC5F83"/>
    <w:rsid w:val="00DC5F85"/>
    <w:rsid w:val="00DC6011"/>
    <w:rsid w:val="00DC6021"/>
    <w:rsid w:val="00DC6064"/>
    <w:rsid w:val="00DC6083"/>
    <w:rsid w:val="00DC60C3"/>
    <w:rsid w:val="00DC60E8"/>
    <w:rsid w:val="00DC61D6"/>
    <w:rsid w:val="00DC63A7"/>
    <w:rsid w:val="00DC63B7"/>
    <w:rsid w:val="00DC63CA"/>
    <w:rsid w:val="00DC6482"/>
    <w:rsid w:val="00DC6594"/>
    <w:rsid w:val="00DC6595"/>
    <w:rsid w:val="00DC6621"/>
    <w:rsid w:val="00DC6795"/>
    <w:rsid w:val="00DC684D"/>
    <w:rsid w:val="00DC6856"/>
    <w:rsid w:val="00DC696E"/>
    <w:rsid w:val="00DC69A1"/>
    <w:rsid w:val="00DC6A13"/>
    <w:rsid w:val="00DC6B1A"/>
    <w:rsid w:val="00DC6B36"/>
    <w:rsid w:val="00DC6B70"/>
    <w:rsid w:val="00DC6B7A"/>
    <w:rsid w:val="00DC6C36"/>
    <w:rsid w:val="00DC6D4F"/>
    <w:rsid w:val="00DC6D6F"/>
    <w:rsid w:val="00DC6D87"/>
    <w:rsid w:val="00DC71E5"/>
    <w:rsid w:val="00DC7423"/>
    <w:rsid w:val="00DC767D"/>
    <w:rsid w:val="00DC7698"/>
    <w:rsid w:val="00DC7728"/>
    <w:rsid w:val="00DC783E"/>
    <w:rsid w:val="00DC78B8"/>
    <w:rsid w:val="00DC7921"/>
    <w:rsid w:val="00DC79FA"/>
    <w:rsid w:val="00DC7A27"/>
    <w:rsid w:val="00DC7C30"/>
    <w:rsid w:val="00DC7CDA"/>
    <w:rsid w:val="00DC7E50"/>
    <w:rsid w:val="00DC7E98"/>
    <w:rsid w:val="00DC7F39"/>
    <w:rsid w:val="00DC7F64"/>
    <w:rsid w:val="00DD0024"/>
    <w:rsid w:val="00DD0169"/>
    <w:rsid w:val="00DD018D"/>
    <w:rsid w:val="00DD0216"/>
    <w:rsid w:val="00DD0269"/>
    <w:rsid w:val="00DD0412"/>
    <w:rsid w:val="00DD04ED"/>
    <w:rsid w:val="00DD0566"/>
    <w:rsid w:val="00DD0791"/>
    <w:rsid w:val="00DD082E"/>
    <w:rsid w:val="00DD0929"/>
    <w:rsid w:val="00DD09BF"/>
    <w:rsid w:val="00DD09E9"/>
    <w:rsid w:val="00DD0AB1"/>
    <w:rsid w:val="00DD0B67"/>
    <w:rsid w:val="00DD0BA7"/>
    <w:rsid w:val="00DD0BF1"/>
    <w:rsid w:val="00DD0E0D"/>
    <w:rsid w:val="00DD0E1F"/>
    <w:rsid w:val="00DD0E3B"/>
    <w:rsid w:val="00DD0E73"/>
    <w:rsid w:val="00DD0F2B"/>
    <w:rsid w:val="00DD0F3E"/>
    <w:rsid w:val="00DD0F69"/>
    <w:rsid w:val="00DD0FAC"/>
    <w:rsid w:val="00DD100C"/>
    <w:rsid w:val="00DD101F"/>
    <w:rsid w:val="00DD1108"/>
    <w:rsid w:val="00DD1176"/>
    <w:rsid w:val="00DD12ED"/>
    <w:rsid w:val="00DD13A0"/>
    <w:rsid w:val="00DD13A7"/>
    <w:rsid w:val="00DD13BD"/>
    <w:rsid w:val="00DD14E8"/>
    <w:rsid w:val="00DD1591"/>
    <w:rsid w:val="00DD1696"/>
    <w:rsid w:val="00DD190A"/>
    <w:rsid w:val="00DD1931"/>
    <w:rsid w:val="00DD1A3E"/>
    <w:rsid w:val="00DD1C09"/>
    <w:rsid w:val="00DD1D24"/>
    <w:rsid w:val="00DD1D89"/>
    <w:rsid w:val="00DD1F69"/>
    <w:rsid w:val="00DD1FB4"/>
    <w:rsid w:val="00DD2291"/>
    <w:rsid w:val="00DD22DB"/>
    <w:rsid w:val="00DD22E7"/>
    <w:rsid w:val="00DD23D5"/>
    <w:rsid w:val="00DD243E"/>
    <w:rsid w:val="00DD24D2"/>
    <w:rsid w:val="00DD2540"/>
    <w:rsid w:val="00DD259D"/>
    <w:rsid w:val="00DD2623"/>
    <w:rsid w:val="00DD27FE"/>
    <w:rsid w:val="00DD299B"/>
    <w:rsid w:val="00DD2AB3"/>
    <w:rsid w:val="00DD2B2D"/>
    <w:rsid w:val="00DD2B73"/>
    <w:rsid w:val="00DD2BAB"/>
    <w:rsid w:val="00DD2C99"/>
    <w:rsid w:val="00DD2D46"/>
    <w:rsid w:val="00DD2DAA"/>
    <w:rsid w:val="00DD2DEC"/>
    <w:rsid w:val="00DD2E1A"/>
    <w:rsid w:val="00DD2E48"/>
    <w:rsid w:val="00DD2F14"/>
    <w:rsid w:val="00DD2F6E"/>
    <w:rsid w:val="00DD2FBA"/>
    <w:rsid w:val="00DD2FD4"/>
    <w:rsid w:val="00DD3003"/>
    <w:rsid w:val="00DD305A"/>
    <w:rsid w:val="00DD3182"/>
    <w:rsid w:val="00DD31A6"/>
    <w:rsid w:val="00DD32A0"/>
    <w:rsid w:val="00DD332C"/>
    <w:rsid w:val="00DD3415"/>
    <w:rsid w:val="00DD34A1"/>
    <w:rsid w:val="00DD350C"/>
    <w:rsid w:val="00DD3554"/>
    <w:rsid w:val="00DD3582"/>
    <w:rsid w:val="00DD35F4"/>
    <w:rsid w:val="00DD3614"/>
    <w:rsid w:val="00DD3616"/>
    <w:rsid w:val="00DD3738"/>
    <w:rsid w:val="00DD374B"/>
    <w:rsid w:val="00DD385C"/>
    <w:rsid w:val="00DD397B"/>
    <w:rsid w:val="00DD39F7"/>
    <w:rsid w:val="00DD3C2B"/>
    <w:rsid w:val="00DD3D96"/>
    <w:rsid w:val="00DD3DC8"/>
    <w:rsid w:val="00DD3DD6"/>
    <w:rsid w:val="00DD3E0A"/>
    <w:rsid w:val="00DD3EB7"/>
    <w:rsid w:val="00DD3F2C"/>
    <w:rsid w:val="00DD400C"/>
    <w:rsid w:val="00DD4030"/>
    <w:rsid w:val="00DD4034"/>
    <w:rsid w:val="00DD409A"/>
    <w:rsid w:val="00DD4160"/>
    <w:rsid w:val="00DD41FF"/>
    <w:rsid w:val="00DD4231"/>
    <w:rsid w:val="00DD437A"/>
    <w:rsid w:val="00DD43D1"/>
    <w:rsid w:val="00DD4424"/>
    <w:rsid w:val="00DD4741"/>
    <w:rsid w:val="00DD4753"/>
    <w:rsid w:val="00DD4764"/>
    <w:rsid w:val="00DD4859"/>
    <w:rsid w:val="00DD4871"/>
    <w:rsid w:val="00DD48D0"/>
    <w:rsid w:val="00DD493B"/>
    <w:rsid w:val="00DD4AE8"/>
    <w:rsid w:val="00DD4B33"/>
    <w:rsid w:val="00DD4B6B"/>
    <w:rsid w:val="00DD4BC1"/>
    <w:rsid w:val="00DD4C34"/>
    <w:rsid w:val="00DD4CC5"/>
    <w:rsid w:val="00DD4D3E"/>
    <w:rsid w:val="00DD4DD3"/>
    <w:rsid w:val="00DD4EBA"/>
    <w:rsid w:val="00DD4EF3"/>
    <w:rsid w:val="00DD4F2C"/>
    <w:rsid w:val="00DD5034"/>
    <w:rsid w:val="00DD50A9"/>
    <w:rsid w:val="00DD50E1"/>
    <w:rsid w:val="00DD51D1"/>
    <w:rsid w:val="00DD51D4"/>
    <w:rsid w:val="00DD523E"/>
    <w:rsid w:val="00DD5390"/>
    <w:rsid w:val="00DD5431"/>
    <w:rsid w:val="00DD547F"/>
    <w:rsid w:val="00DD5534"/>
    <w:rsid w:val="00DD555C"/>
    <w:rsid w:val="00DD556F"/>
    <w:rsid w:val="00DD55C5"/>
    <w:rsid w:val="00DD561A"/>
    <w:rsid w:val="00DD565F"/>
    <w:rsid w:val="00DD5699"/>
    <w:rsid w:val="00DD56B5"/>
    <w:rsid w:val="00DD56F0"/>
    <w:rsid w:val="00DD579B"/>
    <w:rsid w:val="00DD57C2"/>
    <w:rsid w:val="00DD57C6"/>
    <w:rsid w:val="00DD57D9"/>
    <w:rsid w:val="00DD58A1"/>
    <w:rsid w:val="00DD59D6"/>
    <w:rsid w:val="00DD5AC9"/>
    <w:rsid w:val="00DD5B0E"/>
    <w:rsid w:val="00DD5B61"/>
    <w:rsid w:val="00DD5B87"/>
    <w:rsid w:val="00DD5D2B"/>
    <w:rsid w:val="00DD5D43"/>
    <w:rsid w:val="00DD5DAA"/>
    <w:rsid w:val="00DD5F28"/>
    <w:rsid w:val="00DD5F7E"/>
    <w:rsid w:val="00DD5FDF"/>
    <w:rsid w:val="00DD60CB"/>
    <w:rsid w:val="00DD60D8"/>
    <w:rsid w:val="00DD6140"/>
    <w:rsid w:val="00DD6169"/>
    <w:rsid w:val="00DD62BE"/>
    <w:rsid w:val="00DD630F"/>
    <w:rsid w:val="00DD6385"/>
    <w:rsid w:val="00DD662E"/>
    <w:rsid w:val="00DD669A"/>
    <w:rsid w:val="00DD66BA"/>
    <w:rsid w:val="00DD68A6"/>
    <w:rsid w:val="00DD6955"/>
    <w:rsid w:val="00DD6969"/>
    <w:rsid w:val="00DD6982"/>
    <w:rsid w:val="00DD6A13"/>
    <w:rsid w:val="00DD6AEA"/>
    <w:rsid w:val="00DD6B5E"/>
    <w:rsid w:val="00DD6B72"/>
    <w:rsid w:val="00DD6BB2"/>
    <w:rsid w:val="00DD6BD8"/>
    <w:rsid w:val="00DD6F59"/>
    <w:rsid w:val="00DD6F77"/>
    <w:rsid w:val="00DD7012"/>
    <w:rsid w:val="00DD7026"/>
    <w:rsid w:val="00DD70A0"/>
    <w:rsid w:val="00DD7108"/>
    <w:rsid w:val="00DD713E"/>
    <w:rsid w:val="00DD7162"/>
    <w:rsid w:val="00DD7183"/>
    <w:rsid w:val="00DD71AE"/>
    <w:rsid w:val="00DD72B9"/>
    <w:rsid w:val="00DD72EA"/>
    <w:rsid w:val="00DD7327"/>
    <w:rsid w:val="00DD7345"/>
    <w:rsid w:val="00DD73F0"/>
    <w:rsid w:val="00DD74B2"/>
    <w:rsid w:val="00DD75C0"/>
    <w:rsid w:val="00DD76C1"/>
    <w:rsid w:val="00DD76C9"/>
    <w:rsid w:val="00DD76FE"/>
    <w:rsid w:val="00DD778B"/>
    <w:rsid w:val="00DD78B4"/>
    <w:rsid w:val="00DD78F4"/>
    <w:rsid w:val="00DD7941"/>
    <w:rsid w:val="00DD797B"/>
    <w:rsid w:val="00DD79BC"/>
    <w:rsid w:val="00DD7B91"/>
    <w:rsid w:val="00DD7C95"/>
    <w:rsid w:val="00DD7E39"/>
    <w:rsid w:val="00DD7F12"/>
    <w:rsid w:val="00DE001E"/>
    <w:rsid w:val="00DE004A"/>
    <w:rsid w:val="00DE0088"/>
    <w:rsid w:val="00DE01DF"/>
    <w:rsid w:val="00DE0311"/>
    <w:rsid w:val="00DE0318"/>
    <w:rsid w:val="00DE0341"/>
    <w:rsid w:val="00DE04FA"/>
    <w:rsid w:val="00DE055C"/>
    <w:rsid w:val="00DE071A"/>
    <w:rsid w:val="00DE0780"/>
    <w:rsid w:val="00DE07A9"/>
    <w:rsid w:val="00DE07DB"/>
    <w:rsid w:val="00DE0820"/>
    <w:rsid w:val="00DE089D"/>
    <w:rsid w:val="00DE0BEC"/>
    <w:rsid w:val="00DE0C6B"/>
    <w:rsid w:val="00DE0F4E"/>
    <w:rsid w:val="00DE0F86"/>
    <w:rsid w:val="00DE0FD8"/>
    <w:rsid w:val="00DE10DD"/>
    <w:rsid w:val="00DE13D8"/>
    <w:rsid w:val="00DE13FC"/>
    <w:rsid w:val="00DE1429"/>
    <w:rsid w:val="00DE1473"/>
    <w:rsid w:val="00DE14CB"/>
    <w:rsid w:val="00DE15A1"/>
    <w:rsid w:val="00DE1768"/>
    <w:rsid w:val="00DE18C3"/>
    <w:rsid w:val="00DE193D"/>
    <w:rsid w:val="00DE1AF2"/>
    <w:rsid w:val="00DE1C07"/>
    <w:rsid w:val="00DE1C65"/>
    <w:rsid w:val="00DE1CB6"/>
    <w:rsid w:val="00DE1CBF"/>
    <w:rsid w:val="00DE1D3D"/>
    <w:rsid w:val="00DE1D84"/>
    <w:rsid w:val="00DE1DA5"/>
    <w:rsid w:val="00DE1DC3"/>
    <w:rsid w:val="00DE1ED8"/>
    <w:rsid w:val="00DE1F56"/>
    <w:rsid w:val="00DE1F9D"/>
    <w:rsid w:val="00DE1FF1"/>
    <w:rsid w:val="00DE2014"/>
    <w:rsid w:val="00DE205F"/>
    <w:rsid w:val="00DE2198"/>
    <w:rsid w:val="00DE21FA"/>
    <w:rsid w:val="00DE223C"/>
    <w:rsid w:val="00DE2258"/>
    <w:rsid w:val="00DE233D"/>
    <w:rsid w:val="00DE2352"/>
    <w:rsid w:val="00DE2377"/>
    <w:rsid w:val="00DE2387"/>
    <w:rsid w:val="00DE23D2"/>
    <w:rsid w:val="00DE2456"/>
    <w:rsid w:val="00DE2485"/>
    <w:rsid w:val="00DE2546"/>
    <w:rsid w:val="00DE2649"/>
    <w:rsid w:val="00DE26EF"/>
    <w:rsid w:val="00DE270F"/>
    <w:rsid w:val="00DE2964"/>
    <w:rsid w:val="00DE2A39"/>
    <w:rsid w:val="00DE2D8A"/>
    <w:rsid w:val="00DE2FC5"/>
    <w:rsid w:val="00DE3061"/>
    <w:rsid w:val="00DE3172"/>
    <w:rsid w:val="00DE334D"/>
    <w:rsid w:val="00DE337D"/>
    <w:rsid w:val="00DE3382"/>
    <w:rsid w:val="00DE3630"/>
    <w:rsid w:val="00DE366A"/>
    <w:rsid w:val="00DE36BA"/>
    <w:rsid w:val="00DE37D6"/>
    <w:rsid w:val="00DE3863"/>
    <w:rsid w:val="00DE3893"/>
    <w:rsid w:val="00DE3A61"/>
    <w:rsid w:val="00DE3B05"/>
    <w:rsid w:val="00DE3C21"/>
    <w:rsid w:val="00DE4016"/>
    <w:rsid w:val="00DE40C3"/>
    <w:rsid w:val="00DE416C"/>
    <w:rsid w:val="00DE41F3"/>
    <w:rsid w:val="00DE4418"/>
    <w:rsid w:val="00DE44D9"/>
    <w:rsid w:val="00DE4530"/>
    <w:rsid w:val="00DE455A"/>
    <w:rsid w:val="00DE467B"/>
    <w:rsid w:val="00DE46A6"/>
    <w:rsid w:val="00DE4789"/>
    <w:rsid w:val="00DE481B"/>
    <w:rsid w:val="00DE4943"/>
    <w:rsid w:val="00DE497F"/>
    <w:rsid w:val="00DE4A4C"/>
    <w:rsid w:val="00DE4A4F"/>
    <w:rsid w:val="00DE4B0B"/>
    <w:rsid w:val="00DE4BEC"/>
    <w:rsid w:val="00DE4C50"/>
    <w:rsid w:val="00DE4C77"/>
    <w:rsid w:val="00DE4D05"/>
    <w:rsid w:val="00DE4D1F"/>
    <w:rsid w:val="00DE4E61"/>
    <w:rsid w:val="00DE4ED9"/>
    <w:rsid w:val="00DE51D0"/>
    <w:rsid w:val="00DE51E4"/>
    <w:rsid w:val="00DE526D"/>
    <w:rsid w:val="00DE52F5"/>
    <w:rsid w:val="00DE53A7"/>
    <w:rsid w:val="00DE55AE"/>
    <w:rsid w:val="00DE55B9"/>
    <w:rsid w:val="00DE5631"/>
    <w:rsid w:val="00DE5632"/>
    <w:rsid w:val="00DE5673"/>
    <w:rsid w:val="00DE567C"/>
    <w:rsid w:val="00DE5681"/>
    <w:rsid w:val="00DE56E9"/>
    <w:rsid w:val="00DE57B0"/>
    <w:rsid w:val="00DE58CD"/>
    <w:rsid w:val="00DE5ADB"/>
    <w:rsid w:val="00DE5AE2"/>
    <w:rsid w:val="00DE5B60"/>
    <w:rsid w:val="00DE5BD8"/>
    <w:rsid w:val="00DE5D6B"/>
    <w:rsid w:val="00DE5F00"/>
    <w:rsid w:val="00DE5F47"/>
    <w:rsid w:val="00DE5FB6"/>
    <w:rsid w:val="00DE6034"/>
    <w:rsid w:val="00DE60D2"/>
    <w:rsid w:val="00DE617B"/>
    <w:rsid w:val="00DE638F"/>
    <w:rsid w:val="00DE63D9"/>
    <w:rsid w:val="00DE649B"/>
    <w:rsid w:val="00DE64F3"/>
    <w:rsid w:val="00DE656E"/>
    <w:rsid w:val="00DE6585"/>
    <w:rsid w:val="00DE658A"/>
    <w:rsid w:val="00DE6727"/>
    <w:rsid w:val="00DE6744"/>
    <w:rsid w:val="00DE6830"/>
    <w:rsid w:val="00DE688B"/>
    <w:rsid w:val="00DE6B4F"/>
    <w:rsid w:val="00DE6DF1"/>
    <w:rsid w:val="00DE6F00"/>
    <w:rsid w:val="00DE6FE0"/>
    <w:rsid w:val="00DE7078"/>
    <w:rsid w:val="00DE7104"/>
    <w:rsid w:val="00DE7203"/>
    <w:rsid w:val="00DE7252"/>
    <w:rsid w:val="00DE725A"/>
    <w:rsid w:val="00DE7335"/>
    <w:rsid w:val="00DE735B"/>
    <w:rsid w:val="00DE737C"/>
    <w:rsid w:val="00DE73A0"/>
    <w:rsid w:val="00DE740E"/>
    <w:rsid w:val="00DE7429"/>
    <w:rsid w:val="00DE74CF"/>
    <w:rsid w:val="00DE753D"/>
    <w:rsid w:val="00DE75BB"/>
    <w:rsid w:val="00DE779E"/>
    <w:rsid w:val="00DE77DB"/>
    <w:rsid w:val="00DE7818"/>
    <w:rsid w:val="00DE781B"/>
    <w:rsid w:val="00DE781F"/>
    <w:rsid w:val="00DE7881"/>
    <w:rsid w:val="00DE799B"/>
    <w:rsid w:val="00DE7A0D"/>
    <w:rsid w:val="00DE7A77"/>
    <w:rsid w:val="00DE7AFD"/>
    <w:rsid w:val="00DE7B19"/>
    <w:rsid w:val="00DE7C26"/>
    <w:rsid w:val="00DE7C3A"/>
    <w:rsid w:val="00DE7D12"/>
    <w:rsid w:val="00DE7E40"/>
    <w:rsid w:val="00DF0004"/>
    <w:rsid w:val="00DF00CC"/>
    <w:rsid w:val="00DF0112"/>
    <w:rsid w:val="00DF0123"/>
    <w:rsid w:val="00DF0349"/>
    <w:rsid w:val="00DF04AB"/>
    <w:rsid w:val="00DF05A6"/>
    <w:rsid w:val="00DF05CB"/>
    <w:rsid w:val="00DF0607"/>
    <w:rsid w:val="00DF0659"/>
    <w:rsid w:val="00DF06D5"/>
    <w:rsid w:val="00DF0727"/>
    <w:rsid w:val="00DF0809"/>
    <w:rsid w:val="00DF080C"/>
    <w:rsid w:val="00DF0902"/>
    <w:rsid w:val="00DF0956"/>
    <w:rsid w:val="00DF09A7"/>
    <w:rsid w:val="00DF0A7F"/>
    <w:rsid w:val="00DF0B48"/>
    <w:rsid w:val="00DF0C29"/>
    <w:rsid w:val="00DF0C5B"/>
    <w:rsid w:val="00DF0CA5"/>
    <w:rsid w:val="00DF0D5B"/>
    <w:rsid w:val="00DF0D6A"/>
    <w:rsid w:val="00DF0DF5"/>
    <w:rsid w:val="00DF0E48"/>
    <w:rsid w:val="00DF0E67"/>
    <w:rsid w:val="00DF0E80"/>
    <w:rsid w:val="00DF0EC0"/>
    <w:rsid w:val="00DF0ED9"/>
    <w:rsid w:val="00DF0F14"/>
    <w:rsid w:val="00DF0F2C"/>
    <w:rsid w:val="00DF0F7D"/>
    <w:rsid w:val="00DF1065"/>
    <w:rsid w:val="00DF1096"/>
    <w:rsid w:val="00DF1153"/>
    <w:rsid w:val="00DF1313"/>
    <w:rsid w:val="00DF13C6"/>
    <w:rsid w:val="00DF1434"/>
    <w:rsid w:val="00DF1448"/>
    <w:rsid w:val="00DF150A"/>
    <w:rsid w:val="00DF1798"/>
    <w:rsid w:val="00DF17CF"/>
    <w:rsid w:val="00DF1928"/>
    <w:rsid w:val="00DF1999"/>
    <w:rsid w:val="00DF1ABC"/>
    <w:rsid w:val="00DF1B11"/>
    <w:rsid w:val="00DF1BAF"/>
    <w:rsid w:val="00DF1C5A"/>
    <w:rsid w:val="00DF1DEC"/>
    <w:rsid w:val="00DF1E62"/>
    <w:rsid w:val="00DF1EB1"/>
    <w:rsid w:val="00DF1EE1"/>
    <w:rsid w:val="00DF1F0E"/>
    <w:rsid w:val="00DF205F"/>
    <w:rsid w:val="00DF20BC"/>
    <w:rsid w:val="00DF211B"/>
    <w:rsid w:val="00DF21AE"/>
    <w:rsid w:val="00DF2266"/>
    <w:rsid w:val="00DF2307"/>
    <w:rsid w:val="00DF2332"/>
    <w:rsid w:val="00DF2449"/>
    <w:rsid w:val="00DF249C"/>
    <w:rsid w:val="00DF256D"/>
    <w:rsid w:val="00DF2606"/>
    <w:rsid w:val="00DF2640"/>
    <w:rsid w:val="00DF270E"/>
    <w:rsid w:val="00DF2762"/>
    <w:rsid w:val="00DF27F9"/>
    <w:rsid w:val="00DF2832"/>
    <w:rsid w:val="00DF2837"/>
    <w:rsid w:val="00DF2AFA"/>
    <w:rsid w:val="00DF2B35"/>
    <w:rsid w:val="00DF2B5E"/>
    <w:rsid w:val="00DF2B7A"/>
    <w:rsid w:val="00DF2BAC"/>
    <w:rsid w:val="00DF2C2E"/>
    <w:rsid w:val="00DF2C57"/>
    <w:rsid w:val="00DF2EE2"/>
    <w:rsid w:val="00DF3017"/>
    <w:rsid w:val="00DF305C"/>
    <w:rsid w:val="00DF311D"/>
    <w:rsid w:val="00DF3161"/>
    <w:rsid w:val="00DF3338"/>
    <w:rsid w:val="00DF3364"/>
    <w:rsid w:val="00DF3440"/>
    <w:rsid w:val="00DF3646"/>
    <w:rsid w:val="00DF36B5"/>
    <w:rsid w:val="00DF3850"/>
    <w:rsid w:val="00DF3860"/>
    <w:rsid w:val="00DF387E"/>
    <w:rsid w:val="00DF38D2"/>
    <w:rsid w:val="00DF38E9"/>
    <w:rsid w:val="00DF39FF"/>
    <w:rsid w:val="00DF3A6A"/>
    <w:rsid w:val="00DF3AF3"/>
    <w:rsid w:val="00DF3BDE"/>
    <w:rsid w:val="00DF3D5A"/>
    <w:rsid w:val="00DF3E6A"/>
    <w:rsid w:val="00DF3E85"/>
    <w:rsid w:val="00DF3F2D"/>
    <w:rsid w:val="00DF3FC8"/>
    <w:rsid w:val="00DF40F2"/>
    <w:rsid w:val="00DF415F"/>
    <w:rsid w:val="00DF417E"/>
    <w:rsid w:val="00DF4225"/>
    <w:rsid w:val="00DF4278"/>
    <w:rsid w:val="00DF4304"/>
    <w:rsid w:val="00DF441C"/>
    <w:rsid w:val="00DF44B6"/>
    <w:rsid w:val="00DF4530"/>
    <w:rsid w:val="00DF47B6"/>
    <w:rsid w:val="00DF47C1"/>
    <w:rsid w:val="00DF47C3"/>
    <w:rsid w:val="00DF4825"/>
    <w:rsid w:val="00DF48E5"/>
    <w:rsid w:val="00DF49BB"/>
    <w:rsid w:val="00DF49C1"/>
    <w:rsid w:val="00DF4A1C"/>
    <w:rsid w:val="00DF4AE6"/>
    <w:rsid w:val="00DF4FD7"/>
    <w:rsid w:val="00DF4FDB"/>
    <w:rsid w:val="00DF4FEB"/>
    <w:rsid w:val="00DF5220"/>
    <w:rsid w:val="00DF525D"/>
    <w:rsid w:val="00DF52A4"/>
    <w:rsid w:val="00DF5416"/>
    <w:rsid w:val="00DF54D3"/>
    <w:rsid w:val="00DF5557"/>
    <w:rsid w:val="00DF55DE"/>
    <w:rsid w:val="00DF5663"/>
    <w:rsid w:val="00DF5689"/>
    <w:rsid w:val="00DF570B"/>
    <w:rsid w:val="00DF5739"/>
    <w:rsid w:val="00DF5771"/>
    <w:rsid w:val="00DF579A"/>
    <w:rsid w:val="00DF57B3"/>
    <w:rsid w:val="00DF57D0"/>
    <w:rsid w:val="00DF5908"/>
    <w:rsid w:val="00DF5A6E"/>
    <w:rsid w:val="00DF5A91"/>
    <w:rsid w:val="00DF5B48"/>
    <w:rsid w:val="00DF5BA1"/>
    <w:rsid w:val="00DF5C1E"/>
    <w:rsid w:val="00DF5C2F"/>
    <w:rsid w:val="00DF5CC5"/>
    <w:rsid w:val="00DF5D66"/>
    <w:rsid w:val="00DF5E19"/>
    <w:rsid w:val="00DF5F35"/>
    <w:rsid w:val="00DF5FD8"/>
    <w:rsid w:val="00DF60C5"/>
    <w:rsid w:val="00DF60EB"/>
    <w:rsid w:val="00DF6136"/>
    <w:rsid w:val="00DF6249"/>
    <w:rsid w:val="00DF635E"/>
    <w:rsid w:val="00DF63CB"/>
    <w:rsid w:val="00DF63F0"/>
    <w:rsid w:val="00DF63FE"/>
    <w:rsid w:val="00DF645D"/>
    <w:rsid w:val="00DF65D8"/>
    <w:rsid w:val="00DF6600"/>
    <w:rsid w:val="00DF666C"/>
    <w:rsid w:val="00DF66AB"/>
    <w:rsid w:val="00DF673B"/>
    <w:rsid w:val="00DF68E3"/>
    <w:rsid w:val="00DF69E2"/>
    <w:rsid w:val="00DF69FA"/>
    <w:rsid w:val="00DF6A69"/>
    <w:rsid w:val="00DF6A80"/>
    <w:rsid w:val="00DF6AFB"/>
    <w:rsid w:val="00DF6BCB"/>
    <w:rsid w:val="00DF6C4E"/>
    <w:rsid w:val="00DF6CB7"/>
    <w:rsid w:val="00DF6DF4"/>
    <w:rsid w:val="00DF6E7A"/>
    <w:rsid w:val="00DF6F08"/>
    <w:rsid w:val="00DF6F24"/>
    <w:rsid w:val="00DF711D"/>
    <w:rsid w:val="00DF724A"/>
    <w:rsid w:val="00DF72A8"/>
    <w:rsid w:val="00DF7316"/>
    <w:rsid w:val="00DF7322"/>
    <w:rsid w:val="00DF73FD"/>
    <w:rsid w:val="00DF74CD"/>
    <w:rsid w:val="00DF7548"/>
    <w:rsid w:val="00DF769E"/>
    <w:rsid w:val="00DF7846"/>
    <w:rsid w:val="00DF78AE"/>
    <w:rsid w:val="00DF7941"/>
    <w:rsid w:val="00DF7CF4"/>
    <w:rsid w:val="00DF7F1B"/>
    <w:rsid w:val="00DF7F84"/>
    <w:rsid w:val="00E0008A"/>
    <w:rsid w:val="00E002BA"/>
    <w:rsid w:val="00E002F5"/>
    <w:rsid w:val="00E00358"/>
    <w:rsid w:val="00E003D7"/>
    <w:rsid w:val="00E0042D"/>
    <w:rsid w:val="00E00559"/>
    <w:rsid w:val="00E0068A"/>
    <w:rsid w:val="00E0068B"/>
    <w:rsid w:val="00E007C6"/>
    <w:rsid w:val="00E0080C"/>
    <w:rsid w:val="00E00895"/>
    <w:rsid w:val="00E008A4"/>
    <w:rsid w:val="00E009ED"/>
    <w:rsid w:val="00E00A0D"/>
    <w:rsid w:val="00E00A1A"/>
    <w:rsid w:val="00E00A1D"/>
    <w:rsid w:val="00E00A33"/>
    <w:rsid w:val="00E00A56"/>
    <w:rsid w:val="00E00A9B"/>
    <w:rsid w:val="00E00ADA"/>
    <w:rsid w:val="00E00AE6"/>
    <w:rsid w:val="00E00B47"/>
    <w:rsid w:val="00E00B78"/>
    <w:rsid w:val="00E00BC8"/>
    <w:rsid w:val="00E00C2F"/>
    <w:rsid w:val="00E00C31"/>
    <w:rsid w:val="00E00C4C"/>
    <w:rsid w:val="00E00C89"/>
    <w:rsid w:val="00E00CDC"/>
    <w:rsid w:val="00E00D7D"/>
    <w:rsid w:val="00E00E30"/>
    <w:rsid w:val="00E00E35"/>
    <w:rsid w:val="00E01161"/>
    <w:rsid w:val="00E011CA"/>
    <w:rsid w:val="00E011FC"/>
    <w:rsid w:val="00E012CC"/>
    <w:rsid w:val="00E012FD"/>
    <w:rsid w:val="00E013EB"/>
    <w:rsid w:val="00E01482"/>
    <w:rsid w:val="00E01514"/>
    <w:rsid w:val="00E015CA"/>
    <w:rsid w:val="00E015D8"/>
    <w:rsid w:val="00E0165C"/>
    <w:rsid w:val="00E017DB"/>
    <w:rsid w:val="00E019B1"/>
    <w:rsid w:val="00E019D4"/>
    <w:rsid w:val="00E019FA"/>
    <w:rsid w:val="00E01A36"/>
    <w:rsid w:val="00E01A97"/>
    <w:rsid w:val="00E01AD0"/>
    <w:rsid w:val="00E01B89"/>
    <w:rsid w:val="00E01B9B"/>
    <w:rsid w:val="00E01D90"/>
    <w:rsid w:val="00E01DE0"/>
    <w:rsid w:val="00E01F8D"/>
    <w:rsid w:val="00E01F97"/>
    <w:rsid w:val="00E0212B"/>
    <w:rsid w:val="00E02368"/>
    <w:rsid w:val="00E02394"/>
    <w:rsid w:val="00E023C5"/>
    <w:rsid w:val="00E023EF"/>
    <w:rsid w:val="00E02401"/>
    <w:rsid w:val="00E024C6"/>
    <w:rsid w:val="00E025CE"/>
    <w:rsid w:val="00E026B6"/>
    <w:rsid w:val="00E0273A"/>
    <w:rsid w:val="00E0274A"/>
    <w:rsid w:val="00E027B3"/>
    <w:rsid w:val="00E027DC"/>
    <w:rsid w:val="00E02825"/>
    <w:rsid w:val="00E028DE"/>
    <w:rsid w:val="00E028F6"/>
    <w:rsid w:val="00E028FC"/>
    <w:rsid w:val="00E02986"/>
    <w:rsid w:val="00E029E4"/>
    <w:rsid w:val="00E02B5F"/>
    <w:rsid w:val="00E02BA1"/>
    <w:rsid w:val="00E02BBD"/>
    <w:rsid w:val="00E02C6D"/>
    <w:rsid w:val="00E02D02"/>
    <w:rsid w:val="00E02D20"/>
    <w:rsid w:val="00E02D3A"/>
    <w:rsid w:val="00E02DBA"/>
    <w:rsid w:val="00E02DF2"/>
    <w:rsid w:val="00E02E21"/>
    <w:rsid w:val="00E02E44"/>
    <w:rsid w:val="00E02E5B"/>
    <w:rsid w:val="00E02E9F"/>
    <w:rsid w:val="00E02FA7"/>
    <w:rsid w:val="00E0310F"/>
    <w:rsid w:val="00E03161"/>
    <w:rsid w:val="00E033B7"/>
    <w:rsid w:val="00E033C9"/>
    <w:rsid w:val="00E03441"/>
    <w:rsid w:val="00E03442"/>
    <w:rsid w:val="00E0347D"/>
    <w:rsid w:val="00E034CE"/>
    <w:rsid w:val="00E03699"/>
    <w:rsid w:val="00E03700"/>
    <w:rsid w:val="00E0389A"/>
    <w:rsid w:val="00E038D9"/>
    <w:rsid w:val="00E03990"/>
    <w:rsid w:val="00E039C8"/>
    <w:rsid w:val="00E03A20"/>
    <w:rsid w:val="00E03B53"/>
    <w:rsid w:val="00E03D72"/>
    <w:rsid w:val="00E03D9F"/>
    <w:rsid w:val="00E03DE5"/>
    <w:rsid w:val="00E03F51"/>
    <w:rsid w:val="00E04164"/>
    <w:rsid w:val="00E041CC"/>
    <w:rsid w:val="00E0422E"/>
    <w:rsid w:val="00E04405"/>
    <w:rsid w:val="00E04468"/>
    <w:rsid w:val="00E044C9"/>
    <w:rsid w:val="00E044D1"/>
    <w:rsid w:val="00E04697"/>
    <w:rsid w:val="00E0478B"/>
    <w:rsid w:val="00E04994"/>
    <w:rsid w:val="00E049EB"/>
    <w:rsid w:val="00E04ABD"/>
    <w:rsid w:val="00E04C06"/>
    <w:rsid w:val="00E04C18"/>
    <w:rsid w:val="00E04DC9"/>
    <w:rsid w:val="00E04E1B"/>
    <w:rsid w:val="00E04F0A"/>
    <w:rsid w:val="00E04F0C"/>
    <w:rsid w:val="00E04F74"/>
    <w:rsid w:val="00E05023"/>
    <w:rsid w:val="00E0509A"/>
    <w:rsid w:val="00E050CA"/>
    <w:rsid w:val="00E05122"/>
    <w:rsid w:val="00E0516E"/>
    <w:rsid w:val="00E051E7"/>
    <w:rsid w:val="00E051E8"/>
    <w:rsid w:val="00E05320"/>
    <w:rsid w:val="00E053C4"/>
    <w:rsid w:val="00E05413"/>
    <w:rsid w:val="00E05543"/>
    <w:rsid w:val="00E05752"/>
    <w:rsid w:val="00E058EC"/>
    <w:rsid w:val="00E05B9F"/>
    <w:rsid w:val="00E05BC8"/>
    <w:rsid w:val="00E05C21"/>
    <w:rsid w:val="00E05CE6"/>
    <w:rsid w:val="00E05D2E"/>
    <w:rsid w:val="00E05DDC"/>
    <w:rsid w:val="00E05ECD"/>
    <w:rsid w:val="00E0602F"/>
    <w:rsid w:val="00E06119"/>
    <w:rsid w:val="00E06176"/>
    <w:rsid w:val="00E061C7"/>
    <w:rsid w:val="00E061EB"/>
    <w:rsid w:val="00E0624B"/>
    <w:rsid w:val="00E06286"/>
    <w:rsid w:val="00E0637A"/>
    <w:rsid w:val="00E0640E"/>
    <w:rsid w:val="00E06513"/>
    <w:rsid w:val="00E0658B"/>
    <w:rsid w:val="00E06723"/>
    <w:rsid w:val="00E0681C"/>
    <w:rsid w:val="00E0687B"/>
    <w:rsid w:val="00E06963"/>
    <w:rsid w:val="00E06A92"/>
    <w:rsid w:val="00E06AF7"/>
    <w:rsid w:val="00E06B42"/>
    <w:rsid w:val="00E06DFE"/>
    <w:rsid w:val="00E06ED0"/>
    <w:rsid w:val="00E070CD"/>
    <w:rsid w:val="00E071AA"/>
    <w:rsid w:val="00E07225"/>
    <w:rsid w:val="00E07272"/>
    <w:rsid w:val="00E0734E"/>
    <w:rsid w:val="00E073BE"/>
    <w:rsid w:val="00E074BA"/>
    <w:rsid w:val="00E074D1"/>
    <w:rsid w:val="00E07610"/>
    <w:rsid w:val="00E07682"/>
    <w:rsid w:val="00E07703"/>
    <w:rsid w:val="00E0771E"/>
    <w:rsid w:val="00E07817"/>
    <w:rsid w:val="00E07873"/>
    <w:rsid w:val="00E07A74"/>
    <w:rsid w:val="00E07A8C"/>
    <w:rsid w:val="00E07AF6"/>
    <w:rsid w:val="00E07B7D"/>
    <w:rsid w:val="00E07DF3"/>
    <w:rsid w:val="00E07F1D"/>
    <w:rsid w:val="00E07F40"/>
    <w:rsid w:val="00E07F57"/>
    <w:rsid w:val="00E100BF"/>
    <w:rsid w:val="00E1015A"/>
    <w:rsid w:val="00E1032C"/>
    <w:rsid w:val="00E1034C"/>
    <w:rsid w:val="00E1035D"/>
    <w:rsid w:val="00E1046E"/>
    <w:rsid w:val="00E104A3"/>
    <w:rsid w:val="00E105C8"/>
    <w:rsid w:val="00E105CD"/>
    <w:rsid w:val="00E1062A"/>
    <w:rsid w:val="00E10644"/>
    <w:rsid w:val="00E1073E"/>
    <w:rsid w:val="00E1086D"/>
    <w:rsid w:val="00E108D3"/>
    <w:rsid w:val="00E10957"/>
    <w:rsid w:val="00E109A3"/>
    <w:rsid w:val="00E10A27"/>
    <w:rsid w:val="00E10A2E"/>
    <w:rsid w:val="00E10B99"/>
    <w:rsid w:val="00E10BDA"/>
    <w:rsid w:val="00E10CF6"/>
    <w:rsid w:val="00E10EFC"/>
    <w:rsid w:val="00E10F49"/>
    <w:rsid w:val="00E10FA8"/>
    <w:rsid w:val="00E11032"/>
    <w:rsid w:val="00E11187"/>
    <w:rsid w:val="00E11393"/>
    <w:rsid w:val="00E11405"/>
    <w:rsid w:val="00E11645"/>
    <w:rsid w:val="00E11686"/>
    <w:rsid w:val="00E1169A"/>
    <w:rsid w:val="00E1172D"/>
    <w:rsid w:val="00E1178F"/>
    <w:rsid w:val="00E11829"/>
    <w:rsid w:val="00E118E1"/>
    <w:rsid w:val="00E119BF"/>
    <w:rsid w:val="00E119D9"/>
    <w:rsid w:val="00E11A18"/>
    <w:rsid w:val="00E11AA0"/>
    <w:rsid w:val="00E11AB7"/>
    <w:rsid w:val="00E11AFD"/>
    <w:rsid w:val="00E11B15"/>
    <w:rsid w:val="00E11C3B"/>
    <w:rsid w:val="00E11CA2"/>
    <w:rsid w:val="00E11CC7"/>
    <w:rsid w:val="00E11DCA"/>
    <w:rsid w:val="00E11E69"/>
    <w:rsid w:val="00E11FC1"/>
    <w:rsid w:val="00E120B6"/>
    <w:rsid w:val="00E120BC"/>
    <w:rsid w:val="00E121BA"/>
    <w:rsid w:val="00E122C7"/>
    <w:rsid w:val="00E122DB"/>
    <w:rsid w:val="00E122E2"/>
    <w:rsid w:val="00E122E9"/>
    <w:rsid w:val="00E12329"/>
    <w:rsid w:val="00E12472"/>
    <w:rsid w:val="00E124E1"/>
    <w:rsid w:val="00E1254B"/>
    <w:rsid w:val="00E12583"/>
    <w:rsid w:val="00E1268D"/>
    <w:rsid w:val="00E12AAD"/>
    <w:rsid w:val="00E12B98"/>
    <w:rsid w:val="00E12C36"/>
    <w:rsid w:val="00E12CF1"/>
    <w:rsid w:val="00E12DDD"/>
    <w:rsid w:val="00E12EDA"/>
    <w:rsid w:val="00E12F93"/>
    <w:rsid w:val="00E13031"/>
    <w:rsid w:val="00E13293"/>
    <w:rsid w:val="00E13313"/>
    <w:rsid w:val="00E133FB"/>
    <w:rsid w:val="00E13481"/>
    <w:rsid w:val="00E135D4"/>
    <w:rsid w:val="00E13613"/>
    <w:rsid w:val="00E136D7"/>
    <w:rsid w:val="00E1371A"/>
    <w:rsid w:val="00E13813"/>
    <w:rsid w:val="00E13894"/>
    <w:rsid w:val="00E138B8"/>
    <w:rsid w:val="00E139FA"/>
    <w:rsid w:val="00E13B5C"/>
    <w:rsid w:val="00E13B9F"/>
    <w:rsid w:val="00E13CFB"/>
    <w:rsid w:val="00E13D95"/>
    <w:rsid w:val="00E13EA6"/>
    <w:rsid w:val="00E13F66"/>
    <w:rsid w:val="00E13FB6"/>
    <w:rsid w:val="00E13FF2"/>
    <w:rsid w:val="00E14062"/>
    <w:rsid w:val="00E140B6"/>
    <w:rsid w:val="00E14117"/>
    <w:rsid w:val="00E14185"/>
    <w:rsid w:val="00E1418D"/>
    <w:rsid w:val="00E142B1"/>
    <w:rsid w:val="00E14434"/>
    <w:rsid w:val="00E144C3"/>
    <w:rsid w:val="00E14585"/>
    <w:rsid w:val="00E146F7"/>
    <w:rsid w:val="00E1474D"/>
    <w:rsid w:val="00E14C24"/>
    <w:rsid w:val="00E14C8A"/>
    <w:rsid w:val="00E14FE6"/>
    <w:rsid w:val="00E1501A"/>
    <w:rsid w:val="00E1502A"/>
    <w:rsid w:val="00E1502D"/>
    <w:rsid w:val="00E150FD"/>
    <w:rsid w:val="00E15132"/>
    <w:rsid w:val="00E15311"/>
    <w:rsid w:val="00E15350"/>
    <w:rsid w:val="00E153C8"/>
    <w:rsid w:val="00E153DA"/>
    <w:rsid w:val="00E153F7"/>
    <w:rsid w:val="00E15426"/>
    <w:rsid w:val="00E1545B"/>
    <w:rsid w:val="00E154C0"/>
    <w:rsid w:val="00E15522"/>
    <w:rsid w:val="00E155BF"/>
    <w:rsid w:val="00E15622"/>
    <w:rsid w:val="00E15645"/>
    <w:rsid w:val="00E1572C"/>
    <w:rsid w:val="00E15839"/>
    <w:rsid w:val="00E1589B"/>
    <w:rsid w:val="00E15A21"/>
    <w:rsid w:val="00E15B15"/>
    <w:rsid w:val="00E15C51"/>
    <w:rsid w:val="00E15C90"/>
    <w:rsid w:val="00E15CA9"/>
    <w:rsid w:val="00E15CEF"/>
    <w:rsid w:val="00E15CF9"/>
    <w:rsid w:val="00E15D6F"/>
    <w:rsid w:val="00E15D74"/>
    <w:rsid w:val="00E15E54"/>
    <w:rsid w:val="00E15EE6"/>
    <w:rsid w:val="00E1601A"/>
    <w:rsid w:val="00E16044"/>
    <w:rsid w:val="00E1606B"/>
    <w:rsid w:val="00E16092"/>
    <w:rsid w:val="00E160FD"/>
    <w:rsid w:val="00E16117"/>
    <w:rsid w:val="00E163CF"/>
    <w:rsid w:val="00E16410"/>
    <w:rsid w:val="00E1668E"/>
    <w:rsid w:val="00E167B8"/>
    <w:rsid w:val="00E16931"/>
    <w:rsid w:val="00E16CE2"/>
    <w:rsid w:val="00E16DE7"/>
    <w:rsid w:val="00E16E75"/>
    <w:rsid w:val="00E16EB2"/>
    <w:rsid w:val="00E16F45"/>
    <w:rsid w:val="00E16F46"/>
    <w:rsid w:val="00E16FB1"/>
    <w:rsid w:val="00E1707D"/>
    <w:rsid w:val="00E17082"/>
    <w:rsid w:val="00E170F6"/>
    <w:rsid w:val="00E17170"/>
    <w:rsid w:val="00E1730E"/>
    <w:rsid w:val="00E1733B"/>
    <w:rsid w:val="00E17396"/>
    <w:rsid w:val="00E17592"/>
    <w:rsid w:val="00E175C3"/>
    <w:rsid w:val="00E17701"/>
    <w:rsid w:val="00E1778B"/>
    <w:rsid w:val="00E177D7"/>
    <w:rsid w:val="00E177E3"/>
    <w:rsid w:val="00E1786B"/>
    <w:rsid w:val="00E1795A"/>
    <w:rsid w:val="00E17A37"/>
    <w:rsid w:val="00E17A93"/>
    <w:rsid w:val="00E17C1E"/>
    <w:rsid w:val="00E17CB8"/>
    <w:rsid w:val="00E17D29"/>
    <w:rsid w:val="00E17EA3"/>
    <w:rsid w:val="00E17EDC"/>
    <w:rsid w:val="00E17F57"/>
    <w:rsid w:val="00E17FF7"/>
    <w:rsid w:val="00E200DC"/>
    <w:rsid w:val="00E20144"/>
    <w:rsid w:val="00E2023A"/>
    <w:rsid w:val="00E202BA"/>
    <w:rsid w:val="00E20483"/>
    <w:rsid w:val="00E2051F"/>
    <w:rsid w:val="00E20578"/>
    <w:rsid w:val="00E20588"/>
    <w:rsid w:val="00E20660"/>
    <w:rsid w:val="00E206D3"/>
    <w:rsid w:val="00E20765"/>
    <w:rsid w:val="00E20A02"/>
    <w:rsid w:val="00E20A1E"/>
    <w:rsid w:val="00E20A8C"/>
    <w:rsid w:val="00E20AB0"/>
    <w:rsid w:val="00E20B86"/>
    <w:rsid w:val="00E20BB6"/>
    <w:rsid w:val="00E20CB8"/>
    <w:rsid w:val="00E20D2C"/>
    <w:rsid w:val="00E20D3D"/>
    <w:rsid w:val="00E20E60"/>
    <w:rsid w:val="00E20EE1"/>
    <w:rsid w:val="00E210BE"/>
    <w:rsid w:val="00E21146"/>
    <w:rsid w:val="00E212BB"/>
    <w:rsid w:val="00E212F5"/>
    <w:rsid w:val="00E21362"/>
    <w:rsid w:val="00E21365"/>
    <w:rsid w:val="00E21387"/>
    <w:rsid w:val="00E21398"/>
    <w:rsid w:val="00E213DA"/>
    <w:rsid w:val="00E215DA"/>
    <w:rsid w:val="00E21690"/>
    <w:rsid w:val="00E216CE"/>
    <w:rsid w:val="00E216F6"/>
    <w:rsid w:val="00E2181E"/>
    <w:rsid w:val="00E2183C"/>
    <w:rsid w:val="00E21901"/>
    <w:rsid w:val="00E21A7B"/>
    <w:rsid w:val="00E21AA9"/>
    <w:rsid w:val="00E21ABA"/>
    <w:rsid w:val="00E21BC4"/>
    <w:rsid w:val="00E21D3D"/>
    <w:rsid w:val="00E21D8B"/>
    <w:rsid w:val="00E21F6C"/>
    <w:rsid w:val="00E21FB1"/>
    <w:rsid w:val="00E21FEE"/>
    <w:rsid w:val="00E2210B"/>
    <w:rsid w:val="00E22173"/>
    <w:rsid w:val="00E221A5"/>
    <w:rsid w:val="00E223BD"/>
    <w:rsid w:val="00E223F8"/>
    <w:rsid w:val="00E22660"/>
    <w:rsid w:val="00E226A2"/>
    <w:rsid w:val="00E226CA"/>
    <w:rsid w:val="00E2287E"/>
    <w:rsid w:val="00E2289E"/>
    <w:rsid w:val="00E228DB"/>
    <w:rsid w:val="00E2295E"/>
    <w:rsid w:val="00E2296E"/>
    <w:rsid w:val="00E229F9"/>
    <w:rsid w:val="00E22AAE"/>
    <w:rsid w:val="00E22BC1"/>
    <w:rsid w:val="00E22C21"/>
    <w:rsid w:val="00E22CD5"/>
    <w:rsid w:val="00E22DBB"/>
    <w:rsid w:val="00E22F5B"/>
    <w:rsid w:val="00E22F8A"/>
    <w:rsid w:val="00E22FC4"/>
    <w:rsid w:val="00E22FF5"/>
    <w:rsid w:val="00E23027"/>
    <w:rsid w:val="00E230B6"/>
    <w:rsid w:val="00E2315E"/>
    <w:rsid w:val="00E233D1"/>
    <w:rsid w:val="00E2345F"/>
    <w:rsid w:val="00E2349B"/>
    <w:rsid w:val="00E2353A"/>
    <w:rsid w:val="00E2355E"/>
    <w:rsid w:val="00E235C7"/>
    <w:rsid w:val="00E23670"/>
    <w:rsid w:val="00E2372F"/>
    <w:rsid w:val="00E237F0"/>
    <w:rsid w:val="00E23858"/>
    <w:rsid w:val="00E238DE"/>
    <w:rsid w:val="00E2392E"/>
    <w:rsid w:val="00E23939"/>
    <w:rsid w:val="00E239CD"/>
    <w:rsid w:val="00E239F7"/>
    <w:rsid w:val="00E23A41"/>
    <w:rsid w:val="00E23B4F"/>
    <w:rsid w:val="00E23BCC"/>
    <w:rsid w:val="00E23C53"/>
    <w:rsid w:val="00E23C74"/>
    <w:rsid w:val="00E23CE9"/>
    <w:rsid w:val="00E23D0D"/>
    <w:rsid w:val="00E23D71"/>
    <w:rsid w:val="00E23E16"/>
    <w:rsid w:val="00E23F9B"/>
    <w:rsid w:val="00E23FAD"/>
    <w:rsid w:val="00E24094"/>
    <w:rsid w:val="00E241F8"/>
    <w:rsid w:val="00E2423D"/>
    <w:rsid w:val="00E2452B"/>
    <w:rsid w:val="00E245F3"/>
    <w:rsid w:val="00E2466A"/>
    <w:rsid w:val="00E24708"/>
    <w:rsid w:val="00E247A9"/>
    <w:rsid w:val="00E24870"/>
    <w:rsid w:val="00E24974"/>
    <w:rsid w:val="00E24B44"/>
    <w:rsid w:val="00E24B4F"/>
    <w:rsid w:val="00E24C10"/>
    <w:rsid w:val="00E24C4B"/>
    <w:rsid w:val="00E24C67"/>
    <w:rsid w:val="00E24CB0"/>
    <w:rsid w:val="00E24D0E"/>
    <w:rsid w:val="00E24D64"/>
    <w:rsid w:val="00E24D96"/>
    <w:rsid w:val="00E24E15"/>
    <w:rsid w:val="00E24E8F"/>
    <w:rsid w:val="00E24ED1"/>
    <w:rsid w:val="00E25017"/>
    <w:rsid w:val="00E251A9"/>
    <w:rsid w:val="00E25433"/>
    <w:rsid w:val="00E25472"/>
    <w:rsid w:val="00E25651"/>
    <w:rsid w:val="00E2571F"/>
    <w:rsid w:val="00E25765"/>
    <w:rsid w:val="00E257C0"/>
    <w:rsid w:val="00E25820"/>
    <w:rsid w:val="00E25882"/>
    <w:rsid w:val="00E258ED"/>
    <w:rsid w:val="00E259E6"/>
    <w:rsid w:val="00E25B04"/>
    <w:rsid w:val="00E25B2B"/>
    <w:rsid w:val="00E25B2E"/>
    <w:rsid w:val="00E25CEB"/>
    <w:rsid w:val="00E25D21"/>
    <w:rsid w:val="00E25D83"/>
    <w:rsid w:val="00E25D99"/>
    <w:rsid w:val="00E25F33"/>
    <w:rsid w:val="00E25F9F"/>
    <w:rsid w:val="00E25FF8"/>
    <w:rsid w:val="00E2600F"/>
    <w:rsid w:val="00E2604D"/>
    <w:rsid w:val="00E260A9"/>
    <w:rsid w:val="00E26121"/>
    <w:rsid w:val="00E2634A"/>
    <w:rsid w:val="00E263B9"/>
    <w:rsid w:val="00E26466"/>
    <w:rsid w:val="00E264BC"/>
    <w:rsid w:val="00E2650A"/>
    <w:rsid w:val="00E26560"/>
    <w:rsid w:val="00E2666C"/>
    <w:rsid w:val="00E2666E"/>
    <w:rsid w:val="00E266B3"/>
    <w:rsid w:val="00E26719"/>
    <w:rsid w:val="00E26777"/>
    <w:rsid w:val="00E267AC"/>
    <w:rsid w:val="00E26988"/>
    <w:rsid w:val="00E269EA"/>
    <w:rsid w:val="00E26A42"/>
    <w:rsid w:val="00E26A4A"/>
    <w:rsid w:val="00E26AA7"/>
    <w:rsid w:val="00E26AF7"/>
    <w:rsid w:val="00E26B85"/>
    <w:rsid w:val="00E26B92"/>
    <w:rsid w:val="00E26BE2"/>
    <w:rsid w:val="00E26C1D"/>
    <w:rsid w:val="00E26D54"/>
    <w:rsid w:val="00E26D79"/>
    <w:rsid w:val="00E26DF7"/>
    <w:rsid w:val="00E26EF0"/>
    <w:rsid w:val="00E26F02"/>
    <w:rsid w:val="00E26F0E"/>
    <w:rsid w:val="00E270E3"/>
    <w:rsid w:val="00E271F6"/>
    <w:rsid w:val="00E27255"/>
    <w:rsid w:val="00E2728E"/>
    <w:rsid w:val="00E2738E"/>
    <w:rsid w:val="00E274FA"/>
    <w:rsid w:val="00E27577"/>
    <w:rsid w:val="00E2760B"/>
    <w:rsid w:val="00E27680"/>
    <w:rsid w:val="00E2773C"/>
    <w:rsid w:val="00E277A8"/>
    <w:rsid w:val="00E279FE"/>
    <w:rsid w:val="00E27ABA"/>
    <w:rsid w:val="00E27ABC"/>
    <w:rsid w:val="00E27B22"/>
    <w:rsid w:val="00E27CFB"/>
    <w:rsid w:val="00E27CFE"/>
    <w:rsid w:val="00E27D12"/>
    <w:rsid w:val="00E27D5A"/>
    <w:rsid w:val="00E27D63"/>
    <w:rsid w:val="00E27F7C"/>
    <w:rsid w:val="00E27FBC"/>
    <w:rsid w:val="00E30068"/>
    <w:rsid w:val="00E300B9"/>
    <w:rsid w:val="00E300BC"/>
    <w:rsid w:val="00E3011E"/>
    <w:rsid w:val="00E301B5"/>
    <w:rsid w:val="00E301F5"/>
    <w:rsid w:val="00E3042F"/>
    <w:rsid w:val="00E3046D"/>
    <w:rsid w:val="00E30513"/>
    <w:rsid w:val="00E30588"/>
    <w:rsid w:val="00E305F3"/>
    <w:rsid w:val="00E30657"/>
    <w:rsid w:val="00E306FD"/>
    <w:rsid w:val="00E307FE"/>
    <w:rsid w:val="00E3085F"/>
    <w:rsid w:val="00E30A4F"/>
    <w:rsid w:val="00E30B06"/>
    <w:rsid w:val="00E30B7A"/>
    <w:rsid w:val="00E30BD3"/>
    <w:rsid w:val="00E30C1E"/>
    <w:rsid w:val="00E30D5B"/>
    <w:rsid w:val="00E30D83"/>
    <w:rsid w:val="00E30DB2"/>
    <w:rsid w:val="00E30E4A"/>
    <w:rsid w:val="00E30E71"/>
    <w:rsid w:val="00E30EDA"/>
    <w:rsid w:val="00E30F7B"/>
    <w:rsid w:val="00E30F7F"/>
    <w:rsid w:val="00E31040"/>
    <w:rsid w:val="00E31143"/>
    <w:rsid w:val="00E311C8"/>
    <w:rsid w:val="00E311F0"/>
    <w:rsid w:val="00E31202"/>
    <w:rsid w:val="00E3121B"/>
    <w:rsid w:val="00E31378"/>
    <w:rsid w:val="00E314B3"/>
    <w:rsid w:val="00E31694"/>
    <w:rsid w:val="00E316CD"/>
    <w:rsid w:val="00E3179B"/>
    <w:rsid w:val="00E317BF"/>
    <w:rsid w:val="00E31840"/>
    <w:rsid w:val="00E318F5"/>
    <w:rsid w:val="00E319C0"/>
    <w:rsid w:val="00E31A3E"/>
    <w:rsid w:val="00E31CB1"/>
    <w:rsid w:val="00E31DBB"/>
    <w:rsid w:val="00E31E8C"/>
    <w:rsid w:val="00E31EC0"/>
    <w:rsid w:val="00E32077"/>
    <w:rsid w:val="00E32136"/>
    <w:rsid w:val="00E3214C"/>
    <w:rsid w:val="00E324B5"/>
    <w:rsid w:val="00E324F5"/>
    <w:rsid w:val="00E3259B"/>
    <w:rsid w:val="00E3266E"/>
    <w:rsid w:val="00E3269D"/>
    <w:rsid w:val="00E326DE"/>
    <w:rsid w:val="00E32708"/>
    <w:rsid w:val="00E32725"/>
    <w:rsid w:val="00E328A0"/>
    <w:rsid w:val="00E329A8"/>
    <w:rsid w:val="00E32A07"/>
    <w:rsid w:val="00E32A43"/>
    <w:rsid w:val="00E32A8F"/>
    <w:rsid w:val="00E32BF0"/>
    <w:rsid w:val="00E32C6E"/>
    <w:rsid w:val="00E32CDA"/>
    <w:rsid w:val="00E32D17"/>
    <w:rsid w:val="00E32D1F"/>
    <w:rsid w:val="00E32D94"/>
    <w:rsid w:val="00E32DB1"/>
    <w:rsid w:val="00E32E4C"/>
    <w:rsid w:val="00E32E7A"/>
    <w:rsid w:val="00E32EDB"/>
    <w:rsid w:val="00E32F67"/>
    <w:rsid w:val="00E32FD5"/>
    <w:rsid w:val="00E3303F"/>
    <w:rsid w:val="00E330A7"/>
    <w:rsid w:val="00E331A7"/>
    <w:rsid w:val="00E331EE"/>
    <w:rsid w:val="00E332C6"/>
    <w:rsid w:val="00E33304"/>
    <w:rsid w:val="00E3332B"/>
    <w:rsid w:val="00E33330"/>
    <w:rsid w:val="00E33340"/>
    <w:rsid w:val="00E33412"/>
    <w:rsid w:val="00E3367A"/>
    <w:rsid w:val="00E3369F"/>
    <w:rsid w:val="00E336D2"/>
    <w:rsid w:val="00E336E0"/>
    <w:rsid w:val="00E337B7"/>
    <w:rsid w:val="00E337BC"/>
    <w:rsid w:val="00E33852"/>
    <w:rsid w:val="00E33998"/>
    <w:rsid w:val="00E33A2A"/>
    <w:rsid w:val="00E33B12"/>
    <w:rsid w:val="00E33B17"/>
    <w:rsid w:val="00E33BE8"/>
    <w:rsid w:val="00E33C38"/>
    <w:rsid w:val="00E33D79"/>
    <w:rsid w:val="00E33EB9"/>
    <w:rsid w:val="00E33F3C"/>
    <w:rsid w:val="00E33FB6"/>
    <w:rsid w:val="00E34021"/>
    <w:rsid w:val="00E34044"/>
    <w:rsid w:val="00E3406A"/>
    <w:rsid w:val="00E3407F"/>
    <w:rsid w:val="00E340FC"/>
    <w:rsid w:val="00E343C4"/>
    <w:rsid w:val="00E34406"/>
    <w:rsid w:val="00E34458"/>
    <w:rsid w:val="00E34548"/>
    <w:rsid w:val="00E345B9"/>
    <w:rsid w:val="00E347B5"/>
    <w:rsid w:val="00E34A26"/>
    <w:rsid w:val="00E34A41"/>
    <w:rsid w:val="00E34AF7"/>
    <w:rsid w:val="00E34CEC"/>
    <w:rsid w:val="00E34D42"/>
    <w:rsid w:val="00E34E49"/>
    <w:rsid w:val="00E34F88"/>
    <w:rsid w:val="00E34FB6"/>
    <w:rsid w:val="00E34FEE"/>
    <w:rsid w:val="00E34FF8"/>
    <w:rsid w:val="00E35007"/>
    <w:rsid w:val="00E35174"/>
    <w:rsid w:val="00E35196"/>
    <w:rsid w:val="00E35220"/>
    <w:rsid w:val="00E353A7"/>
    <w:rsid w:val="00E3549A"/>
    <w:rsid w:val="00E354F2"/>
    <w:rsid w:val="00E355B9"/>
    <w:rsid w:val="00E356B1"/>
    <w:rsid w:val="00E356F1"/>
    <w:rsid w:val="00E356F3"/>
    <w:rsid w:val="00E3577D"/>
    <w:rsid w:val="00E35853"/>
    <w:rsid w:val="00E3586E"/>
    <w:rsid w:val="00E35883"/>
    <w:rsid w:val="00E359BA"/>
    <w:rsid w:val="00E35A61"/>
    <w:rsid w:val="00E35AAE"/>
    <w:rsid w:val="00E35C73"/>
    <w:rsid w:val="00E35D39"/>
    <w:rsid w:val="00E35D41"/>
    <w:rsid w:val="00E35D8F"/>
    <w:rsid w:val="00E35F52"/>
    <w:rsid w:val="00E35F54"/>
    <w:rsid w:val="00E35F69"/>
    <w:rsid w:val="00E362E5"/>
    <w:rsid w:val="00E36324"/>
    <w:rsid w:val="00E36424"/>
    <w:rsid w:val="00E3644F"/>
    <w:rsid w:val="00E366E1"/>
    <w:rsid w:val="00E36747"/>
    <w:rsid w:val="00E3692E"/>
    <w:rsid w:val="00E36A90"/>
    <w:rsid w:val="00E36AEE"/>
    <w:rsid w:val="00E36B6C"/>
    <w:rsid w:val="00E36BC5"/>
    <w:rsid w:val="00E36BF5"/>
    <w:rsid w:val="00E36CDE"/>
    <w:rsid w:val="00E36D07"/>
    <w:rsid w:val="00E36DE0"/>
    <w:rsid w:val="00E36DE3"/>
    <w:rsid w:val="00E36F33"/>
    <w:rsid w:val="00E36FD7"/>
    <w:rsid w:val="00E3706E"/>
    <w:rsid w:val="00E371E4"/>
    <w:rsid w:val="00E3736C"/>
    <w:rsid w:val="00E37377"/>
    <w:rsid w:val="00E373F4"/>
    <w:rsid w:val="00E3747C"/>
    <w:rsid w:val="00E374CF"/>
    <w:rsid w:val="00E37585"/>
    <w:rsid w:val="00E375CC"/>
    <w:rsid w:val="00E375D8"/>
    <w:rsid w:val="00E3763F"/>
    <w:rsid w:val="00E37656"/>
    <w:rsid w:val="00E37746"/>
    <w:rsid w:val="00E3775B"/>
    <w:rsid w:val="00E37782"/>
    <w:rsid w:val="00E377A6"/>
    <w:rsid w:val="00E37810"/>
    <w:rsid w:val="00E379DB"/>
    <w:rsid w:val="00E37AB6"/>
    <w:rsid w:val="00E37ABB"/>
    <w:rsid w:val="00E37B47"/>
    <w:rsid w:val="00E37C0D"/>
    <w:rsid w:val="00E37C48"/>
    <w:rsid w:val="00E37D0F"/>
    <w:rsid w:val="00E37E6F"/>
    <w:rsid w:val="00E37F3F"/>
    <w:rsid w:val="00E37F48"/>
    <w:rsid w:val="00E37FB7"/>
    <w:rsid w:val="00E37FF5"/>
    <w:rsid w:val="00E40066"/>
    <w:rsid w:val="00E401F8"/>
    <w:rsid w:val="00E402B3"/>
    <w:rsid w:val="00E402EA"/>
    <w:rsid w:val="00E403BA"/>
    <w:rsid w:val="00E403F8"/>
    <w:rsid w:val="00E4040D"/>
    <w:rsid w:val="00E40498"/>
    <w:rsid w:val="00E404A5"/>
    <w:rsid w:val="00E405D8"/>
    <w:rsid w:val="00E405DB"/>
    <w:rsid w:val="00E406C9"/>
    <w:rsid w:val="00E40707"/>
    <w:rsid w:val="00E408E2"/>
    <w:rsid w:val="00E408E7"/>
    <w:rsid w:val="00E40A17"/>
    <w:rsid w:val="00E40A1D"/>
    <w:rsid w:val="00E40A31"/>
    <w:rsid w:val="00E40BE9"/>
    <w:rsid w:val="00E40CEA"/>
    <w:rsid w:val="00E40CFC"/>
    <w:rsid w:val="00E40D16"/>
    <w:rsid w:val="00E40D75"/>
    <w:rsid w:val="00E40E2A"/>
    <w:rsid w:val="00E4112C"/>
    <w:rsid w:val="00E41281"/>
    <w:rsid w:val="00E412F0"/>
    <w:rsid w:val="00E41303"/>
    <w:rsid w:val="00E41324"/>
    <w:rsid w:val="00E4138E"/>
    <w:rsid w:val="00E413FB"/>
    <w:rsid w:val="00E41477"/>
    <w:rsid w:val="00E414A9"/>
    <w:rsid w:val="00E41582"/>
    <w:rsid w:val="00E41836"/>
    <w:rsid w:val="00E4191C"/>
    <w:rsid w:val="00E41C4F"/>
    <w:rsid w:val="00E41C76"/>
    <w:rsid w:val="00E41D44"/>
    <w:rsid w:val="00E41D7C"/>
    <w:rsid w:val="00E41F0A"/>
    <w:rsid w:val="00E41F43"/>
    <w:rsid w:val="00E4204F"/>
    <w:rsid w:val="00E42070"/>
    <w:rsid w:val="00E420BC"/>
    <w:rsid w:val="00E42124"/>
    <w:rsid w:val="00E42134"/>
    <w:rsid w:val="00E4244E"/>
    <w:rsid w:val="00E424C2"/>
    <w:rsid w:val="00E42564"/>
    <w:rsid w:val="00E42572"/>
    <w:rsid w:val="00E4260B"/>
    <w:rsid w:val="00E4260C"/>
    <w:rsid w:val="00E4261E"/>
    <w:rsid w:val="00E42649"/>
    <w:rsid w:val="00E42774"/>
    <w:rsid w:val="00E427F8"/>
    <w:rsid w:val="00E4290C"/>
    <w:rsid w:val="00E42973"/>
    <w:rsid w:val="00E4298B"/>
    <w:rsid w:val="00E42C58"/>
    <w:rsid w:val="00E42C93"/>
    <w:rsid w:val="00E42D2A"/>
    <w:rsid w:val="00E42DAE"/>
    <w:rsid w:val="00E42EE1"/>
    <w:rsid w:val="00E42FA0"/>
    <w:rsid w:val="00E42FB6"/>
    <w:rsid w:val="00E43024"/>
    <w:rsid w:val="00E43036"/>
    <w:rsid w:val="00E430CF"/>
    <w:rsid w:val="00E43116"/>
    <w:rsid w:val="00E431E0"/>
    <w:rsid w:val="00E432EB"/>
    <w:rsid w:val="00E435FE"/>
    <w:rsid w:val="00E4360A"/>
    <w:rsid w:val="00E4374D"/>
    <w:rsid w:val="00E43823"/>
    <w:rsid w:val="00E43946"/>
    <w:rsid w:val="00E4394F"/>
    <w:rsid w:val="00E43967"/>
    <w:rsid w:val="00E43972"/>
    <w:rsid w:val="00E439FA"/>
    <w:rsid w:val="00E43A01"/>
    <w:rsid w:val="00E43AAC"/>
    <w:rsid w:val="00E43BD8"/>
    <w:rsid w:val="00E43C04"/>
    <w:rsid w:val="00E43C83"/>
    <w:rsid w:val="00E43D4D"/>
    <w:rsid w:val="00E43D8D"/>
    <w:rsid w:val="00E43EEF"/>
    <w:rsid w:val="00E43F6A"/>
    <w:rsid w:val="00E44005"/>
    <w:rsid w:val="00E44079"/>
    <w:rsid w:val="00E440AF"/>
    <w:rsid w:val="00E44110"/>
    <w:rsid w:val="00E441B6"/>
    <w:rsid w:val="00E441E1"/>
    <w:rsid w:val="00E44225"/>
    <w:rsid w:val="00E442F5"/>
    <w:rsid w:val="00E442F9"/>
    <w:rsid w:val="00E4440C"/>
    <w:rsid w:val="00E4448B"/>
    <w:rsid w:val="00E444BD"/>
    <w:rsid w:val="00E444C4"/>
    <w:rsid w:val="00E4457E"/>
    <w:rsid w:val="00E446AA"/>
    <w:rsid w:val="00E446F8"/>
    <w:rsid w:val="00E44760"/>
    <w:rsid w:val="00E4478A"/>
    <w:rsid w:val="00E44848"/>
    <w:rsid w:val="00E448FB"/>
    <w:rsid w:val="00E4493F"/>
    <w:rsid w:val="00E449AD"/>
    <w:rsid w:val="00E449C4"/>
    <w:rsid w:val="00E44A4B"/>
    <w:rsid w:val="00E44BFE"/>
    <w:rsid w:val="00E44C30"/>
    <w:rsid w:val="00E44C54"/>
    <w:rsid w:val="00E44DC2"/>
    <w:rsid w:val="00E44DDD"/>
    <w:rsid w:val="00E44E66"/>
    <w:rsid w:val="00E44F9E"/>
    <w:rsid w:val="00E44FC6"/>
    <w:rsid w:val="00E44FCA"/>
    <w:rsid w:val="00E45254"/>
    <w:rsid w:val="00E4525A"/>
    <w:rsid w:val="00E452CF"/>
    <w:rsid w:val="00E4530C"/>
    <w:rsid w:val="00E4535F"/>
    <w:rsid w:val="00E45398"/>
    <w:rsid w:val="00E45467"/>
    <w:rsid w:val="00E454B1"/>
    <w:rsid w:val="00E45568"/>
    <w:rsid w:val="00E4559E"/>
    <w:rsid w:val="00E4571E"/>
    <w:rsid w:val="00E45783"/>
    <w:rsid w:val="00E4589F"/>
    <w:rsid w:val="00E45967"/>
    <w:rsid w:val="00E459D3"/>
    <w:rsid w:val="00E45C8A"/>
    <w:rsid w:val="00E45CE8"/>
    <w:rsid w:val="00E45D01"/>
    <w:rsid w:val="00E45D4F"/>
    <w:rsid w:val="00E45D5F"/>
    <w:rsid w:val="00E45D7F"/>
    <w:rsid w:val="00E45DF3"/>
    <w:rsid w:val="00E45E51"/>
    <w:rsid w:val="00E46030"/>
    <w:rsid w:val="00E46072"/>
    <w:rsid w:val="00E461B6"/>
    <w:rsid w:val="00E46265"/>
    <w:rsid w:val="00E46334"/>
    <w:rsid w:val="00E463B5"/>
    <w:rsid w:val="00E463BC"/>
    <w:rsid w:val="00E464F0"/>
    <w:rsid w:val="00E4652C"/>
    <w:rsid w:val="00E4662C"/>
    <w:rsid w:val="00E46763"/>
    <w:rsid w:val="00E4688C"/>
    <w:rsid w:val="00E4691B"/>
    <w:rsid w:val="00E469A5"/>
    <w:rsid w:val="00E46A79"/>
    <w:rsid w:val="00E46AFF"/>
    <w:rsid w:val="00E46B9B"/>
    <w:rsid w:val="00E46C47"/>
    <w:rsid w:val="00E46D20"/>
    <w:rsid w:val="00E46DA8"/>
    <w:rsid w:val="00E46E97"/>
    <w:rsid w:val="00E46F21"/>
    <w:rsid w:val="00E4703F"/>
    <w:rsid w:val="00E4704D"/>
    <w:rsid w:val="00E4718E"/>
    <w:rsid w:val="00E47217"/>
    <w:rsid w:val="00E47229"/>
    <w:rsid w:val="00E47322"/>
    <w:rsid w:val="00E473BA"/>
    <w:rsid w:val="00E473D9"/>
    <w:rsid w:val="00E4745C"/>
    <w:rsid w:val="00E47485"/>
    <w:rsid w:val="00E474E2"/>
    <w:rsid w:val="00E4762D"/>
    <w:rsid w:val="00E476DD"/>
    <w:rsid w:val="00E476DE"/>
    <w:rsid w:val="00E477CE"/>
    <w:rsid w:val="00E4782A"/>
    <w:rsid w:val="00E478AF"/>
    <w:rsid w:val="00E479F1"/>
    <w:rsid w:val="00E47A01"/>
    <w:rsid w:val="00E47A11"/>
    <w:rsid w:val="00E47A58"/>
    <w:rsid w:val="00E47ADB"/>
    <w:rsid w:val="00E47B8C"/>
    <w:rsid w:val="00E47BE3"/>
    <w:rsid w:val="00E47BF8"/>
    <w:rsid w:val="00E47C7B"/>
    <w:rsid w:val="00E47DE4"/>
    <w:rsid w:val="00E47E19"/>
    <w:rsid w:val="00E47E63"/>
    <w:rsid w:val="00E47ED3"/>
    <w:rsid w:val="00E50067"/>
    <w:rsid w:val="00E50073"/>
    <w:rsid w:val="00E500CC"/>
    <w:rsid w:val="00E5018C"/>
    <w:rsid w:val="00E501A6"/>
    <w:rsid w:val="00E501F0"/>
    <w:rsid w:val="00E502EB"/>
    <w:rsid w:val="00E5039A"/>
    <w:rsid w:val="00E50448"/>
    <w:rsid w:val="00E50535"/>
    <w:rsid w:val="00E50575"/>
    <w:rsid w:val="00E50639"/>
    <w:rsid w:val="00E50842"/>
    <w:rsid w:val="00E50904"/>
    <w:rsid w:val="00E50914"/>
    <w:rsid w:val="00E509B6"/>
    <w:rsid w:val="00E50A03"/>
    <w:rsid w:val="00E50A0D"/>
    <w:rsid w:val="00E50A64"/>
    <w:rsid w:val="00E50C20"/>
    <w:rsid w:val="00E50C95"/>
    <w:rsid w:val="00E50C9B"/>
    <w:rsid w:val="00E50CBF"/>
    <w:rsid w:val="00E50D40"/>
    <w:rsid w:val="00E50E3C"/>
    <w:rsid w:val="00E50EE0"/>
    <w:rsid w:val="00E50F6B"/>
    <w:rsid w:val="00E50FF5"/>
    <w:rsid w:val="00E511C8"/>
    <w:rsid w:val="00E511D6"/>
    <w:rsid w:val="00E51222"/>
    <w:rsid w:val="00E512EB"/>
    <w:rsid w:val="00E5138A"/>
    <w:rsid w:val="00E513B3"/>
    <w:rsid w:val="00E513FD"/>
    <w:rsid w:val="00E514D7"/>
    <w:rsid w:val="00E515ED"/>
    <w:rsid w:val="00E51620"/>
    <w:rsid w:val="00E5168A"/>
    <w:rsid w:val="00E51727"/>
    <w:rsid w:val="00E5181D"/>
    <w:rsid w:val="00E51860"/>
    <w:rsid w:val="00E5187B"/>
    <w:rsid w:val="00E518DE"/>
    <w:rsid w:val="00E519D9"/>
    <w:rsid w:val="00E51B40"/>
    <w:rsid w:val="00E51BA9"/>
    <w:rsid w:val="00E51C0B"/>
    <w:rsid w:val="00E51C31"/>
    <w:rsid w:val="00E51CF6"/>
    <w:rsid w:val="00E51D81"/>
    <w:rsid w:val="00E51DBA"/>
    <w:rsid w:val="00E51F79"/>
    <w:rsid w:val="00E52189"/>
    <w:rsid w:val="00E52225"/>
    <w:rsid w:val="00E523A5"/>
    <w:rsid w:val="00E52709"/>
    <w:rsid w:val="00E52751"/>
    <w:rsid w:val="00E527A8"/>
    <w:rsid w:val="00E527B0"/>
    <w:rsid w:val="00E527F0"/>
    <w:rsid w:val="00E52B9B"/>
    <w:rsid w:val="00E52D20"/>
    <w:rsid w:val="00E52E24"/>
    <w:rsid w:val="00E52E4F"/>
    <w:rsid w:val="00E52ED4"/>
    <w:rsid w:val="00E52FD2"/>
    <w:rsid w:val="00E5300B"/>
    <w:rsid w:val="00E53077"/>
    <w:rsid w:val="00E53107"/>
    <w:rsid w:val="00E53165"/>
    <w:rsid w:val="00E5319F"/>
    <w:rsid w:val="00E53213"/>
    <w:rsid w:val="00E5330A"/>
    <w:rsid w:val="00E533C8"/>
    <w:rsid w:val="00E5342D"/>
    <w:rsid w:val="00E535D5"/>
    <w:rsid w:val="00E535F9"/>
    <w:rsid w:val="00E53688"/>
    <w:rsid w:val="00E53757"/>
    <w:rsid w:val="00E53776"/>
    <w:rsid w:val="00E53814"/>
    <w:rsid w:val="00E5384E"/>
    <w:rsid w:val="00E538B9"/>
    <w:rsid w:val="00E539C7"/>
    <w:rsid w:val="00E53B4A"/>
    <w:rsid w:val="00E53D42"/>
    <w:rsid w:val="00E53D46"/>
    <w:rsid w:val="00E53D7C"/>
    <w:rsid w:val="00E53EBA"/>
    <w:rsid w:val="00E53ED3"/>
    <w:rsid w:val="00E53F3D"/>
    <w:rsid w:val="00E53FCF"/>
    <w:rsid w:val="00E54003"/>
    <w:rsid w:val="00E54318"/>
    <w:rsid w:val="00E5433D"/>
    <w:rsid w:val="00E54456"/>
    <w:rsid w:val="00E54461"/>
    <w:rsid w:val="00E54506"/>
    <w:rsid w:val="00E545F0"/>
    <w:rsid w:val="00E5460A"/>
    <w:rsid w:val="00E5460E"/>
    <w:rsid w:val="00E54613"/>
    <w:rsid w:val="00E54625"/>
    <w:rsid w:val="00E54644"/>
    <w:rsid w:val="00E54699"/>
    <w:rsid w:val="00E5473D"/>
    <w:rsid w:val="00E54787"/>
    <w:rsid w:val="00E5486D"/>
    <w:rsid w:val="00E5495B"/>
    <w:rsid w:val="00E54A58"/>
    <w:rsid w:val="00E54A60"/>
    <w:rsid w:val="00E54A75"/>
    <w:rsid w:val="00E54BAF"/>
    <w:rsid w:val="00E54BED"/>
    <w:rsid w:val="00E54C1D"/>
    <w:rsid w:val="00E54C39"/>
    <w:rsid w:val="00E54D7F"/>
    <w:rsid w:val="00E54D9F"/>
    <w:rsid w:val="00E54E80"/>
    <w:rsid w:val="00E54EDC"/>
    <w:rsid w:val="00E54F50"/>
    <w:rsid w:val="00E55001"/>
    <w:rsid w:val="00E55060"/>
    <w:rsid w:val="00E551D5"/>
    <w:rsid w:val="00E552DE"/>
    <w:rsid w:val="00E5533E"/>
    <w:rsid w:val="00E55384"/>
    <w:rsid w:val="00E553FF"/>
    <w:rsid w:val="00E555FC"/>
    <w:rsid w:val="00E556D8"/>
    <w:rsid w:val="00E556DE"/>
    <w:rsid w:val="00E557F5"/>
    <w:rsid w:val="00E558CB"/>
    <w:rsid w:val="00E55906"/>
    <w:rsid w:val="00E5592A"/>
    <w:rsid w:val="00E5592B"/>
    <w:rsid w:val="00E55A18"/>
    <w:rsid w:val="00E55A59"/>
    <w:rsid w:val="00E55A5D"/>
    <w:rsid w:val="00E55AC6"/>
    <w:rsid w:val="00E55B49"/>
    <w:rsid w:val="00E55F52"/>
    <w:rsid w:val="00E55F6C"/>
    <w:rsid w:val="00E55FA7"/>
    <w:rsid w:val="00E56057"/>
    <w:rsid w:val="00E56118"/>
    <w:rsid w:val="00E562F3"/>
    <w:rsid w:val="00E564F6"/>
    <w:rsid w:val="00E565EF"/>
    <w:rsid w:val="00E566AC"/>
    <w:rsid w:val="00E5675D"/>
    <w:rsid w:val="00E567AC"/>
    <w:rsid w:val="00E567E8"/>
    <w:rsid w:val="00E568EA"/>
    <w:rsid w:val="00E5690A"/>
    <w:rsid w:val="00E56AA0"/>
    <w:rsid w:val="00E56ABD"/>
    <w:rsid w:val="00E56ACF"/>
    <w:rsid w:val="00E56B10"/>
    <w:rsid w:val="00E56D90"/>
    <w:rsid w:val="00E56DE2"/>
    <w:rsid w:val="00E56E11"/>
    <w:rsid w:val="00E56E46"/>
    <w:rsid w:val="00E56E7F"/>
    <w:rsid w:val="00E56EE6"/>
    <w:rsid w:val="00E56F41"/>
    <w:rsid w:val="00E5711B"/>
    <w:rsid w:val="00E5715D"/>
    <w:rsid w:val="00E5719F"/>
    <w:rsid w:val="00E571F3"/>
    <w:rsid w:val="00E572A0"/>
    <w:rsid w:val="00E572C1"/>
    <w:rsid w:val="00E57305"/>
    <w:rsid w:val="00E57370"/>
    <w:rsid w:val="00E573D0"/>
    <w:rsid w:val="00E573D1"/>
    <w:rsid w:val="00E5785F"/>
    <w:rsid w:val="00E5787F"/>
    <w:rsid w:val="00E57994"/>
    <w:rsid w:val="00E579D2"/>
    <w:rsid w:val="00E579D3"/>
    <w:rsid w:val="00E57A4A"/>
    <w:rsid w:val="00E57B49"/>
    <w:rsid w:val="00E57B5C"/>
    <w:rsid w:val="00E57B5D"/>
    <w:rsid w:val="00E57B84"/>
    <w:rsid w:val="00E57C04"/>
    <w:rsid w:val="00E57C6B"/>
    <w:rsid w:val="00E57D17"/>
    <w:rsid w:val="00E57D49"/>
    <w:rsid w:val="00E57D4F"/>
    <w:rsid w:val="00E57D73"/>
    <w:rsid w:val="00E57FE3"/>
    <w:rsid w:val="00E60163"/>
    <w:rsid w:val="00E601AC"/>
    <w:rsid w:val="00E601D7"/>
    <w:rsid w:val="00E601D9"/>
    <w:rsid w:val="00E60353"/>
    <w:rsid w:val="00E604AB"/>
    <w:rsid w:val="00E604B9"/>
    <w:rsid w:val="00E6054D"/>
    <w:rsid w:val="00E60615"/>
    <w:rsid w:val="00E6062D"/>
    <w:rsid w:val="00E606A4"/>
    <w:rsid w:val="00E6079B"/>
    <w:rsid w:val="00E60832"/>
    <w:rsid w:val="00E6083A"/>
    <w:rsid w:val="00E60857"/>
    <w:rsid w:val="00E60926"/>
    <w:rsid w:val="00E60974"/>
    <w:rsid w:val="00E609E1"/>
    <w:rsid w:val="00E60A19"/>
    <w:rsid w:val="00E60B05"/>
    <w:rsid w:val="00E60B84"/>
    <w:rsid w:val="00E60BAF"/>
    <w:rsid w:val="00E60C9B"/>
    <w:rsid w:val="00E60D37"/>
    <w:rsid w:val="00E60D65"/>
    <w:rsid w:val="00E60D86"/>
    <w:rsid w:val="00E60E12"/>
    <w:rsid w:val="00E60E55"/>
    <w:rsid w:val="00E60E8B"/>
    <w:rsid w:val="00E60FB5"/>
    <w:rsid w:val="00E60FDB"/>
    <w:rsid w:val="00E61050"/>
    <w:rsid w:val="00E61159"/>
    <w:rsid w:val="00E61307"/>
    <w:rsid w:val="00E6133A"/>
    <w:rsid w:val="00E61362"/>
    <w:rsid w:val="00E613AA"/>
    <w:rsid w:val="00E61440"/>
    <w:rsid w:val="00E6152C"/>
    <w:rsid w:val="00E616A6"/>
    <w:rsid w:val="00E616D9"/>
    <w:rsid w:val="00E617AC"/>
    <w:rsid w:val="00E617D2"/>
    <w:rsid w:val="00E6191C"/>
    <w:rsid w:val="00E61AD9"/>
    <w:rsid w:val="00E61B11"/>
    <w:rsid w:val="00E61B13"/>
    <w:rsid w:val="00E61BCB"/>
    <w:rsid w:val="00E61BDF"/>
    <w:rsid w:val="00E61C7E"/>
    <w:rsid w:val="00E61D63"/>
    <w:rsid w:val="00E61E41"/>
    <w:rsid w:val="00E61F0E"/>
    <w:rsid w:val="00E61FA0"/>
    <w:rsid w:val="00E61FF9"/>
    <w:rsid w:val="00E62044"/>
    <w:rsid w:val="00E62126"/>
    <w:rsid w:val="00E62215"/>
    <w:rsid w:val="00E622A2"/>
    <w:rsid w:val="00E623AE"/>
    <w:rsid w:val="00E62444"/>
    <w:rsid w:val="00E62470"/>
    <w:rsid w:val="00E624FD"/>
    <w:rsid w:val="00E62568"/>
    <w:rsid w:val="00E6257E"/>
    <w:rsid w:val="00E625EF"/>
    <w:rsid w:val="00E62614"/>
    <w:rsid w:val="00E6263A"/>
    <w:rsid w:val="00E629A7"/>
    <w:rsid w:val="00E62B44"/>
    <w:rsid w:val="00E62BF2"/>
    <w:rsid w:val="00E62C2E"/>
    <w:rsid w:val="00E62C5C"/>
    <w:rsid w:val="00E62C6D"/>
    <w:rsid w:val="00E62D0F"/>
    <w:rsid w:val="00E62D9A"/>
    <w:rsid w:val="00E62DCE"/>
    <w:rsid w:val="00E62EDC"/>
    <w:rsid w:val="00E62EF0"/>
    <w:rsid w:val="00E62F1D"/>
    <w:rsid w:val="00E62F59"/>
    <w:rsid w:val="00E6301D"/>
    <w:rsid w:val="00E63029"/>
    <w:rsid w:val="00E63120"/>
    <w:rsid w:val="00E633BD"/>
    <w:rsid w:val="00E63419"/>
    <w:rsid w:val="00E635B3"/>
    <w:rsid w:val="00E637F3"/>
    <w:rsid w:val="00E637F8"/>
    <w:rsid w:val="00E63890"/>
    <w:rsid w:val="00E638BA"/>
    <w:rsid w:val="00E6392E"/>
    <w:rsid w:val="00E63A80"/>
    <w:rsid w:val="00E63AB1"/>
    <w:rsid w:val="00E63BBF"/>
    <w:rsid w:val="00E63C54"/>
    <w:rsid w:val="00E63C81"/>
    <w:rsid w:val="00E63E55"/>
    <w:rsid w:val="00E63F06"/>
    <w:rsid w:val="00E63F5C"/>
    <w:rsid w:val="00E63F90"/>
    <w:rsid w:val="00E640D3"/>
    <w:rsid w:val="00E641DE"/>
    <w:rsid w:val="00E64264"/>
    <w:rsid w:val="00E642C1"/>
    <w:rsid w:val="00E6446D"/>
    <w:rsid w:val="00E6453C"/>
    <w:rsid w:val="00E645C1"/>
    <w:rsid w:val="00E64663"/>
    <w:rsid w:val="00E64744"/>
    <w:rsid w:val="00E64750"/>
    <w:rsid w:val="00E64880"/>
    <w:rsid w:val="00E6492A"/>
    <w:rsid w:val="00E64A12"/>
    <w:rsid w:val="00E64A20"/>
    <w:rsid w:val="00E64D76"/>
    <w:rsid w:val="00E64F71"/>
    <w:rsid w:val="00E64FCF"/>
    <w:rsid w:val="00E6502B"/>
    <w:rsid w:val="00E651DD"/>
    <w:rsid w:val="00E651E4"/>
    <w:rsid w:val="00E6520F"/>
    <w:rsid w:val="00E65392"/>
    <w:rsid w:val="00E6543E"/>
    <w:rsid w:val="00E6546F"/>
    <w:rsid w:val="00E654BF"/>
    <w:rsid w:val="00E6550F"/>
    <w:rsid w:val="00E6556E"/>
    <w:rsid w:val="00E65589"/>
    <w:rsid w:val="00E655F3"/>
    <w:rsid w:val="00E6560A"/>
    <w:rsid w:val="00E656CB"/>
    <w:rsid w:val="00E65853"/>
    <w:rsid w:val="00E6587D"/>
    <w:rsid w:val="00E65921"/>
    <w:rsid w:val="00E65BB1"/>
    <w:rsid w:val="00E65BCB"/>
    <w:rsid w:val="00E65BF8"/>
    <w:rsid w:val="00E65C30"/>
    <w:rsid w:val="00E65CAB"/>
    <w:rsid w:val="00E65CB4"/>
    <w:rsid w:val="00E65CBA"/>
    <w:rsid w:val="00E65DFF"/>
    <w:rsid w:val="00E65EA8"/>
    <w:rsid w:val="00E65ECF"/>
    <w:rsid w:val="00E65F5C"/>
    <w:rsid w:val="00E65FA5"/>
    <w:rsid w:val="00E660E7"/>
    <w:rsid w:val="00E66253"/>
    <w:rsid w:val="00E662B3"/>
    <w:rsid w:val="00E663D6"/>
    <w:rsid w:val="00E66400"/>
    <w:rsid w:val="00E66439"/>
    <w:rsid w:val="00E66444"/>
    <w:rsid w:val="00E6645D"/>
    <w:rsid w:val="00E66511"/>
    <w:rsid w:val="00E666F1"/>
    <w:rsid w:val="00E66907"/>
    <w:rsid w:val="00E6690F"/>
    <w:rsid w:val="00E6696D"/>
    <w:rsid w:val="00E669C9"/>
    <w:rsid w:val="00E669CD"/>
    <w:rsid w:val="00E66A65"/>
    <w:rsid w:val="00E66A6D"/>
    <w:rsid w:val="00E66A6E"/>
    <w:rsid w:val="00E66A79"/>
    <w:rsid w:val="00E66B32"/>
    <w:rsid w:val="00E66BCA"/>
    <w:rsid w:val="00E66BEB"/>
    <w:rsid w:val="00E66C20"/>
    <w:rsid w:val="00E66CD4"/>
    <w:rsid w:val="00E66D76"/>
    <w:rsid w:val="00E66E44"/>
    <w:rsid w:val="00E66F07"/>
    <w:rsid w:val="00E66F7B"/>
    <w:rsid w:val="00E66FEB"/>
    <w:rsid w:val="00E67014"/>
    <w:rsid w:val="00E670FC"/>
    <w:rsid w:val="00E6725A"/>
    <w:rsid w:val="00E672BE"/>
    <w:rsid w:val="00E67334"/>
    <w:rsid w:val="00E673CE"/>
    <w:rsid w:val="00E67459"/>
    <w:rsid w:val="00E67502"/>
    <w:rsid w:val="00E675B9"/>
    <w:rsid w:val="00E67633"/>
    <w:rsid w:val="00E67676"/>
    <w:rsid w:val="00E676A9"/>
    <w:rsid w:val="00E6788D"/>
    <w:rsid w:val="00E678E7"/>
    <w:rsid w:val="00E6791A"/>
    <w:rsid w:val="00E6791B"/>
    <w:rsid w:val="00E6792B"/>
    <w:rsid w:val="00E67A9C"/>
    <w:rsid w:val="00E67AAC"/>
    <w:rsid w:val="00E67AD9"/>
    <w:rsid w:val="00E67AF4"/>
    <w:rsid w:val="00E67BBE"/>
    <w:rsid w:val="00E67BC5"/>
    <w:rsid w:val="00E67BD7"/>
    <w:rsid w:val="00E67D1A"/>
    <w:rsid w:val="00E67E1C"/>
    <w:rsid w:val="00E67E5F"/>
    <w:rsid w:val="00E67EA2"/>
    <w:rsid w:val="00E67EC3"/>
    <w:rsid w:val="00E67FEC"/>
    <w:rsid w:val="00E67FFC"/>
    <w:rsid w:val="00E70132"/>
    <w:rsid w:val="00E701AE"/>
    <w:rsid w:val="00E7022C"/>
    <w:rsid w:val="00E702CE"/>
    <w:rsid w:val="00E70493"/>
    <w:rsid w:val="00E70573"/>
    <w:rsid w:val="00E70597"/>
    <w:rsid w:val="00E705A1"/>
    <w:rsid w:val="00E70610"/>
    <w:rsid w:val="00E706E9"/>
    <w:rsid w:val="00E70755"/>
    <w:rsid w:val="00E70969"/>
    <w:rsid w:val="00E70B19"/>
    <w:rsid w:val="00E70BB7"/>
    <w:rsid w:val="00E70C41"/>
    <w:rsid w:val="00E70D8C"/>
    <w:rsid w:val="00E70EF3"/>
    <w:rsid w:val="00E70F67"/>
    <w:rsid w:val="00E70F98"/>
    <w:rsid w:val="00E70FAD"/>
    <w:rsid w:val="00E70FBD"/>
    <w:rsid w:val="00E70FDA"/>
    <w:rsid w:val="00E70FEF"/>
    <w:rsid w:val="00E710EE"/>
    <w:rsid w:val="00E7118C"/>
    <w:rsid w:val="00E711ED"/>
    <w:rsid w:val="00E71249"/>
    <w:rsid w:val="00E71281"/>
    <w:rsid w:val="00E712CA"/>
    <w:rsid w:val="00E71348"/>
    <w:rsid w:val="00E71400"/>
    <w:rsid w:val="00E7142B"/>
    <w:rsid w:val="00E7147E"/>
    <w:rsid w:val="00E714B5"/>
    <w:rsid w:val="00E71581"/>
    <w:rsid w:val="00E716EF"/>
    <w:rsid w:val="00E71809"/>
    <w:rsid w:val="00E7183E"/>
    <w:rsid w:val="00E71895"/>
    <w:rsid w:val="00E71931"/>
    <w:rsid w:val="00E71956"/>
    <w:rsid w:val="00E7195E"/>
    <w:rsid w:val="00E719C4"/>
    <w:rsid w:val="00E71AB3"/>
    <w:rsid w:val="00E71B04"/>
    <w:rsid w:val="00E71B0E"/>
    <w:rsid w:val="00E71B4E"/>
    <w:rsid w:val="00E71B53"/>
    <w:rsid w:val="00E71CAC"/>
    <w:rsid w:val="00E71D2A"/>
    <w:rsid w:val="00E71E0D"/>
    <w:rsid w:val="00E71F4C"/>
    <w:rsid w:val="00E71F97"/>
    <w:rsid w:val="00E72051"/>
    <w:rsid w:val="00E72062"/>
    <w:rsid w:val="00E72096"/>
    <w:rsid w:val="00E72172"/>
    <w:rsid w:val="00E721F7"/>
    <w:rsid w:val="00E7221B"/>
    <w:rsid w:val="00E7235F"/>
    <w:rsid w:val="00E72403"/>
    <w:rsid w:val="00E72422"/>
    <w:rsid w:val="00E725CA"/>
    <w:rsid w:val="00E72643"/>
    <w:rsid w:val="00E72678"/>
    <w:rsid w:val="00E72686"/>
    <w:rsid w:val="00E7268B"/>
    <w:rsid w:val="00E72708"/>
    <w:rsid w:val="00E7272F"/>
    <w:rsid w:val="00E7277B"/>
    <w:rsid w:val="00E727D9"/>
    <w:rsid w:val="00E72A33"/>
    <w:rsid w:val="00E72CBF"/>
    <w:rsid w:val="00E72CEB"/>
    <w:rsid w:val="00E72CF3"/>
    <w:rsid w:val="00E72D8C"/>
    <w:rsid w:val="00E72DF0"/>
    <w:rsid w:val="00E72E06"/>
    <w:rsid w:val="00E72E44"/>
    <w:rsid w:val="00E72EEB"/>
    <w:rsid w:val="00E72EF0"/>
    <w:rsid w:val="00E72FE1"/>
    <w:rsid w:val="00E73014"/>
    <w:rsid w:val="00E7302F"/>
    <w:rsid w:val="00E730A6"/>
    <w:rsid w:val="00E730B4"/>
    <w:rsid w:val="00E731ED"/>
    <w:rsid w:val="00E73337"/>
    <w:rsid w:val="00E733E1"/>
    <w:rsid w:val="00E73410"/>
    <w:rsid w:val="00E734AB"/>
    <w:rsid w:val="00E73503"/>
    <w:rsid w:val="00E7359A"/>
    <w:rsid w:val="00E736EE"/>
    <w:rsid w:val="00E73742"/>
    <w:rsid w:val="00E73745"/>
    <w:rsid w:val="00E73749"/>
    <w:rsid w:val="00E7379E"/>
    <w:rsid w:val="00E737C9"/>
    <w:rsid w:val="00E73A81"/>
    <w:rsid w:val="00E73A93"/>
    <w:rsid w:val="00E73B98"/>
    <w:rsid w:val="00E73C27"/>
    <w:rsid w:val="00E73CB2"/>
    <w:rsid w:val="00E73FC8"/>
    <w:rsid w:val="00E7404B"/>
    <w:rsid w:val="00E74067"/>
    <w:rsid w:val="00E74080"/>
    <w:rsid w:val="00E7409F"/>
    <w:rsid w:val="00E740B4"/>
    <w:rsid w:val="00E74163"/>
    <w:rsid w:val="00E7419B"/>
    <w:rsid w:val="00E7423C"/>
    <w:rsid w:val="00E7425C"/>
    <w:rsid w:val="00E74340"/>
    <w:rsid w:val="00E7442F"/>
    <w:rsid w:val="00E74652"/>
    <w:rsid w:val="00E747CF"/>
    <w:rsid w:val="00E74870"/>
    <w:rsid w:val="00E74922"/>
    <w:rsid w:val="00E74944"/>
    <w:rsid w:val="00E7497F"/>
    <w:rsid w:val="00E74A7A"/>
    <w:rsid w:val="00E74AB5"/>
    <w:rsid w:val="00E74C0E"/>
    <w:rsid w:val="00E74D67"/>
    <w:rsid w:val="00E74D8C"/>
    <w:rsid w:val="00E74D94"/>
    <w:rsid w:val="00E74DB9"/>
    <w:rsid w:val="00E75017"/>
    <w:rsid w:val="00E75040"/>
    <w:rsid w:val="00E750BB"/>
    <w:rsid w:val="00E75220"/>
    <w:rsid w:val="00E7528D"/>
    <w:rsid w:val="00E75499"/>
    <w:rsid w:val="00E755B2"/>
    <w:rsid w:val="00E75648"/>
    <w:rsid w:val="00E756C1"/>
    <w:rsid w:val="00E757D8"/>
    <w:rsid w:val="00E758B2"/>
    <w:rsid w:val="00E75943"/>
    <w:rsid w:val="00E75950"/>
    <w:rsid w:val="00E759B1"/>
    <w:rsid w:val="00E75BD6"/>
    <w:rsid w:val="00E75D2A"/>
    <w:rsid w:val="00E75E9D"/>
    <w:rsid w:val="00E76043"/>
    <w:rsid w:val="00E761DC"/>
    <w:rsid w:val="00E76215"/>
    <w:rsid w:val="00E763A4"/>
    <w:rsid w:val="00E76469"/>
    <w:rsid w:val="00E764D7"/>
    <w:rsid w:val="00E7663F"/>
    <w:rsid w:val="00E76695"/>
    <w:rsid w:val="00E76709"/>
    <w:rsid w:val="00E7681C"/>
    <w:rsid w:val="00E76832"/>
    <w:rsid w:val="00E7696C"/>
    <w:rsid w:val="00E76A33"/>
    <w:rsid w:val="00E76A5D"/>
    <w:rsid w:val="00E76AA7"/>
    <w:rsid w:val="00E76B07"/>
    <w:rsid w:val="00E76BF3"/>
    <w:rsid w:val="00E76C4F"/>
    <w:rsid w:val="00E76DF2"/>
    <w:rsid w:val="00E76F6B"/>
    <w:rsid w:val="00E770DB"/>
    <w:rsid w:val="00E7712D"/>
    <w:rsid w:val="00E7716E"/>
    <w:rsid w:val="00E7718E"/>
    <w:rsid w:val="00E772CE"/>
    <w:rsid w:val="00E77355"/>
    <w:rsid w:val="00E7737A"/>
    <w:rsid w:val="00E7742B"/>
    <w:rsid w:val="00E77518"/>
    <w:rsid w:val="00E776CE"/>
    <w:rsid w:val="00E7771A"/>
    <w:rsid w:val="00E77773"/>
    <w:rsid w:val="00E7781D"/>
    <w:rsid w:val="00E778A9"/>
    <w:rsid w:val="00E778E3"/>
    <w:rsid w:val="00E779AE"/>
    <w:rsid w:val="00E779BD"/>
    <w:rsid w:val="00E77AFD"/>
    <w:rsid w:val="00E77C77"/>
    <w:rsid w:val="00E77E22"/>
    <w:rsid w:val="00E77E39"/>
    <w:rsid w:val="00E77E8F"/>
    <w:rsid w:val="00E77EB6"/>
    <w:rsid w:val="00E802CF"/>
    <w:rsid w:val="00E80336"/>
    <w:rsid w:val="00E80396"/>
    <w:rsid w:val="00E80400"/>
    <w:rsid w:val="00E80478"/>
    <w:rsid w:val="00E80546"/>
    <w:rsid w:val="00E8055A"/>
    <w:rsid w:val="00E806B1"/>
    <w:rsid w:val="00E806DB"/>
    <w:rsid w:val="00E8086F"/>
    <w:rsid w:val="00E808B5"/>
    <w:rsid w:val="00E808D1"/>
    <w:rsid w:val="00E8090B"/>
    <w:rsid w:val="00E80983"/>
    <w:rsid w:val="00E80A31"/>
    <w:rsid w:val="00E80B4E"/>
    <w:rsid w:val="00E80C6E"/>
    <w:rsid w:val="00E80C9A"/>
    <w:rsid w:val="00E80CBD"/>
    <w:rsid w:val="00E80F3F"/>
    <w:rsid w:val="00E81018"/>
    <w:rsid w:val="00E811A0"/>
    <w:rsid w:val="00E8121B"/>
    <w:rsid w:val="00E812C2"/>
    <w:rsid w:val="00E81388"/>
    <w:rsid w:val="00E8145C"/>
    <w:rsid w:val="00E81599"/>
    <w:rsid w:val="00E81611"/>
    <w:rsid w:val="00E81699"/>
    <w:rsid w:val="00E81774"/>
    <w:rsid w:val="00E817B1"/>
    <w:rsid w:val="00E81822"/>
    <w:rsid w:val="00E8182C"/>
    <w:rsid w:val="00E8184E"/>
    <w:rsid w:val="00E81982"/>
    <w:rsid w:val="00E81A00"/>
    <w:rsid w:val="00E81B55"/>
    <w:rsid w:val="00E81B67"/>
    <w:rsid w:val="00E81BD0"/>
    <w:rsid w:val="00E81C96"/>
    <w:rsid w:val="00E81F79"/>
    <w:rsid w:val="00E81FA1"/>
    <w:rsid w:val="00E820C8"/>
    <w:rsid w:val="00E820CF"/>
    <w:rsid w:val="00E821A0"/>
    <w:rsid w:val="00E8225E"/>
    <w:rsid w:val="00E82586"/>
    <w:rsid w:val="00E826BC"/>
    <w:rsid w:val="00E82797"/>
    <w:rsid w:val="00E8289A"/>
    <w:rsid w:val="00E828C9"/>
    <w:rsid w:val="00E829D9"/>
    <w:rsid w:val="00E82BA1"/>
    <w:rsid w:val="00E82BD0"/>
    <w:rsid w:val="00E82CCF"/>
    <w:rsid w:val="00E82CD7"/>
    <w:rsid w:val="00E82D32"/>
    <w:rsid w:val="00E82DD2"/>
    <w:rsid w:val="00E82ED0"/>
    <w:rsid w:val="00E82F47"/>
    <w:rsid w:val="00E83088"/>
    <w:rsid w:val="00E830E3"/>
    <w:rsid w:val="00E831F1"/>
    <w:rsid w:val="00E832AE"/>
    <w:rsid w:val="00E833AC"/>
    <w:rsid w:val="00E833FD"/>
    <w:rsid w:val="00E8341C"/>
    <w:rsid w:val="00E83423"/>
    <w:rsid w:val="00E83533"/>
    <w:rsid w:val="00E83558"/>
    <w:rsid w:val="00E8379F"/>
    <w:rsid w:val="00E837D8"/>
    <w:rsid w:val="00E83844"/>
    <w:rsid w:val="00E838C6"/>
    <w:rsid w:val="00E839ED"/>
    <w:rsid w:val="00E83B95"/>
    <w:rsid w:val="00E83D0C"/>
    <w:rsid w:val="00E83DD8"/>
    <w:rsid w:val="00E83DE7"/>
    <w:rsid w:val="00E83DFC"/>
    <w:rsid w:val="00E83E40"/>
    <w:rsid w:val="00E83EAF"/>
    <w:rsid w:val="00E83ED1"/>
    <w:rsid w:val="00E83F01"/>
    <w:rsid w:val="00E83F85"/>
    <w:rsid w:val="00E83FE0"/>
    <w:rsid w:val="00E8404C"/>
    <w:rsid w:val="00E84105"/>
    <w:rsid w:val="00E84170"/>
    <w:rsid w:val="00E84332"/>
    <w:rsid w:val="00E843BB"/>
    <w:rsid w:val="00E843D8"/>
    <w:rsid w:val="00E8449C"/>
    <w:rsid w:val="00E8463C"/>
    <w:rsid w:val="00E84661"/>
    <w:rsid w:val="00E8480F"/>
    <w:rsid w:val="00E84832"/>
    <w:rsid w:val="00E849A1"/>
    <w:rsid w:val="00E84B0C"/>
    <w:rsid w:val="00E84DA5"/>
    <w:rsid w:val="00E84E5E"/>
    <w:rsid w:val="00E85005"/>
    <w:rsid w:val="00E8525F"/>
    <w:rsid w:val="00E85412"/>
    <w:rsid w:val="00E85424"/>
    <w:rsid w:val="00E85435"/>
    <w:rsid w:val="00E854C1"/>
    <w:rsid w:val="00E854C3"/>
    <w:rsid w:val="00E8551E"/>
    <w:rsid w:val="00E8553D"/>
    <w:rsid w:val="00E85594"/>
    <w:rsid w:val="00E85633"/>
    <w:rsid w:val="00E8567C"/>
    <w:rsid w:val="00E856B6"/>
    <w:rsid w:val="00E8575B"/>
    <w:rsid w:val="00E85879"/>
    <w:rsid w:val="00E858B7"/>
    <w:rsid w:val="00E858D7"/>
    <w:rsid w:val="00E85940"/>
    <w:rsid w:val="00E85E7E"/>
    <w:rsid w:val="00E85F9B"/>
    <w:rsid w:val="00E85FAC"/>
    <w:rsid w:val="00E85FDD"/>
    <w:rsid w:val="00E8614A"/>
    <w:rsid w:val="00E8634C"/>
    <w:rsid w:val="00E86492"/>
    <w:rsid w:val="00E864BE"/>
    <w:rsid w:val="00E8658C"/>
    <w:rsid w:val="00E866A7"/>
    <w:rsid w:val="00E866F5"/>
    <w:rsid w:val="00E866FB"/>
    <w:rsid w:val="00E86754"/>
    <w:rsid w:val="00E86759"/>
    <w:rsid w:val="00E86762"/>
    <w:rsid w:val="00E867E6"/>
    <w:rsid w:val="00E867F9"/>
    <w:rsid w:val="00E86861"/>
    <w:rsid w:val="00E868DB"/>
    <w:rsid w:val="00E869BB"/>
    <w:rsid w:val="00E86AC9"/>
    <w:rsid w:val="00E86AF9"/>
    <w:rsid w:val="00E86B02"/>
    <w:rsid w:val="00E86B22"/>
    <w:rsid w:val="00E86B74"/>
    <w:rsid w:val="00E86B84"/>
    <w:rsid w:val="00E86B8E"/>
    <w:rsid w:val="00E86D21"/>
    <w:rsid w:val="00E86EC7"/>
    <w:rsid w:val="00E86F1C"/>
    <w:rsid w:val="00E86F98"/>
    <w:rsid w:val="00E86FD9"/>
    <w:rsid w:val="00E8739A"/>
    <w:rsid w:val="00E875EF"/>
    <w:rsid w:val="00E87628"/>
    <w:rsid w:val="00E87701"/>
    <w:rsid w:val="00E8770B"/>
    <w:rsid w:val="00E87926"/>
    <w:rsid w:val="00E879F0"/>
    <w:rsid w:val="00E87A91"/>
    <w:rsid w:val="00E87CE8"/>
    <w:rsid w:val="00E87D45"/>
    <w:rsid w:val="00E900B4"/>
    <w:rsid w:val="00E9022D"/>
    <w:rsid w:val="00E9024A"/>
    <w:rsid w:val="00E90409"/>
    <w:rsid w:val="00E90466"/>
    <w:rsid w:val="00E9048A"/>
    <w:rsid w:val="00E904BB"/>
    <w:rsid w:val="00E90578"/>
    <w:rsid w:val="00E908ED"/>
    <w:rsid w:val="00E908FF"/>
    <w:rsid w:val="00E90A9A"/>
    <w:rsid w:val="00E90E74"/>
    <w:rsid w:val="00E90EB9"/>
    <w:rsid w:val="00E90EDF"/>
    <w:rsid w:val="00E90F9C"/>
    <w:rsid w:val="00E911AB"/>
    <w:rsid w:val="00E911EF"/>
    <w:rsid w:val="00E91236"/>
    <w:rsid w:val="00E91324"/>
    <w:rsid w:val="00E91344"/>
    <w:rsid w:val="00E91355"/>
    <w:rsid w:val="00E91357"/>
    <w:rsid w:val="00E91370"/>
    <w:rsid w:val="00E9137E"/>
    <w:rsid w:val="00E913D7"/>
    <w:rsid w:val="00E91588"/>
    <w:rsid w:val="00E915B5"/>
    <w:rsid w:val="00E9166A"/>
    <w:rsid w:val="00E91811"/>
    <w:rsid w:val="00E918F3"/>
    <w:rsid w:val="00E91924"/>
    <w:rsid w:val="00E91A0B"/>
    <w:rsid w:val="00E91A4E"/>
    <w:rsid w:val="00E91A5D"/>
    <w:rsid w:val="00E91B28"/>
    <w:rsid w:val="00E91B47"/>
    <w:rsid w:val="00E91C3D"/>
    <w:rsid w:val="00E91C9C"/>
    <w:rsid w:val="00E91CA6"/>
    <w:rsid w:val="00E91CC2"/>
    <w:rsid w:val="00E91F56"/>
    <w:rsid w:val="00E92062"/>
    <w:rsid w:val="00E920A6"/>
    <w:rsid w:val="00E92177"/>
    <w:rsid w:val="00E92623"/>
    <w:rsid w:val="00E92666"/>
    <w:rsid w:val="00E926C2"/>
    <w:rsid w:val="00E92712"/>
    <w:rsid w:val="00E92719"/>
    <w:rsid w:val="00E9273B"/>
    <w:rsid w:val="00E927D9"/>
    <w:rsid w:val="00E927F9"/>
    <w:rsid w:val="00E92955"/>
    <w:rsid w:val="00E92A23"/>
    <w:rsid w:val="00E92AAB"/>
    <w:rsid w:val="00E92AF4"/>
    <w:rsid w:val="00E92BBF"/>
    <w:rsid w:val="00E92CD6"/>
    <w:rsid w:val="00E92D4F"/>
    <w:rsid w:val="00E92E64"/>
    <w:rsid w:val="00E92EBD"/>
    <w:rsid w:val="00E92F16"/>
    <w:rsid w:val="00E92F8A"/>
    <w:rsid w:val="00E9309B"/>
    <w:rsid w:val="00E930DD"/>
    <w:rsid w:val="00E93141"/>
    <w:rsid w:val="00E93175"/>
    <w:rsid w:val="00E93263"/>
    <w:rsid w:val="00E932BE"/>
    <w:rsid w:val="00E9352E"/>
    <w:rsid w:val="00E93680"/>
    <w:rsid w:val="00E9370B"/>
    <w:rsid w:val="00E93741"/>
    <w:rsid w:val="00E937EC"/>
    <w:rsid w:val="00E93875"/>
    <w:rsid w:val="00E93905"/>
    <w:rsid w:val="00E939ED"/>
    <w:rsid w:val="00E93A1C"/>
    <w:rsid w:val="00E93CE9"/>
    <w:rsid w:val="00E93CFF"/>
    <w:rsid w:val="00E93D15"/>
    <w:rsid w:val="00E93D71"/>
    <w:rsid w:val="00E93D90"/>
    <w:rsid w:val="00E93DD4"/>
    <w:rsid w:val="00E93DF9"/>
    <w:rsid w:val="00E93F59"/>
    <w:rsid w:val="00E93F86"/>
    <w:rsid w:val="00E9400B"/>
    <w:rsid w:val="00E9401E"/>
    <w:rsid w:val="00E94087"/>
    <w:rsid w:val="00E940C0"/>
    <w:rsid w:val="00E942C7"/>
    <w:rsid w:val="00E94393"/>
    <w:rsid w:val="00E94402"/>
    <w:rsid w:val="00E9441B"/>
    <w:rsid w:val="00E9457A"/>
    <w:rsid w:val="00E9460B"/>
    <w:rsid w:val="00E94743"/>
    <w:rsid w:val="00E94780"/>
    <w:rsid w:val="00E94887"/>
    <w:rsid w:val="00E94AF6"/>
    <w:rsid w:val="00E94BCB"/>
    <w:rsid w:val="00E94C53"/>
    <w:rsid w:val="00E94C72"/>
    <w:rsid w:val="00E94FFB"/>
    <w:rsid w:val="00E95114"/>
    <w:rsid w:val="00E95177"/>
    <w:rsid w:val="00E95234"/>
    <w:rsid w:val="00E952B5"/>
    <w:rsid w:val="00E95409"/>
    <w:rsid w:val="00E955AD"/>
    <w:rsid w:val="00E956D4"/>
    <w:rsid w:val="00E958BD"/>
    <w:rsid w:val="00E959B6"/>
    <w:rsid w:val="00E95B0C"/>
    <w:rsid w:val="00E95BD8"/>
    <w:rsid w:val="00E95D02"/>
    <w:rsid w:val="00E95E2A"/>
    <w:rsid w:val="00E95FE8"/>
    <w:rsid w:val="00E95FFD"/>
    <w:rsid w:val="00E96029"/>
    <w:rsid w:val="00E96210"/>
    <w:rsid w:val="00E962AB"/>
    <w:rsid w:val="00E963B6"/>
    <w:rsid w:val="00E964A9"/>
    <w:rsid w:val="00E96533"/>
    <w:rsid w:val="00E96565"/>
    <w:rsid w:val="00E9662B"/>
    <w:rsid w:val="00E966FD"/>
    <w:rsid w:val="00E9671D"/>
    <w:rsid w:val="00E96779"/>
    <w:rsid w:val="00E967B4"/>
    <w:rsid w:val="00E96A02"/>
    <w:rsid w:val="00E96AEC"/>
    <w:rsid w:val="00E96BB7"/>
    <w:rsid w:val="00E96C13"/>
    <w:rsid w:val="00E96C87"/>
    <w:rsid w:val="00E96D6E"/>
    <w:rsid w:val="00E96EAD"/>
    <w:rsid w:val="00E96F16"/>
    <w:rsid w:val="00E96FA4"/>
    <w:rsid w:val="00E97008"/>
    <w:rsid w:val="00E97099"/>
    <w:rsid w:val="00E97112"/>
    <w:rsid w:val="00E9721D"/>
    <w:rsid w:val="00E9726B"/>
    <w:rsid w:val="00E972F9"/>
    <w:rsid w:val="00E97331"/>
    <w:rsid w:val="00E97336"/>
    <w:rsid w:val="00E97379"/>
    <w:rsid w:val="00E9743D"/>
    <w:rsid w:val="00E9753D"/>
    <w:rsid w:val="00E97543"/>
    <w:rsid w:val="00E97572"/>
    <w:rsid w:val="00E97582"/>
    <w:rsid w:val="00E975D9"/>
    <w:rsid w:val="00E97617"/>
    <w:rsid w:val="00E9765D"/>
    <w:rsid w:val="00E977B5"/>
    <w:rsid w:val="00E977BF"/>
    <w:rsid w:val="00E9791D"/>
    <w:rsid w:val="00E9792A"/>
    <w:rsid w:val="00E979D4"/>
    <w:rsid w:val="00E97A59"/>
    <w:rsid w:val="00E97A5F"/>
    <w:rsid w:val="00E97AF2"/>
    <w:rsid w:val="00E97B2D"/>
    <w:rsid w:val="00E97B45"/>
    <w:rsid w:val="00E97B7A"/>
    <w:rsid w:val="00E97C37"/>
    <w:rsid w:val="00E97C63"/>
    <w:rsid w:val="00E97DE9"/>
    <w:rsid w:val="00E97E57"/>
    <w:rsid w:val="00E97F45"/>
    <w:rsid w:val="00E97F60"/>
    <w:rsid w:val="00EA004D"/>
    <w:rsid w:val="00EA0125"/>
    <w:rsid w:val="00EA013C"/>
    <w:rsid w:val="00EA0222"/>
    <w:rsid w:val="00EA02A1"/>
    <w:rsid w:val="00EA0479"/>
    <w:rsid w:val="00EA0483"/>
    <w:rsid w:val="00EA04A9"/>
    <w:rsid w:val="00EA05E1"/>
    <w:rsid w:val="00EA0653"/>
    <w:rsid w:val="00EA069F"/>
    <w:rsid w:val="00EA078E"/>
    <w:rsid w:val="00EA07A6"/>
    <w:rsid w:val="00EA07F2"/>
    <w:rsid w:val="00EA082E"/>
    <w:rsid w:val="00EA089C"/>
    <w:rsid w:val="00EA08C3"/>
    <w:rsid w:val="00EA090A"/>
    <w:rsid w:val="00EA0940"/>
    <w:rsid w:val="00EA0CE1"/>
    <w:rsid w:val="00EA0DF4"/>
    <w:rsid w:val="00EA0FE0"/>
    <w:rsid w:val="00EA1091"/>
    <w:rsid w:val="00EA10C6"/>
    <w:rsid w:val="00EA125F"/>
    <w:rsid w:val="00EA12D4"/>
    <w:rsid w:val="00EA12D9"/>
    <w:rsid w:val="00EA13F9"/>
    <w:rsid w:val="00EA1484"/>
    <w:rsid w:val="00EA150C"/>
    <w:rsid w:val="00EA165C"/>
    <w:rsid w:val="00EA16E3"/>
    <w:rsid w:val="00EA16FD"/>
    <w:rsid w:val="00EA1717"/>
    <w:rsid w:val="00EA174D"/>
    <w:rsid w:val="00EA1875"/>
    <w:rsid w:val="00EA18C4"/>
    <w:rsid w:val="00EA18D1"/>
    <w:rsid w:val="00EA18E9"/>
    <w:rsid w:val="00EA19DE"/>
    <w:rsid w:val="00EA1A01"/>
    <w:rsid w:val="00EA1A12"/>
    <w:rsid w:val="00EA1B63"/>
    <w:rsid w:val="00EA1BA8"/>
    <w:rsid w:val="00EA1C51"/>
    <w:rsid w:val="00EA1DB9"/>
    <w:rsid w:val="00EA1EBE"/>
    <w:rsid w:val="00EA1F70"/>
    <w:rsid w:val="00EA1FF1"/>
    <w:rsid w:val="00EA1FF6"/>
    <w:rsid w:val="00EA2017"/>
    <w:rsid w:val="00EA2077"/>
    <w:rsid w:val="00EA20AB"/>
    <w:rsid w:val="00EA21DB"/>
    <w:rsid w:val="00EA22E2"/>
    <w:rsid w:val="00EA230E"/>
    <w:rsid w:val="00EA2363"/>
    <w:rsid w:val="00EA2391"/>
    <w:rsid w:val="00EA23E2"/>
    <w:rsid w:val="00EA23FF"/>
    <w:rsid w:val="00EA2556"/>
    <w:rsid w:val="00EA25DF"/>
    <w:rsid w:val="00EA2834"/>
    <w:rsid w:val="00EA286E"/>
    <w:rsid w:val="00EA29FA"/>
    <w:rsid w:val="00EA2B8C"/>
    <w:rsid w:val="00EA2BB3"/>
    <w:rsid w:val="00EA2BF9"/>
    <w:rsid w:val="00EA2C0E"/>
    <w:rsid w:val="00EA2C3A"/>
    <w:rsid w:val="00EA2C9D"/>
    <w:rsid w:val="00EA2E7B"/>
    <w:rsid w:val="00EA2FF9"/>
    <w:rsid w:val="00EA3006"/>
    <w:rsid w:val="00EA3083"/>
    <w:rsid w:val="00EA30AD"/>
    <w:rsid w:val="00EA31E5"/>
    <w:rsid w:val="00EA3273"/>
    <w:rsid w:val="00EA3296"/>
    <w:rsid w:val="00EA32E3"/>
    <w:rsid w:val="00EA331D"/>
    <w:rsid w:val="00EA3484"/>
    <w:rsid w:val="00EA3601"/>
    <w:rsid w:val="00EA3680"/>
    <w:rsid w:val="00EA3801"/>
    <w:rsid w:val="00EA398F"/>
    <w:rsid w:val="00EA3AE6"/>
    <w:rsid w:val="00EA3B53"/>
    <w:rsid w:val="00EA3B67"/>
    <w:rsid w:val="00EA3BDC"/>
    <w:rsid w:val="00EA3C5E"/>
    <w:rsid w:val="00EA3DA0"/>
    <w:rsid w:val="00EA3E09"/>
    <w:rsid w:val="00EA3E11"/>
    <w:rsid w:val="00EA3E92"/>
    <w:rsid w:val="00EA4016"/>
    <w:rsid w:val="00EA411D"/>
    <w:rsid w:val="00EA4198"/>
    <w:rsid w:val="00EA4312"/>
    <w:rsid w:val="00EA4416"/>
    <w:rsid w:val="00EA444A"/>
    <w:rsid w:val="00EA4501"/>
    <w:rsid w:val="00EA4540"/>
    <w:rsid w:val="00EA4735"/>
    <w:rsid w:val="00EA48B6"/>
    <w:rsid w:val="00EA4BB5"/>
    <w:rsid w:val="00EA4BEF"/>
    <w:rsid w:val="00EA4D27"/>
    <w:rsid w:val="00EA4D64"/>
    <w:rsid w:val="00EA4DE9"/>
    <w:rsid w:val="00EA4DF1"/>
    <w:rsid w:val="00EA4E11"/>
    <w:rsid w:val="00EA4E48"/>
    <w:rsid w:val="00EA4F98"/>
    <w:rsid w:val="00EA501D"/>
    <w:rsid w:val="00EA5103"/>
    <w:rsid w:val="00EA5180"/>
    <w:rsid w:val="00EA521F"/>
    <w:rsid w:val="00EA526B"/>
    <w:rsid w:val="00EA5274"/>
    <w:rsid w:val="00EA5387"/>
    <w:rsid w:val="00EA53F3"/>
    <w:rsid w:val="00EA540F"/>
    <w:rsid w:val="00EA5542"/>
    <w:rsid w:val="00EA55AD"/>
    <w:rsid w:val="00EA569D"/>
    <w:rsid w:val="00EA56E5"/>
    <w:rsid w:val="00EA5788"/>
    <w:rsid w:val="00EA59A8"/>
    <w:rsid w:val="00EA59AE"/>
    <w:rsid w:val="00EA5A56"/>
    <w:rsid w:val="00EA5A7A"/>
    <w:rsid w:val="00EA5AA7"/>
    <w:rsid w:val="00EA5D39"/>
    <w:rsid w:val="00EA5D91"/>
    <w:rsid w:val="00EA5DEB"/>
    <w:rsid w:val="00EA5E57"/>
    <w:rsid w:val="00EA5E6D"/>
    <w:rsid w:val="00EA5E78"/>
    <w:rsid w:val="00EA5EE1"/>
    <w:rsid w:val="00EA5EFC"/>
    <w:rsid w:val="00EA5F19"/>
    <w:rsid w:val="00EA6024"/>
    <w:rsid w:val="00EA609E"/>
    <w:rsid w:val="00EA6199"/>
    <w:rsid w:val="00EA61B9"/>
    <w:rsid w:val="00EA6282"/>
    <w:rsid w:val="00EA62B0"/>
    <w:rsid w:val="00EA633D"/>
    <w:rsid w:val="00EA6387"/>
    <w:rsid w:val="00EA6578"/>
    <w:rsid w:val="00EA65A3"/>
    <w:rsid w:val="00EA67FC"/>
    <w:rsid w:val="00EA689B"/>
    <w:rsid w:val="00EA699E"/>
    <w:rsid w:val="00EA6A0E"/>
    <w:rsid w:val="00EA6A9D"/>
    <w:rsid w:val="00EA6B1B"/>
    <w:rsid w:val="00EA6B2B"/>
    <w:rsid w:val="00EA6C2A"/>
    <w:rsid w:val="00EA6D59"/>
    <w:rsid w:val="00EA6DA2"/>
    <w:rsid w:val="00EA6E72"/>
    <w:rsid w:val="00EA705D"/>
    <w:rsid w:val="00EA7111"/>
    <w:rsid w:val="00EA71AC"/>
    <w:rsid w:val="00EA72FD"/>
    <w:rsid w:val="00EA74E4"/>
    <w:rsid w:val="00EA7525"/>
    <w:rsid w:val="00EA76D1"/>
    <w:rsid w:val="00EA7814"/>
    <w:rsid w:val="00EA783E"/>
    <w:rsid w:val="00EA78CC"/>
    <w:rsid w:val="00EA79D4"/>
    <w:rsid w:val="00EA7BC2"/>
    <w:rsid w:val="00EA7C5E"/>
    <w:rsid w:val="00EA7CC2"/>
    <w:rsid w:val="00EA7D52"/>
    <w:rsid w:val="00EA7D5C"/>
    <w:rsid w:val="00EA7DA9"/>
    <w:rsid w:val="00EA7F7B"/>
    <w:rsid w:val="00EA7FAB"/>
    <w:rsid w:val="00EA7FDA"/>
    <w:rsid w:val="00EB00C4"/>
    <w:rsid w:val="00EB01AB"/>
    <w:rsid w:val="00EB0360"/>
    <w:rsid w:val="00EB0582"/>
    <w:rsid w:val="00EB059A"/>
    <w:rsid w:val="00EB05C6"/>
    <w:rsid w:val="00EB069E"/>
    <w:rsid w:val="00EB083B"/>
    <w:rsid w:val="00EB0916"/>
    <w:rsid w:val="00EB0992"/>
    <w:rsid w:val="00EB0BE0"/>
    <w:rsid w:val="00EB0C75"/>
    <w:rsid w:val="00EB0D5E"/>
    <w:rsid w:val="00EB0D7E"/>
    <w:rsid w:val="00EB0F4D"/>
    <w:rsid w:val="00EB0F65"/>
    <w:rsid w:val="00EB107F"/>
    <w:rsid w:val="00EB1197"/>
    <w:rsid w:val="00EB11CF"/>
    <w:rsid w:val="00EB1270"/>
    <w:rsid w:val="00EB13B3"/>
    <w:rsid w:val="00EB13FF"/>
    <w:rsid w:val="00EB1517"/>
    <w:rsid w:val="00EB1550"/>
    <w:rsid w:val="00EB1568"/>
    <w:rsid w:val="00EB15A0"/>
    <w:rsid w:val="00EB1675"/>
    <w:rsid w:val="00EB1929"/>
    <w:rsid w:val="00EB1966"/>
    <w:rsid w:val="00EB1991"/>
    <w:rsid w:val="00EB19D4"/>
    <w:rsid w:val="00EB1A21"/>
    <w:rsid w:val="00EB1A7C"/>
    <w:rsid w:val="00EB1AA6"/>
    <w:rsid w:val="00EB1AD5"/>
    <w:rsid w:val="00EB1B57"/>
    <w:rsid w:val="00EB1B5A"/>
    <w:rsid w:val="00EB1B8A"/>
    <w:rsid w:val="00EB1BC8"/>
    <w:rsid w:val="00EB1D79"/>
    <w:rsid w:val="00EB1D93"/>
    <w:rsid w:val="00EB1F6B"/>
    <w:rsid w:val="00EB20B7"/>
    <w:rsid w:val="00EB20D1"/>
    <w:rsid w:val="00EB2158"/>
    <w:rsid w:val="00EB2197"/>
    <w:rsid w:val="00EB21A9"/>
    <w:rsid w:val="00EB2210"/>
    <w:rsid w:val="00EB22E3"/>
    <w:rsid w:val="00EB22E8"/>
    <w:rsid w:val="00EB238E"/>
    <w:rsid w:val="00EB23C9"/>
    <w:rsid w:val="00EB241B"/>
    <w:rsid w:val="00EB2593"/>
    <w:rsid w:val="00EB266B"/>
    <w:rsid w:val="00EB2688"/>
    <w:rsid w:val="00EB27F0"/>
    <w:rsid w:val="00EB2830"/>
    <w:rsid w:val="00EB2968"/>
    <w:rsid w:val="00EB29D5"/>
    <w:rsid w:val="00EB29DA"/>
    <w:rsid w:val="00EB2B15"/>
    <w:rsid w:val="00EB2B58"/>
    <w:rsid w:val="00EB2C7C"/>
    <w:rsid w:val="00EB2D16"/>
    <w:rsid w:val="00EB2D53"/>
    <w:rsid w:val="00EB2DED"/>
    <w:rsid w:val="00EB2EEF"/>
    <w:rsid w:val="00EB3045"/>
    <w:rsid w:val="00EB33C8"/>
    <w:rsid w:val="00EB3565"/>
    <w:rsid w:val="00EB3604"/>
    <w:rsid w:val="00EB376A"/>
    <w:rsid w:val="00EB37C9"/>
    <w:rsid w:val="00EB3846"/>
    <w:rsid w:val="00EB3894"/>
    <w:rsid w:val="00EB393E"/>
    <w:rsid w:val="00EB3B15"/>
    <w:rsid w:val="00EB3B3B"/>
    <w:rsid w:val="00EB3BD7"/>
    <w:rsid w:val="00EB3C92"/>
    <w:rsid w:val="00EB3D6B"/>
    <w:rsid w:val="00EB3D6D"/>
    <w:rsid w:val="00EB3D84"/>
    <w:rsid w:val="00EB3F22"/>
    <w:rsid w:val="00EB3F51"/>
    <w:rsid w:val="00EB3F94"/>
    <w:rsid w:val="00EB40A6"/>
    <w:rsid w:val="00EB41A1"/>
    <w:rsid w:val="00EB4229"/>
    <w:rsid w:val="00EB4260"/>
    <w:rsid w:val="00EB426E"/>
    <w:rsid w:val="00EB45CB"/>
    <w:rsid w:val="00EB4605"/>
    <w:rsid w:val="00EB465A"/>
    <w:rsid w:val="00EB469F"/>
    <w:rsid w:val="00EB46E1"/>
    <w:rsid w:val="00EB4770"/>
    <w:rsid w:val="00EB47BE"/>
    <w:rsid w:val="00EB49F0"/>
    <w:rsid w:val="00EB4A14"/>
    <w:rsid w:val="00EB4A85"/>
    <w:rsid w:val="00EB4B92"/>
    <w:rsid w:val="00EB4B9E"/>
    <w:rsid w:val="00EB4BB0"/>
    <w:rsid w:val="00EB4CE8"/>
    <w:rsid w:val="00EB4E00"/>
    <w:rsid w:val="00EB4E6D"/>
    <w:rsid w:val="00EB4F75"/>
    <w:rsid w:val="00EB4FA3"/>
    <w:rsid w:val="00EB502F"/>
    <w:rsid w:val="00EB50AD"/>
    <w:rsid w:val="00EB50FE"/>
    <w:rsid w:val="00EB5129"/>
    <w:rsid w:val="00EB5298"/>
    <w:rsid w:val="00EB5570"/>
    <w:rsid w:val="00EB5571"/>
    <w:rsid w:val="00EB5730"/>
    <w:rsid w:val="00EB5741"/>
    <w:rsid w:val="00EB57BF"/>
    <w:rsid w:val="00EB58FE"/>
    <w:rsid w:val="00EB5A19"/>
    <w:rsid w:val="00EB5A77"/>
    <w:rsid w:val="00EB5A86"/>
    <w:rsid w:val="00EB5A8B"/>
    <w:rsid w:val="00EB5B14"/>
    <w:rsid w:val="00EB5CD9"/>
    <w:rsid w:val="00EB5D74"/>
    <w:rsid w:val="00EB5D9C"/>
    <w:rsid w:val="00EB5DEA"/>
    <w:rsid w:val="00EB5E36"/>
    <w:rsid w:val="00EB5E65"/>
    <w:rsid w:val="00EB631D"/>
    <w:rsid w:val="00EB6320"/>
    <w:rsid w:val="00EB6389"/>
    <w:rsid w:val="00EB63DA"/>
    <w:rsid w:val="00EB645E"/>
    <w:rsid w:val="00EB64C5"/>
    <w:rsid w:val="00EB6511"/>
    <w:rsid w:val="00EB6586"/>
    <w:rsid w:val="00EB6635"/>
    <w:rsid w:val="00EB6747"/>
    <w:rsid w:val="00EB67B6"/>
    <w:rsid w:val="00EB67E1"/>
    <w:rsid w:val="00EB692A"/>
    <w:rsid w:val="00EB699D"/>
    <w:rsid w:val="00EB69A7"/>
    <w:rsid w:val="00EB6C83"/>
    <w:rsid w:val="00EB6C9B"/>
    <w:rsid w:val="00EB6CCB"/>
    <w:rsid w:val="00EB6D45"/>
    <w:rsid w:val="00EB6ED5"/>
    <w:rsid w:val="00EB7061"/>
    <w:rsid w:val="00EB7113"/>
    <w:rsid w:val="00EB7133"/>
    <w:rsid w:val="00EB7442"/>
    <w:rsid w:val="00EB74BC"/>
    <w:rsid w:val="00EB77C9"/>
    <w:rsid w:val="00EB7ADB"/>
    <w:rsid w:val="00EB7C19"/>
    <w:rsid w:val="00EB7C4B"/>
    <w:rsid w:val="00EB7CA8"/>
    <w:rsid w:val="00EB7DBC"/>
    <w:rsid w:val="00EB7E8F"/>
    <w:rsid w:val="00EB7F7C"/>
    <w:rsid w:val="00EC0013"/>
    <w:rsid w:val="00EC0055"/>
    <w:rsid w:val="00EC0673"/>
    <w:rsid w:val="00EC0683"/>
    <w:rsid w:val="00EC06E5"/>
    <w:rsid w:val="00EC0727"/>
    <w:rsid w:val="00EC0771"/>
    <w:rsid w:val="00EC07CF"/>
    <w:rsid w:val="00EC085F"/>
    <w:rsid w:val="00EC0932"/>
    <w:rsid w:val="00EC0961"/>
    <w:rsid w:val="00EC0C21"/>
    <w:rsid w:val="00EC0C57"/>
    <w:rsid w:val="00EC0C73"/>
    <w:rsid w:val="00EC0C7B"/>
    <w:rsid w:val="00EC0D14"/>
    <w:rsid w:val="00EC0DA9"/>
    <w:rsid w:val="00EC0DFE"/>
    <w:rsid w:val="00EC0EB0"/>
    <w:rsid w:val="00EC0F04"/>
    <w:rsid w:val="00EC0FFB"/>
    <w:rsid w:val="00EC106D"/>
    <w:rsid w:val="00EC10C7"/>
    <w:rsid w:val="00EC118F"/>
    <w:rsid w:val="00EC119F"/>
    <w:rsid w:val="00EC11F6"/>
    <w:rsid w:val="00EC12B1"/>
    <w:rsid w:val="00EC12C7"/>
    <w:rsid w:val="00EC12E9"/>
    <w:rsid w:val="00EC1308"/>
    <w:rsid w:val="00EC1412"/>
    <w:rsid w:val="00EC15F0"/>
    <w:rsid w:val="00EC161E"/>
    <w:rsid w:val="00EC16B3"/>
    <w:rsid w:val="00EC16C9"/>
    <w:rsid w:val="00EC16D0"/>
    <w:rsid w:val="00EC1939"/>
    <w:rsid w:val="00EC1982"/>
    <w:rsid w:val="00EC19D1"/>
    <w:rsid w:val="00EC19EE"/>
    <w:rsid w:val="00EC1B1E"/>
    <w:rsid w:val="00EC1B65"/>
    <w:rsid w:val="00EC1BC0"/>
    <w:rsid w:val="00EC1C0B"/>
    <w:rsid w:val="00EC1D1B"/>
    <w:rsid w:val="00EC1D32"/>
    <w:rsid w:val="00EC1D65"/>
    <w:rsid w:val="00EC1E01"/>
    <w:rsid w:val="00EC1E8F"/>
    <w:rsid w:val="00EC1EA7"/>
    <w:rsid w:val="00EC1EE6"/>
    <w:rsid w:val="00EC2013"/>
    <w:rsid w:val="00EC2017"/>
    <w:rsid w:val="00EC20B9"/>
    <w:rsid w:val="00EC20CA"/>
    <w:rsid w:val="00EC20E4"/>
    <w:rsid w:val="00EC2183"/>
    <w:rsid w:val="00EC21CB"/>
    <w:rsid w:val="00EC21F0"/>
    <w:rsid w:val="00EC2226"/>
    <w:rsid w:val="00EC2229"/>
    <w:rsid w:val="00EC22D5"/>
    <w:rsid w:val="00EC22DB"/>
    <w:rsid w:val="00EC238B"/>
    <w:rsid w:val="00EC23B3"/>
    <w:rsid w:val="00EC23CF"/>
    <w:rsid w:val="00EC25BA"/>
    <w:rsid w:val="00EC260C"/>
    <w:rsid w:val="00EC27BC"/>
    <w:rsid w:val="00EC2912"/>
    <w:rsid w:val="00EC2A38"/>
    <w:rsid w:val="00EC2A6D"/>
    <w:rsid w:val="00EC2A8B"/>
    <w:rsid w:val="00EC2BEF"/>
    <w:rsid w:val="00EC2D08"/>
    <w:rsid w:val="00EC2D26"/>
    <w:rsid w:val="00EC2EF5"/>
    <w:rsid w:val="00EC3061"/>
    <w:rsid w:val="00EC3069"/>
    <w:rsid w:val="00EC306C"/>
    <w:rsid w:val="00EC3148"/>
    <w:rsid w:val="00EC31B2"/>
    <w:rsid w:val="00EC31BE"/>
    <w:rsid w:val="00EC32B3"/>
    <w:rsid w:val="00EC32D2"/>
    <w:rsid w:val="00EC3376"/>
    <w:rsid w:val="00EC34A0"/>
    <w:rsid w:val="00EC34AA"/>
    <w:rsid w:val="00EC34BF"/>
    <w:rsid w:val="00EC3542"/>
    <w:rsid w:val="00EC359E"/>
    <w:rsid w:val="00EC35D3"/>
    <w:rsid w:val="00EC35E0"/>
    <w:rsid w:val="00EC3697"/>
    <w:rsid w:val="00EC3748"/>
    <w:rsid w:val="00EC37E3"/>
    <w:rsid w:val="00EC3811"/>
    <w:rsid w:val="00EC3860"/>
    <w:rsid w:val="00EC392B"/>
    <w:rsid w:val="00EC3AAD"/>
    <w:rsid w:val="00EC3AC3"/>
    <w:rsid w:val="00EC3C4C"/>
    <w:rsid w:val="00EC3CF6"/>
    <w:rsid w:val="00EC4205"/>
    <w:rsid w:val="00EC4258"/>
    <w:rsid w:val="00EC4331"/>
    <w:rsid w:val="00EC434D"/>
    <w:rsid w:val="00EC4357"/>
    <w:rsid w:val="00EC440B"/>
    <w:rsid w:val="00EC4478"/>
    <w:rsid w:val="00EC450B"/>
    <w:rsid w:val="00EC4576"/>
    <w:rsid w:val="00EC4598"/>
    <w:rsid w:val="00EC45A8"/>
    <w:rsid w:val="00EC46EA"/>
    <w:rsid w:val="00EC4A2C"/>
    <w:rsid w:val="00EC4A8D"/>
    <w:rsid w:val="00EC4C35"/>
    <w:rsid w:val="00EC4DB9"/>
    <w:rsid w:val="00EC5040"/>
    <w:rsid w:val="00EC512E"/>
    <w:rsid w:val="00EC5244"/>
    <w:rsid w:val="00EC529A"/>
    <w:rsid w:val="00EC541B"/>
    <w:rsid w:val="00EC5447"/>
    <w:rsid w:val="00EC5657"/>
    <w:rsid w:val="00EC56A4"/>
    <w:rsid w:val="00EC576E"/>
    <w:rsid w:val="00EC57A1"/>
    <w:rsid w:val="00EC589C"/>
    <w:rsid w:val="00EC5957"/>
    <w:rsid w:val="00EC59DD"/>
    <w:rsid w:val="00EC5A0C"/>
    <w:rsid w:val="00EC5ADF"/>
    <w:rsid w:val="00EC5B4E"/>
    <w:rsid w:val="00EC5C37"/>
    <w:rsid w:val="00EC5C60"/>
    <w:rsid w:val="00EC5C77"/>
    <w:rsid w:val="00EC5CA9"/>
    <w:rsid w:val="00EC5E02"/>
    <w:rsid w:val="00EC5F58"/>
    <w:rsid w:val="00EC5F63"/>
    <w:rsid w:val="00EC6080"/>
    <w:rsid w:val="00EC60E9"/>
    <w:rsid w:val="00EC6111"/>
    <w:rsid w:val="00EC6115"/>
    <w:rsid w:val="00EC6336"/>
    <w:rsid w:val="00EC633E"/>
    <w:rsid w:val="00EC63AC"/>
    <w:rsid w:val="00EC6441"/>
    <w:rsid w:val="00EC645F"/>
    <w:rsid w:val="00EC6489"/>
    <w:rsid w:val="00EC6556"/>
    <w:rsid w:val="00EC6632"/>
    <w:rsid w:val="00EC66D5"/>
    <w:rsid w:val="00EC67D0"/>
    <w:rsid w:val="00EC6882"/>
    <w:rsid w:val="00EC68EA"/>
    <w:rsid w:val="00EC69DD"/>
    <w:rsid w:val="00EC6A8C"/>
    <w:rsid w:val="00EC6B9F"/>
    <w:rsid w:val="00EC6C2A"/>
    <w:rsid w:val="00EC6C7D"/>
    <w:rsid w:val="00EC6D01"/>
    <w:rsid w:val="00EC6DC4"/>
    <w:rsid w:val="00EC6E1F"/>
    <w:rsid w:val="00EC70A0"/>
    <w:rsid w:val="00EC7186"/>
    <w:rsid w:val="00EC71E6"/>
    <w:rsid w:val="00EC7214"/>
    <w:rsid w:val="00EC7327"/>
    <w:rsid w:val="00EC73D4"/>
    <w:rsid w:val="00EC7425"/>
    <w:rsid w:val="00EC755C"/>
    <w:rsid w:val="00EC75F2"/>
    <w:rsid w:val="00EC78CB"/>
    <w:rsid w:val="00EC7921"/>
    <w:rsid w:val="00EC7926"/>
    <w:rsid w:val="00EC79CB"/>
    <w:rsid w:val="00EC79F3"/>
    <w:rsid w:val="00EC7C66"/>
    <w:rsid w:val="00EC7D0D"/>
    <w:rsid w:val="00EC7FE4"/>
    <w:rsid w:val="00ED00E1"/>
    <w:rsid w:val="00ED01AD"/>
    <w:rsid w:val="00ED01C8"/>
    <w:rsid w:val="00ED031D"/>
    <w:rsid w:val="00ED0398"/>
    <w:rsid w:val="00ED04B0"/>
    <w:rsid w:val="00ED061B"/>
    <w:rsid w:val="00ED0651"/>
    <w:rsid w:val="00ED0734"/>
    <w:rsid w:val="00ED07DC"/>
    <w:rsid w:val="00ED089B"/>
    <w:rsid w:val="00ED09C0"/>
    <w:rsid w:val="00ED0A72"/>
    <w:rsid w:val="00ED0B8E"/>
    <w:rsid w:val="00ED0C1C"/>
    <w:rsid w:val="00ED0DDE"/>
    <w:rsid w:val="00ED0DF5"/>
    <w:rsid w:val="00ED0E82"/>
    <w:rsid w:val="00ED0ECD"/>
    <w:rsid w:val="00ED0F3E"/>
    <w:rsid w:val="00ED0FC0"/>
    <w:rsid w:val="00ED100A"/>
    <w:rsid w:val="00ED1025"/>
    <w:rsid w:val="00ED10B3"/>
    <w:rsid w:val="00ED10BD"/>
    <w:rsid w:val="00ED112F"/>
    <w:rsid w:val="00ED11A3"/>
    <w:rsid w:val="00ED11E9"/>
    <w:rsid w:val="00ED124E"/>
    <w:rsid w:val="00ED125E"/>
    <w:rsid w:val="00ED126D"/>
    <w:rsid w:val="00ED13F4"/>
    <w:rsid w:val="00ED14A3"/>
    <w:rsid w:val="00ED14C4"/>
    <w:rsid w:val="00ED151E"/>
    <w:rsid w:val="00ED15B4"/>
    <w:rsid w:val="00ED15DE"/>
    <w:rsid w:val="00ED1645"/>
    <w:rsid w:val="00ED1680"/>
    <w:rsid w:val="00ED17DC"/>
    <w:rsid w:val="00ED17F6"/>
    <w:rsid w:val="00ED18BA"/>
    <w:rsid w:val="00ED18C8"/>
    <w:rsid w:val="00ED1949"/>
    <w:rsid w:val="00ED1B33"/>
    <w:rsid w:val="00ED1CF9"/>
    <w:rsid w:val="00ED1D9A"/>
    <w:rsid w:val="00ED1DF6"/>
    <w:rsid w:val="00ED1ED8"/>
    <w:rsid w:val="00ED1F23"/>
    <w:rsid w:val="00ED201A"/>
    <w:rsid w:val="00ED2054"/>
    <w:rsid w:val="00ED20D1"/>
    <w:rsid w:val="00ED210D"/>
    <w:rsid w:val="00ED220E"/>
    <w:rsid w:val="00ED22BC"/>
    <w:rsid w:val="00ED249C"/>
    <w:rsid w:val="00ED261B"/>
    <w:rsid w:val="00ED2625"/>
    <w:rsid w:val="00ED26FB"/>
    <w:rsid w:val="00ED2749"/>
    <w:rsid w:val="00ED2750"/>
    <w:rsid w:val="00ED2999"/>
    <w:rsid w:val="00ED2A90"/>
    <w:rsid w:val="00ED2C7C"/>
    <w:rsid w:val="00ED2CB9"/>
    <w:rsid w:val="00ED2E6F"/>
    <w:rsid w:val="00ED2ECE"/>
    <w:rsid w:val="00ED30C2"/>
    <w:rsid w:val="00ED3211"/>
    <w:rsid w:val="00ED32F5"/>
    <w:rsid w:val="00ED3309"/>
    <w:rsid w:val="00ED3462"/>
    <w:rsid w:val="00ED3475"/>
    <w:rsid w:val="00ED34E3"/>
    <w:rsid w:val="00ED3518"/>
    <w:rsid w:val="00ED35E6"/>
    <w:rsid w:val="00ED3622"/>
    <w:rsid w:val="00ED3623"/>
    <w:rsid w:val="00ED3678"/>
    <w:rsid w:val="00ED36B1"/>
    <w:rsid w:val="00ED378D"/>
    <w:rsid w:val="00ED37C4"/>
    <w:rsid w:val="00ED38DD"/>
    <w:rsid w:val="00ED3942"/>
    <w:rsid w:val="00ED3B31"/>
    <w:rsid w:val="00ED3C4D"/>
    <w:rsid w:val="00ED3C7E"/>
    <w:rsid w:val="00ED3CDF"/>
    <w:rsid w:val="00ED3D53"/>
    <w:rsid w:val="00ED3E1E"/>
    <w:rsid w:val="00ED3E47"/>
    <w:rsid w:val="00ED3E67"/>
    <w:rsid w:val="00ED3EA0"/>
    <w:rsid w:val="00ED3F18"/>
    <w:rsid w:val="00ED3F9A"/>
    <w:rsid w:val="00ED3FE2"/>
    <w:rsid w:val="00ED404A"/>
    <w:rsid w:val="00ED4094"/>
    <w:rsid w:val="00ED40B4"/>
    <w:rsid w:val="00ED40BF"/>
    <w:rsid w:val="00ED4140"/>
    <w:rsid w:val="00ED4302"/>
    <w:rsid w:val="00ED43D1"/>
    <w:rsid w:val="00ED43E8"/>
    <w:rsid w:val="00ED445E"/>
    <w:rsid w:val="00ED44A7"/>
    <w:rsid w:val="00ED456C"/>
    <w:rsid w:val="00ED45EE"/>
    <w:rsid w:val="00ED46F0"/>
    <w:rsid w:val="00ED4756"/>
    <w:rsid w:val="00ED47A6"/>
    <w:rsid w:val="00ED47D9"/>
    <w:rsid w:val="00ED48C9"/>
    <w:rsid w:val="00ED4918"/>
    <w:rsid w:val="00ED4A53"/>
    <w:rsid w:val="00ED4A7F"/>
    <w:rsid w:val="00ED4C22"/>
    <w:rsid w:val="00ED4D3E"/>
    <w:rsid w:val="00ED4D93"/>
    <w:rsid w:val="00ED4EC4"/>
    <w:rsid w:val="00ED5000"/>
    <w:rsid w:val="00ED5090"/>
    <w:rsid w:val="00ED509B"/>
    <w:rsid w:val="00ED50EB"/>
    <w:rsid w:val="00ED5215"/>
    <w:rsid w:val="00ED52FC"/>
    <w:rsid w:val="00ED540E"/>
    <w:rsid w:val="00ED54E3"/>
    <w:rsid w:val="00ED553D"/>
    <w:rsid w:val="00ED5542"/>
    <w:rsid w:val="00ED564C"/>
    <w:rsid w:val="00ED5696"/>
    <w:rsid w:val="00ED578C"/>
    <w:rsid w:val="00ED57D2"/>
    <w:rsid w:val="00ED5897"/>
    <w:rsid w:val="00ED5A27"/>
    <w:rsid w:val="00ED5A83"/>
    <w:rsid w:val="00ED5A98"/>
    <w:rsid w:val="00ED5BD1"/>
    <w:rsid w:val="00ED5C1C"/>
    <w:rsid w:val="00ED5C49"/>
    <w:rsid w:val="00ED5E9D"/>
    <w:rsid w:val="00ED5FF5"/>
    <w:rsid w:val="00ED60EF"/>
    <w:rsid w:val="00ED61AB"/>
    <w:rsid w:val="00ED6343"/>
    <w:rsid w:val="00ED646E"/>
    <w:rsid w:val="00ED6500"/>
    <w:rsid w:val="00ED6547"/>
    <w:rsid w:val="00ED665E"/>
    <w:rsid w:val="00ED671C"/>
    <w:rsid w:val="00ED67D9"/>
    <w:rsid w:val="00ED6878"/>
    <w:rsid w:val="00ED6967"/>
    <w:rsid w:val="00ED6989"/>
    <w:rsid w:val="00ED6D5E"/>
    <w:rsid w:val="00ED6DD6"/>
    <w:rsid w:val="00ED6F39"/>
    <w:rsid w:val="00ED6F99"/>
    <w:rsid w:val="00ED72DF"/>
    <w:rsid w:val="00ED7409"/>
    <w:rsid w:val="00ED7481"/>
    <w:rsid w:val="00ED74B3"/>
    <w:rsid w:val="00ED75A9"/>
    <w:rsid w:val="00ED75B9"/>
    <w:rsid w:val="00ED75F0"/>
    <w:rsid w:val="00ED75F6"/>
    <w:rsid w:val="00ED764E"/>
    <w:rsid w:val="00ED7677"/>
    <w:rsid w:val="00ED7866"/>
    <w:rsid w:val="00ED7899"/>
    <w:rsid w:val="00ED7916"/>
    <w:rsid w:val="00ED795F"/>
    <w:rsid w:val="00ED7977"/>
    <w:rsid w:val="00ED798A"/>
    <w:rsid w:val="00ED7A75"/>
    <w:rsid w:val="00ED7AC8"/>
    <w:rsid w:val="00ED7AE9"/>
    <w:rsid w:val="00ED7B27"/>
    <w:rsid w:val="00ED7E36"/>
    <w:rsid w:val="00EE009D"/>
    <w:rsid w:val="00EE00F2"/>
    <w:rsid w:val="00EE0119"/>
    <w:rsid w:val="00EE013A"/>
    <w:rsid w:val="00EE0235"/>
    <w:rsid w:val="00EE0299"/>
    <w:rsid w:val="00EE0360"/>
    <w:rsid w:val="00EE03ED"/>
    <w:rsid w:val="00EE05CF"/>
    <w:rsid w:val="00EE05EA"/>
    <w:rsid w:val="00EE0897"/>
    <w:rsid w:val="00EE090E"/>
    <w:rsid w:val="00EE0BCE"/>
    <w:rsid w:val="00EE0C99"/>
    <w:rsid w:val="00EE0CE5"/>
    <w:rsid w:val="00EE0F2E"/>
    <w:rsid w:val="00EE10EC"/>
    <w:rsid w:val="00EE10F9"/>
    <w:rsid w:val="00EE1146"/>
    <w:rsid w:val="00EE1336"/>
    <w:rsid w:val="00EE1389"/>
    <w:rsid w:val="00EE13B5"/>
    <w:rsid w:val="00EE14BB"/>
    <w:rsid w:val="00EE154F"/>
    <w:rsid w:val="00EE1584"/>
    <w:rsid w:val="00EE15C4"/>
    <w:rsid w:val="00EE1656"/>
    <w:rsid w:val="00EE166B"/>
    <w:rsid w:val="00EE170C"/>
    <w:rsid w:val="00EE18AC"/>
    <w:rsid w:val="00EE18D1"/>
    <w:rsid w:val="00EE1962"/>
    <w:rsid w:val="00EE19D5"/>
    <w:rsid w:val="00EE19F5"/>
    <w:rsid w:val="00EE1AA2"/>
    <w:rsid w:val="00EE1B5B"/>
    <w:rsid w:val="00EE1BA2"/>
    <w:rsid w:val="00EE1BFE"/>
    <w:rsid w:val="00EE1CEA"/>
    <w:rsid w:val="00EE1DA9"/>
    <w:rsid w:val="00EE1ED3"/>
    <w:rsid w:val="00EE1F88"/>
    <w:rsid w:val="00EE1FF4"/>
    <w:rsid w:val="00EE2006"/>
    <w:rsid w:val="00EE2054"/>
    <w:rsid w:val="00EE20DD"/>
    <w:rsid w:val="00EE2243"/>
    <w:rsid w:val="00EE22AC"/>
    <w:rsid w:val="00EE2303"/>
    <w:rsid w:val="00EE244B"/>
    <w:rsid w:val="00EE245F"/>
    <w:rsid w:val="00EE24BD"/>
    <w:rsid w:val="00EE24D7"/>
    <w:rsid w:val="00EE2544"/>
    <w:rsid w:val="00EE25DE"/>
    <w:rsid w:val="00EE2832"/>
    <w:rsid w:val="00EE286F"/>
    <w:rsid w:val="00EE28C3"/>
    <w:rsid w:val="00EE2935"/>
    <w:rsid w:val="00EE2A86"/>
    <w:rsid w:val="00EE2A91"/>
    <w:rsid w:val="00EE2A9F"/>
    <w:rsid w:val="00EE2ACE"/>
    <w:rsid w:val="00EE2B2B"/>
    <w:rsid w:val="00EE2BF1"/>
    <w:rsid w:val="00EE2C55"/>
    <w:rsid w:val="00EE2CE2"/>
    <w:rsid w:val="00EE2EBF"/>
    <w:rsid w:val="00EE2FDC"/>
    <w:rsid w:val="00EE2FFB"/>
    <w:rsid w:val="00EE3232"/>
    <w:rsid w:val="00EE3247"/>
    <w:rsid w:val="00EE3258"/>
    <w:rsid w:val="00EE329D"/>
    <w:rsid w:val="00EE3365"/>
    <w:rsid w:val="00EE343E"/>
    <w:rsid w:val="00EE3470"/>
    <w:rsid w:val="00EE3490"/>
    <w:rsid w:val="00EE34AC"/>
    <w:rsid w:val="00EE34EA"/>
    <w:rsid w:val="00EE3551"/>
    <w:rsid w:val="00EE3777"/>
    <w:rsid w:val="00EE3842"/>
    <w:rsid w:val="00EE38A0"/>
    <w:rsid w:val="00EE3950"/>
    <w:rsid w:val="00EE3980"/>
    <w:rsid w:val="00EE3A77"/>
    <w:rsid w:val="00EE3B70"/>
    <w:rsid w:val="00EE3BED"/>
    <w:rsid w:val="00EE3BFA"/>
    <w:rsid w:val="00EE3CBA"/>
    <w:rsid w:val="00EE3D2C"/>
    <w:rsid w:val="00EE3D7B"/>
    <w:rsid w:val="00EE3DA4"/>
    <w:rsid w:val="00EE3DD5"/>
    <w:rsid w:val="00EE3DD7"/>
    <w:rsid w:val="00EE3E02"/>
    <w:rsid w:val="00EE3ED8"/>
    <w:rsid w:val="00EE3F6D"/>
    <w:rsid w:val="00EE3FAF"/>
    <w:rsid w:val="00EE405C"/>
    <w:rsid w:val="00EE4073"/>
    <w:rsid w:val="00EE411C"/>
    <w:rsid w:val="00EE4132"/>
    <w:rsid w:val="00EE4325"/>
    <w:rsid w:val="00EE4351"/>
    <w:rsid w:val="00EE440A"/>
    <w:rsid w:val="00EE45EB"/>
    <w:rsid w:val="00EE4645"/>
    <w:rsid w:val="00EE4668"/>
    <w:rsid w:val="00EE4765"/>
    <w:rsid w:val="00EE48CE"/>
    <w:rsid w:val="00EE4A71"/>
    <w:rsid w:val="00EE4C91"/>
    <w:rsid w:val="00EE4C94"/>
    <w:rsid w:val="00EE4CAD"/>
    <w:rsid w:val="00EE4D86"/>
    <w:rsid w:val="00EE4E8B"/>
    <w:rsid w:val="00EE4E90"/>
    <w:rsid w:val="00EE4EB5"/>
    <w:rsid w:val="00EE4EE2"/>
    <w:rsid w:val="00EE4F58"/>
    <w:rsid w:val="00EE4F69"/>
    <w:rsid w:val="00EE51E3"/>
    <w:rsid w:val="00EE52B1"/>
    <w:rsid w:val="00EE5399"/>
    <w:rsid w:val="00EE540D"/>
    <w:rsid w:val="00EE54C2"/>
    <w:rsid w:val="00EE5606"/>
    <w:rsid w:val="00EE5626"/>
    <w:rsid w:val="00EE562B"/>
    <w:rsid w:val="00EE56A2"/>
    <w:rsid w:val="00EE5812"/>
    <w:rsid w:val="00EE5994"/>
    <w:rsid w:val="00EE5996"/>
    <w:rsid w:val="00EE5A2F"/>
    <w:rsid w:val="00EE5AD4"/>
    <w:rsid w:val="00EE5C70"/>
    <w:rsid w:val="00EE5C86"/>
    <w:rsid w:val="00EE5D5F"/>
    <w:rsid w:val="00EE5E2A"/>
    <w:rsid w:val="00EE5E90"/>
    <w:rsid w:val="00EE5EB8"/>
    <w:rsid w:val="00EE5F50"/>
    <w:rsid w:val="00EE5F7E"/>
    <w:rsid w:val="00EE5FDA"/>
    <w:rsid w:val="00EE5FE8"/>
    <w:rsid w:val="00EE601A"/>
    <w:rsid w:val="00EE609A"/>
    <w:rsid w:val="00EE60BE"/>
    <w:rsid w:val="00EE613E"/>
    <w:rsid w:val="00EE61B5"/>
    <w:rsid w:val="00EE61D8"/>
    <w:rsid w:val="00EE61F4"/>
    <w:rsid w:val="00EE64CE"/>
    <w:rsid w:val="00EE66E8"/>
    <w:rsid w:val="00EE67AC"/>
    <w:rsid w:val="00EE68E9"/>
    <w:rsid w:val="00EE695A"/>
    <w:rsid w:val="00EE6B3E"/>
    <w:rsid w:val="00EE6B4F"/>
    <w:rsid w:val="00EE6B72"/>
    <w:rsid w:val="00EE6BB2"/>
    <w:rsid w:val="00EE6CEA"/>
    <w:rsid w:val="00EE6D29"/>
    <w:rsid w:val="00EE6F5C"/>
    <w:rsid w:val="00EE700A"/>
    <w:rsid w:val="00EE7014"/>
    <w:rsid w:val="00EE701A"/>
    <w:rsid w:val="00EE7092"/>
    <w:rsid w:val="00EE70A0"/>
    <w:rsid w:val="00EE71B7"/>
    <w:rsid w:val="00EE71EF"/>
    <w:rsid w:val="00EE72FA"/>
    <w:rsid w:val="00EE7322"/>
    <w:rsid w:val="00EE74C5"/>
    <w:rsid w:val="00EE74C9"/>
    <w:rsid w:val="00EE767E"/>
    <w:rsid w:val="00EE76B2"/>
    <w:rsid w:val="00EE76B7"/>
    <w:rsid w:val="00EE7830"/>
    <w:rsid w:val="00EE78D4"/>
    <w:rsid w:val="00EE7921"/>
    <w:rsid w:val="00EE7940"/>
    <w:rsid w:val="00EE79AE"/>
    <w:rsid w:val="00EE7A13"/>
    <w:rsid w:val="00EE7B3D"/>
    <w:rsid w:val="00EE7CB7"/>
    <w:rsid w:val="00EE7F68"/>
    <w:rsid w:val="00EE7F86"/>
    <w:rsid w:val="00EF004D"/>
    <w:rsid w:val="00EF018F"/>
    <w:rsid w:val="00EF0204"/>
    <w:rsid w:val="00EF021E"/>
    <w:rsid w:val="00EF0288"/>
    <w:rsid w:val="00EF034B"/>
    <w:rsid w:val="00EF0362"/>
    <w:rsid w:val="00EF0493"/>
    <w:rsid w:val="00EF049E"/>
    <w:rsid w:val="00EF04ED"/>
    <w:rsid w:val="00EF0508"/>
    <w:rsid w:val="00EF0589"/>
    <w:rsid w:val="00EF0671"/>
    <w:rsid w:val="00EF0699"/>
    <w:rsid w:val="00EF095E"/>
    <w:rsid w:val="00EF0A48"/>
    <w:rsid w:val="00EF0A98"/>
    <w:rsid w:val="00EF0B2A"/>
    <w:rsid w:val="00EF0BEB"/>
    <w:rsid w:val="00EF0C40"/>
    <w:rsid w:val="00EF0FB2"/>
    <w:rsid w:val="00EF117D"/>
    <w:rsid w:val="00EF130B"/>
    <w:rsid w:val="00EF14F5"/>
    <w:rsid w:val="00EF14FA"/>
    <w:rsid w:val="00EF15BD"/>
    <w:rsid w:val="00EF15CA"/>
    <w:rsid w:val="00EF1636"/>
    <w:rsid w:val="00EF17BE"/>
    <w:rsid w:val="00EF184C"/>
    <w:rsid w:val="00EF1936"/>
    <w:rsid w:val="00EF1B41"/>
    <w:rsid w:val="00EF1B71"/>
    <w:rsid w:val="00EF1BA5"/>
    <w:rsid w:val="00EF1BDF"/>
    <w:rsid w:val="00EF1C62"/>
    <w:rsid w:val="00EF1C63"/>
    <w:rsid w:val="00EF1CE9"/>
    <w:rsid w:val="00EF1F75"/>
    <w:rsid w:val="00EF20D5"/>
    <w:rsid w:val="00EF21DB"/>
    <w:rsid w:val="00EF2223"/>
    <w:rsid w:val="00EF22A7"/>
    <w:rsid w:val="00EF22B7"/>
    <w:rsid w:val="00EF2413"/>
    <w:rsid w:val="00EF241C"/>
    <w:rsid w:val="00EF2508"/>
    <w:rsid w:val="00EF2566"/>
    <w:rsid w:val="00EF263B"/>
    <w:rsid w:val="00EF2701"/>
    <w:rsid w:val="00EF2A1C"/>
    <w:rsid w:val="00EF2A2B"/>
    <w:rsid w:val="00EF2ABC"/>
    <w:rsid w:val="00EF2ABE"/>
    <w:rsid w:val="00EF2AED"/>
    <w:rsid w:val="00EF2C3F"/>
    <w:rsid w:val="00EF2F32"/>
    <w:rsid w:val="00EF2FA1"/>
    <w:rsid w:val="00EF3016"/>
    <w:rsid w:val="00EF309E"/>
    <w:rsid w:val="00EF3164"/>
    <w:rsid w:val="00EF31CF"/>
    <w:rsid w:val="00EF3255"/>
    <w:rsid w:val="00EF329C"/>
    <w:rsid w:val="00EF33DE"/>
    <w:rsid w:val="00EF3404"/>
    <w:rsid w:val="00EF3422"/>
    <w:rsid w:val="00EF343C"/>
    <w:rsid w:val="00EF3446"/>
    <w:rsid w:val="00EF34C2"/>
    <w:rsid w:val="00EF3533"/>
    <w:rsid w:val="00EF37FD"/>
    <w:rsid w:val="00EF3873"/>
    <w:rsid w:val="00EF3876"/>
    <w:rsid w:val="00EF3B9E"/>
    <w:rsid w:val="00EF3BC8"/>
    <w:rsid w:val="00EF3CA7"/>
    <w:rsid w:val="00EF3D5B"/>
    <w:rsid w:val="00EF3E18"/>
    <w:rsid w:val="00EF3F10"/>
    <w:rsid w:val="00EF3F11"/>
    <w:rsid w:val="00EF3F12"/>
    <w:rsid w:val="00EF3F54"/>
    <w:rsid w:val="00EF3F55"/>
    <w:rsid w:val="00EF4002"/>
    <w:rsid w:val="00EF4054"/>
    <w:rsid w:val="00EF409A"/>
    <w:rsid w:val="00EF40D1"/>
    <w:rsid w:val="00EF4169"/>
    <w:rsid w:val="00EF41F4"/>
    <w:rsid w:val="00EF41F5"/>
    <w:rsid w:val="00EF42D7"/>
    <w:rsid w:val="00EF4326"/>
    <w:rsid w:val="00EF4353"/>
    <w:rsid w:val="00EF438C"/>
    <w:rsid w:val="00EF459C"/>
    <w:rsid w:val="00EF465B"/>
    <w:rsid w:val="00EF46E3"/>
    <w:rsid w:val="00EF472F"/>
    <w:rsid w:val="00EF48A4"/>
    <w:rsid w:val="00EF48E9"/>
    <w:rsid w:val="00EF4929"/>
    <w:rsid w:val="00EF4A9D"/>
    <w:rsid w:val="00EF4AA1"/>
    <w:rsid w:val="00EF4ABA"/>
    <w:rsid w:val="00EF4B00"/>
    <w:rsid w:val="00EF4BDD"/>
    <w:rsid w:val="00EF4CEA"/>
    <w:rsid w:val="00EF4E17"/>
    <w:rsid w:val="00EF4E47"/>
    <w:rsid w:val="00EF4E75"/>
    <w:rsid w:val="00EF4F35"/>
    <w:rsid w:val="00EF4F98"/>
    <w:rsid w:val="00EF50E4"/>
    <w:rsid w:val="00EF51D9"/>
    <w:rsid w:val="00EF5207"/>
    <w:rsid w:val="00EF52C4"/>
    <w:rsid w:val="00EF536E"/>
    <w:rsid w:val="00EF5431"/>
    <w:rsid w:val="00EF549C"/>
    <w:rsid w:val="00EF54B4"/>
    <w:rsid w:val="00EF5579"/>
    <w:rsid w:val="00EF56CE"/>
    <w:rsid w:val="00EF57C0"/>
    <w:rsid w:val="00EF583C"/>
    <w:rsid w:val="00EF5948"/>
    <w:rsid w:val="00EF5965"/>
    <w:rsid w:val="00EF5975"/>
    <w:rsid w:val="00EF5A08"/>
    <w:rsid w:val="00EF5AA0"/>
    <w:rsid w:val="00EF5AB2"/>
    <w:rsid w:val="00EF5CE9"/>
    <w:rsid w:val="00EF5CF2"/>
    <w:rsid w:val="00EF5D26"/>
    <w:rsid w:val="00EF5E64"/>
    <w:rsid w:val="00EF5EC0"/>
    <w:rsid w:val="00EF5EC8"/>
    <w:rsid w:val="00EF5ECA"/>
    <w:rsid w:val="00EF5F23"/>
    <w:rsid w:val="00EF5F31"/>
    <w:rsid w:val="00EF5F48"/>
    <w:rsid w:val="00EF5FD7"/>
    <w:rsid w:val="00EF6052"/>
    <w:rsid w:val="00EF611E"/>
    <w:rsid w:val="00EF62C9"/>
    <w:rsid w:val="00EF630F"/>
    <w:rsid w:val="00EF63A1"/>
    <w:rsid w:val="00EF63F5"/>
    <w:rsid w:val="00EF6487"/>
    <w:rsid w:val="00EF650B"/>
    <w:rsid w:val="00EF65B6"/>
    <w:rsid w:val="00EF66D1"/>
    <w:rsid w:val="00EF670B"/>
    <w:rsid w:val="00EF6754"/>
    <w:rsid w:val="00EF6822"/>
    <w:rsid w:val="00EF696E"/>
    <w:rsid w:val="00EF6992"/>
    <w:rsid w:val="00EF69C9"/>
    <w:rsid w:val="00EF6A1F"/>
    <w:rsid w:val="00EF6BBC"/>
    <w:rsid w:val="00EF6D0F"/>
    <w:rsid w:val="00EF6D32"/>
    <w:rsid w:val="00EF6D39"/>
    <w:rsid w:val="00EF6D83"/>
    <w:rsid w:val="00EF6E53"/>
    <w:rsid w:val="00EF6EA4"/>
    <w:rsid w:val="00EF6F34"/>
    <w:rsid w:val="00EF6F92"/>
    <w:rsid w:val="00EF7050"/>
    <w:rsid w:val="00EF7140"/>
    <w:rsid w:val="00EF71A5"/>
    <w:rsid w:val="00EF733F"/>
    <w:rsid w:val="00EF73A6"/>
    <w:rsid w:val="00EF744B"/>
    <w:rsid w:val="00EF74A4"/>
    <w:rsid w:val="00EF7509"/>
    <w:rsid w:val="00EF7548"/>
    <w:rsid w:val="00EF79C0"/>
    <w:rsid w:val="00EF7C8D"/>
    <w:rsid w:val="00EF7D59"/>
    <w:rsid w:val="00EF7DFB"/>
    <w:rsid w:val="00EF7E51"/>
    <w:rsid w:val="00EF7E67"/>
    <w:rsid w:val="00EF7EEF"/>
    <w:rsid w:val="00EF7F71"/>
    <w:rsid w:val="00EF7F84"/>
    <w:rsid w:val="00EF7FBF"/>
    <w:rsid w:val="00F0008A"/>
    <w:rsid w:val="00F00140"/>
    <w:rsid w:val="00F001E2"/>
    <w:rsid w:val="00F0022A"/>
    <w:rsid w:val="00F00248"/>
    <w:rsid w:val="00F0026C"/>
    <w:rsid w:val="00F00301"/>
    <w:rsid w:val="00F00417"/>
    <w:rsid w:val="00F00659"/>
    <w:rsid w:val="00F00668"/>
    <w:rsid w:val="00F006BA"/>
    <w:rsid w:val="00F006DB"/>
    <w:rsid w:val="00F006DC"/>
    <w:rsid w:val="00F00710"/>
    <w:rsid w:val="00F007EA"/>
    <w:rsid w:val="00F0081F"/>
    <w:rsid w:val="00F008B6"/>
    <w:rsid w:val="00F00A6F"/>
    <w:rsid w:val="00F00AF5"/>
    <w:rsid w:val="00F00B83"/>
    <w:rsid w:val="00F00BBA"/>
    <w:rsid w:val="00F00D25"/>
    <w:rsid w:val="00F00DD8"/>
    <w:rsid w:val="00F00F2F"/>
    <w:rsid w:val="00F00F47"/>
    <w:rsid w:val="00F010C6"/>
    <w:rsid w:val="00F010D8"/>
    <w:rsid w:val="00F01133"/>
    <w:rsid w:val="00F01270"/>
    <w:rsid w:val="00F012D9"/>
    <w:rsid w:val="00F013CF"/>
    <w:rsid w:val="00F01637"/>
    <w:rsid w:val="00F0165C"/>
    <w:rsid w:val="00F01734"/>
    <w:rsid w:val="00F01896"/>
    <w:rsid w:val="00F01AEF"/>
    <w:rsid w:val="00F01BB8"/>
    <w:rsid w:val="00F01CCA"/>
    <w:rsid w:val="00F01DDF"/>
    <w:rsid w:val="00F01E3C"/>
    <w:rsid w:val="00F01F09"/>
    <w:rsid w:val="00F020EE"/>
    <w:rsid w:val="00F02104"/>
    <w:rsid w:val="00F0210E"/>
    <w:rsid w:val="00F02213"/>
    <w:rsid w:val="00F02286"/>
    <w:rsid w:val="00F02344"/>
    <w:rsid w:val="00F02559"/>
    <w:rsid w:val="00F025FA"/>
    <w:rsid w:val="00F02640"/>
    <w:rsid w:val="00F0265E"/>
    <w:rsid w:val="00F02739"/>
    <w:rsid w:val="00F02840"/>
    <w:rsid w:val="00F02A37"/>
    <w:rsid w:val="00F02A80"/>
    <w:rsid w:val="00F02AE0"/>
    <w:rsid w:val="00F02B09"/>
    <w:rsid w:val="00F02BE0"/>
    <w:rsid w:val="00F02E0A"/>
    <w:rsid w:val="00F02F86"/>
    <w:rsid w:val="00F03014"/>
    <w:rsid w:val="00F030FA"/>
    <w:rsid w:val="00F03105"/>
    <w:rsid w:val="00F03275"/>
    <w:rsid w:val="00F0335D"/>
    <w:rsid w:val="00F0360A"/>
    <w:rsid w:val="00F03769"/>
    <w:rsid w:val="00F03804"/>
    <w:rsid w:val="00F038DB"/>
    <w:rsid w:val="00F038E1"/>
    <w:rsid w:val="00F03B5E"/>
    <w:rsid w:val="00F03B73"/>
    <w:rsid w:val="00F03BCE"/>
    <w:rsid w:val="00F03BE4"/>
    <w:rsid w:val="00F03CEC"/>
    <w:rsid w:val="00F03CF4"/>
    <w:rsid w:val="00F03DC5"/>
    <w:rsid w:val="00F03E59"/>
    <w:rsid w:val="00F03EB5"/>
    <w:rsid w:val="00F040C4"/>
    <w:rsid w:val="00F04141"/>
    <w:rsid w:val="00F041AF"/>
    <w:rsid w:val="00F041F4"/>
    <w:rsid w:val="00F0440B"/>
    <w:rsid w:val="00F0441E"/>
    <w:rsid w:val="00F0452C"/>
    <w:rsid w:val="00F04617"/>
    <w:rsid w:val="00F046D1"/>
    <w:rsid w:val="00F0470A"/>
    <w:rsid w:val="00F04741"/>
    <w:rsid w:val="00F048F4"/>
    <w:rsid w:val="00F0491E"/>
    <w:rsid w:val="00F049CA"/>
    <w:rsid w:val="00F04A0B"/>
    <w:rsid w:val="00F04A77"/>
    <w:rsid w:val="00F04A78"/>
    <w:rsid w:val="00F04AF1"/>
    <w:rsid w:val="00F04BAC"/>
    <w:rsid w:val="00F04BDF"/>
    <w:rsid w:val="00F04BE0"/>
    <w:rsid w:val="00F04C69"/>
    <w:rsid w:val="00F04D4B"/>
    <w:rsid w:val="00F04E03"/>
    <w:rsid w:val="00F04F46"/>
    <w:rsid w:val="00F04FD5"/>
    <w:rsid w:val="00F05017"/>
    <w:rsid w:val="00F050EF"/>
    <w:rsid w:val="00F051CF"/>
    <w:rsid w:val="00F05325"/>
    <w:rsid w:val="00F05393"/>
    <w:rsid w:val="00F054B3"/>
    <w:rsid w:val="00F054BC"/>
    <w:rsid w:val="00F054FE"/>
    <w:rsid w:val="00F056CC"/>
    <w:rsid w:val="00F05711"/>
    <w:rsid w:val="00F0573D"/>
    <w:rsid w:val="00F0580B"/>
    <w:rsid w:val="00F058D1"/>
    <w:rsid w:val="00F05916"/>
    <w:rsid w:val="00F0597A"/>
    <w:rsid w:val="00F05A92"/>
    <w:rsid w:val="00F05AB1"/>
    <w:rsid w:val="00F05AE4"/>
    <w:rsid w:val="00F05B66"/>
    <w:rsid w:val="00F05C33"/>
    <w:rsid w:val="00F05D19"/>
    <w:rsid w:val="00F05EF8"/>
    <w:rsid w:val="00F05F2A"/>
    <w:rsid w:val="00F05F76"/>
    <w:rsid w:val="00F05F9F"/>
    <w:rsid w:val="00F05FCD"/>
    <w:rsid w:val="00F060C8"/>
    <w:rsid w:val="00F06129"/>
    <w:rsid w:val="00F061C9"/>
    <w:rsid w:val="00F061DC"/>
    <w:rsid w:val="00F061E2"/>
    <w:rsid w:val="00F06207"/>
    <w:rsid w:val="00F06259"/>
    <w:rsid w:val="00F063FB"/>
    <w:rsid w:val="00F0655A"/>
    <w:rsid w:val="00F065BF"/>
    <w:rsid w:val="00F065D3"/>
    <w:rsid w:val="00F06782"/>
    <w:rsid w:val="00F067EA"/>
    <w:rsid w:val="00F0687C"/>
    <w:rsid w:val="00F068F3"/>
    <w:rsid w:val="00F069D1"/>
    <w:rsid w:val="00F06A53"/>
    <w:rsid w:val="00F06AE0"/>
    <w:rsid w:val="00F06B45"/>
    <w:rsid w:val="00F06B5D"/>
    <w:rsid w:val="00F06D53"/>
    <w:rsid w:val="00F06E4E"/>
    <w:rsid w:val="00F06EAE"/>
    <w:rsid w:val="00F06F69"/>
    <w:rsid w:val="00F07051"/>
    <w:rsid w:val="00F070E2"/>
    <w:rsid w:val="00F07153"/>
    <w:rsid w:val="00F07166"/>
    <w:rsid w:val="00F071D5"/>
    <w:rsid w:val="00F071FA"/>
    <w:rsid w:val="00F071FF"/>
    <w:rsid w:val="00F07310"/>
    <w:rsid w:val="00F07339"/>
    <w:rsid w:val="00F07503"/>
    <w:rsid w:val="00F07549"/>
    <w:rsid w:val="00F07578"/>
    <w:rsid w:val="00F075A1"/>
    <w:rsid w:val="00F075BE"/>
    <w:rsid w:val="00F07648"/>
    <w:rsid w:val="00F076EC"/>
    <w:rsid w:val="00F077D8"/>
    <w:rsid w:val="00F077DF"/>
    <w:rsid w:val="00F0781E"/>
    <w:rsid w:val="00F0788A"/>
    <w:rsid w:val="00F078AC"/>
    <w:rsid w:val="00F07977"/>
    <w:rsid w:val="00F07A7F"/>
    <w:rsid w:val="00F07B66"/>
    <w:rsid w:val="00F07BAE"/>
    <w:rsid w:val="00F07BE0"/>
    <w:rsid w:val="00F07C41"/>
    <w:rsid w:val="00F07E64"/>
    <w:rsid w:val="00F07EC1"/>
    <w:rsid w:val="00F07F38"/>
    <w:rsid w:val="00F07F82"/>
    <w:rsid w:val="00F07FAA"/>
    <w:rsid w:val="00F07FF5"/>
    <w:rsid w:val="00F10047"/>
    <w:rsid w:val="00F100DA"/>
    <w:rsid w:val="00F101E8"/>
    <w:rsid w:val="00F10267"/>
    <w:rsid w:val="00F102FE"/>
    <w:rsid w:val="00F10317"/>
    <w:rsid w:val="00F10522"/>
    <w:rsid w:val="00F105BA"/>
    <w:rsid w:val="00F106B5"/>
    <w:rsid w:val="00F10703"/>
    <w:rsid w:val="00F1071F"/>
    <w:rsid w:val="00F10754"/>
    <w:rsid w:val="00F10847"/>
    <w:rsid w:val="00F1096E"/>
    <w:rsid w:val="00F109C2"/>
    <w:rsid w:val="00F109C6"/>
    <w:rsid w:val="00F10ACC"/>
    <w:rsid w:val="00F10BB3"/>
    <w:rsid w:val="00F10D40"/>
    <w:rsid w:val="00F10E71"/>
    <w:rsid w:val="00F10F98"/>
    <w:rsid w:val="00F1114F"/>
    <w:rsid w:val="00F111C4"/>
    <w:rsid w:val="00F11259"/>
    <w:rsid w:val="00F11270"/>
    <w:rsid w:val="00F112D8"/>
    <w:rsid w:val="00F1132B"/>
    <w:rsid w:val="00F11367"/>
    <w:rsid w:val="00F113ED"/>
    <w:rsid w:val="00F11452"/>
    <w:rsid w:val="00F1149B"/>
    <w:rsid w:val="00F116D8"/>
    <w:rsid w:val="00F1172C"/>
    <w:rsid w:val="00F117A0"/>
    <w:rsid w:val="00F11844"/>
    <w:rsid w:val="00F11908"/>
    <w:rsid w:val="00F1195A"/>
    <w:rsid w:val="00F11975"/>
    <w:rsid w:val="00F11A03"/>
    <w:rsid w:val="00F11A7E"/>
    <w:rsid w:val="00F11BC6"/>
    <w:rsid w:val="00F11BEE"/>
    <w:rsid w:val="00F11D64"/>
    <w:rsid w:val="00F11D7F"/>
    <w:rsid w:val="00F11DD6"/>
    <w:rsid w:val="00F11E37"/>
    <w:rsid w:val="00F11E46"/>
    <w:rsid w:val="00F11E4F"/>
    <w:rsid w:val="00F11EB0"/>
    <w:rsid w:val="00F11EE7"/>
    <w:rsid w:val="00F11F9C"/>
    <w:rsid w:val="00F11FE2"/>
    <w:rsid w:val="00F12000"/>
    <w:rsid w:val="00F120E1"/>
    <w:rsid w:val="00F1217B"/>
    <w:rsid w:val="00F121B6"/>
    <w:rsid w:val="00F12226"/>
    <w:rsid w:val="00F12254"/>
    <w:rsid w:val="00F122E0"/>
    <w:rsid w:val="00F12469"/>
    <w:rsid w:val="00F12491"/>
    <w:rsid w:val="00F12559"/>
    <w:rsid w:val="00F1258B"/>
    <w:rsid w:val="00F126C5"/>
    <w:rsid w:val="00F126D0"/>
    <w:rsid w:val="00F12782"/>
    <w:rsid w:val="00F1279C"/>
    <w:rsid w:val="00F127AF"/>
    <w:rsid w:val="00F127D2"/>
    <w:rsid w:val="00F129E7"/>
    <w:rsid w:val="00F12C9B"/>
    <w:rsid w:val="00F12EB1"/>
    <w:rsid w:val="00F12EB8"/>
    <w:rsid w:val="00F12EC1"/>
    <w:rsid w:val="00F12FB0"/>
    <w:rsid w:val="00F13015"/>
    <w:rsid w:val="00F13117"/>
    <w:rsid w:val="00F1314A"/>
    <w:rsid w:val="00F131A2"/>
    <w:rsid w:val="00F132D2"/>
    <w:rsid w:val="00F13335"/>
    <w:rsid w:val="00F13344"/>
    <w:rsid w:val="00F13397"/>
    <w:rsid w:val="00F133D0"/>
    <w:rsid w:val="00F13443"/>
    <w:rsid w:val="00F1344E"/>
    <w:rsid w:val="00F1352F"/>
    <w:rsid w:val="00F1363F"/>
    <w:rsid w:val="00F136C5"/>
    <w:rsid w:val="00F13777"/>
    <w:rsid w:val="00F137C3"/>
    <w:rsid w:val="00F13889"/>
    <w:rsid w:val="00F138C9"/>
    <w:rsid w:val="00F138F0"/>
    <w:rsid w:val="00F1392C"/>
    <w:rsid w:val="00F1392F"/>
    <w:rsid w:val="00F13941"/>
    <w:rsid w:val="00F1395B"/>
    <w:rsid w:val="00F13A24"/>
    <w:rsid w:val="00F13BB6"/>
    <w:rsid w:val="00F13D00"/>
    <w:rsid w:val="00F13DF7"/>
    <w:rsid w:val="00F13FD5"/>
    <w:rsid w:val="00F14285"/>
    <w:rsid w:val="00F142FC"/>
    <w:rsid w:val="00F143BD"/>
    <w:rsid w:val="00F14416"/>
    <w:rsid w:val="00F14469"/>
    <w:rsid w:val="00F14558"/>
    <w:rsid w:val="00F14668"/>
    <w:rsid w:val="00F14697"/>
    <w:rsid w:val="00F14704"/>
    <w:rsid w:val="00F148C2"/>
    <w:rsid w:val="00F14923"/>
    <w:rsid w:val="00F14AD0"/>
    <w:rsid w:val="00F14B49"/>
    <w:rsid w:val="00F14B60"/>
    <w:rsid w:val="00F14B91"/>
    <w:rsid w:val="00F14BD6"/>
    <w:rsid w:val="00F14C5B"/>
    <w:rsid w:val="00F14E58"/>
    <w:rsid w:val="00F14E72"/>
    <w:rsid w:val="00F153F5"/>
    <w:rsid w:val="00F155DC"/>
    <w:rsid w:val="00F1566E"/>
    <w:rsid w:val="00F157C9"/>
    <w:rsid w:val="00F1587C"/>
    <w:rsid w:val="00F15923"/>
    <w:rsid w:val="00F15A70"/>
    <w:rsid w:val="00F15B13"/>
    <w:rsid w:val="00F15B76"/>
    <w:rsid w:val="00F15CB9"/>
    <w:rsid w:val="00F15D9C"/>
    <w:rsid w:val="00F15DA9"/>
    <w:rsid w:val="00F15DF6"/>
    <w:rsid w:val="00F15EBB"/>
    <w:rsid w:val="00F15F44"/>
    <w:rsid w:val="00F15FD9"/>
    <w:rsid w:val="00F1608F"/>
    <w:rsid w:val="00F160A0"/>
    <w:rsid w:val="00F16137"/>
    <w:rsid w:val="00F161C4"/>
    <w:rsid w:val="00F161E0"/>
    <w:rsid w:val="00F1622F"/>
    <w:rsid w:val="00F162A0"/>
    <w:rsid w:val="00F162CB"/>
    <w:rsid w:val="00F162E0"/>
    <w:rsid w:val="00F16376"/>
    <w:rsid w:val="00F163B3"/>
    <w:rsid w:val="00F163CC"/>
    <w:rsid w:val="00F1642A"/>
    <w:rsid w:val="00F1647E"/>
    <w:rsid w:val="00F16614"/>
    <w:rsid w:val="00F16619"/>
    <w:rsid w:val="00F1663E"/>
    <w:rsid w:val="00F166F9"/>
    <w:rsid w:val="00F16827"/>
    <w:rsid w:val="00F16851"/>
    <w:rsid w:val="00F16874"/>
    <w:rsid w:val="00F16915"/>
    <w:rsid w:val="00F169C0"/>
    <w:rsid w:val="00F16B55"/>
    <w:rsid w:val="00F16B87"/>
    <w:rsid w:val="00F16BC3"/>
    <w:rsid w:val="00F16D87"/>
    <w:rsid w:val="00F16D8B"/>
    <w:rsid w:val="00F16E10"/>
    <w:rsid w:val="00F16E86"/>
    <w:rsid w:val="00F16E8D"/>
    <w:rsid w:val="00F16EF1"/>
    <w:rsid w:val="00F16FA9"/>
    <w:rsid w:val="00F16FBE"/>
    <w:rsid w:val="00F17009"/>
    <w:rsid w:val="00F1702A"/>
    <w:rsid w:val="00F17034"/>
    <w:rsid w:val="00F171F1"/>
    <w:rsid w:val="00F17223"/>
    <w:rsid w:val="00F174F9"/>
    <w:rsid w:val="00F17579"/>
    <w:rsid w:val="00F176A2"/>
    <w:rsid w:val="00F176C4"/>
    <w:rsid w:val="00F176E4"/>
    <w:rsid w:val="00F176FE"/>
    <w:rsid w:val="00F1776C"/>
    <w:rsid w:val="00F17770"/>
    <w:rsid w:val="00F177B7"/>
    <w:rsid w:val="00F17815"/>
    <w:rsid w:val="00F1788C"/>
    <w:rsid w:val="00F178B2"/>
    <w:rsid w:val="00F17A3F"/>
    <w:rsid w:val="00F17A49"/>
    <w:rsid w:val="00F17B71"/>
    <w:rsid w:val="00F17D7B"/>
    <w:rsid w:val="00F17DE3"/>
    <w:rsid w:val="00F17FDC"/>
    <w:rsid w:val="00F200BA"/>
    <w:rsid w:val="00F200BC"/>
    <w:rsid w:val="00F2011F"/>
    <w:rsid w:val="00F201EE"/>
    <w:rsid w:val="00F2032B"/>
    <w:rsid w:val="00F2035C"/>
    <w:rsid w:val="00F203FF"/>
    <w:rsid w:val="00F20517"/>
    <w:rsid w:val="00F2078E"/>
    <w:rsid w:val="00F20856"/>
    <w:rsid w:val="00F208FF"/>
    <w:rsid w:val="00F20988"/>
    <w:rsid w:val="00F20B3A"/>
    <w:rsid w:val="00F20B8C"/>
    <w:rsid w:val="00F20BDE"/>
    <w:rsid w:val="00F20BE0"/>
    <w:rsid w:val="00F20BFA"/>
    <w:rsid w:val="00F20C42"/>
    <w:rsid w:val="00F20D1E"/>
    <w:rsid w:val="00F20D63"/>
    <w:rsid w:val="00F20F98"/>
    <w:rsid w:val="00F21088"/>
    <w:rsid w:val="00F2109D"/>
    <w:rsid w:val="00F2110C"/>
    <w:rsid w:val="00F2115E"/>
    <w:rsid w:val="00F2118A"/>
    <w:rsid w:val="00F211BC"/>
    <w:rsid w:val="00F2122B"/>
    <w:rsid w:val="00F2126A"/>
    <w:rsid w:val="00F212CD"/>
    <w:rsid w:val="00F21369"/>
    <w:rsid w:val="00F2158D"/>
    <w:rsid w:val="00F215B6"/>
    <w:rsid w:val="00F215C8"/>
    <w:rsid w:val="00F215D4"/>
    <w:rsid w:val="00F216A7"/>
    <w:rsid w:val="00F21722"/>
    <w:rsid w:val="00F21887"/>
    <w:rsid w:val="00F21A48"/>
    <w:rsid w:val="00F21A88"/>
    <w:rsid w:val="00F21A99"/>
    <w:rsid w:val="00F21AEC"/>
    <w:rsid w:val="00F21B5D"/>
    <w:rsid w:val="00F21B7A"/>
    <w:rsid w:val="00F21BA5"/>
    <w:rsid w:val="00F21EA5"/>
    <w:rsid w:val="00F21F71"/>
    <w:rsid w:val="00F22035"/>
    <w:rsid w:val="00F22107"/>
    <w:rsid w:val="00F221C5"/>
    <w:rsid w:val="00F221E1"/>
    <w:rsid w:val="00F22286"/>
    <w:rsid w:val="00F223E9"/>
    <w:rsid w:val="00F2244C"/>
    <w:rsid w:val="00F227B0"/>
    <w:rsid w:val="00F2286C"/>
    <w:rsid w:val="00F22951"/>
    <w:rsid w:val="00F229A7"/>
    <w:rsid w:val="00F22A12"/>
    <w:rsid w:val="00F22A37"/>
    <w:rsid w:val="00F22A79"/>
    <w:rsid w:val="00F22AC7"/>
    <w:rsid w:val="00F22AD1"/>
    <w:rsid w:val="00F22ADD"/>
    <w:rsid w:val="00F22B31"/>
    <w:rsid w:val="00F22BC8"/>
    <w:rsid w:val="00F22D11"/>
    <w:rsid w:val="00F22DFC"/>
    <w:rsid w:val="00F22E67"/>
    <w:rsid w:val="00F22F47"/>
    <w:rsid w:val="00F22F97"/>
    <w:rsid w:val="00F230FF"/>
    <w:rsid w:val="00F23187"/>
    <w:rsid w:val="00F231A8"/>
    <w:rsid w:val="00F232CF"/>
    <w:rsid w:val="00F2342E"/>
    <w:rsid w:val="00F2345D"/>
    <w:rsid w:val="00F2348A"/>
    <w:rsid w:val="00F2360C"/>
    <w:rsid w:val="00F2377A"/>
    <w:rsid w:val="00F23799"/>
    <w:rsid w:val="00F237B4"/>
    <w:rsid w:val="00F237BA"/>
    <w:rsid w:val="00F23901"/>
    <w:rsid w:val="00F239FC"/>
    <w:rsid w:val="00F23C8B"/>
    <w:rsid w:val="00F23CDC"/>
    <w:rsid w:val="00F23F95"/>
    <w:rsid w:val="00F2407D"/>
    <w:rsid w:val="00F240A4"/>
    <w:rsid w:val="00F240E5"/>
    <w:rsid w:val="00F24255"/>
    <w:rsid w:val="00F24294"/>
    <w:rsid w:val="00F242ED"/>
    <w:rsid w:val="00F2455F"/>
    <w:rsid w:val="00F2457F"/>
    <w:rsid w:val="00F246B9"/>
    <w:rsid w:val="00F246C6"/>
    <w:rsid w:val="00F246DB"/>
    <w:rsid w:val="00F246FB"/>
    <w:rsid w:val="00F2478C"/>
    <w:rsid w:val="00F248E1"/>
    <w:rsid w:val="00F24928"/>
    <w:rsid w:val="00F24961"/>
    <w:rsid w:val="00F249AC"/>
    <w:rsid w:val="00F24A17"/>
    <w:rsid w:val="00F24A3D"/>
    <w:rsid w:val="00F24A49"/>
    <w:rsid w:val="00F24AF8"/>
    <w:rsid w:val="00F24B49"/>
    <w:rsid w:val="00F24B7C"/>
    <w:rsid w:val="00F24C87"/>
    <w:rsid w:val="00F24D36"/>
    <w:rsid w:val="00F24DAA"/>
    <w:rsid w:val="00F24DD4"/>
    <w:rsid w:val="00F24E4F"/>
    <w:rsid w:val="00F24E7D"/>
    <w:rsid w:val="00F24F0C"/>
    <w:rsid w:val="00F24FBA"/>
    <w:rsid w:val="00F24FC9"/>
    <w:rsid w:val="00F252B3"/>
    <w:rsid w:val="00F2543E"/>
    <w:rsid w:val="00F2553C"/>
    <w:rsid w:val="00F2557A"/>
    <w:rsid w:val="00F2557C"/>
    <w:rsid w:val="00F255E6"/>
    <w:rsid w:val="00F25619"/>
    <w:rsid w:val="00F25668"/>
    <w:rsid w:val="00F256AF"/>
    <w:rsid w:val="00F25766"/>
    <w:rsid w:val="00F25789"/>
    <w:rsid w:val="00F258FD"/>
    <w:rsid w:val="00F2596F"/>
    <w:rsid w:val="00F25A04"/>
    <w:rsid w:val="00F25BC0"/>
    <w:rsid w:val="00F25D56"/>
    <w:rsid w:val="00F25E83"/>
    <w:rsid w:val="00F25ED7"/>
    <w:rsid w:val="00F25FC4"/>
    <w:rsid w:val="00F25FF5"/>
    <w:rsid w:val="00F26001"/>
    <w:rsid w:val="00F260C3"/>
    <w:rsid w:val="00F260FC"/>
    <w:rsid w:val="00F2623A"/>
    <w:rsid w:val="00F26281"/>
    <w:rsid w:val="00F2629E"/>
    <w:rsid w:val="00F26462"/>
    <w:rsid w:val="00F26580"/>
    <w:rsid w:val="00F2658F"/>
    <w:rsid w:val="00F26606"/>
    <w:rsid w:val="00F267B6"/>
    <w:rsid w:val="00F26892"/>
    <w:rsid w:val="00F269E8"/>
    <w:rsid w:val="00F26A9F"/>
    <w:rsid w:val="00F26ACB"/>
    <w:rsid w:val="00F26AEC"/>
    <w:rsid w:val="00F26AF8"/>
    <w:rsid w:val="00F26BA8"/>
    <w:rsid w:val="00F26BBE"/>
    <w:rsid w:val="00F26D5D"/>
    <w:rsid w:val="00F26D87"/>
    <w:rsid w:val="00F26E17"/>
    <w:rsid w:val="00F26E21"/>
    <w:rsid w:val="00F26EAB"/>
    <w:rsid w:val="00F27112"/>
    <w:rsid w:val="00F27210"/>
    <w:rsid w:val="00F27248"/>
    <w:rsid w:val="00F272D7"/>
    <w:rsid w:val="00F27311"/>
    <w:rsid w:val="00F27313"/>
    <w:rsid w:val="00F27439"/>
    <w:rsid w:val="00F27561"/>
    <w:rsid w:val="00F27666"/>
    <w:rsid w:val="00F2772E"/>
    <w:rsid w:val="00F27769"/>
    <w:rsid w:val="00F2791A"/>
    <w:rsid w:val="00F27975"/>
    <w:rsid w:val="00F27B97"/>
    <w:rsid w:val="00F27B9D"/>
    <w:rsid w:val="00F27BCF"/>
    <w:rsid w:val="00F27BE7"/>
    <w:rsid w:val="00F27C69"/>
    <w:rsid w:val="00F27CA8"/>
    <w:rsid w:val="00F27EB4"/>
    <w:rsid w:val="00F27F70"/>
    <w:rsid w:val="00F27F97"/>
    <w:rsid w:val="00F30011"/>
    <w:rsid w:val="00F30137"/>
    <w:rsid w:val="00F3026B"/>
    <w:rsid w:val="00F30296"/>
    <w:rsid w:val="00F30343"/>
    <w:rsid w:val="00F30401"/>
    <w:rsid w:val="00F30460"/>
    <w:rsid w:val="00F3047E"/>
    <w:rsid w:val="00F3048B"/>
    <w:rsid w:val="00F305B6"/>
    <w:rsid w:val="00F305D1"/>
    <w:rsid w:val="00F30717"/>
    <w:rsid w:val="00F307A6"/>
    <w:rsid w:val="00F30959"/>
    <w:rsid w:val="00F3096C"/>
    <w:rsid w:val="00F30976"/>
    <w:rsid w:val="00F30B17"/>
    <w:rsid w:val="00F30B3B"/>
    <w:rsid w:val="00F30B5E"/>
    <w:rsid w:val="00F30BE8"/>
    <w:rsid w:val="00F30C9F"/>
    <w:rsid w:val="00F30CCE"/>
    <w:rsid w:val="00F30FF9"/>
    <w:rsid w:val="00F310D4"/>
    <w:rsid w:val="00F31325"/>
    <w:rsid w:val="00F31342"/>
    <w:rsid w:val="00F313B3"/>
    <w:rsid w:val="00F313E7"/>
    <w:rsid w:val="00F31444"/>
    <w:rsid w:val="00F315C0"/>
    <w:rsid w:val="00F315C2"/>
    <w:rsid w:val="00F315DD"/>
    <w:rsid w:val="00F31644"/>
    <w:rsid w:val="00F31685"/>
    <w:rsid w:val="00F3174F"/>
    <w:rsid w:val="00F3184B"/>
    <w:rsid w:val="00F319ED"/>
    <w:rsid w:val="00F31A6B"/>
    <w:rsid w:val="00F31B14"/>
    <w:rsid w:val="00F31B44"/>
    <w:rsid w:val="00F31CCF"/>
    <w:rsid w:val="00F31D21"/>
    <w:rsid w:val="00F31D4E"/>
    <w:rsid w:val="00F31EAB"/>
    <w:rsid w:val="00F31EB6"/>
    <w:rsid w:val="00F31F59"/>
    <w:rsid w:val="00F321C3"/>
    <w:rsid w:val="00F322A8"/>
    <w:rsid w:val="00F32345"/>
    <w:rsid w:val="00F3235F"/>
    <w:rsid w:val="00F327D9"/>
    <w:rsid w:val="00F3280A"/>
    <w:rsid w:val="00F328FB"/>
    <w:rsid w:val="00F3296B"/>
    <w:rsid w:val="00F32A07"/>
    <w:rsid w:val="00F32B4C"/>
    <w:rsid w:val="00F32CE7"/>
    <w:rsid w:val="00F32DCE"/>
    <w:rsid w:val="00F32E13"/>
    <w:rsid w:val="00F32E85"/>
    <w:rsid w:val="00F33115"/>
    <w:rsid w:val="00F33154"/>
    <w:rsid w:val="00F331D4"/>
    <w:rsid w:val="00F332C4"/>
    <w:rsid w:val="00F33383"/>
    <w:rsid w:val="00F333A5"/>
    <w:rsid w:val="00F33438"/>
    <w:rsid w:val="00F33491"/>
    <w:rsid w:val="00F334CD"/>
    <w:rsid w:val="00F336F9"/>
    <w:rsid w:val="00F33722"/>
    <w:rsid w:val="00F3397E"/>
    <w:rsid w:val="00F33981"/>
    <w:rsid w:val="00F3399A"/>
    <w:rsid w:val="00F339BA"/>
    <w:rsid w:val="00F33B71"/>
    <w:rsid w:val="00F33CBC"/>
    <w:rsid w:val="00F33F02"/>
    <w:rsid w:val="00F33F35"/>
    <w:rsid w:val="00F33FCF"/>
    <w:rsid w:val="00F34054"/>
    <w:rsid w:val="00F34091"/>
    <w:rsid w:val="00F341AC"/>
    <w:rsid w:val="00F342EB"/>
    <w:rsid w:val="00F34383"/>
    <w:rsid w:val="00F343AA"/>
    <w:rsid w:val="00F3449C"/>
    <w:rsid w:val="00F345A9"/>
    <w:rsid w:val="00F347FB"/>
    <w:rsid w:val="00F34825"/>
    <w:rsid w:val="00F3489A"/>
    <w:rsid w:val="00F34984"/>
    <w:rsid w:val="00F349CB"/>
    <w:rsid w:val="00F34B0B"/>
    <w:rsid w:val="00F34B19"/>
    <w:rsid w:val="00F34B4B"/>
    <w:rsid w:val="00F34CD8"/>
    <w:rsid w:val="00F34D34"/>
    <w:rsid w:val="00F34E03"/>
    <w:rsid w:val="00F34E11"/>
    <w:rsid w:val="00F34E18"/>
    <w:rsid w:val="00F34F8D"/>
    <w:rsid w:val="00F34FB7"/>
    <w:rsid w:val="00F34FD0"/>
    <w:rsid w:val="00F350F5"/>
    <w:rsid w:val="00F3517D"/>
    <w:rsid w:val="00F3519E"/>
    <w:rsid w:val="00F351BA"/>
    <w:rsid w:val="00F351C1"/>
    <w:rsid w:val="00F35315"/>
    <w:rsid w:val="00F353F8"/>
    <w:rsid w:val="00F3556F"/>
    <w:rsid w:val="00F356FF"/>
    <w:rsid w:val="00F35799"/>
    <w:rsid w:val="00F35843"/>
    <w:rsid w:val="00F35895"/>
    <w:rsid w:val="00F358FA"/>
    <w:rsid w:val="00F359A2"/>
    <w:rsid w:val="00F359A3"/>
    <w:rsid w:val="00F359C0"/>
    <w:rsid w:val="00F35A0C"/>
    <w:rsid w:val="00F35AD2"/>
    <w:rsid w:val="00F35CAD"/>
    <w:rsid w:val="00F35CE6"/>
    <w:rsid w:val="00F35FA4"/>
    <w:rsid w:val="00F3601E"/>
    <w:rsid w:val="00F361EF"/>
    <w:rsid w:val="00F36295"/>
    <w:rsid w:val="00F3629A"/>
    <w:rsid w:val="00F3633F"/>
    <w:rsid w:val="00F36342"/>
    <w:rsid w:val="00F363D5"/>
    <w:rsid w:val="00F364B1"/>
    <w:rsid w:val="00F3651A"/>
    <w:rsid w:val="00F36726"/>
    <w:rsid w:val="00F36732"/>
    <w:rsid w:val="00F367AC"/>
    <w:rsid w:val="00F367BF"/>
    <w:rsid w:val="00F368D1"/>
    <w:rsid w:val="00F36A71"/>
    <w:rsid w:val="00F36A99"/>
    <w:rsid w:val="00F36B10"/>
    <w:rsid w:val="00F36B7F"/>
    <w:rsid w:val="00F36D34"/>
    <w:rsid w:val="00F36DF6"/>
    <w:rsid w:val="00F36E80"/>
    <w:rsid w:val="00F36EA0"/>
    <w:rsid w:val="00F37035"/>
    <w:rsid w:val="00F37062"/>
    <w:rsid w:val="00F37077"/>
    <w:rsid w:val="00F371E3"/>
    <w:rsid w:val="00F3722D"/>
    <w:rsid w:val="00F372A3"/>
    <w:rsid w:val="00F372DB"/>
    <w:rsid w:val="00F37384"/>
    <w:rsid w:val="00F373B4"/>
    <w:rsid w:val="00F373FD"/>
    <w:rsid w:val="00F37481"/>
    <w:rsid w:val="00F374DD"/>
    <w:rsid w:val="00F37575"/>
    <w:rsid w:val="00F3768A"/>
    <w:rsid w:val="00F3776D"/>
    <w:rsid w:val="00F37791"/>
    <w:rsid w:val="00F3780E"/>
    <w:rsid w:val="00F378A2"/>
    <w:rsid w:val="00F378AA"/>
    <w:rsid w:val="00F37928"/>
    <w:rsid w:val="00F3792F"/>
    <w:rsid w:val="00F379D4"/>
    <w:rsid w:val="00F37A9E"/>
    <w:rsid w:val="00F37B56"/>
    <w:rsid w:val="00F37BCD"/>
    <w:rsid w:val="00F37C5C"/>
    <w:rsid w:val="00F37E5F"/>
    <w:rsid w:val="00F37E68"/>
    <w:rsid w:val="00F37ED9"/>
    <w:rsid w:val="00F40037"/>
    <w:rsid w:val="00F40045"/>
    <w:rsid w:val="00F4007D"/>
    <w:rsid w:val="00F40190"/>
    <w:rsid w:val="00F4019B"/>
    <w:rsid w:val="00F405B2"/>
    <w:rsid w:val="00F406E9"/>
    <w:rsid w:val="00F4071C"/>
    <w:rsid w:val="00F4073E"/>
    <w:rsid w:val="00F40749"/>
    <w:rsid w:val="00F408C5"/>
    <w:rsid w:val="00F408E8"/>
    <w:rsid w:val="00F409AF"/>
    <w:rsid w:val="00F409C1"/>
    <w:rsid w:val="00F409DF"/>
    <w:rsid w:val="00F40A67"/>
    <w:rsid w:val="00F40ABE"/>
    <w:rsid w:val="00F40B3B"/>
    <w:rsid w:val="00F40BF0"/>
    <w:rsid w:val="00F40C49"/>
    <w:rsid w:val="00F40F4E"/>
    <w:rsid w:val="00F40FCC"/>
    <w:rsid w:val="00F41038"/>
    <w:rsid w:val="00F4103E"/>
    <w:rsid w:val="00F41043"/>
    <w:rsid w:val="00F41098"/>
    <w:rsid w:val="00F411BB"/>
    <w:rsid w:val="00F41214"/>
    <w:rsid w:val="00F41349"/>
    <w:rsid w:val="00F414EE"/>
    <w:rsid w:val="00F41683"/>
    <w:rsid w:val="00F418F8"/>
    <w:rsid w:val="00F41948"/>
    <w:rsid w:val="00F419A8"/>
    <w:rsid w:val="00F419EC"/>
    <w:rsid w:val="00F41A34"/>
    <w:rsid w:val="00F41A54"/>
    <w:rsid w:val="00F41B94"/>
    <w:rsid w:val="00F41CC2"/>
    <w:rsid w:val="00F41D05"/>
    <w:rsid w:val="00F41D7F"/>
    <w:rsid w:val="00F421AD"/>
    <w:rsid w:val="00F421BC"/>
    <w:rsid w:val="00F421FF"/>
    <w:rsid w:val="00F42206"/>
    <w:rsid w:val="00F4220A"/>
    <w:rsid w:val="00F422B3"/>
    <w:rsid w:val="00F4231B"/>
    <w:rsid w:val="00F42321"/>
    <w:rsid w:val="00F42464"/>
    <w:rsid w:val="00F424E8"/>
    <w:rsid w:val="00F4250B"/>
    <w:rsid w:val="00F42591"/>
    <w:rsid w:val="00F425B3"/>
    <w:rsid w:val="00F4262D"/>
    <w:rsid w:val="00F42890"/>
    <w:rsid w:val="00F429E9"/>
    <w:rsid w:val="00F42A12"/>
    <w:rsid w:val="00F42B62"/>
    <w:rsid w:val="00F42BE4"/>
    <w:rsid w:val="00F42C9B"/>
    <w:rsid w:val="00F42D18"/>
    <w:rsid w:val="00F42F27"/>
    <w:rsid w:val="00F42FC4"/>
    <w:rsid w:val="00F430BA"/>
    <w:rsid w:val="00F431C5"/>
    <w:rsid w:val="00F4340D"/>
    <w:rsid w:val="00F43421"/>
    <w:rsid w:val="00F434CB"/>
    <w:rsid w:val="00F434EA"/>
    <w:rsid w:val="00F43568"/>
    <w:rsid w:val="00F43614"/>
    <w:rsid w:val="00F43616"/>
    <w:rsid w:val="00F43637"/>
    <w:rsid w:val="00F4377C"/>
    <w:rsid w:val="00F43784"/>
    <w:rsid w:val="00F43909"/>
    <w:rsid w:val="00F4396F"/>
    <w:rsid w:val="00F43A22"/>
    <w:rsid w:val="00F43B7C"/>
    <w:rsid w:val="00F43CB9"/>
    <w:rsid w:val="00F43D5F"/>
    <w:rsid w:val="00F43D97"/>
    <w:rsid w:val="00F43DB8"/>
    <w:rsid w:val="00F43EAB"/>
    <w:rsid w:val="00F43ED3"/>
    <w:rsid w:val="00F43EE4"/>
    <w:rsid w:val="00F43EF1"/>
    <w:rsid w:val="00F43F32"/>
    <w:rsid w:val="00F43F35"/>
    <w:rsid w:val="00F4400C"/>
    <w:rsid w:val="00F4400F"/>
    <w:rsid w:val="00F44033"/>
    <w:rsid w:val="00F44065"/>
    <w:rsid w:val="00F440E5"/>
    <w:rsid w:val="00F4413D"/>
    <w:rsid w:val="00F4418E"/>
    <w:rsid w:val="00F4419D"/>
    <w:rsid w:val="00F441CE"/>
    <w:rsid w:val="00F44276"/>
    <w:rsid w:val="00F442B8"/>
    <w:rsid w:val="00F442BA"/>
    <w:rsid w:val="00F44310"/>
    <w:rsid w:val="00F443A5"/>
    <w:rsid w:val="00F444BE"/>
    <w:rsid w:val="00F44509"/>
    <w:rsid w:val="00F4456D"/>
    <w:rsid w:val="00F44619"/>
    <w:rsid w:val="00F44623"/>
    <w:rsid w:val="00F44645"/>
    <w:rsid w:val="00F446CF"/>
    <w:rsid w:val="00F44751"/>
    <w:rsid w:val="00F44862"/>
    <w:rsid w:val="00F44890"/>
    <w:rsid w:val="00F448BA"/>
    <w:rsid w:val="00F448F2"/>
    <w:rsid w:val="00F44A84"/>
    <w:rsid w:val="00F44C0E"/>
    <w:rsid w:val="00F44C3F"/>
    <w:rsid w:val="00F44C81"/>
    <w:rsid w:val="00F44D68"/>
    <w:rsid w:val="00F44F3C"/>
    <w:rsid w:val="00F4510D"/>
    <w:rsid w:val="00F4537F"/>
    <w:rsid w:val="00F45528"/>
    <w:rsid w:val="00F456BF"/>
    <w:rsid w:val="00F45804"/>
    <w:rsid w:val="00F45812"/>
    <w:rsid w:val="00F458E7"/>
    <w:rsid w:val="00F45925"/>
    <w:rsid w:val="00F45938"/>
    <w:rsid w:val="00F45961"/>
    <w:rsid w:val="00F459BF"/>
    <w:rsid w:val="00F45A9A"/>
    <w:rsid w:val="00F45AFC"/>
    <w:rsid w:val="00F45B1C"/>
    <w:rsid w:val="00F45BD4"/>
    <w:rsid w:val="00F45C10"/>
    <w:rsid w:val="00F45C3C"/>
    <w:rsid w:val="00F45E40"/>
    <w:rsid w:val="00F45EE4"/>
    <w:rsid w:val="00F45F15"/>
    <w:rsid w:val="00F45F18"/>
    <w:rsid w:val="00F45F1F"/>
    <w:rsid w:val="00F45FFC"/>
    <w:rsid w:val="00F4607D"/>
    <w:rsid w:val="00F46139"/>
    <w:rsid w:val="00F461C8"/>
    <w:rsid w:val="00F46407"/>
    <w:rsid w:val="00F46466"/>
    <w:rsid w:val="00F46499"/>
    <w:rsid w:val="00F464CC"/>
    <w:rsid w:val="00F4665E"/>
    <w:rsid w:val="00F466C6"/>
    <w:rsid w:val="00F468AB"/>
    <w:rsid w:val="00F468E1"/>
    <w:rsid w:val="00F468FF"/>
    <w:rsid w:val="00F46992"/>
    <w:rsid w:val="00F46994"/>
    <w:rsid w:val="00F469CB"/>
    <w:rsid w:val="00F46A4A"/>
    <w:rsid w:val="00F46A81"/>
    <w:rsid w:val="00F46BCC"/>
    <w:rsid w:val="00F46BEA"/>
    <w:rsid w:val="00F46C9D"/>
    <w:rsid w:val="00F46D08"/>
    <w:rsid w:val="00F46D6E"/>
    <w:rsid w:val="00F46D85"/>
    <w:rsid w:val="00F46D92"/>
    <w:rsid w:val="00F46DC3"/>
    <w:rsid w:val="00F46E93"/>
    <w:rsid w:val="00F47096"/>
    <w:rsid w:val="00F470AF"/>
    <w:rsid w:val="00F4712C"/>
    <w:rsid w:val="00F47137"/>
    <w:rsid w:val="00F471B7"/>
    <w:rsid w:val="00F471EF"/>
    <w:rsid w:val="00F47240"/>
    <w:rsid w:val="00F4726D"/>
    <w:rsid w:val="00F4732D"/>
    <w:rsid w:val="00F4737A"/>
    <w:rsid w:val="00F474D0"/>
    <w:rsid w:val="00F475B4"/>
    <w:rsid w:val="00F475D3"/>
    <w:rsid w:val="00F4760B"/>
    <w:rsid w:val="00F4789F"/>
    <w:rsid w:val="00F47A44"/>
    <w:rsid w:val="00F47A7E"/>
    <w:rsid w:val="00F47A99"/>
    <w:rsid w:val="00F47C3B"/>
    <w:rsid w:val="00F47C41"/>
    <w:rsid w:val="00F47C58"/>
    <w:rsid w:val="00F47D2E"/>
    <w:rsid w:val="00F47D7F"/>
    <w:rsid w:val="00F47D8E"/>
    <w:rsid w:val="00F47DC7"/>
    <w:rsid w:val="00F47E75"/>
    <w:rsid w:val="00F47F3F"/>
    <w:rsid w:val="00F47FDA"/>
    <w:rsid w:val="00F50024"/>
    <w:rsid w:val="00F5005B"/>
    <w:rsid w:val="00F500ED"/>
    <w:rsid w:val="00F50186"/>
    <w:rsid w:val="00F501B7"/>
    <w:rsid w:val="00F502C3"/>
    <w:rsid w:val="00F5044E"/>
    <w:rsid w:val="00F504CC"/>
    <w:rsid w:val="00F50511"/>
    <w:rsid w:val="00F50576"/>
    <w:rsid w:val="00F50597"/>
    <w:rsid w:val="00F505A1"/>
    <w:rsid w:val="00F5066A"/>
    <w:rsid w:val="00F5077F"/>
    <w:rsid w:val="00F50791"/>
    <w:rsid w:val="00F509A1"/>
    <w:rsid w:val="00F50AB3"/>
    <w:rsid w:val="00F50BCE"/>
    <w:rsid w:val="00F50BF2"/>
    <w:rsid w:val="00F50C53"/>
    <w:rsid w:val="00F50C6E"/>
    <w:rsid w:val="00F50CA1"/>
    <w:rsid w:val="00F50D6B"/>
    <w:rsid w:val="00F50D8B"/>
    <w:rsid w:val="00F50D8D"/>
    <w:rsid w:val="00F50D9A"/>
    <w:rsid w:val="00F50DA7"/>
    <w:rsid w:val="00F50E3E"/>
    <w:rsid w:val="00F50E3F"/>
    <w:rsid w:val="00F50E55"/>
    <w:rsid w:val="00F51012"/>
    <w:rsid w:val="00F51085"/>
    <w:rsid w:val="00F510DB"/>
    <w:rsid w:val="00F511BD"/>
    <w:rsid w:val="00F5121A"/>
    <w:rsid w:val="00F512B1"/>
    <w:rsid w:val="00F513A7"/>
    <w:rsid w:val="00F513C1"/>
    <w:rsid w:val="00F5147E"/>
    <w:rsid w:val="00F5160B"/>
    <w:rsid w:val="00F516FA"/>
    <w:rsid w:val="00F51722"/>
    <w:rsid w:val="00F51938"/>
    <w:rsid w:val="00F51961"/>
    <w:rsid w:val="00F519E8"/>
    <w:rsid w:val="00F51A7D"/>
    <w:rsid w:val="00F51CDF"/>
    <w:rsid w:val="00F51EA5"/>
    <w:rsid w:val="00F51EAF"/>
    <w:rsid w:val="00F51F1B"/>
    <w:rsid w:val="00F51FD2"/>
    <w:rsid w:val="00F52095"/>
    <w:rsid w:val="00F521EE"/>
    <w:rsid w:val="00F52233"/>
    <w:rsid w:val="00F522CF"/>
    <w:rsid w:val="00F522EF"/>
    <w:rsid w:val="00F52345"/>
    <w:rsid w:val="00F52354"/>
    <w:rsid w:val="00F523AE"/>
    <w:rsid w:val="00F5249E"/>
    <w:rsid w:val="00F525D8"/>
    <w:rsid w:val="00F52685"/>
    <w:rsid w:val="00F52735"/>
    <w:rsid w:val="00F5275C"/>
    <w:rsid w:val="00F5278E"/>
    <w:rsid w:val="00F52844"/>
    <w:rsid w:val="00F528F6"/>
    <w:rsid w:val="00F529A6"/>
    <w:rsid w:val="00F529E6"/>
    <w:rsid w:val="00F52A3A"/>
    <w:rsid w:val="00F52A3C"/>
    <w:rsid w:val="00F52A7C"/>
    <w:rsid w:val="00F52AA3"/>
    <w:rsid w:val="00F52B59"/>
    <w:rsid w:val="00F52BBF"/>
    <w:rsid w:val="00F52C0A"/>
    <w:rsid w:val="00F52D41"/>
    <w:rsid w:val="00F52E7B"/>
    <w:rsid w:val="00F5306D"/>
    <w:rsid w:val="00F530D3"/>
    <w:rsid w:val="00F530D9"/>
    <w:rsid w:val="00F531D3"/>
    <w:rsid w:val="00F532B3"/>
    <w:rsid w:val="00F532F1"/>
    <w:rsid w:val="00F53356"/>
    <w:rsid w:val="00F53385"/>
    <w:rsid w:val="00F533F1"/>
    <w:rsid w:val="00F5358D"/>
    <w:rsid w:val="00F535F2"/>
    <w:rsid w:val="00F5375D"/>
    <w:rsid w:val="00F53C1D"/>
    <w:rsid w:val="00F53C25"/>
    <w:rsid w:val="00F53C43"/>
    <w:rsid w:val="00F53D09"/>
    <w:rsid w:val="00F53DA0"/>
    <w:rsid w:val="00F53E2A"/>
    <w:rsid w:val="00F5405B"/>
    <w:rsid w:val="00F540CD"/>
    <w:rsid w:val="00F54111"/>
    <w:rsid w:val="00F54136"/>
    <w:rsid w:val="00F542A7"/>
    <w:rsid w:val="00F5434C"/>
    <w:rsid w:val="00F544FB"/>
    <w:rsid w:val="00F545C8"/>
    <w:rsid w:val="00F545E6"/>
    <w:rsid w:val="00F54622"/>
    <w:rsid w:val="00F546C4"/>
    <w:rsid w:val="00F546FD"/>
    <w:rsid w:val="00F5487C"/>
    <w:rsid w:val="00F548ED"/>
    <w:rsid w:val="00F54A20"/>
    <w:rsid w:val="00F54ADF"/>
    <w:rsid w:val="00F54B84"/>
    <w:rsid w:val="00F54B86"/>
    <w:rsid w:val="00F54C1A"/>
    <w:rsid w:val="00F54C4A"/>
    <w:rsid w:val="00F54C6A"/>
    <w:rsid w:val="00F54CEC"/>
    <w:rsid w:val="00F54EDB"/>
    <w:rsid w:val="00F55082"/>
    <w:rsid w:val="00F5509A"/>
    <w:rsid w:val="00F550A8"/>
    <w:rsid w:val="00F553ED"/>
    <w:rsid w:val="00F55449"/>
    <w:rsid w:val="00F55533"/>
    <w:rsid w:val="00F5555B"/>
    <w:rsid w:val="00F555F7"/>
    <w:rsid w:val="00F556B5"/>
    <w:rsid w:val="00F55767"/>
    <w:rsid w:val="00F55770"/>
    <w:rsid w:val="00F55863"/>
    <w:rsid w:val="00F5593D"/>
    <w:rsid w:val="00F5594F"/>
    <w:rsid w:val="00F5596C"/>
    <w:rsid w:val="00F5597A"/>
    <w:rsid w:val="00F55B0D"/>
    <w:rsid w:val="00F55BD1"/>
    <w:rsid w:val="00F55DF3"/>
    <w:rsid w:val="00F55FE6"/>
    <w:rsid w:val="00F56068"/>
    <w:rsid w:val="00F56084"/>
    <w:rsid w:val="00F561A6"/>
    <w:rsid w:val="00F56233"/>
    <w:rsid w:val="00F562D2"/>
    <w:rsid w:val="00F56334"/>
    <w:rsid w:val="00F563FC"/>
    <w:rsid w:val="00F5651E"/>
    <w:rsid w:val="00F5655E"/>
    <w:rsid w:val="00F5669C"/>
    <w:rsid w:val="00F5676D"/>
    <w:rsid w:val="00F56896"/>
    <w:rsid w:val="00F568BC"/>
    <w:rsid w:val="00F5696E"/>
    <w:rsid w:val="00F569A1"/>
    <w:rsid w:val="00F569A4"/>
    <w:rsid w:val="00F56A04"/>
    <w:rsid w:val="00F56A13"/>
    <w:rsid w:val="00F56B50"/>
    <w:rsid w:val="00F56CC9"/>
    <w:rsid w:val="00F56EF0"/>
    <w:rsid w:val="00F56F2F"/>
    <w:rsid w:val="00F56F52"/>
    <w:rsid w:val="00F5705E"/>
    <w:rsid w:val="00F57071"/>
    <w:rsid w:val="00F5717B"/>
    <w:rsid w:val="00F571BA"/>
    <w:rsid w:val="00F572D6"/>
    <w:rsid w:val="00F57368"/>
    <w:rsid w:val="00F57445"/>
    <w:rsid w:val="00F57539"/>
    <w:rsid w:val="00F575DB"/>
    <w:rsid w:val="00F576A0"/>
    <w:rsid w:val="00F576FC"/>
    <w:rsid w:val="00F5771A"/>
    <w:rsid w:val="00F5778B"/>
    <w:rsid w:val="00F57833"/>
    <w:rsid w:val="00F5785D"/>
    <w:rsid w:val="00F57871"/>
    <w:rsid w:val="00F57A2C"/>
    <w:rsid w:val="00F57B62"/>
    <w:rsid w:val="00F57BB2"/>
    <w:rsid w:val="00F57C38"/>
    <w:rsid w:val="00F57C92"/>
    <w:rsid w:val="00F57CED"/>
    <w:rsid w:val="00F57E84"/>
    <w:rsid w:val="00F57ED4"/>
    <w:rsid w:val="00F6030D"/>
    <w:rsid w:val="00F60663"/>
    <w:rsid w:val="00F60682"/>
    <w:rsid w:val="00F60768"/>
    <w:rsid w:val="00F60816"/>
    <w:rsid w:val="00F60AAF"/>
    <w:rsid w:val="00F60B37"/>
    <w:rsid w:val="00F60B63"/>
    <w:rsid w:val="00F60C08"/>
    <w:rsid w:val="00F60C84"/>
    <w:rsid w:val="00F60CED"/>
    <w:rsid w:val="00F60D18"/>
    <w:rsid w:val="00F60D90"/>
    <w:rsid w:val="00F60E11"/>
    <w:rsid w:val="00F61020"/>
    <w:rsid w:val="00F6119F"/>
    <w:rsid w:val="00F611E0"/>
    <w:rsid w:val="00F6126F"/>
    <w:rsid w:val="00F61381"/>
    <w:rsid w:val="00F61541"/>
    <w:rsid w:val="00F61579"/>
    <w:rsid w:val="00F615BF"/>
    <w:rsid w:val="00F616A5"/>
    <w:rsid w:val="00F616F4"/>
    <w:rsid w:val="00F61783"/>
    <w:rsid w:val="00F61803"/>
    <w:rsid w:val="00F61848"/>
    <w:rsid w:val="00F61AC1"/>
    <w:rsid w:val="00F61AEB"/>
    <w:rsid w:val="00F61B32"/>
    <w:rsid w:val="00F61B57"/>
    <w:rsid w:val="00F61C10"/>
    <w:rsid w:val="00F621DF"/>
    <w:rsid w:val="00F622A5"/>
    <w:rsid w:val="00F623C0"/>
    <w:rsid w:val="00F623FE"/>
    <w:rsid w:val="00F62420"/>
    <w:rsid w:val="00F62440"/>
    <w:rsid w:val="00F62444"/>
    <w:rsid w:val="00F625CA"/>
    <w:rsid w:val="00F62641"/>
    <w:rsid w:val="00F62654"/>
    <w:rsid w:val="00F62737"/>
    <w:rsid w:val="00F62762"/>
    <w:rsid w:val="00F62806"/>
    <w:rsid w:val="00F628AD"/>
    <w:rsid w:val="00F628D5"/>
    <w:rsid w:val="00F628DA"/>
    <w:rsid w:val="00F62996"/>
    <w:rsid w:val="00F62C87"/>
    <w:rsid w:val="00F62C8F"/>
    <w:rsid w:val="00F62C96"/>
    <w:rsid w:val="00F62CA3"/>
    <w:rsid w:val="00F62D94"/>
    <w:rsid w:val="00F62F1C"/>
    <w:rsid w:val="00F62F1F"/>
    <w:rsid w:val="00F6300F"/>
    <w:rsid w:val="00F630B3"/>
    <w:rsid w:val="00F630D7"/>
    <w:rsid w:val="00F63113"/>
    <w:rsid w:val="00F6311F"/>
    <w:rsid w:val="00F631B1"/>
    <w:rsid w:val="00F6326A"/>
    <w:rsid w:val="00F6326D"/>
    <w:rsid w:val="00F6339B"/>
    <w:rsid w:val="00F6357A"/>
    <w:rsid w:val="00F63633"/>
    <w:rsid w:val="00F636F6"/>
    <w:rsid w:val="00F63796"/>
    <w:rsid w:val="00F637C4"/>
    <w:rsid w:val="00F639CB"/>
    <w:rsid w:val="00F63A76"/>
    <w:rsid w:val="00F63B13"/>
    <w:rsid w:val="00F63BFA"/>
    <w:rsid w:val="00F63CC2"/>
    <w:rsid w:val="00F63D6A"/>
    <w:rsid w:val="00F63E06"/>
    <w:rsid w:val="00F63EB6"/>
    <w:rsid w:val="00F63EB7"/>
    <w:rsid w:val="00F63EDC"/>
    <w:rsid w:val="00F64066"/>
    <w:rsid w:val="00F64099"/>
    <w:rsid w:val="00F64183"/>
    <w:rsid w:val="00F641C1"/>
    <w:rsid w:val="00F642C7"/>
    <w:rsid w:val="00F643F1"/>
    <w:rsid w:val="00F64540"/>
    <w:rsid w:val="00F645AF"/>
    <w:rsid w:val="00F6460A"/>
    <w:rsid w:val="00F646F4"/>
    <w:rsid w:val="00F64890"/>
    <w:rsid w:val="00F648A7"/>
    <w:rsid w:val="00F648AD"/>
    <w:rsid w:val="00F648D4"/>
    <w:rsid w:val="00F64975"/>
    <w:rsid w:val="00F64AC0"/>
    <w:rsid w:val="00F64C29"/>
    <w:rsid w:val="00F64FC5"/>
    <w:rsid w:val="00F64FD0"/>
    <w:rsid w:val="00F6507E"/>
    <w:rsid w:val="00F6517D"/>
    <w:rsid w:val="00F65238"/>
    <w:rsid w:val="00F6529B"/>
    <w:rsid w:val="00F652F8"/>
    <w:rsid w:val="00F653AF"/>
    <w:rsid w:val="00F65509"/>
    <w:rsid w:val="00F65596"/>
    <w:rsid w:val="00F655A8"/>
    <w:rsid w:val="00F656DC"/>
    <w:rsid w:val="00F65769"/>
    <w:rsid w:val="00F657DC"/>
    <w:rsid w:val="00F65A90"/>
    <w:rsid w:val="00F65D01"/>
    <w:rsid w:val="00F65D0E"/>
    <w:rsid w:val="00F65DA0"/>
    <w:rsid w:val="00F65E8B"/>
    <w:rsid w:val="00F65EB6"/>
    <w:rsid w:val="00F65F8F"/>
    <w:rsid w:val="00F66051"/>
    <w:rsid w:val="00F661A7"/>
    <w:rsid w:val="00F66248"/>
    <w:rsid w:val="00F6624B"/>
    <w:rsid w:val="00F66395"/>
    <w:rsid w:val="00F66598"/>
    <w:rsid w:val="00F665D9"/>
    <w:rsid w:val="00F6671F"/>
    <w:rsid w:val="00F66827"/>
    <w:rsid w:val="00F668FD"/>
    <w:rsid w:val="00F66A3B"/>
    <w:rsid w:val="00F66A80"/>
    <w:rsid w:val="00F66B3E"/>
    <w:rsid w:val="00F66C80"/>
    <w:rsid w:val="00F66D1A"/>
    <w:rsid w:val="00F66D85"/>
    <w:rsid w:val="00F66DE9"/>
    <w:rsid w:val="00F66DFE"/>
    <w:rsid w:val="00F66E2D"/>
    <w:rsid w:val="00F66F17"/>
    <w:rsid w:val="00F66F74"/>
    <w:rsid w:val="00F6702D"/>
    <w:rsid w:val="00F670A9"/>
    <w:rsid w:val="00F670C2"/>
    <w:rsid w:val="00F671C0"/>
    <w:rsid w:val="00F67340"/>
    <w:rsid w:val="00F675B6"/>
    <w:rsid w:val="00F675CE"/>
    <w:rsid w:val="00F67685"/>
    <w:rsid w:val="00F676BD"/>
    <w:rsid w:val="00F6777C"/>
    <w:rsid w:val="00F6781C"/>
    <w:rsid w:val="00F678AB"/>
    <w:rsid w:val="00F678D9"/>
    <w:rsid w:val="00F67994"/>
    <w:rsid w:val="00F67B58"/>
    <w:rsid w:val="00F67C38"/>
    <w:rsid w:val="00F67D3F"/>
    <w:rsid w:val="00F67E38"/>
    <w:rsid w:val="00F67E3D"/>
    <w:rsid w:val="00F67ED2"/>
    <w:rsid w:val="00F67F80"/>
    <w:rsid w:val="00F67FD9"/>
    <w:rsid w:val="00F6C57B"/>
    <w:rsid w:val="00F700BC"/>
    <w:rsid w:val="00F700CF"/>
    <w:rsid w:val="00F700EA"/>
    <w:rsid w:val="00F70167"/>
    <w:rsid w:val="00F70314"/>
    <w:rsid w:val="00F7036F"/>
    <w:rsid w:val="00F7038C"/>
    <w:rsid w:val="00F703AD"/>
    <w:rsid w:val="00F703FD"/>
    <w:rsid w:val="00F70492"/>
    <w:rsid w:val="00F704AB"/>
    <w:rsid w:val="00F705CC"/>
    <w:rsid w:val="00F705F1"/>
    <w:rsid w:val="00F70682"/>
    <w:rsid w:val="00F7075C"/>
    <w:rsid w:val="00F70852"/>
    <w:rsid w:val="00F708FB"/>
    <w:rsid w:val="00F7093C"/>
    <w:rsid w:val="00F70988"/>
    <w:rsid w:val="00F709AC"/>
    <w:rsid w:val="00F70AB8"/>
    <w:rsid w:val="00F70B14"/>
    <w:rsid w:val="00F70D18"/>
    <w:rsid w:val="00F70DB2"/>
    <w:rsid w:val="00F70E1A"/>
    <w:rsid w:val="00F70F1D"/>
    <w:rsid w:val="00F71066"/>
    <w:rsid w:val="00F71202"/>
    <w:rsid w:val="00F7125B"/>
    <w:rsid w:val="00F712B9"/>
    <w:rsid w:val="00F713EF"/>
    <w:rsid w:val="00F71447"/>
    <w:rsid w:val="00F71484"/>
    <w:rsid w:val="00F715B4"/>
    <w:rsid w:val="00F715ED"/>
    <w:rsid w:val="00F71645"/>
    <w:rsid w:val="00F716A9"/>
    <w:rsid w:val="00F718D5"/>
    <w:rsid w:val="00F71943"/>
    <w:rsid w:val="00F71958"/>
    <w:rsid w:val="00F71985"/>
    <w:rsid w:val="00F71992"/>
    <w:rsid w:val="00F71AB1"/>
    <w:rsid w:val="00F71ADB"/>
    <w:rsid w:val="00F71B61"/>
    <w:rsid w:val="00F71B9C"/>
    <w:rsid w:val="00F71BA3"/>
    <w:rsid w:val="00F71C16"/>
    <w:rsid w:val="00F71CA7"/>
    <w:rsid w:val="00F71CA9"/>
    <w:rsid w:val="00F71CF9"/>
    <w:rsid w:val="00F71D20"/>
    <w:rsid w:val="00F71E6A"/>
    <w:rsid w:val="00F71F8B"/>
    <w:rsid w:val="00F7209F"/>
    <w:rsid w:val="00F720A1"/>
    <w:rsid w:val="00F7211F"/>
    <w:rsid w:val="00F72157"/>
    <w:rsid w:val="00F721AD"/>
    <w:rsid w:val="00F72241"/>
    <w:rsid w:val="00F722C2"/>
    <w:rsid w:val="00F722E3"/>
    <w:rsid w:val="00F7231C"/>
    <w:rsid w:val="00F72352"/>
    <w:rsid w:val="00F723B4"/>
    <w:rsid w:val="00F72543"/>
    <w:rsid w:val="00F725CA"/>
    <w:rsid w:val="00F726E1"/>
    <w:rsid w:val="00F7279C"/>
    <w:rsid w:val="00F727CB"/>
    <w:rsid w:val="00F727D8"/>
    <w:rsid w:val="00F72836"/>
    <w:rsid w:val="00F728AD"/>
    <w:rsid w:val="00F7296F"/>
    <w:rsid w:val="00F729A8"/>
    <w:rsid w:val="00F72CC6"/>
    <w:rsid w:val="00F72D36"/>
    <w:rsid w:val="00F72DA8"/>
    <w:rsid w:val="00F72DAB"/>
    <w:rsid w:val="00F72E59"/>
    <w:rsid w:val="00F72EBE"/>
    <w:rsid w:val="00F72F2F"/>
    <w:rsid w:val="00F7304A"/>
    <w:rsid w:val="00F730DC"/>
    <w:rsid w:val="00F73191"/>
    <w:rsid w:val="00F73263"/>
    <w:rsid w:val="00F73264"/>
    <w:rsid w:val="00F7329B"/>
    <w:rsid w:val="00F7331E"/>
    <w:rsid w:val="00F73320"/>
    <w:rsid w:val="00F73337"/>
    <w:rsid w:val="00F7339A"/>
    <w:rsid w:val="00F73437"/>
    <w:rsid w:val="00F73451"/>
    <w:rsid w:val="00F7346C"/>
    <w:rsid w:val="00F73498"/>
    <w:rsid w:val="00F7356C"/>
    <w:rsid w:val="00F7359B"/>
    <w:rsid w:val="00F73655"/>
    <w:rsid w:val="00F736C3"/>
    <w:rsid w:val="00F73732"/>
    <w:rsid w:val="00F7379B"/>
    <w:rsid w:val="00F737A6"/>
    <w:rsid w:val="00F7383C"/>
    <w:rsid w:val="00F73844"/>
    <w:rsid w:val="00F73AA6"/>
    <w:rsid w:val="00F73AE4"/>
    <w:rsid w:val="00F73B41"/>
    <w:rsid w:val="00F73BDB"/>
    <w:rsid w:val="00F73CF1"/>
    <w:rsid w:val="00F73D19"/>
    <w:rsid w:val="00F73D2B"/>
    <w:rsid w:val="00F73D3C"/>
    <w:rsid w:val="00F73D6F"/>
    <w:rsid w:val="00F73E8F"/>
    <w:rsid w:val="00F73E97"/>
    <w:rsid w:val="00F73F20"/>
    <w:rsid w:val="00F74030"/>
    <w:rsid w:val="00F7405C"/>
    <w:rsid w:val="00F74144"/>
    <w:rsid w:val="00F74235"/>
    <w:rsid w:val="00F7429E"/>
    <w:rsid w:val="00F744CF"/>
    <w:rsid w:val="00F74510"/>
    <w:rsid w:val="00F745AE"/>
    <w:rsid w:val="00F746FB"/>
    <w:rsid w:val="00F747F1"/>
    <w:rsid w:val="00F7483C"/>
    <w:rsid w:val="00F74857"/>
    <w:rsid w:val="00F748A7"/>
    <w:rsid w:val="00F748DA"/>
    <w:rsid w:val="00F74943"/>
    <w:rsid w:val="00F74BE7"/>
    <w:rsid w:val="00F74C83"/>
    <w:rsid w:val="00F74DD5"/>
    <w:rsid w:val="00F74F64"/>
    <w:rsid w:val="00F750E6"/>
    <w:rsid w:val="00F751CC"/>
    <w:rsid w:val="00F75222"/>
    <w:rsid w:val="00F75242"/>
    <w:rsid w:val="00F75275"/>
    <w:rsid w:val="00F752F6"/>
    <w:rsid w:val="00F753E6"/>
    <w:rsid w:val="00F753ED"/>
    <w:rsid w:val="00F7546E"/>
    <w:rsid w:val="00F754D3"/>
    <w:rsid w:val="00F754F7"/>
    <w:rsid w:val="00F7563B"/>
    <w:rsid w:val="00F75640"/>
    <w:rsid w:val="00F758D1"/>
    <w:rsid w:val="00F75A24"/>
    <w:rsid w:val="00F75A7C"/>
    <w:rsid w:val="00F75AAD"/>
    <w:rsid w:val="00F75B98"/>
    <w:rsid w:val="00F75BD8"/>
    <w:rsid w:val="00F75D1E"/>
    <w:rsid w:val="00F75D38"/>
    <w:rsid w:val="00F75D47"/>
    <w:rsid w:val="00F75D98"/>
    <w:rsid w:val="00F75DA0"/>
    <w:rsid w:val="00F75E10"/>
    <w:rsid w:val="00F75E5F"/>
    <w:rsid w:val="00F75EA0"/>
    <w:rsid w:val="00F75F4F"/>
    <w:rsid w:val="00F76037"/>
    <w:rsid w:val="00F7606A"/>
    <w:rsid w:val="00F760A9"/>
    <w:rsid w:val="00F761A0"/>
    <w:rsid w:val="00F7622A"/>
    <w:rsid w:val="00F76333"/>
    <w:rsid w:val="00F763F0"/>
    <w:rsid w:val="00F76465"/>
    <w:rsid w:val="00F76493"/>
    <w:rsid w:val="00F765C1"/>
    <w:rsid w:val="00F765D1"/>
    <w:rsid w:val="00F7661A"/>
    <w:rsid w:val="00F7666F"/>
    <w:rsid w:val="00F76826"/>
    <w:rsid w:val="00F76836"/>
    <w:rsid w:val="00F76869"/>
    <w:rsid w:val="00F769C6"/>
    <w:rsid w:val="00F76A32"/>
    <w:rsid w:val="00F76B7E"/>
    <w:rsid w:val="00F76BCD"/>
    <w:rsid w:val="00F76C38"/>
    <w:rsid w:val="00F76D0F"/>
    <w:rsid w:val="00F76E03"/>
    <w:rsid w:val="00F76E1B"/>
    <w:rsid w:val="00F770A8"/>
    <w:rsid w:val="00F77141"/>
    <w:rsid w:val="00F771EC"/>
    <w:rsid w:val="00F77384"/>
    <w:rsid w:val="00F77451"/>
    <w:rsid w:val="00F77480"/>
    <w:rsid w:val="00F774C6"/>
    <w:rsid w:val="00F774CD"/>
    <w:rsid w:val="00F775BA"/>
    <w:rsid w:val="00F7767D"/>
    <w:rsid w:val="00F77722"/>
    <w:rsid w:val="00F77760"/>
    <w:rsid w:val="00F77762"/>
    <w:rsid w:val="00F777F4"/>
    <w:rsid w:val="00F77940"/>
    <w:rsid w:val="00F77A70"/>
    <w:rsid w:val="00F77A8A"/>
    <w:rsid w:val="00F77A9D"/>
    <w:rsid w:val="00F77AA2"/>
    <w:rsid w:val="00F77B24"/>
    <w:rsid w:val="00F77C37"/>
    <w:rsid w:val="00F77E52"/>
    <w:rsid w:val="00F77E69"/>
    <w:rsid w:val="00F77F3B"/>
    <w:rsid w:val="00F77F44"/>
    <w:rsid w:val="00F77FA5"/>
    <w:rsid w:val="00F77FC1"/>
    <w:rsid w:val="00F80032"/>
    <w:rsid w:val="00F8038E"/>
    <w:rsid w:val="00F803F4"/>
    <w:rsid w:val="00F80421"/>
    <w:rsid w:val="00F804BB"/>
    <w:rsid w:val="00F80606"/>
    <w:rsid w:val="00F80643"/>
    <w:rsid w:val="00F80665"/>
    <w:rsid w:val="00F806B4"/>
    <w:rsid w:val="00F809C8"/>
    <w:rsid w:val="00F80CD2"/>
    <w:rsid w:val="00F80D63"/>
    <w:rsid w:val="00F80D8F"/>
    <w:rsid w:val="00F80E4C"/>
    <w:rsid w:val="00F80EB1"/>
    <w:rsid w:val="00F80F4A"/>
    <w:rsid w:val="00F8101C"/>
    <w:rsid w:val="00F81110"/>
    <w:rsid w:val="00F81207"/>
    <w:rsid w:val="00F81307"/>
    <w:rsid w:val="00F8131B"/>
    <w:rsid w:val="00F813B6"/>
    <w:rsid w:val="00F813CC"/>
    <w:rsid w:val="00F813F4"/>
    <w:rsid w:val="00F8149A"/>
    <w:rsid w:val="00F817F4"/>
    <w:rsid w:val="00F8187F"/>
    <w:rsid w:val="00F818B8"/>
    <w:rsid w:val="00F81963"/>
    <w:rsid w:val="00F81A4E"/>
    <w:rsid w:val="00F81A65"/>
    <w:rsid w:val="00F81A6F"/>
    <w:rsid w:val="00F81ADF"/>
    <w:rsid w:val="00F81CB3"/>
    <w:rsid w:val="00F81D01"/>
    <w:rsid w:val="00F81E85"/>
    <w:rsid w:val="00F81F27"/>
    <w:rsid w:val="00F81F68"/>
    <w:rsid w:val="00F82088"/>
    <w:rsid w:val="00F8215B"/>
    <w:rsid w:val="00F82261"/>
    <w:rsid w:val="00F822EC"/>
    <w:rsid w:val="00F82399"/>
    <w:rsid w:val="00F823E3"/>
    <w:rsid w:val="00F8241D"/>
    <w:rsid w:val="00F82449"/>
    <w:rsid w:val="00F824CD"/>
    <w:rsid w:val="00F824D8"/>
    <w:rsid w:val="00F824ED"/>
    <w:rsid w:val="00F82599"/>
    <w:rsid w:val="00F826B8"/>
    <w:rsid w:val="00F82767"/>
    <w:rsid w:val="00F8286E"/>
    <w:rsid w:val="00F828A6"/>
    <w:rsid w:val="00F828C8"/>
    <w:rsid w:val="00F828E8"/>
    <w:rsid w:val="00F8297A"/>
    <w:rsid w:val="00F82A44"/>
    <w:rsid w:val="00F82AD2"/>
    <w:rsid w:val="00F82B0C"/>
    <w:rsid w:val="00F82B40"/>
    <w:rsid w:val="00F82BC4"/>
    <w:rsid w:val="00F82C0A"/>
    <w:rsid w:val="00F82C78"/>
    <w:rsid w:val="00F82C8E"/>
    <w:rsid w:val="00F82CAF"/>
    <w:rsid w:val="00F82D41"/>
    <w:rsid w:val="00F82D76"/>
    <w:rsid w:val="00F83021"/>
    <w:rsid w:val="00F830BC"/>
    <w:rsid w:val="00F8315F"/>
    <w:rsid w:val="00F831A0"/>
    <w:rsid w:val="00F83312"/>
    <w:rsid w:val="00F8357D"/>
    <w:rsid w:val="00F836B1"/>
    <w:rsid w:val="00F83749"/>
    <w:rsid w:val="00F837A6"/>
    <w:rsid w:val="00F837AA"/>
    <w:rsid w:val="00F83849"/>
    <w:rsid w:val="00F83861"/>
    <w:rsid w:val="00F83A4C"/>
    <w:rsid w:val="00F83A8B"/>
    <w:rsid w:val="00F83ABC"/>
    <w:rsid w:val="00F83B27"/>
    <w:rsid w:val="00F83BB3"/>
    <w:rsid w:val="00F83C06"/>
    <w:rsid w:val="00F83C44"/>
    <w:rsid w:val="00F83CBB"/>
    <w:rsid w:val="00F83DEB"/>
    <w:rsid w:val="00F83FD2"/>
    <w:rsid w:val="00F84027"/>
    <w:rsid w:val="00F8412D"/>
    <w:rsid w:val="00F841C5"/>
    <w:rsid w:val="00F84297"/>
    <w:rsid w:val="00F842F1"/>
    <w:rsid w:val="00F84316"/>
    <w:rsid w:val="00F8439D"/>
    <w:rsid w:val="00F844DA"/>
    <w:rsid w:val="00F84549"/>
    <w:rsid w:val="00F845F9"/>
    <w:rsid w:val="00F8469A"/>
    <w:rsid w:val="00F8472D"/>
    <w:rsid w:val="00F8474A"/>
    <w:rsid w:val="00F8477C"/>
    <w:rsid w:val="00F8487D"/>
    <w:rsid w:val="00F84905"/>
    <w:rsid w:val="00F849C2"/>
    <w:rsid w:val="00F84A32"/>
    <w:rsid w:val="00F84A67"/>
    <w:rsid w:val="00F84A82"/>
    <w:rsid w:val="00F84AB2"/>
    <w:rsid w:val="00F84ABF"/>
    <w:rsid w:val="00F84B49"/>
    <w:rsid w:val="00F84B85"/>
    <w:rsid w:val="00F84BEB"/>
    <w:rsid w:val="00F84CDB"/>
    <w:rsid w:val="00F84D40"/>
    <w:rsid w:val="00F84D6A"/>
    <w:rsid w:val="00F84E50"/>
    <w:rsid w:val="00F84F88"/>
    <w:rsid w:val="00F85233"/>
    <w:rsid w:val="00F8528E"/>
    <w:rsid w:val="00F853E7"/>
    <w:rsid w:val="00F85573"/>
    <w:rsid w:val="00F85646"/>
    <w:rsid w:val="00F85705"/>
    <w:rsid w:val="00F857E1"/>
    <w:rsid w:val="00F85994"/>
    <w:rsid w:val="00F85A02"/>
    <w:rsid w:val="00F85A2D"/>
    <w:rsid w:val="00F85A33"/>
    <w:rsid w:val="00F85A3F"/>
    <w:rsid w:val="00F85BE7"/>
    <w:rsid w:val="00F85C41"/>
    <w:rsid w:val="00F85C60"/>
    <w:rsid w:val="00F85CD1"/>
    <w:rsid w:val="00F85CF2"/>
    <w:rsid w:val="00F85E17"/>
    <w:rsid w:val="00F85E4B"/>
    <w:rsid w:val="00F85E9C"/>
    <w:rsid w:val="00F8605F"/>
    <w:rsid w:val="00F860EF"/>
    <w:rsid w:val="00F86174"/>
    <w:rsid w:val="00F862C2"/>
    <w:rsid w:val="00F86390"/>
    <w:rsid w:val="00F8647F"/>
    <w:rsid w:val="00F864DB"/>
    <w:rsid w:val="00F86613"/>
    <w:rsid w:val="00F86732"/>
    <w:rsid w:val="00F86761"/>
    <w:rsid w:val="00F867DA"/>
    <w:rsid w:val="00F867E2"/>
    <w:rsid w:val="00F86805"/>
    <w:rsid w:val="00F86812"/>
    <w:rsid w:val="00F868C8"/>
    <w:rsid w:val="00F868D0"/>
    <w:rsid w:val="00F86965"/>
    <w:rsid w:val="00F869D6"/>
    <w:rsid w:val="00F86BF6"/>
    <w:rsid w:val="00F86CF3"/>
    <w:rsid w:val="00F86D04"/>
    <w:rsid w:val="00F86DBA"/>
    <w:rsid w:val="00F87055"/>
    <w:rsid w:val="00F870F1"/>
    <w:rsid w:val="00F87136"/>
    <w:rsid w:val="00F8713F"/>
    <w:rsid w:val="00F87170"/>
    <w:rsid w:val="00F87182"/>
    <w:rsid w:val="00F871C4"/>
    <w:rsid w:val="00F87323"/>
    <w:rsid w:val="00F87332"/>
    <w:rsid w:val="00F87364"/>
    <w:rsid w:val="00F87442"/>
    <w:rsid w:val="00F87593"/>
    <w:rsid w:val="00F87738"/>
    <w:rsid w:val="00F87746"/>
    <w:rsid w:val="00F87751"/>
    <w:rsid w:val="00F877BE"/>
    <w:rsid w:val="00F8782A"/>
    <w:rsid w:val="00F87863"/>
    <w:rsid w:val="00F8797C"/>
    <w:rsid w:val="00F87A21"/>
    <w:rsid w:val="00F87A6B"/>
    <w:rsid w:val="00F87A92"/>
    <w:rsid w:val="00F87A94"/>
    <w:rsid w:val="00F87B24"/>
    <w:rsid w:val="00F87BCE"/>
    <w:rsid w:val="00F87BF0"/>
    <w:rsid w:val="00F87C56"/>
    <w:rsid w:val="00F87D52"/>
    <w:rsid w:val="00F87DF1"/>
    <w:rsid w:val="00F87E7A"/>
    <w:rsid w:val="00F90018"/>
    <w:rsid w:val="00F90083"/>
    <w:rsid w:val="00F900C9"/>
    <w:rsid w:val="00F90360"/>
    <w:rsid w:val="00F90391"/>
    <w:rsid w:val="00F903FB"/>
    <w:rsid w:val="00F903FC"/>
    <w:rsid w:val="00F90487"/>
    <w:rsid w:val="00F90698"/>
    <w:rsid w:val="00F906CC"/>
    <w:rsid w:val="00F907BE"/>
    <w:rsid w:val="00F90889"/>
    <w:rsid w:val="00F908AC"/>
    <w:rsid w:val="00F90998"/>
    <w:rsid w:val="00F9099D"/>
    <w:rsid w:val="00F909C1"/>
    <w:rsid w:val="00F90AF6"/>
    <w:rsid w:val="00F90B39"/>
    <w:rsid w:val="00F90B45"/>
    <w:rsid w:val="00F90BDE"/>
    <w:rsid w:val="00F90DA7"/>
    <w:rsid w:val="00F90F38"/>
    <w:rsid w:val="00F91058"/>
    <w:rsid w:val="00F9106A"/>
    <w:rsid w:val="00F9109B"/>
    <w:rsid w:val="00F910EB"/>
    <w:rsid w:val="00F91129"/>
    <w:rsid w:val="00F91291"/>
    <w:rsid w:val="00F9139E"/>
    <w:rsid w:val="00F913B1"/>
    <w:rsid w:val="00F91447"/>
    <w:rsid w:val="00F914D2"/>
    <w:rsid w:val="00F914E2"/>
    <w:rsid w:val="00F91500"/>
    <w:rsid w:val="00F915E1"/>
    <w:rsid w:val="00F91629"/>
    <w:rsid w:val="00F91689"/>
    <w:rsid w:val="00F91738"/>
    <w:rsid w:val="00F917C6"/>
    <w:rsid w:val="00F917E3"/>
    <w:rsid w:val="00F91A16"/>
    <w:rsid w:val="00F91A39"/>
    <w:rsid w:val="00F91B09"/>
    <w:rsid w:val="00F91B4C"/>
    <w:rsid w:val="00F91C0D"/>
    <w:rsid w:val="00F91C30"/>
    <w:rsid w:val="00F91D10"/>
    <w:rsid w:val="00F91EBB"/>
    <w:rsid w:val="00F91F08"/>
    <w:rsid w:val="00F91F1E"/>
    <w:rsid w:val="00F91F55"/>
    <w:rsid w:val="00F920A8"/>
    <w:rsid w:val="00F9211A"/>
    <w:rsid w:val="00F92428"/>
    <w:rsid w:val="00F92591"/>
    <w:rsid w:val="00F92624"/>
    <w:rsid w:val="00F9282A"/>
    <w:rsid w:val="00F92831"/>
    <w:rsid w:val="00F928AC"/>
    <w:rsid w:val="00F92A43"/>
    <w:rsid w:val="00F92A91"/>
    <w:rsid w:val="00F92AF3"/>
    <w:rsid w:val="00F92B1F"/>
    <w:rsid w:val="00F92E06"/>
    <w:rsid w:val="00F92EBD"/>
    <w:rsid w:val="00F92F1E"/>
    <w:rsid w:val="00F92F44"/>
    <w:rsid w:val="00F93096"/>
    <w:rsid w:val="00F93116"/>
    <w:rsid w:val="00F93166"/>
    <w:rsid w:val="00F931CC"/>
    <w:rsid w:val="00F931EE"/>
    <w:rsid w:val="00F93593"/>
    <w:rsid w:val="00F936E2"/>
    <w:rsid w:val="00F93742"/>
    <w:rsid w:val="00F9378A"/>
    <w:rsid w:val="00F9380F"/>
    <w:rsid w:val="00F93880"/>
    <w:rsid w:val="00F938AC"/>
    <w:rsid w:val="00F93951"/>
    <w:rsid w:val="00F9399C"/>
    <w:rsid w:val="00F93A1C"/>
    <w:rsid w:val="00F93A73"/>
    <w:rsid w:val="00F93A97"/>
    <w:rsid w:val="00F93BED"/>
    <w:rsid w:val="00F93E01"/>
    <w:rsid w:val="00F93E6E"/>
    <w:rsid w:val="00F93F79"/>
    <w:rsid w:val="00F93F8D"/>
    <w:rsid w:val="00F93FD1"/>
    <w:rsid w:val="00F94042"/>
    <w:rsid w:val="00F9419A"/>
    <w:rsid w:val="00F942BC"/>
    <w:rsid w:val="00F94516"/>
    <w:rsid w:val="00F94578"/>
    <w:rsid w:val="00F945C6"/>
    <w:rsid w:val="00F9460D"/>
    <w:rsid w:val="00F94660"/>
    <w:rsid w:val="00F9468C"/>
    <w:rsid w:val="00F948F4"/>
    <w:rsid w:val="00F94909"/>
    <w:rsid w:val="00F94966"/>
    <w:rsid w:val="00F94970"/>
    <w:rsid w:val="00F9499D"/>
    <w:rsid w:val="00F949D1"/>
    <w:rsid w:val="00F94AA5"/>
    <w:rsid w:val="00F94AAA"/>
    <w:rsid w:val="00F94B44"/>
    <w:rsid w:val="00F94BDE"/>
    <w:rsid w:val="00F94C54"/>
    <w:rsid w:val="00F94C57"/>
    <w:rsid w:val="00F94C84"/>
    <w:rsid w:val="00F94DEF"/>
    <w:rsid w:val="00F94F9B"/>
    <w:rsid w:val="00F94FF6"/>
    <w:rsid w:val="00F95102"/>
    <w:rsid w:val="00F951E0"/>
    <w:rsid w:val="00F9521B"/>
    <w:rsid w:val="00F952CD"/>
    <w:rsid w:val="00F953BF"/>
    <w:rsid w:val="00F95499"/>
    <w:rsid w:val="00F95562"/>
    <w:rsid w:val="00F9559C"/>
    <w:rsid w:val="00F9580A"/>
    <w:rsid w:val="00F95849"/>
    <w:rsid w:val="00F95969"/>
    <w:rsid w:val="00F95A0D"/>
    <w:rsid w:val="00F95A2D"/>
    <w:rsid w:val="00F95AB9"/>
    <w:rsid w:val="00F95AE4"/>
    <w:rsid w:val="00F95B18"/>
    <w:rsid w:val="00F95B26"/>
    <w:rsid w:val="00F95B2A"/>
    <w:rsid w:val="00F95B31"/>
    <w:rsid w:val="00F95C60"/>
    <w:rsid w:val="00F95DAD"/>
    <w:rsid w:val="00F95DDB"/>
    <w:rsid w:val="00F95E5C"/>
    <w:rsid w:val="00F95E7C"/>
    <w:rsid w:val="00F95ECC"/>
    <w:rsid w:val="00F95EFF"/>
    <w:rsid w:val="00F96163"/>
    <w:rsid w:val="00F9622A"/>
    <w:rsid w:val="00F9624C"/>
    <w:rsid w:val="00F96487"/>
    <w:rsid w:val="00F964A2"/>
    <w:rsid w:val="00F964DF"/>
    <w:rsid w:val="00F96540"/>
    <w:rsid w:val="00F96679"/>
    <w:rsid w:val="00F96717"/>
    <w:rsid w:val="00F967A6"/>
    <w:rsid w:val="00F967C8"/>
    <w:rsid w:val="00F967CD"/>
    <w:rsid w:val="00F96801"/>
    <w:rsid w:val="00F96863"/>
    <w:rsid w:val="00F96A2C"/>
    <w:rsid w:val="00F96A80"/>
    <w:rsid w:val="00F96A88"/>
    <w:rsid w:val="00F96ACE"/>
    <w:rsid w:val="00F96B25"/>
    <w:rsid w:val="00F96B4C"/>
    <w:rsid w:val="00F96BAD"/>
    <w:rsid w:val="00F96D9F"/>
    <w:rsid w:val="00F96E35"/>
    <w:rsid w:val="00F96EBD"/>
    <w:rsid w:val="00F96FDF"/>
    <w:rsid w:val="00F9705F"/>
    <w:rsid w:val="00F97080"/>
    <w:rsid w:val="00F9727D"/>
    <w:rsid w:val="00F97451"/>
    <w:rsid w:val="00F9746A"/>
    <w:rsid w:val="00F9754D"/>
    <w:rsid w:val="00F975C5"/>
    <w:rsid w:val="00F975DB"/>
    <w:rsid w:val="00F9770A"/>
    <w:rsid w:val="00F977C9"/>
    <w:rsid w:val="00F97817"/>
    <w:rsid w:val="00F979E5"/>
    <w:rsid w:val="00F97A89"/>
    <w:rsid w:val="00F97B83"/>
    <w:rsid w:val="00F97B92"/>
    <w:rsid w:val="00F97BD0"/>
    <w:rsid w:val="00F97C5E"/>
    <w:rsid w:val="00F97E07"/>
    <w:rsid w:val="00F97FEF"/>
    <w:rsid w:val="00FA00F2"/>
    <w:rsid w:val="00FA0285"/>
    <w:rsid w:val="00FA02B5"/>
    <w:rsid w:val="00FA04FE"/>
    <w:rsid w:val="00FA07AB"/>
    <w:rsid w:val="00FA091D"/>
    <w:rsid w:val="00FA0A1E"/>
    <w:rsid w:val="00FA0AFE"/>
    <w:rsid w:val="00FA0BA7"/>
    <w:rsid w:val="00FA0C83"/>
    <w:rsid w:val="00FA0D33"/>
    <w:rsid w:val="00FA0DB9"/>
    <w:rsid w:val="00FA0DD5"/>
    <w:rsid w:val="00FA0E0B"/>
    <w:rsid w:val="00FA0ECA"/>
    <w:rsid w:val="00FA0F46"/>
    <w:rsid w:val="00FA0F7E"/>
    <w:rsid w:val="00FA0FB8"/>
    <w:rsid w:val="00FA10DF"/>
    <w:rsid w:val="00FA1252"/>
    <w:rsid w:val="00FA140B"/>
    <w:rsid w:val="00FA145B"/>
    <w:rsid w:val="00FA1516"/>
    <w:rsid w:val="00FA15C2"/>
    <w:rsid w:val="00FA1616"/>
    <w:rsid w:val="00FA1642"/>
    <w:rsid w:val="00FA16E1"/>
    <w:rsid w:val="00FA16E8"/>
    <w:rsid w:val="00FA1714"/>
    <w:rsid w:val="00FA1719"/>
    <w:rsid w:val="00FA189C"/>
    <w:rsid w:val="00FA18D4"/>
    <w:rsid w:val="00FA19A8"/>
    <w:rsid w:val="00FA19F1"/>
    <w:rsid w:val="00FA1AB2"/>
    <w:rsid w:val="00FA1AD3"/>
    <w:rsid w:val="00FA1B4E"/>
    <w:rsid w:val="00FA1CE1"/>
    <w:rsid w:val="00FA1CF4"/>
    <w:rsid w:val="00FA1D1B"/>
    <w:rsid w:val="00FA1D70"/>
    <w:rsid w:val="00FA1D80"/>
    <w:rsid w:val="00FA1D9D"/>
    <w:rsid w:val="00FA1DFD"/>
    <w:rsid w:val="00FA1E80"/>
    <w:rsid w:val="00FA2061"/>
    <w:rsid w:val="00FA2072"/>
    <w:rsid w:val="00FA21E3"/>
    <w:rsid w:val="00FA229A"/>
    <w:rsid w:val="00FA2313"/>
    <w:rsid w:val="00FA23B7"/>
    <w:rsid w:val="00FA2412"/>
    <w:rsid w:val="00FA2421"/>
    <w:rsid w:val="00FA248B"/>
    <w:rsid w:val="00FA25AB"/>
    <w:rsid w:val="00FA2657"/>
    <w:rsid w:val="00FA26C5"/>
    <w:rsid w:val="00FA279B"/>
    <w:rsid w:val="00FA280D"/>
    <w:rsid w:val="00FA2898"/>
    <w:rsid w:val="00FA29DC"/>
    <w:rsid w:val="00FA2BB3"/>
    <w:rsid w:val="00FA2BDD"/>
    <w:rsid w:val="00FA2BFC"/>
    <w:rsid w:val="00FA2CC7"/>
    <w:rsid w:val="00FA2D0D"/>
    <w:rsid w:val="00FA2E8C"/>
    <w:rsid w:val="00FA326A"/>
    <w:rsid w:val="00FA3356"/>
    <w:rsid w:val="00FA33B4"/>
    <w:rsid w:val="00FA35D3"/>
    <w:rsid w:val="00FA36D0"/>
    <w:rsid w:val="00FA36DE"/>
    <w:rsid w:val="00FA377B"/>
    <w:rsid w:val="00FA3801"/>
    <w:rsid w:val="00FA38AF"/>
    <w:rsid w:val="00FA3903"/>
    <w:rsid w:val="00FA391C"/>
    <w:rsid w:val="00FA399F"/>
    <w:rsid w:val="00FA39BB"/>
    <w:rsid w:val="00FA3AAB"/>
    <w:rsid w:val="00FA3B21"/>
    <w:rsid w:val="00FA3B44"/>
    <w:rsid w:val="00FA3B8F"/>
    <w:rsid w:val="00FA3C8C"/>
    <w:rsid w:val="00FA3CB3"/>
    <w:rsid w:val="00FA3D23"/>
    <w:rsid w:val="00FA3F36"/>
    <w:rsid w:val="00FA4039"/>
    <w:rsid w:val="00FA4045"/>
    <w:rsid w:val="00FA405B"/>
    <w:rsid w:val="00FA41F5"/>
    <w:rsid w:val="00FA439B"/>
    <w:rsid w:val="00FA43F0"/>
    <w:rsid w:val="00FA4449"/>
    <w:rsid w:val="00FA44EE"/>
    <w:rsid w:val="00FA454D"/>
    <w:rsid w:val="00FA4568"/>
    <w:rsid w:val="00FA45F2"/>
    <w:rsid w:val="00FA4618"/>
    <w:rsid w:val="00FA46F6"/>
    <w:rsid w:val="00FA470C"/>
    <w:rsid w:val="00FA4766"/>
    <w:rsid w:val="00FA47CC"/>
    <w:rsid w:val="00FA4814"/>
    <w:rsid w:val="00FA4818"/>
    <w:rsid w:val="00FA493E"/>
    <w:rsid w:val="00FA4A2E"/>
    <w:rsid w:val="00FA4AE4"/>
    <w:rsid w:val="00FA4B6F"/>
    <w:rsid w:val="00FA4C32"/>
    <w:rsid w:val="00FA4C8F"/>
    <w:rsid w:val="00FA4D16"/>
    <w:rsid w:val="00FA4D35"/>
    <w:rsid w:val="00FA4D9E"/>
    <w:rsid w:val="00FA4DCC"/>
    <w:rsid w:val="00FA4DF9"/>
    <w:rsid w:val="00FA4E60"/>
    <w:rsid w:val="00FA4F54"/>
    <w:rsid w:val="00FA4FB3"/>
    <w:rsid w:val="00FA5093"/>
    <w:rsid w:val="00FA50F9"/>
    <w:rsid w:val="00FA522E"/>
    <w:rsid w:val="00FA530C"/>
    <w:rsid w:val="00FA531C"/>
    <w:rsid w:val="00FA53A8"/>
    <w:rsid w:val="00FA56C1"/>
    <w:rsid w:val="00FA57D5"/>
    <w:rsid w:val="00FA57DD"/>
    <w:rsid w:val="00FA57E4"/>
    <w:rsid w:val="00FA58AB"/>
    <w:rsid w:val="00FA59F3"/>
    <w:rsid w:val="00FA5BC8"/>
    <w:rsid w:val="00FA5C70"/>
    <w:rsid w:val="00FA5D3C"/>
    <w:rsid w:val="00FA5F5F"/>
    <w:rsid w:val="00FA5F78"/>
    <w:rsid w:val="00FA5FA0"/>
    <w:rsid w:val="00FA5FE2"/>
    <w:rsid w:val="00FA5FF8"/>
    <w:rsid w:val="00FA608A"/>
    <w:rsid w:val="00FA621F"/>
    <w:rsid w:val="00FA6229"/>
    <w:rsid w:val="00FA6258"/>
    <w:rsid w:val="00FA6315"/>
    <w:rsid w:val="00FA635C"/>
    <w:rsid w:val="00FA6657"/>
    <w:rsid w:val="00FA66C4"/>
    <w:rsid w:val="00FA6797"/>
    <w:rsid w:val="00FA683D"/>
    <w:rsid w:val="00FA6846"/>
    <w:rsid w:val="00FA68FA"/>
    <w:rsid w:val="00FA6A27"/>
    <w:rsid w:val="00FA6A64"/>
    <w:rsid w:val="00FA6C55"/>
    <w:rsid w:val="00FA6C64"/>
    <w:rsid w:val="00FA6DD8"/>
    <w:rsid w:val="00FA6E00"/>
    <w:rsid w:val="00FA6E8F"/>
    <w:rsid w:val="00FA6FC4"/>
    <w:rsid w:val="00FA7139"/>
    <w:rsid w:val="00FA714E"/>
    <w:rsid w:val="00FA7182"/>
    <w:rsid w:val="00FA726D"/>
    <w:rsid w:val="00FA727A"/>
    <w:rsid w:val="00FA7328"/>
    <w:rsid w:val="00FA7332"/>
    <w:rsid w:val="00FA737C"/>
    <w:rsid w:val="00FA7489"/>
    <w:rsid w:val="00FA7649"/>
    <w:rsid w:val="00FA7798"/>
    <w:rsid w:val="00FA7866"/>
    <w:rsid w:val="00FA7877"/>
    <w:rsid w:val="00FA7A78"/>
    <w:rsid w:val="00FA7A83"/>
    <w:rsid w:val="00FA7AB4"/>
    <w:rsid w:val="00FA7CA6"/>
    <w:rsid w:val="00FA7CD4"/>
    <w:rsid w:val="00FA7D51"/>
    <w:rsid w:val="00FA7D60"/>
    <w:rsid w:val="00FA7DE8"/>
    <w:rsid w:val="00FA7E1E"/>
    <w:rsid w:val="00FA7E86"/>
    <w:rsid w:val="00FA7F04"/>
    <w:rsid w:val="00FA7F35"/>
    <w:rsid w:val="00FB01E4"/>
    <w:rsid w:val="00FB020B"/>
    <w:rsid w:val="00FB0224"/>
    <w:rsid w:val="00FB026B"/>
    <w:rsid w:val="00FB029F"/>
    <w:rsid w:val="00FB0403"/>
    <w:rsid w:val="00FB042B"/>
    <w:rsid w:val="00FB04A3"/>
    <w:rsid w:val="00FB05B0"/>
    <w:rsid w:val="00FB0749"/>
    <w:rsid w:val="00FB077C"/>
    <w:rsid w:val="00FB0831"/>
    <w:rsid w:val="00FB08C2"/>
    <w:rsid w:val="00FB08D7"/>
    <w:rsid w:val="00FB0999"/>
    <w:rsid w:val="00FB0B3C"/>
    <w:rsid w:val="00FB0B94"/>
    <w:rsid w:val="00FB0DCF"/>
    <w:rsid w:val="00FB0EED"/>
    <w:rsid w:val="00FB0F81"/>
    <w:rsid w:val="00FB0FCB"/>
    <w:rsid w:val="00FB1008"/>
    <w:rsid w:val="00FB107B"/>
    <w:rsid w:val="00FB10B0"/>
    <w:rsid w:val="00FB112D"/>
    <w:rsid w:val="00FB1154"/>
    <w:rsid w:val="00FB119D"/>
    <w:rsid w:val="00FB1301"/>
    <w:rsid w:val="00FB1545"/>
    <w:rsid w:val="00FB155A"/>
    <w:rsid w:val="00FB15F4"/>
    <w:rsid w:val="00FB1623"/>
    <w:rsid w:val="00FB165D"/>
    <w:rsid w:val="00FB1690"/>
    <w:rsid w:val="00FB17B4"/>
    <w:rsid w:val="00FB1895"/>
    <w:rsid w:val="00FB1A2E"/>
    <w:rsid w:val="00FB1A41"/>
    <w:rsid w:val="00FB1AC3"/>
    <w:rsid w:val="00FB1C08"/>
    <w:rsid w:val="00FB1CC4"/>
    <w:rsid w:val="00FB1D3B"/>
    <w:rsid w:val="00FB1DB3"/>
    <w:rsid w:val="00FB1E67"/>
    <w:rsid w:val="00FB1E83"/>
    <w:rsid w:val="00FB1ED4"/>
    <w:rsid w:val="00FB2014"/>
    <w:rsid w:val="00FB2172"/>
    <w:rsid w:val="00FB21A6"/>
    <w:rsid w:val="00FB222F"/>
    <w:rsid w:val="00FB227E"/>
    <w:rsid w:val="00FB22F8"/>
    <w:rsid w:val="00FB2317"/>
    <w:rsid w:val="00FB25A9"/>
    <w:rsid w:val="00FB26B4"/>
    <w:rsid w:val="00FB2704"/>
    <w:rsid w:val="00FB27DC"/>
    <w:rsid w:val="00FB288C"/>
    <w:rsid w:val="00FB2935"/>
    <w:rsid w:val="00FB2AFA"/>
    <w:rsid w:val="00FB2BF0"/>
    <w:rsid w:val="00FB2C61"/>
    <w:rsid w:val="00FB2CD4"/>
    <w:rsid w:val="00FB2D14"/>
    <w:rsid w:val="00FB2D58"/>
    <w:rsid w:val="00FB2D68"/>
    <w:rsid w:val="00FB2D8D"/>
    <w:rsid w:val="00FB2E37"/>
    <w:rsid w:val="00FB2E39"/>
    <w:rsid w:val="00FB2EC2"/>
    <w:rsid w:val="00FB3015"/>
    <w:rsid w:val="00FB3042"/>
    <w:rsid w:val="00FB30CA"/>
    <w:rsid w:val="00FB3128"/>
    <w:rsid w:val="00FB3200"/>
    <w:rsid w:val="00FB32AA"/>
    <w:rsid w:val="00FB330F"/>
    <w:rsid w:val="00FB346F"/>
    <w:rsid w:val="00FB3527"/>
    <w:rsid w:val="00FB361D"/>
    <w:rsid w:val="00FB36A3"/>
    <w:rsid w:val="00FB374C"/>
    <w:rsid w:val="00FB38E8"/>
    <w:rsid w:val="00FB39D4"/>
    <w:rsid w:val="00FB39DD"/>
    <w:rsid w:val="00FB39DF"/>
    <w:rsid w:val="00FB3A98"/>
    <w:rsid w:val="00FB3AE7"/>
    <w:rsid w:val="00FB3B01"/>
    <w:rsid w:val="00FB3C4B"/>
    <w:rsid w:val="00FB3D32"/>
    <w:rsid w:val="00FB3DE3"/>
    <w:rsid w:val="00FB3E05"/>
    <w:rsid w:val="00FB3E21"/>
    <w:rsid w:val="00FB3F87"/>
    <w:rsid w:val="00FB3FAA"/>
    <w:rsid w:val="00FB405B"/>
    <w:rsid w:val="00FB405F"/>
    <w:rsid w:val="00FB4062"/>
    <w:rsid w:val="00FB4092"/>
    <w:rsid w:val="00FB411F"/>
    <w:rsid w:val="00FB4122"/>
    <w:rsid w:val="00FB433D"/>
    <w:rsid w:val="00FB4343"/>
    <w:rsid w:val="00FB4409"/>
    <w:rsid w:val="00FB4412"/>
    <w:rsid w:val="00FB444B"/>
    <w:rsid w:val="00FB4486"/>
    <w:rsid w:val="00FB4491"/>
    <w:rsid w:val="00FB44EA"/>
    <w:rsid w:val="00FB4512"/>
    <w:rsid w:val="00FB453A"/>
    <w:rsid w:val="00FB45A3"/>
    <w:rsid w:val="00FB46CA"/>
    <w:rsid w:val="00FB475C"/>
    <w:rsid w:val="00FB4840"/>
    <w:rsid w:val="00FB4847"/>
    <w:rsid w:val="00FB486A"/>
    <w:rsid w:val="00FB48CF"/>
    <w:rsid w:val="00FB49F3"/>
    <w:rsid w:val="00FB4A29"/>
    <w:rsid w:val="00FB4BA2"/>
    <w:rsid w:val="00FB4C89"/>
    <w:rsid w:val="00FB4CDD"/>
    <w:rsid w:val="00FB4D7E"/>
    <w:rsid w:val="00FB4DB2"/>
    <w:rsid w:val="00FB4DD3"/>
    <w:rsid w:val="00FB4E10"/>
    <w:rsid w:val="00FB4E79"/>
    <w:rsid w:val="00FB4F0E"/>
    <w:rsid w:val="00FB4F5D"/>
    <w:rsid w:val="00FB4F6B"/>
    <w:rsid w:val="00FB4F70"/>
    <w:rsid w:val="00FB51F5"/>
    <w:rsid w:val="00FB5381"/>
    <w:rsid w:val="00FB5416"/>
    <w:rsid w:val="00FB544B"/>
    <w:rsid w:val="00FB547B"/>
    <w:rsid w:val="00FB5492"/>
    <w:rsid w:val="00FB5556"/>
    <w:rsid w:val="00FB5649"/>
    <w:rsid w:val="00FB565C"/>
    <w:rsid w:val="00FB5727"/>
    <w:rsid w:val="00FB573C"/>
    <w:rsid w:val="00FB58F9"/>
    <w:rsid w:val="00FB5914"/>
    <w:rsid w:val="00FB5A91"/>
    <w:rsid w:val="00FB5AF1"/>
    <w:rsid w:val="00FB5B66"/>
    <w:rsid w:val="00FB5BBB"/>
    <w:rsid w:val="00FB5BCB"/>
    <w:rsid w:val="00FB5C73"/>
    <w:rsid w:val="00FB5CA2"/>
    <w:rsid w:val="00FB5CFF"/>
    <w:rsid w:val="00FB5DBB"/>
    <w:rsid w:val="00FB5FE9"/>
    <w:rsid w:val="00FB5FF9"/>
    <w:rsid w:val="00FB6036"/>
    <w:rsid w:val="00FB60CB"/>
    <w:rsid w:val="00FB61CD"/>
    <w:rsid w:val="00FB6258"/>
    <w:rsid w:val="00FB6459"/>
    <w:rsid w:val="00FB6489"/>
    <w:rsid w:val="00FB657B"/>
    <w:rsid w:val="00FB662B"/>
    <w:rsid w:val="00FB665C"/>
    <w:rsid w:val="00FB6763"/>
    <w:rsid w:val="00FB69EC"/>
    <w:rsid w:val="00FB6A2D"/>
    <w:rsid w:val="00FB6B92"/>
    <w:rsid w:val="00FB6BCE"/>
    <w:rsid w:val="00FB6BE0"/>
    <w:rsid w:val="00FB6BFF"/>
    <w:rsid w:val="00FB6CAD"/>
    <w:rsid w:val="00FB6CBD"/>
    <w:rsid w:val="00FB6CF1"/>
    <w:rsid w:val="00FB6D3F"/>
    <w:rsid w:val="00FB6DAD"/>
    <w:rsid w:val="00FB6E05"/>
    <w:rsid w:val="00FB6E29"/>
    <w:rsid w:val="00FB6E51"/>
    <w:rsid w:val="00FB6E55"/>
    <w:rsid w:val="00FB6FA2"/>
    <w:rsid w:val="00FB733D"/>
    <w:rsid w:val="00FB7464"/>
    <w:rsid w:val="00FB74D1"/>
    <w:rsid w:val="00FB7576"/>
    <w:rsid w:val="00FB75B5"/>
    <w:rsid w:val="00FB7667"/>
    <w:rsid w:val="00FB784E"/>
    <w:rsid w:val="00FB78B7"/>
    <w:rsid w:val="00FB78E2"/>
    <w:rsid w:val="00FB790C"/>
    <w:rsid w:val="00FB7977"/>
    <w:rsid w:val="00FB7A39"/>
    <w:rsid w:val="00FB7C01"/>
    <w:rsid w:val="00FB7C37"/>
    <w:rsid w:val="00FB7C67"/>
    <w:rsid w:val="00FB7D2E"/>
    <w:rsid w:val="00FB7DF3"/>
    <w:rsid w:val="00FB7E13"/>
    <w:rsid w:val="00FB7F47"/>
    <w:rsid w:val="00FC0191"/>
    <w:rsid w:val="00FC01EB"/>
    <w:rsid w:val="00FC01F2"/>
    <w:rsid w:val="00FC0352"/>
    <w:rsid w:val="00FC0370"/>
    <w:rsid w:val="00FC0417"/>
    <w:rsid w:val="00FC0657"/>
    <w:rsid w:val="00FC065E"/>
    <w:rsid w:val="00FC06A1"/>
    <w:rsid w:val="00FC072A"/>
    <w:rsid w:val="00FC0776"/>
    <w:rsid w:val="00FC0806"/>
    <w:rsid w:val="00FC0931"/>
    <w:rsid w:val="00FC0932"/>
    <w:rsid w:val="00FC0997"/>
    <w:rsid w:val="00FC0BF2"/>
    <w:rsid w:val="00FC0C4B"/>
    <w:rsid w:val="00FC0D8D"/>
    <w:rsid w:val="00FC0DE7"/>
    <w:rsid w:val="00FC0E95"/>
    <w:rsid w:val="00FC0EAE"/>
    <w:rsid w:val="00FC0F5B"/>
    <w:rsid w:val="00FC10FC"/>
    <w:rsid w:val="00FC12D9"/>
    <w:rsid w:val="00FC1305"/>
    <w:rsid w:val="00FC1535"/>
    <w:rsid w:val="00FC1561"/>
    <w:rsid w:val="00FC15BA"/>
    <w:rsid w:val="00FC160B"/>
    <w:rsid w:val="00FC161A"/>
    <w:rsid w:val="00FC16DF"/>
    <w:rsid w:val="00FC17B4"/>
    <w:rsid w:val="00FC19C4"/>
    <w:rsid w:val="00FC19F1"/>
    <w:rsid w:val="00FC1A74"/>
    <w:rsid w:val="00FC1A82"/>
    <w:rsid w:val="00FC1AA0"/>
    <w:rsid w:val="00FC1AAE"/>
    <w:rsid w:val="00FC1C57"/>
    <w:rsid w:val="00FC1D04"/>
    <w:rsid w:val="00FC1E01"/>
    <w:rsid w:val="00FC1E33"/>
    <w:rsid w:val="00FC1E73"/>
    <w:rsid w:val="00FC1E76"/>
    <w:rsid w:val="00FC1FB6"/>
    <w:rsid w:val="00FC2082"/>
    <w:rsid w:val="00FC210B"/>
    <w:rsid w:val="00FC2134"/>
    <w:rsid w:val="00FC21C9"/>
    <w:rsid w:val="00FC22B9"/>
    <w:rsid w:val="00FC2322"/>
    <w:rsid w:val="00FC24B6"/>
    <w:rsid w:val="00FC2551"/>
    <w:rsid w:val="00FC2592"/>
    <w:rsid w:val="00FC2746"/>
    <w:rsid w:val="00FC278D"/>
    <w:rsid w:val="00FC280E"/>
    <w:rsid w:val="00FC285A"/>
    <w:rsid w:val="00FC28BE"/>
    <w:rsid w:val="00FC2991"/>
    <w:rsid w:val="00FC29FB"/>
    <w:rsid w:val="00FC2A66"/>
    <w:rsid w:val="00FC2B18"/>
    <w:rsid w:val="00FC2CF3"/>
    <w:rsid w:val="00FC2D9E"/>
    <w:rsid w:val="00FC2F9C"/>
    <w:rsid w:val="00FC30CB"/>
    <w:rsid w:val="00FC3108"/>
    <w:rsid w:val="00FC32CA"/>
    <w:rsid w:val="00FC33D9"/>
    <w:rsid w:val="00FC33DA"/>
    <w:rsid w:val="00FC3475"/>
    <w:rsid w:val="00FC3553"/>
    <w:rsid w:val="00FC3565"/>
    <w:rsid w:val="00FC35E6"/>
    <w:rsid w:val="00FC3676"/>
    <w:rsid w:val="00FC3716"/>
    <w:rsid w:val="00FC375A"/>
    <w:rsid w:val="00FC3770"/>
    <w:rsid w:val="00FC37AD"/>
    <w:rsid w:val="00FC37F6"/>
    <w:rsid w:val="00FC37FC"/>
    <w:rsid w:val="00FC382B"/>
    <w:rsid w:val="00FC38C2"/>
    <w:rsid w:val="00FC39F7"/>
    <w:rsid w:val="00FC3A43"/>
    <w:rsid w:val="00FC3AC4"/>
    <w:rsid w:val="00FC3C25"/>
    <w:rsid w:val="00FC3C37"/>
    <w:rsid w:val="00FC3D1C"/>
    <w:rsid w:val="00FC3EA7"/>
    <w:rsid w:val="00FC3EAF"/>
    <w:rsid w:val="00FC4072"/>
    <w:rsid w:val="00FC412D"/>
    <w:rsid w:val="00FC4207"/>
    <w:rsid w:val="00FC4288"/>
    <w:rsid w:val="00FC4378"/>
    <w:rsid w:val="00FC43B1"/>
    <w:rsid w:val="00FC4423"/>
    <w:rsid w:val="00FC44B5"/>
    <w:rsid w:val="00FC4608"/>
    <w:rsid w:val="00FC4632"/>
    <w:rsid w:val="00FC467F"/>
    <w:rsid w:val="00FC4706"/>
    <w:rsid w:val="00FC4747"/>
    <w:rsid w:val="00FC47C4"/>
    <w:rsid w:val="00FC495F"/>
    <w:rsid w:val="00FC4996"/>
    <w:rsid w:val="00FC49EC"/>
    <w:rsid w:val="00FC4A47"/>
    <w:rsid w:val="00FC4A7B"/>
    <w:rsid w:val="00FC4AF5"/>
    <w:rsid w:val="00FC4C69"/>
    <w:rsid w:val="00FC4C8E"/>
    <w:rsid w:val="00FC4CFB"/>
    <w:rsid w:val="00FC4D1C"/>
    <w:rsid w:val="00FC4DA2"/>
    <w:rsid w:val="00FC4DD2"/>
    <w:rsid w:val="00FC4DE9"/>
    <w:rsid w:val="00FC4E37"/>
    <w:rsid w:val="00FC4EE7"/>
    <w:rsid w:val="00FC4F43"/>
    <w:rsid w:val="00FC4F57"/>
    <w:rsid w:val="00FC4FCE"/>
    <w:rsid w:val="00FC50E6"/>
    <w:rsid w:val="00FC5227"/>
    <w:rsid w:val="00FC5229"/>
    <w:rsid w:val="00FC5262"/>
    <w:rsid w:val="00FC5263"/>
    <w:rsid w:val="00FC5351"/>
    <w:rsid w:val="00FC5425"/>
    <w:rsid w:val="00FC5498"/>
    <w:rsid w:val="00FC570A"/>
    <w:rsid w:val="00FC581B"/>
    <w:rsid w:val="00FC5869"/>
    <w:rsid w:val="00FC5960"/>
    <w:rsid w:val="00FC5A27"/>
    <w:rsid w:val="00FC5B44"/>
    <w:rsid w:val="00FC5BF8"/>
    <w:rsid w:val="00FC5C84"/>
    <w:rsid w:val="00FC5D60"/>
    <w:rsid w:val="00FC5E01"/>
    <w:rsid w:val="00FC5FBA"/>
    <w:rsid w:val="00FC60BC"/>
    <w:rsid w:val="00FC60EC"/>
    <w:rsid w:val="00FC6108"/>
    <w:rsid w:val="00FC630C"/>
    <w:rsid w:val="00FC6322"/>
    <w:rsid w:val="00FC6343"/>
    <w:rsid w:val="00FC64CC"/>
    <w:rsid w:val="00FC66CF"/>
    <w:rsid w:val="00FC674D"/>
    <w:rsid w:val="00FC6780"/>
    <w:rsid w:val="00FC682A"/>
    <w:rsid w:val="00FC6858"/>
    <w:rsid w:val="00FC690A"/>
    <w:rsid w:val="00FC6984"/>
    <w:rsid w:val="00FC6AEE"/>
    <w:rsid w:val="00FC6DC6"/>
    <w:rsid w:val="00FC6E56"/>
    <w:rsid w:val="00FC6EAB"/>
    <w:rsid w:val="00FC6F47"/>
    <w:rsid w:val="00FC6FB0"/>
    <w:rsid w:val="00FC707D"/>
    <w:rsid w:val="00FC7102"/>
    <w:rsid w:val="00FC725D"/>
    <w:rsid w:val="00FC730B"/>
    <w:rsid w:val="00FC73B2"/>
    <w:rsid w:val="00FC73DE"/>
    <w:rsid w:val="00FC769B"/>
    <w:rsid w:val="00FC7708"/>
    <w:rsid w:val="00FC779E"/>
    <w:rsid w:val="00FC77C1"/>
    <w:rsid w:val="00FC7857"/>
    <w:rsid w:val="00FC7891"/>
    <w:rsid w:val="00FC78DE"/>
    <w:rsid w:val="00FC7904"/>
    <w:rsid w:val="00FC7A0D"/>
    <w:rsid w:val="00FC7AA8"/>
    <w:rsid w:val="00FC7B9A"/>
    <w:rsid w:val="00FC7BD0"/>
    <w:rsid w:val="00FC7BF0"/>
    <w:rsid w:val="00FC7C3B"/>
    <w:rsid w:val="00FC7C4C"/>
    <w:rsid w:val="00FC7D65"/>
    <w:rsid w:val="00FC7E87"/>
    <w:rsid w:val="00FC7F48"/>
    <w:rsid w:val="00FC7F55"/>
    <w:rsid w:val="00FD0004"/>
    <w:rsid w:val="00FD0008"/>
    <w:rsid w:val="00FD0059"/>
    <w:rsid w:val="00FD0091"/>
    <w:rsid w:val="00FD025A"/>
    <w:rsid w:val="00FD0366"/>
    <w:rsid w:val="00FD0398"/>
    <w:rsid w:val="00FD03B1"/>
    <w:rsid w:val="00FD0467"/>
    <w:rsid w:val="00FD0496"/>
    <w:rsid w:val="00FD052E"/>
    <w:rsid w:val="00FD05AA"/>
    <w:rsid w:val="00FD0679"/>
    <w:rsid w:val="00FD06B0"/>
    <w:rsid w:val="00FD07AD"/>
    <w:rsid w:val="00FD0883"/>
    <w:rsid w:val="00FD0900"/>
    <w:rsid w:val="00FD0904"/>
    <w:rsid w:val="00FD095C"/>
    <w:rsid w:val="00FD09FE"/>
    <w:rsid w:val="00FD0B53"/>
    <w:rsid w:val="00FD0C25"/>
    <w:rsid w:val="00FD0C69"/>
    <w:rsid w:val="00FD0C83"/>
    <w:rsid w:val="00FD0CE6"/>
    <w:rsid w:val="00FD0CEC"/>
    <w:rsid w:val="00FD0D44"/>
    <w:rsid w:val="00FD0D89"/>
    <w:rsid w:val="00FD0EAE"/>
    <w:rsid w:val="00FD0EB2"/>
    <w:rsid w:val="00FD0F1C"/>
    <w:rsid w:val="00FD1170"/>
    <w:rsid w:val="00FD1250"/>
    <w:rsid w:val="00FD132F"/>
    <w:rsid w:val="00FD1385"/>
    <w:rsid w:val="00FD1475"/>
    <w:rsid w:val="00FD14AB"/>
    <w:rsid w:val="00FD15F0"/>
    <w:rsid w:val="00FD161A"/>
    <w:rsid w:val="00FD172D"/>
    <w:rsid w:val="00FD1823"/>
    <w:rsid w:val="00FD1963"/>
    <w:rsid w:val="00FD19E6"/>
    <w:rsid w:val="00FD1A1B"/>
    <w:rsid w:val="00FD1A39"/>
    <w:rsid w:val="00FD1A3A"/>
    <w:rsid w:val="00FD1AA6"/>
    <w:rsid w:val="00FD1B29"/>
    <w:rsid w:val="00FD1B58"/>
    <w:rsid w:val="00FD1BDE"/>
    <w:rsid w:val="00FD1C0C"/>
    <w:rsid w:val="00FD1D0D"/>
    <w:rsid w:val="00FD1DDF"/>
    <w:rsid w:val="00FD1E7D"/>
    <w:rsid w:val="00FD1EBD"/>
    <w:rsid w:val="00FD1EFB"/>
    <w:rsid w:val="00FD2440"/>
    <w:rsid w:val="00FD25F1"/>
    <w:rsid w:val="00FD2918"/>
    <w:rsid w:val="00FD29BC"/>
    <w:rsid w:val="00FD2B34"/>
    <w:rsid w:val="00FD2CB3"/>
    <w:rsid w:val="00FD2CC4"/>
    <w:rsid w:val="00FD2DAF"/>
    <w:rsid w:val="00FD2F5E"/>
    <w:rsid w:val="00FD2FEE"/>
    <w:rsid w:val="00FD32E9"/>
    <w:rsid w:val="00FD3338"/>
    <w:rsid w:val="00FD3376"/>
    <w:rsid w:val="00FD3439"/>
    <w:rsid w:val="00FD3447"/>
    <w:rsid w:val="00FD345B"/>
    <w:rsid w:val="00FD35BB"/>
    <w:rsid w:val="00FD3643"/>
    <w:rsid w:val="00FD3824"/>
    <w:rsid w:val="00FD385F"/>
    <w:rsid w:val="00FD38D3"/>
    <w:rsid w:val="00FD3959"/>
    <w:rsid w:val="00FD39AB"/>
    <w:rsid w:val="00FD3BE9"/>
    <w:rsid w:val="00FD3C58"/>
    <w:rsid w:val="00FD3CBD"/>
    <w:rsid w:val="00FD3DB9"/>
    <w:rsid w:val="00FD3EB0"/>
    <w:rsid w:val="00FD3F74"/>
    <w:rsid w:val="00FD3F78"/>
    <w:rsid w:val="00FD3FDB"/>
    <w:rsid w:val="00FD4145"/>
    <w:rsid w:val="00FD4179"/>
    <w:rsid w:val="00FD41FF"/>
    <w:rsid w:val="00FD4235"/>
    <w:rsid w:val="00FD4284"/>
    <w:rsid w:val="00FD432B"/>
    <w:rsid w:val="00FD43D8"/>
    <w:rsid w:val="00FD460C"/>
    <w:rsid w:val="00FD46AB"/>
    <w:rsid w:val="00FD46E6"/>
    <w:rsid w:val="00FD46F3"/>
    <w:rsid w:val="00FD47A4"/>
    <w:rsid w:val="00FD4A9A"/>
    <w:rsid w:val="00FD4BDE"/>
    <w:rsid w:val="00FD4C1A"/>
    <w:rsid w:val="00FD4E9B"/>
    <w:rsid w:val="00FD5013"/>
    <w:rsid w:val="00FD5042"/>
    <w:rsid w:val="00FD51A3"/>
    <w:rsid w:val="00FD5401"/>
    <w:rsid w:val="00FD5590"/>
    <w:rsid w:val="00FD5602"/>
    <w:rsid w:val="00FD562B"/>
    <w:rsid w:val="00FD56B9"/>
    <w:rsid w:val="00FD577E"/>
    <w:rsid w:val="00FD5899"/>
    <w:rsid w:val="00FD58D0"/>
    <w:rsid w:val="00FD5A61"/>
    <w:rsid w:val="00FD5ABE"/>
    <w:rsid w:val="00FD5AD3"/>
    <w:rsid w:val="00FD5B17"/>
    <w:rsid w:val="00FD5B65"/>
    <w:rsid w:val="00FD5C66"/>
    <w:rsid w:val="00FD5CD3"/>
    <w:rsid w:val="00FD5DF0"/>
    <w:rsid w:val="00FD5DF7"/>
    <w:rsid w:val="00FD5FD0"/>
    <w:rsid w:val="00FD5FD5"/>
    <w:rsid w:val="00FD600C"/>
    <w:rsid w:val="00FD60A3"/>
    <w:rsid w:val="00FD634B"/>
    <w:rsid w:val="00FD6416"/>
    <w:rsid w:val="00FD6461"/>
    <w:rsid w:val="00FD64DF"/>
    <w:rsid w:val="00FD64E6"/>
    <w:rsid w:val="00FD6677"/>
    <w:rsid w:val="00FD66C5"/>
    <w:rsid w:val="00FD66F9"/>
    <w:rsid w:val="00FD6717"/>
    <w:rsid w:val="00FD6732"/>
    <w:rsid w:val="00FD67D9"/>
    <w:rsid w:val="00FD6841"/>
    <w:rsid w:val="00FD688B"/>
    <w:rsid w:val="00FD695C"/>
    <w:rsid w:val="00FD6C07"/>
    <w:rsid w:val="00FD6DA5"/>
    <w:rsid w:val="00FD6DC8"/>
    <w:rsid w:val="00FD6DE1"/>
    <w:rsid w:val="00FD6E43"/>
    <w:rsid w:val="00FD6EF8"/>
    <w:rsid w:val="00FD6FE4"/>
    <w:rsid w:val="00FD700F"/>
    <w:rsid w:val="00FD709D"/>
    <w:rsid w:val="00FD710B"/>
    <w:rsid w:val="00FD71BE"/>
    <w:rsid w:val="00FD72BC"/>
    <w:rsid w:val="00FD7386"/>
    <w:rsid w:val="00FD73D0"/>
    <w:rsid w:val="00FD7419"/>
    <w:rsid w:val="00FD7573"/>
    <w:rsid w:val="00FD75F9"/>
    <w:rsid w:val="00FD761D"/>
    <w:rsid w:val="00FD7637"/>
    <w:rsid w:val="00FD7790"/>
    <w:rsid w:val="00FD77E9"/>
    <w:rsid w:val="00FD7815"/>
    <w:rsid w:val="00FD7858"/>
    <w:rsid w:val="00FD792B"/>
    <w:rsid w:val="00FD7A69"/>
    <w:rsid w:val="00FD7AD7"/>
    <w:rsid w:val="00FD7D7D"/>
    <w:rsid w:val="00FD7DF8"/>
    <w:rsid w:val="00FD7E41"/>
    <w:rsid w:val="00FD7E4E"/>
    <w:rsid w:val="00FD7FD4"/>
    <w:rsid w:val="00FE0131"/>
    <w:rsid w:val="00FE026F"/>
    <w:rsid w:val="00FE02AE"/>
    <w:rsid w:val="00FE02D3"/>
    <w:rsid w:val="00FE0302"/>
    <w:rsid w:val="00FE03E0"/>
    <w:rsid w:val="00FE03EC"/>
    <w:rsid w:val="00FE042D"/>
    <w:rsid w:val="00FE059C"/>
    <w:rsid w:val="00FE0645"/>
    <w:rsid w:val="00FE0648"/>
    <w:rsid w:val="00FE065F"/>
    <w:rsid w:val="00FE069C"/>
    <w:rsid w:val="00FE06A8"/>
    <w:rsid w:val="00FE06E8"/>
    <w:rsid w:val="00FE0B76"/>
    <w:rsid w:val="00FE0C84"/>
    <w:rsid w:val="00FE0D17"/>
    <w:rsid w:val="00FE0D1C"/>
    <w:rsid w:val="00FE0D73"/>
    <w:rsid w:val="00FE0D7D"/>
    <w:rsid w:val="00FE0D7F"/>
    <w:rsid w:val="00FE0DD4"/>
    <w:rsid w:val="00FE0E18"/>
    <w:rsid w:val="00FE0EC1"/>
    <w:rsid w:val="00FE0F04"/>
    <w:rsid w:val="00FE104C"/>
    <w:rsid w:val="00FE107A"/>
    <w:rsid w:val="00FE108C"/>
    <w:rsid w:val="00FE11E1"/>
    <w:rsid w:val="00FE1273"/>
    <w:rsid w:val="00FE12B7"/>
    <w:rsid w:val="00FE13AA"/>
    <w:rsid w:val="00FE13D8"/>
    <w:rsid w:val="00FE1904"/>
    <w:rsid w:val="00FE1974"/>
    <w:rsid w:val="00FE1990"/>
    <w:rsid w:val="00FE19BE"/>
    <w:rsid w:val="00FE1AE5"/>
    <w:rsid w:val="00FE1C53"/>
    <w:rsid w:val="00FE1C75"/>
    <w:rsid w:val="00FE1CF8"/>
    <w:rsid w:val="00FE1DD7"/>
    <w:rsid w:val="00FE1EB0"/>
    <w:rsid w:val="00FE1EB4"/>
    <w:rsid w:val="00FE1EBE"/>
    <w:rsid w:val="00FE1F1B"/>
    <w:rsid w:val="00FE1FB4"/>
    <w:rsid w:val="00FE200D"/>
    <w:rsid w:val="00FE21DF"/>
    <w:rsid w:val="00FE2280"/>
    <w:rsid w:val="00FE22B8"/>
    <w:rsid w:val="00FE22C2"/>
    <w:rsid w:val="00FE22DF"/>
    <w:rsid w:val="00FE247D"/>
    <w:rsid w:val="00FE24A8"/>
    <w:rsid w:val="00FE24AF"/>
    <w:rsid w:val="00FE2567"/>
    <w:rsid w:val="00FE2595"/>
    <w:rsid w:val="00FE25A1"/>
    <w:rsid w:val="00FE268E"/>
    <w:rsid w:val="00FE26B5"/>
    <w:rsid w:val="00FE26D6"/>
    <w:rsid w:val="00FE26E2"/>
    <w:rsid w:val="00FE27C8"/>
    <w:rsid w:val="00FE2892"/>
    <w:rsid w:val="00FE28A1"/>
    <w:rsid w:val="00FE28E5"/>
    <w:rsid w:val="00FE2A2C"/>
    <w:rsid w:val="00FE2AC6"/>
    <w:rsid w:val="00FE2B25"/>
    <w:rsid w:val="00FE2BE4"/>
    <w:rsid w:val="00FE2C9C"/>
    <w:rsid w:val="00FE2CAA"/>
    <w:rsid w:val="00FE2D50"/>
    <w:rsid w:val="00FE2DD8"/>
    <w:rsid w:val="00FE2E47"/>
    <w:rsid w:val="00FE2F76"/>
    <w:rsid w:val="00FE2FF1"/>
    <w:rsid w:val="00FE3195"/>
    <w:rsid w:val="00FE32EA"/>
    <w:rsid w:val="00FE3301"/>
    <w:rsid w:val="00FE34B2"/>
    <w:rsid w:val="00FE3527"/>
    <w:rsid w:val="00FE3554"/>
    <w:rsid w:val="00FE36A7"/>
    <w:rsid w:val="00FE3809"/>
    <w:rsid w:val="00FE38C0"/>
    <w:rsid w:val="00FE395B"/>
    <w:rsid w:val="00FE3A32"/>
    <w:rsid w:val="00FE3A43"/>
    <w:rsid w:val="00FE3A62"/>
    <w:rsid w:val="00FE3B50"/>
    <w:rsid w:val="00FE3C18"/>
    <w:rsid w:val="00FE3C47"/>
    <w:rsid w:val="00FE3C79"/>
    <w:rsid w:val="00FE3CDA"/>
    <w:rsid w:val="00FE3D4C"/>
    <w:rsid w:val="00FE3D6F"/>
    <w:rsid w:val="00FE3E85"/>
    <w:rsid w:val="00FE3F64"/>
    <w:rsid w:val="00FE3FBC"/>
    <w:rsid w:val="00FE3FFD"/>
    <w:rsid w:val="00FE40A9"/>
    <w:rsid w:val="00FE4149"/>
    <w:rsid w:val="00FE41F0"/>
    <w:rsid w:val="00FE42AC"/>
    <w:rsid w:val="00FE442D"/>
    <w:rsid w:val="00FE447C"/>
    <w:rsid w:val="00FE4525"/>
    <w:rsid w:val="00FE4593"/>
    <w:rsid w:val="00FE4664"/>
    <w:rsid w:val="00FE481A"/>
    <w:rsid w:val="00FE4929"/>
    <w:rsid w:val="00FE493C"/>
    <w:rsid w:val="00FE4A20"/>
    <w:rsid w:val="00FE4A42"/>
    <w:rsid w:val="00FE4A46"/>
    <w:rsid w:val="00FE4A4F"/>
    <w:rsid w:val="00FE4A6A"/>
    <w:rsid w:val="00FE4D98"/>
    <w:rsid w:val="00FE4DAC"/>
    <w:rsid w:val="00FE4EA7"/>
    <w:rsid w:val="00FE4EBB"/>
    <w:rsid w:val="00FE4F53"/>
    <w:rsid w:val="00FE4F69"/>
    <w:rsid w:val="00FE4F8E"/>
    <w:rsid w:val="00FE4FEA"/>
    <w:rsid w:val="00FE5192"/>
    <w:rsid w:val="00FE51E9"/>
    <w:rsid w:val="00FE51EC"/>
    <w:rsid w:val="00FE5624"/>
    <w:rsid w:val="00FE5710"/>
    <w:rsid w:val="00FE57E4"/>
    <w:rsid w:val="00FE582C"/>
    <w:rsid w:val="00FE582E"/>
    <w:rsid w:val="00FE589B"/>
    <w:rsid w:val="00FE5960"/>
    <w:rsid w:val="00FE59A8"/>
    <w:rsid w:val="00FE59F2"/>
    <w:rsid w:val="00FE5A36"/>
    <w:rsid w:val="00FE5AE8"/>
    <w:rsid w:val="00FE5C3E"/>
    <w:rsid w:val="00FE5CFA"/>
    <w:rsid w:val="00FE5D5E"/>
    <w:rsid w:val="00FE5D7B"/>
    <w:rsid w:val="00FE5DE7"/>
    <w:rsid w:val="00FE5EA4"/>
    <w:rsid w:val="00FE5EAA"/>
    <w:rsid w:val="00FE5EE9"/>
    <w:rsid w:val="00FE607C"/>
    <w:rsid w:val="00FE609E"/>
    <w:rsid w:val="00FE6216"/>
    <w:rsid w:val="00FE6306"/>
    <w:rsid w:val="00FE6407"/>
    <w:rsid w:val="00FE64D9"/>
    <w:rsid w:val="00FE665D"/>
    <w:rsid w:val="00FE66AE"/>
    <w:rsid w:val="00FE674B"/>
    <w:rsid w:val="00FE67F1"/>
    <w:rsid w:val="00FE67F9"/>
    <w:rsid w:val="00FE6A29"/>
    <w:rsid w:val="00FE6A7B"/>
    <w:rsid w:val="00FE6BCA"/>
    <w:rsid w:val="00FE6BCC"/>
    <w:rsid w:val="00FE6CEE"/>
    <w:rsid w:val="00FE6DB5"/>
    <w:rsid w:val="00FE700A"/>
    <w:rsid w:val="00FE7060"/>
    <w:rsid w:val="00FE70D3"/>
    <w:rsid w:val="00FE7110"/>
    <w:rsid w:val="00FE719F"/>
    <w:rsid w:val="00FE71C1"/>
    <w:rsid w:val="00FE720B"/>
    <w:rsid w:val="00FE7281"/>
    <w:rsid w:val="00FE7288"/>
    <w:rsid w:val="00FE72A6"/>
    <w:rsid w:val="00FE72B4"/>
    <w:rsid w:val="00FE72E2"/>
    <w:rsid w:val="00FE731A"/>
    <w:rsid w:val="00FE73E9"/>
    <w:rsid w:val="00FE7447"/>
    <w:rsid w:val="00FE7538"/>
    <w:rsid w:val="00FE75D2"/>
    <w:rsid w:val="00FE7619"/>
    <w:rsid w:val="00FE7665"/>
    <w:rsid w:val="00FE76B9"/>
    <w:rsid w:val="00FE773D"/>
    <w:rsid w:val="00FE78FA"/>
    <w:rsid w:val="00FE7DF3"/>
    <w:rsid w:val="00FE7F11"/>
    <w:rsid w:val="00FE7F60"/>
    <w:rsid w:val="00FF0014"/>
    <w:rsid w:val="00FF0086"/>
    <w:rsid w:val="00FF008B"/>
    <w:rsid w:val="00FF016C"/>
    <w:rsid w:val="00FF0252"/>
    <w:rsid w:val="00FF0269"/>
    <w:rsid w:val="00FF02E1"/>
    <w:rsid w:val="00FF0402"/>
    <w:rsid w:val="00FF0406"/>
    <w:rsid w:val="00FF0432"/>
    <w:rsid w:val="00FF0466"/>
    <w:rsid w:val="00FF04A1"/>
    <w:rsid w:val="00FF04BE"/>
    <w:rsid w:val="00FF04EA"/>
    <w:rsid w:val="00FF075A"/>
    <w:rsid w:val="00FF07AE"/>
    <w:rsid w:val="00FF0916"/>
    <w:rsid w:val="00FF09B3"/>
    <w:rsid w:val="00FF09E1"/>
    <w:rsid w:val="00FF0A25"/>
    <w:rsid w:val="00FF0A4E"/>
    <w:rsid w:val="00FF0B95"/>
    <w:rsid w:val="00FF0C88"/>
    <w:rsid w:val="00FF0D41"/>
    <w:rsid w:val="00FF0DDF"/>
    <w:rsid w:val="00FF0E20"/>
    <w:rsid w:val="00FF0E9A"/>
    <w:rsid w:val="00FF0EA2"/>
    <w:rsid w:val="00FF0EA3"/>
    <w:rsid w:val="00FF1022"/>
    <w:rsid w:val="00FF10F9"/>
    <w:rsid w:val="00FF11B8"/>
    <w:rsid w:val="00FF1367"/>
    <w:rsid w:val="00FF1406"/>
    <w:rsid w:val="00FF1447"/>
    <w:rsid w:val="00FF144E"/>
    <w:rsid w:val="00FF1544"/>
    <w:rsid w:val="00FF1570"/>
    <w:rsid w:val="00FF157F"/>
    <w:rsid w:val="00FF1591"/>
    <w:rsid w:val="00FF160A"/>
    <w:rsid w:val="00FF171F"/>
    <w:rsid w:val="00FF17CD"/>
    <w:rsid w:val="00FF1859"/>
    <w:rsid w:val="00FF189A"/>
    <w:rsid w:val="00FF196A"/>
    <w:rsid w:val="00FF197E"/>
    <w:rsid w:val="00FF199A"/>
    <w:rsid w:val="00FF1AAC"/>
    <w:rsid w:val="00FF1BA0"/>
    <w:rsid w:val="00FF1BD1"/>
    <w:rsid w:val="00FF1C38"/>
    <w:rsid w:val="00FF1E85"/>
    <w:rsid w:val="00FF1F68"/>
    <w:rsid w:val="00FF1F6A"/>
    <w:rsid w:val="00FF1F90"/>
    <w:rsid w:val="00FF212B"/>
    <w:rsid w:val="00FF2296"/>
    <w:rsid w:val="00FF2458"/>
    <w:rsid w:val="00FF2469"/>
    <w:rsid w:val="00FF25A5"/>
    <w:rsid w:val="00FF2669"/>
    <w:rsid w:val="00FF2680"/>
    <w:rsid w:val="00FF2778"/>
    <w:rsid w:val="00FF277B"/>
    <w:rsid w:val="00FF27A2"/>
    <w:rsid w:val="00FF27FA"/>
    <w:rsid w:val="00FF2874"/>
    <w:rsid w:val="00FF295B"/>
    <w:rsid w:val="00FF2A61"/>
    <w:rsid w:val="00FF2AA1"/>
    <w:rsid w:val="00FF2B81"/>
    <w:rsid w:val="00FF2BE8"/>
    <w:rsid w:val="00FF2C32"/>
    <w:rsid w:val="00FF2C8F"/>
    <w:rsid w:val="00FF2D5B"/>
    <w:rsid w:val="00FF2DA2"/>
    <w:rsid w:val="00FF2DE8"/>
    <w:rsid w:val="00FF2E59"/>
    <w:rsid w:val="00FF2FE5"/>
    <w:rsid w:val="00FF302B"/>
    <w:rsid w:val="00FF3068"/>
    <w:rsid w:val="00FF306C"/>
    <w:rsid w:val="00FF30E8"/>
    <w:rsid w:val="00FF3123"/>
    <w:rsid w:val="00FF316B"/>
    <w:rsid w:val="00FF31EB"/>
    <w:rsid w:val="00FF3373"/>
    <w:rsid w:val="00FF3480"/>
    <w:rsid w:val="00FF3567"/>
    <w:rsid w:val="00FF371F"/>
    <w:rsid w:val="00FF37DE"/>
    <w:rsid w:val="00FF388F"/>
    <w:rsid w:val="00FF3AFB"/>
    <w:rsid w:val="00FF3BFC"/>
    <w:rsid w:val="00FF3CAD"/>
    <w:rsid w:val="00FF3CB5"/>
    <w:rsid w:val="00FF3CDA"/>
    <w:rsid w:val="00FF3D24"/>
    <w:rsid w:val="00FF3E90"/>
    <w:rsid w:val="00FF3FF6"/>
    <w:rsid w:val="00FF426D"/>
    <w:rsid w:val="00FF42B5"/>
    <w:rsid w:val="00FF42FE"/>
    <w:rsid w:val="00FF4483"/>
    <w:rsid w:val="00FF4517"/>
    <w:rsid w:val="00FF4547"/>
    <w:rsid w:val="00FF457E"/>
    <w:rsid w:val="00FF45D5"/>
    <w:rsid w:val="00FF45E7"/>
    <w:rsid w:val="00FF486E"/>
    <w:rsid w:val="00FF48EE"/>
    <w:rsid w:val="00FF4910"/>
    <w:rsid w:val="00FF491D"/>
    <w:rsid w:val="00FF4A48"/>
    <w:rsid w:val="00FF4B6F"/>
    <w:rsid w:val="00FF4E9C"/>
    <w:rsid w:val="00FF4ED3"/>
    <w:rsid w:val="00FF5035"/>
    <w:rsid w:val="00FF50E7"/>
    <w:rsid w:val="00FF5203"/>
    <w:rsid w:val="00FF5298"/>
    <w:rsid w:val="00FF52A8"/>
    <w:rsid w:val="00FF5446"/>
    <w:rsid w:val="00FF54B2"/>
    <w:rsid w:val="00FF54BD"/>
    <w:rsid w:val="00FF54DE"/>
    <w:rsid w:val="00FF54EC"/>
    <w:rsid w:val="00FF54EF"/>
    <w:rsid w:val="00FF5546"/>
    <w:rsid w:val="00FF55C3"/>
    <w:rsid w:val="00FF5677"/>
    <w:rsid w:val="00FF567C"/>
    <w:rsid w:val="00FF56B1"/>
    <w:rsid w:val="00FF5714"/>
    <w:rsid w:val="00FF5818"/>
    <w:rsid w:val="00FF5854"/>
    <w:rsid w:val="00FF5950"/>
    <w:rsid w:val="00FF5AA3"/>
    <w:rsid w:val="00FF5BC6"/>
    <w:rsid w:val="00FF5C61"/>
    <w:rsid w:val="00FF5C75"/>
    <w:rsid w:val="00FF5CEE"/>
    <w:rsid w:val="00FF5D1F"/>
    <w:rsid w:val="00FF5F39"/>
    <w:rsid w:val="00FF621B"/>
    <w:rsid w:val="00FF623D"/>
    <w:rsid w:val="00FF6357"/>
    <w:rsid w:val="00FF63D2"/>
    <w:rsid w:val="00FF6407"/>
    <w:rsid w:val="00FF64C3"/>
    <w:rsid w:val="00FF650C"/>
    <w:rsid w:val="00FF652B"/>
    <w:rsid w:val="00FF6648"/>
    <w:rsid w:val="00FF6669"/>
    <w:rsid w:val="00FF6674"/>
    <w:rsid w:val="00FF6701"/>
    <w:rsid w:val="00FF67A4"/>
    <w:rsid w:val="00FF6851"/>
    <w:rsid w:val="00FF691D"/>
    <w:rsid w:val="00FF6936"/>
    <w:rsid w:val="00FF6974"/>
    <w:rsid w:val="00FF6991"/>
    <w:rsid w:val="00FF69B7"/>
    <w:rsid w:val="00FF6BA1"/>
    <w:rsid w:val="00FF6C28"/>
    <w:rsid w:val="00FF6CB9"/>
    <w:rsid w:val="00FF6CCA"/>
    <w:rsid w:val="00FF6CDC"/>
    <w:rsid w:val="00FF6CEA"/>
    <w:rsid w:val="00FF6D10"/>
    <w:rsid w:val="00FF6D7D"/>
    <w:rsid w:val="00FF6DCE"/>
    <w:rsid w:val="00FF6E19"/>
    <w:rsid w:val="00FF6E77"/>
    <w:rsid w:val="00FF6EC7"/>
    <w:rsid w:val="00FF6F56"/>
    <w:rsid w:val="00FF6F85"/>
    <w:rsid w:val="00FF718B"/>
    <w:rsid w:val="00FF728C"/>
    <w:rsid w:val="00FF7316"/>
    <w:rsid w:val="00FF73BA"/>
    <w:rsid w:val="00FF73CD"/>
    <w:rsid w:val="00FF7614"/>
    <w:rsid w:val="00FF76C1"/>
    <w:rsid w:val="00FF779F"/>
    <w:rsid w:val="00FF77A2"/>
    <w:rsid w:val="00FF79FC"/>
    <w:rsid w:val="00FF7AF5"/>
    <w:rsid w:val="00FF7B6A"/>
    <w:rsid w:val="00FF7BBF"/>
    <w:rsid w:val="00FF7C25"/>
    <w:rsid w:val="00FF7D99"/>
    <w:rsid w:val="00FF7E01"/>
    <w:rsid w:val="00FF7E65"/>
    <w:rsid w:val="00FF7F2D"/>
    <w:rsid w:val="00FF7FEA"/>
    <w:rsid w:val="00FF7FFD"/>
    <w:rsid w:val="01100E8F"/>
    <w:rsid w:val="016755D7"/>
    <w:rsid w:val="017D3F87"/>
    <w:rsid w:val="019F6C56"/>
    <w:rsid w:val="01BBABBD"/>
    <w:rsid w:val="01C4F02F"/>
    <w:rsid w:val="01D31671"/>
    <w:rsid w:val="01F2E9BA"/>
    <w:rsid w:val="02724D86"/>
    <w:rsid w:val="029DB1F8"/>
    <w:rsid w:val="02BC6472"/>
    <w:rsid w:val="02E88AEF"/>
    <w:rsid w:val="02EA72CB"/>
    <w:rsid w:val="030180F9"/>
    <w:rsid w:val="03123E7C"/>
    <w:rsid w:val="0338FA8B"/>
    <w:rsid w:val="033B7749"/>
    <w:rsid w:val="03464931"/>
    <w:rsid w:val="037B901C"/>
    <w:rsid w:val="03960255"/>
    <w:rsid w:val="03B1272A"/>
    <w:rsid w:val="03B2F278"/>
    <w:rsid w:val="03CA6FE2"/>
    <w:rsid w:val="03DE074F"/>
    <w:rsid w:val="03F0B8AD"/>
    <w:rsid w:val="03F6DF07"/>
    <w:rsid w:val="041553B9"/>
    <w:rsid w:val="042F6D0D"/>
    <w:rsid w:val="0438A291"/>
    <w:rsid w:val="04773D09"/>
    <w:rsid w:val="04812758"/>
    <w:rsid w:val="04BD2FFE"/>
    <w:rsid w:val="04C1AD3D"/>
    <w:rsid w:val="04F60841"/>
    <w:rsid w:val="0531EF7A"/>
    <w:rsid w:val="0538BDD1"/>
    <w:rsid w:val="054536B4"/>
    <w:rsid w:val="0598077B"/>
    <w:rsid w:val="059D7590"/>
    <w:rsid w:val="05BBEC49"/>
    <w:rsid w:val="05CD6FEC"/>
    <w:rsid w:val="05DA7190"/>
    <w:rsid w:val="05DE41BB"/>
    <w:rsid w:val="05E96483"/>
    <w:rsid w:val="0602CB54"/>
    <w:rsid w:val="062F720E"/>
    <w:rsid w:val="062F9D1B"/>
    <w:rsid w:val="063E87B9"/>
    <w:rsid w:val="0661884B"/>
    <w:rsid w:val="0670B658"/>
    <w:rsid w:val="0675CAA7"/>
    <w:rsid w:val="067D3C95"/>
    <w:rsid w:val="06868CA6"/>
    <w:rsid w:val="069082C1"/>
    <w:rsid w:val="06980224"/>
    <w:rsid w:val="069CE8A1"/>
    <w:rsid w:val="06FEBEAE"/>
    <w:rsid w:val="07157BA9"/>
    <w:rsid w:val="074828B4"/>
    <w:rsid w:val="08103266"/>
    <w:rsid w:val="0842BFC2"/>
    <w:rsid w:val="084933CA"/>
    <w:rsid w:val="084ABA15"/>
    <w:rsid w:val="087002FC"/>
    <w:rsid w:val="0874812C"/>
    <w:rsid w:val="087E02AF"/>
    <w:rsid w:val="08953A74"/>
    <w:rsid w:val="08A2505B"/>
    <w:rsid w:val="08B138E6"/>
    <w:rsid w:val="08B86641"/>
    <w:rsid w:val="08C08BD3"/>
    <w:rsid w:val="08C12C5B"/>
    <w:rsid w:val="08C5E45E"/>
    <w:rsid w:val="08DFA883"/>
    <w:rsid w:val="09158C1A"/>
    <w:rsid w:val="094A55C5"/>
    <w:rsid w:val="09695E36"/>
    <w:rsid w:val="096A2A78"/>
    <w:rsid w:val="098034DC"/>
    <w:rsid w:val="099AAB38"/>
    <w:rsid w:val="09ACB51F"/>
    <w:rsid w:val="09B89485"/>
    <w:rsid w:val="09C3925D"/>
    <w:rsid w:val="09C83D74"/>
    <w:rsid w:val="09F2CEEF"/>
    <w:rsid w:val="0A17F13D"/>
    <w:rsid w:val="0A1B3D48"/>
    <w:rsid w:val="0A29209D"/>
    <w:rsid w:val="0A5B931D"/>
    <w:rsid w:val="0A82FC79"/>
    <w:rsid w:val="0AF24AE3"/>
    <w:rsid w:val="0AFCDFF4"/>
    <w:rsid w:val="0B120FF2"/>
    <w:rsid w:val="0B7BDEEE"/>
    <w:rsid w:val="0B9813E7"/>
    <w:rsid w:val="0BB13614"/>
    <w:rsid w:val="0BECC072"/>
    <w:rsid w:val="0BF117F5"/>
    <w:rsid w:val="0C30F564"/>
    <w:rsid w:val="0C60D989"/>
    <w:rsid w:val="0C7FA126"/>
    <w:rsid w:val="0C943EFC"/>
    <w:rsid w:val="0CFB53AF"/>
    <w:rsid w:val="0D027065"/>
    <w:rsid w:val="0D028829"/>
    <w:rsid w:val="0D2A6166"/>
    <w:rsid w:val="0D3243F9"/>
    <w:rsid w:val="0D32A9A3"/>
    <w:rsid w:val="0D73EFB9"/>
    <w:rsid w:val="0D8CC061"/>
    <w:rsid w:val="0DC06EC4"/>
    <w:rsid w:val="0DE2B25C"/>
    <w:rsid w:val="0E00D14D"/>
    <w:rsid w:val="0E0B75AF"/>
    <w:rsid w:val="0E3E6E24"/>
    <w:rsid w:val="0E688DFF"/>
    <w:rsid w:val="0E8B6499"/>
    <w:rsid w:val="0E9B753F"/>
    <w:rsid w:val="0EC8B107"/>
    <w:rsid w:val="0ECAB89C"/>
    <w:rsid w:val="0EF7CDBA"/>
    <w:rsid w:val="0F23970D"/>
    <w:rsid w:val="0F26AF58"/>
    <w:rsid w:val="0F2D61DF"/>
    <w:rsid w:val="0F5F8D6D"/>
    <w:rsid w:val="0F6B21C2"/>
    <w:rsid w:val="0F8190EC"/>
    <w:rsid w:val="0F899FAB"/>
    <w:rsid w:val="0F8FB296"/>
    <w:rsid w:val="0F9EE730"/>
    <w:rsid w:val="0FD14F3F"/>
    <w:rsid w:val="0FF01945"/>
    <w:rsid w:val="1002AB82"/>
    <w:rsid w:val="10032452"/>
    <w:rsid w:val="1011C727"/>
    <w:rsid w:val="1025A859"/>
    <w:rsid w:val="1027A7AE"/>
    <w:rsid w:val="102BD047"/>
    <w:rsid w:val="105B775C"/>
    <w:rsid w:val="1089DBBB"/>
    <w:rsid w:val="1099077A"/>
    <w:rsid w:val="10A86A32"/>
    <w:rsid w:val="10C3915C"/>
    <w:rsid w:val="1121D0F7"/>
    <w:rsid w:val="113ACFB3"/>
    <w:rsid w:val="115E0F35"/>
    <w:rsid w:val="11A5304D"/>
    <w:rsid w:val="11A5DBC5"/>
    <w:rsid w:val="11B21DAC"/>
    <w:rsid w:val="11BEFD56"/>
    <w:rsid w:val="11BFCADB"/>
    <w:rsid w:val="11D5C190"/>
    <w:rsid w:val="11F49483"/>
    <w:rsid w:val="11FE34BF"/>
    <w:rsid w:val="12149BB2"/>
    <w:rsid w:val="1245F44F"/>
    <w:rsid w:val="12549E71"/>
    <w:rsid w:val="125C628B"/>
    <w:rsid w:val="1261E255"/>
    <w:rsid w:val="127D6618"/>
    <w:rsid w:val="12A9D068"/>
    <w:rsid w:val="12B6385C"/>
    <w:rsid w:val="12BBEE45"/>
    <w:rsid w:val="12BCEAC1"/>
    <w:rsid w:val="12C64FA8"/>
    <w:rsid w:val="12D44C4F"/>
    <w:rsid w:val="12F4770B"/>
    <w:rsid w:val="13136E41"/>
    <w:rsid w:val="13524FCA"/>
    <w:rsid w:val="1355755C"/>
    <w:rsid w:val="135C3E75"/>
    <w:rsid w:val="136E6CB5"/>
    <w:rsid w:val="13C62C2E"/>
    <w:rsid w:val="13C6FE0D"/>
    <w:rsid w:val="13C78E8C"/>
    <w:rsid w:val="13DC8869"/>
    <w:rsid w:val="13EF8688"/>
    <w:rsid w:val="1402DB55"/>
    <w:rsid w:val="1407B2D3"/>
    <w:rsid w:val="1447218D"/>
    <w:rsid w:val="14678E7A"/>
    <w:rsid w:val="1467BA41"/>
    <w:rsid w:val="14A41C46"/>
    <w:rsid w:val="14A46EC1"/>
    <w:rsid w:val="14A60C44"/>
    <w:rsid w:val="14D43C61"/>
    <w:rsid w:val="14D7F9B1"/>
    <w:rsid w:val="14F341DB"/>
    <w:rsid w:val="15443F09"/>
    <w:rsid w:val="15560C2C"/>
    <w:rsid w:val="1558CA5E"/>
    <w:rsid w:val="1594ECBC"/>
    <w:rsid w:val="15F63F67"/>
    <w:rsid w:val="160AB11E"/>
    <w:rsid w:val="1613A64A"/>
    <w:rsid w:val="161A6142"/>
    <w:rsid w:val="161D9E17"/>
    <w:rsid w:val="161FA7B3"/>
    <w:rsid w:val="162E2DCE"/>
    <w:rsid w:val="165844F7"/>
    <w:rsid w:val="166B13BA"/>
    <w:rsid w:val="167A39D1"/>
    <w:rsid w:val="16853C19"/>
    <w:rsid w:val="16AE4373"/>
    <w:rsid w:val="16E020CA"/>
    <w:rsid w:val="16E6954F"/>
    <w:rsid w:val="16E74753"/>
    <w:rsid w:val="173F7F67"/>
    <w:rsid w:val="1769154D"/>
    <w:rsid w:val="17A21B39"/>
    <w:rsid w:val="17A91034"/>
    <w:rsid w:val="17BD9BAD"/>
    <w:rsid w:val="17D20151"/>
    <w:rsid w:val="17DB97C3"/>
    <w:rsid w:val="17EEC498"/>
    <w:rsid w:val="17FAB66B"/>
    <w:rsid w:val="18068FCB"/>
    <w:rsid w:val="182C7B3A"/>
    <w:rsid w:val="183B237E"/>
    <w:rsid w:val="187B51B4"/>
    <w:rsid w:val="189DB7C2"/>
    <w:rsid w:val="18A91C66"/>
    <w:rsid w:val="18AB99B7"/>
    <w:rsid w:val="18B2C6BB"/>
    <w:rsid w:val="18C83818"/>
    <w:rsid w:val="18D6B0AE"/>
    <w:rsid w:val="18DA93A8"/>
    <w:rsid w:val="19321E26"/>
    <w:rsid w:val="194BFEDF"/>
    <w:rsid w:val="19666571"/>
    <w:rsid w:val="19A70981"/>
    <w:rsid w:val="19B6B5E0"/>
    <w:rsid w:val="19B91AE5"/>
    <w:rsid w:val="19C23A4D"/>
    <w:rsid w:val="1A369D0B"/>
    <w:rsid w:val="1A82A998"/>
    <w:rsid w:val="1AA4DB27"/>
    <w:rsid w:val="1AD00405"/>
    <w:rsid w:val="1AE5C2D9"/>
    <w:rsid w:val="1AEE1759"/>
    <w:rsid w:val="1AF0EE3F"/>
    <w:rsid w:val="1AF57FCD"/>
    <w:rsid w:val="1AFA39FF"/>
    <w:rsid w:val="1AFE7334"/>
    <w:rsid w:val="1B1A4615"/>
    <w:rsid w:val="1B268EE5"/>
    <w:rsid w:val="1B34324C"/>
    <w:rsid w:val="1B4BA96C"/>
    <w:rsid w:val="1B4FD739"/>
    <w:rsid w:val="1B6F885C"/>
    <w:rsid w:val="1B737C31"/>
    <w:rsid w:val="1B7DFC6C"/>
    <w:rsid w:val="1B8B9C32"/>
    <w:rsid w:val="1BBE3FE2"/>
    <w:rsid w:val="1BC4E3ED"/>
    <w:rsid w:val="1BC84D49"/>
    <w:rsid w:val="1BE1A1A0"/>
    <w:rsid w:val="1C33D08C"/>
    <w:rsid w:val="1C36BC3B"/>
    <w:rsid w:val="1C3734BF"/>
    <w:rsid w:val="1C54C957"/>
    <w:rsid w:val="1C7E9C3E"/>
    <w:rsid w:val="1C815B89"/>
    <w:rsid w:val="1C976E8F"/>
    <w:rsid w:val="1CA9FD10"/>
    <w:rsid w:val="1CB14150"/>
    <w:rsid w:val="1CB1D8AC"/>
    <w:rsid w:val="1CB6B036"/>
    <w:rsid w:val="1CBDDC8F"/>
    <w:rsid w:val="1CED964F"/>
    <w:rsid w:val="1CFFBCB5"/>
    <w:rsid w:val="1D17F0DB"/>
    <w:rsid w:val="1D19C1E7"/>
    <w:rsid w:val="1D2CF9DA"/>
    <w:rsid w:val="1D507835"/>
    <w:rsid w:val="1D855BD8"/>
    <w:rsid w:val="1D8E5A06"/>
    <w:rsid w:val="1DAFB627"/>
    <w:rsid w:val="1DE27A42"/>
    <w:rsid w:val="1DE53304"/>
    <w:rsid w:val="1DEB4542"/>
    <w:rsid w:val="1DFB8087"/>
    <w:rsid w:val="1DFBB6F8"/>
    <w:rsid w:val="1E061F05"/>
    <w:rsid w:val="1E3F6CD4"/>
    <w:rsid w:val="1E60B59F"/>
    <w:rsid w:val="1E656C94"/>
    <w:rsid w:val="1E8ED5A9"/>
    <w:rsid w:val="1E9400C0"/>
    <w:rsid w:val="1EA2B32D"/>
    <w:rsid w:val="1EB77B63"/>
    <w:rsid w:val="1EFD84C0"/>
    <w:rsid w:val="1F0D5967"/>
    <w:rsid w:val="1F372C7F"/>
    <w:rsid w:val="1F5BA47B"/>
    <w:rsid w:val="1F653220"/>
    <w:rsid w:val="1FAEB651"/>
    <w:rsid w:val="1FC4F079"/>
    <w:rsid w:val="1FCE1027"/>
    <w:rsid w:val="1FD2A56E"/>
    <w:rsid w:val="1FF20EE9"/>
    <w:rsid w:val="1FF892E0"/>
    <w:rsid w:val="2028CB9A"/>
    <w:rsid w:val="202A2FDA"/>
    <w:rsid w:val="2037E17F"/>
    <w:rsid w:val="203EF09A"/>
    <w:rsid w:val="2059FCD5"/>
    <w:rsid w:val="20616D96"/>
    <w:rsid w:val="20700CE7"/>
    <w:rsid w:val="207D3445"/>
    <w:rsid w:val="2083C4C7"/>
    <w:rsid w:val="2094E6B6"/>
    <w:rsid w:val="20C9A806"/>
    <w:rsid w:val="20CDF74D"/>
    <w:rsid w:val="20EFEB94"/>
    <w:rsid w:val="2125008B"/>
    <w:rsid w:val="2127ACC6"/>
    <w:rsid w:val="2139C1AE"/>
    <w:rsid w:val="2140BEFB"/>
    <w:rsid w:val="216D4BAC"/>
    <w:rsid w:val="21C083A6"/>
    <w:rsid w:val="21C50D6F"/>
    <w:rsid w:val="21C9E4AB"/>
    <w:rsid w:val="21E3B011"/>
    <w:rsid w:val="2207FFDD"/>
    <w:rsid w:val="2211BD50"/>
    <w:rsid w:val="2232B484"/>
    <w:rsid w:val="226BE149"/>
    <w:rsid w:val="2289DFCA"/>
    <w:rsid w:val="229103EA"/>
    <w:rsid w:val="22C2F511"/>
    <w:rsid w:val="22C9C233"/>
    <w:rsid w:val="22D1B100"/>
    <w:rsid w:val="2305DE6D"/>
    <w:rsid w:val="2310347E"/>
    <w:rsid w:val="23560ECC"/>
    <w:rsid w:val="2359EFB5"/>
    <w:rsid w:val="23633FF6"/>
    <w:rsid w:val="236475E4"/>
    <w:rsid w:val="2364A899"/>
    <w:rsid w:val="23A2BF9D"/>
    <w:rsid w:val="23B6392E"/>
    <w:rsid w:val="23CC75C1"/>
    <w:rsid w:val="23FBCC7F"/>
    <w:rsid w:val="23FDB453"/>
    <w:rsid w:val="24009B9C"/>
    <w:rsid w:val="240EDBE2"/>
    <w:rsid w:val="2427F145"/>
    <w:rsid w:val="242B7961"/>
    <w:rsid w:val="247043D8"/>
    <w:rsid w:val="2488925E"/>
    <w:rsid w:val="248C370C"/>
    <w:rsid w:val="249E36B0"/>
    <w:rsid w:val="24A7939E"/>
    <w:rsid w:val="24DB7FB1"/>
    <w:rsid w:val="24F3F98B"/>
    <w:rsid w:val="25081E1B"/>
    <w:rsid w:val="2559E977"/>
    <w:rsid w:val="2593CEAE"/>
    <w:rsid w:val="25C7CB72"/>
    <w:rsid w:val="25F0AD92"/>
    <w:rsid w:val="26132320"/>
    <w:rsid w:val="26199F99"/>
    <w:rsid w:val="26596EBF"/>
    <w:rsid w:val="267D815F"/>
    <w:rsid w:val="26A2D286"/>
    <w:rsid w:val="26A7DDB6"/>
    <w:rsid w:val="26A8DE95"/>
    <w:rsid w:val="27120480"/>
    <w:rsid w:val="273F02DB"/>
    <w:rsid w:val="275377C3"/>
    <w:rsid w:val="27599BB5"/>
    <w:rsid w:val="275C1B18"/>
    <w:rsid w:val="277320D5"/>
    <w:rsid w:val="27941C5E"/>
    <w:rsid w:val="2797A500"/>
    <w:rsid w:val="2799718A"/>
    <w:rsid w:val="27BB6FAE"/>
    <w:rsid w:val="27C223DA"/>
    <w:rsid w:val="27F0C059"/>
    <w:rsid w:val="27F68FB2"/>
    <w:rsid w:val="27F8AB93"/>
    <w:rsid w:val="2871CDF5"/>
    <w:rsid w:val="289D2CAE"/>
    <w:rsid w:val="28B5E7EC"/>
    <w:rsid w:val="29091D0B"/>
    <w:rsid w:val="290A8773"/>
    <w:rsid w:val="291D980B"/>
    <w:rsid w:val="292AFE98"/>
    <w:rsid w:val="292ED3FA"/>
    <w:rsid w:val="2946100B"/>
    <w:rsid w:val="29477A13"/>
    <w:rsid w:val="294FEDAE"/>
    <w:rsid w:val="2992412C"/>
    <w:rsid w:val="29AAC577"/>
    <w:rsid w:val="29AAE1F8"/>
    <w:rsid w:val="29D8AB86"/>
    <w:rsid w:val="29DDD721"/>
    <w:rsid w:val="29EC0F75"/>
    <w:rsid w:val="29F3CD12"/>
    <w:rsid w:val="2A0004EE"/>
    <w:rsid w:val="2A121919"/>
    <w:rsid w:val="2A502A6B"/>
    <w:rsid w:val="2A54145B"/>
    <w:rsid w:val="2A5AC129"/>
    <w:rsid w:val="2A5C8C10"/>
    <w:rsid w:val="2A8D8F6F"/>
    <w:rsid w:val="2A9050AF"/>
    <w:rsid w:val="2AA7BEDE"/>
    <w:rsid w:val="2AF682E1"/>
    <w:rsid w:val="2B178250"/>
    <w:rsid w:val="2B3CEB9F"/>
    <w:rsid w:val="2B588153"/>
    <w:rsid w:val="2B728061"/>
    <w:rsid w:val="2B7395CC"/>
    <w:rsid w:val="2B8B33D0"/>
    <w:rsid w:val="2B999552"/>
    <w:rsid w:val="2B9D32D5"/>
    <w:rsid w:val="2B9EC6FD"/>
    <w:rsid w:val="2BA84468"/>
    <w:rsid w:val="2BA8CC95"/>
    <w:rsid w:val="2BCB92FF"/>
    <w:rsid w:val="2BF122AD"/>
    <w:rsid w:val="2BF473FA"/>
    <w:rsid w:val="2BFE5A4D"/>
    <w:rsid w:val="2C13EA6C"/>
    <w:rsid w:val="2C1A974F"/>
    <w:rsid w:val="2C44E56A"/>
    <w:rsid w:val="2C47150D"/>
    <w:rsid w:val="2C552383"/>
    <w:rsid w:val="2C730501"/>
    <w:rsid w:val="2C7CE923"/>
    <w:rsid w:val="2CD7AD65"/>
    <w:rsid w:val="2CD8BCD6"/>
    <w:rsid w:val="2CDD8CD1"/>
    <w:rsid w:val="2D07B732"/>
    <w:rsid w:val="2D31C7CE"/>
    <w:rsid w:val="2D645006"/>
    <w:rsid w:val="2D76CDA1"/>
    <w:rsid w:val="2DB7F730"/>
    <w:rsid w:val="2DB9414D"/>
    <w:rsid w:val="2DD86830"/>
    <w:rsid w:val="2E0230C5"/>
    <w:rsid w:val="2E250B04"/>
    <w:rsid w:val="2E3591FA"/>
    <w:rsid w:val="2E4781C3"/>
    <w:rsid w:val="2E77DCEE"/>
    <w:rsid w:val="2E7B91FA"/>
    <w:rsid w:val="2E7E9CBA"/>
    <w:rsid w:val="2EA71969"/>
    <w:rsid w:val="2ED3715C"/>
    <w:rsid w:val="2EE9D8E8"/>
    <w:rsid w:val="2F4300F9"/>
    <w:rsid w:val="2F4D1D22"/>
    <w:rsid w:val="2F60FD32"/>
    <w:rsid w:val="2F80082E"/>
    <w:rsid w:val="2F822585"/>
    <w:rsid w:val="2FA371DF"/>
    <w:rsid w:val="2FAD64BD"/>
    <w:rsid w:val="2FCAC6CE"/>
    <w:rsid w:val="2FD0A3A7"/>
    <w:rsid w:val="2FDF98BF"/>
    <w:rsid w:val="2FE6AF63"/>
    <w:rsid w:val="300EB2AB"/>
    <w:rsid w:val="304B056E"/>
    <w:rsid w:val="305B424D"/>
    <w:rsid w:val="30965ECB"/>
    <w:rsid w:val="309A269B"/>
    <w:rsid w:val="30AC6F00"/>
    <w:rsid w:val="30B19B14"/>
    <w:rsid w:val="30B83D08"/>
    <w:rsid w:val="30BD1499"/>
    <w:rsid w:val="30BD69FC"/>
    <w:rsid w:val="30E9145D"/>
    <w:rsid w:val="3105C976"/>
    <w:rsid w:val="3110AC58"/>
    <w:rsid w:val="311BF28A"/>
    <w:rsid w:val="314722E1"/>
    <w:rsid w:val="314FE7A2"/>
    <w:rsid w:val="3167503F"/>
    <w:rsid w:val="316C184F"/>
    <w:rsid w:val="31710D9F"/>
    <w:rsid w:val="317EF0EA"/>
    <w:rsid w:val="31D73515"/>
    <w:rsid w:val="31F0BB22"/>
    <w:rsid w:val="31FCAAB0"/>
    <w:rsid w:val="320276D5"/>
    <w:rsid w:val="3229721D"/>
    <w:rsid w:val="32360C5E"/>
    <w:rsid w:val="323814FF"/>
    <w:rsid w:val="32555B6B"/>
    <w:rsid w:val="325AC94B"/>
    <w:rsid w:val="327A513E"/>
    <w:rsid w:val="332C122E"/>
    <w:rsid w:val="333C2C68"/>
    <w:rsid w:val="33659462"/>
    <w:rsid w:val="33833212"/>
    <w:rsid w:val="339E6291"/>
    <w:rsid w:val="33A0D827"/>
    <w:rsid w:val="33A3AFE0"/>
    <w:rsid w:val="33C0FC81"/>
    <w:rsid w:val="33C75260"/>
    <w:rsid w:val="33C97B28"/>
    <w:rsid w:val="33EBBB12"/>
    <w:rsid w:val="340B4B0D"/>
    <w:rsid w:val="3463DCD1"/>
    <w:rsid w:val="3483E7F8"/>
    <w:rsid w:val="349183C8"/>
    <w:rsid w:val="349F4ED9"/>
    <w:rsid w:val="34C8F8F5"/>
    <w:rsid w:val="34DA8D63"/>
    <w:rsid w:val="34DBF081"/>
    <w:rsid w:val="34DC4C5E"/>
    <w:rsid w:val="3512E884"/>
    <w:rsid w:val="3518F2DF"/>
    <w:rsid w:val="35199186"/>
    <w:rsid w:val="35443A9D"/>
    <w:rsid w:val="355D854D"/>
    <w:rsid w:val="3562647E"/>
    <w:rsid w:val="3565CEA9"/>
    <w:rsid w:val="3570888A"/>
    <w:rsid w:val="3578E415"/>
    <w:rsid w:val="357F5E60"/>
    <w:rsid w:val="358424B8"/>
    <w:rsid w:val="358B08BA"/>
    <w:rsid w:val="35B32CC4"/>
    <w:rsid w:val="35CB951F"/>
    <w:rsid w:val="3619F09F"/>
    <w:rsid w:val="36302F90"/>
    <w:rsid w:val="3640EAEC"/>
    <w:rsid w:val="36420C9E"/>
    <w:rsid w:val="365EEDE4"/>
    <w:rsid w:val="3677601B"/>
    <w:rsid w:val="3680626D"/>
    <w:rsid w:val="36B6CC02"/>
    <w:rsid w:val="36BE1113"/>
    <w:rsid w:val="3701423F"/>
    <w:rsid w:val="3763B0BA"/>
    <w:rsid w:val="37707ECA"/>
    <w:rsid w:val="37CC9C4A"/>
    <w:rsid w:val="37CDD050"/>
    <w:rsid w:val="37D81934"/>
    <w:rsid w:val="37D95E6B"/>
    <w:rsid w:val="37EE6F57"/>
    <w:rsid w:val="37FCB597"/>
    <w:rsid w:val="3824FB69"/>
    <w:rsid w:val="38391BA1"/>
    <w:rsid w:val="38516E1C"/>
    <w:rsid w:val="38652CEB"/>
    <w:rsid w:val="38672538"/>
    <w:rsid w:val="3878320D"/>
    <w:rsid w:val="389435D3"/>
    <w:rsid w:val="38A6E786"/>
    <w:rsid w:val="38C384BA"/>
    <w:rsid w:val="38EB0246"/>
    <w:rsid w:val="38FAF5B3"/>
    <w:rsid w:val="38FC2751"/>
    <w:rsid w:val="392CA27F"/>
    <w:rsid w:val="393F6207"/>
    <w:rsid w:val="3953D1AF"/>
    <w:rsid w:val="3959C3C5"/>
    <w:rsid w:val="39939F20"/>
    <w:rsid w:val="39A2A8CB"/>
    <w:rsid w:val="39ADEBA0"/>
    <w:rsid w:val="39B1B902"/>
    <w:rsid w:val="39D8CE79"/>
    <w:rsid w:val="39DB7E3A"/>
    <w:rsid w:val="39F665D9"/>
    <w:rsid w:val="3A076127"/>
    <w:rsid w:val="3A137FCE"/>
    <w:rsid w:val="3A2500D8"/>
    <w:rsid w:val="3A33B071"/>
    <w:rsid w:val="3A33BD18"/>
    <w:rsid w:val="3A3631CF"/>
    <w:rsid w:val="3A3EE6CE"/>
    <w:rsid w:val="3A57974E"/>
    <w:rsid w:val="3A632DF8"/>
    <w:rsid w:val="3A6AD52B"/>
    <w:rsid w:val="3A857AA4"/>
    <w:rsid w:val="3A8D5344"/>
    <w:rsid w:val="3ABBC021"/>
    <w:rsid w:val="3ADD2E6A"/>
    <w:rsid w:val="3AF05965"/>
    <w:rsid w:val="3B125927"/>
    <w:rsid w:val="3B20C256"/>
    <w:rsid w:val="3B20D381"/>
    <w:rsid w:val="3B239FED"/>
    <w:rsid w:val="3B3B826B"/>
    <w:rsid w:val="3B5E5F98"/>
    <w:rsid w:val="3B713459"/>
    <w:rsid w:val="3B9FA94C"/>
    <w:rsid w:val="3BB97801"/>
    <w:rsid w:val="3BC13BE0"/>
    <w:rsid w:val="3BCB6DB4"/>
    <w:rsid w:val="3C24F904"/>
    <w:rsid w:val="3C2821A3"/>
    <w:rsid w:val="3C315DFD"/>
    <w:rsid w:val="3C431C80"/>
    <w:rsid w:val="3C513BAA"/>
    <w:rsid w:val="3C552A8F"/>
    <w:rsid w:val="3C615D01"/>
    <w:rsid w:val="3C6E425A"/>
    <w:rsid w:val="3C763B94"/>
    <w:rsid w:val="3C80BDDD"/>
    <w:rsid w:val="3C868CA7"/>
    <w:rsid w:val="3C8EC574"/>
    <w:rsid w:val="3C9395AE"/>
    <w:rsid w:val="3C9728B6"/>
    <w:rsid w:val="3CCD02D7"/>
    <w:rsid w:val="3D30181F"/>
    <w:rsid w:val="3D576D18"/>
    <w:rsid w:val="3D66914D"/>
    <w:rsid w:val="3D811B78"/>
    <w:rsid w:val="3D9B3383"/>
    <w:rsid w:val="3DA66D2F"/>
    <w:rsid w:val="3E190CD4"/>
    <w:rsid w:val="3E25ED00"/>
    <w:rsid w:val="3E31E201"/>
    <w:rsid w:val="3E50141E"/>
    <w:rsid w:val="3E59747D"/>
    <w:rsid w:val="3E6413DF"/>
    <w:rsid w:val="3E6F8D85"/>
    <w:rsid w:val="3E7AEF83"/>
    <w:rsid w:val="3E9C0292"/>
    <w:rsid w:val="3EB6B938"/>
    <w:rsid w:val="3EEB8B07"/>
    <w:rsid w:val="3EF4DCFE"/>
    <w:rsid w:val="3EFECC0F"/>
    <w:rsid w:val="3F2065D2"/>
    <w:rsid w:val="3F420DD2"/>
    <w:rsid w:val="3F876D50"/>
    <w:rsid w:val="3F966F23"/>
    <w:rsid w:val="3F9CCC50"/>
    <w:rsid w:val="3FA817AA"/>
    <w:rsid w:val="3FB25828"/>
    <w:rsid w:val="400447AC"/>
    <w:rsid w:val="405327B5"/>
    <w:rsid w:val="405C1D71"/>
    <w:rsid w:val="4076C3E1"/>
    <w:rsid w:val="40884826"/>
    <w:rsid w:val="40923305"/>
    <w:rsid w:val="41029517"/>
    <w:rsid w:val="410891F4"/>
    <w:rsid w:val="4157DA74"/>
    <w:rsid w:val="417DA855"/>
    <w:rsid w:val="41C61890"/>
    <w:rsid w:val="41F76889"/>
    <w:rsid w:val="42037C61"/>
    <w:rsid w:val="422E3C22"/>
    <w:rsid w:val="4235638C"/>
    <w:rsid w:val="4241625E"/>
    <w:rsid w:val="425AE379"/>
    <w:rsid w:val="425B29A3"/>
    <w:rsid w:val="428D2106"/>
    <w:rsid w:val="428E9EAE"/>
    <w:rsid w:val="42988AB4"/>
    <w:rsid w:val="42BE71E4"/>
    <w:rsid w:val="42CB3D7A"/>
    <w:rsid w:val="42F18291"/>
    <w:rsid w:val="4308606D"/>
    <w:rsid w:val="430DA2B7"/>
    <w:rsid w:val="431588A9"/>
    <w:rsid w:val="432089AA"/>
    <w:rsid w:val="43209647"/>
    <w:rsid w:val="4328316E"/>
    <w:rsid w:val="433BACEA"/>
    <w:rsid w:val="4371CE55"/>
    <w:rsid w:val="4376B87D"/>
    <w:rsid w:val="4383F99A"/>
    <w:rsid w:val="4393B2CA"/>
    <w:rsid w:val="43D1D40B"/>
    <w:rsid w:val="43EF9CA7"/>
    <w:rsid w:val="43FD965D"/>
    <w:rsid w:val="4406CF17"/>
    <w:rsid w:val="441774F9"/>
    <w:rsid w:val="4425A221"/>
    <w:rsid w:val="4444AA92"/>
    <w:rsid w:val="444BA5CC"/>
    <w:rsid w:val="447FCA65"/>
    <w:rsid w:val="44952D9D"/>
    <w:rsid w:val="44A5C7EA"/>
    <w:rsid w:val="44D27218"/>
    <w:rsid w:val="44E6B793"/>
    <w:rsid w:val="44FDB765"/>
    <w:rsid w:val="451533EF"/>
    <w:rsid w:val="45243AA6"/>
    <w:rsid w:val="4527CBBC"/>
    <w:rsid w:val="454190B5"/>
    <w:rsid w:val="4557B225"/>
    <w:rsid w:val="458953EA"/>
    <w:rsid w:val="45AFC500"/>
    <w:rsid w:val="45BF6F6A"/>
    <w:rsid w:val="4609B517"/>
    <w:rsid w:val="460AFA9B"/>
    <w:rsid w:val="461F7135"/>
    <w:rsid w:val="461FC4D7"/>
    <w:rsid w:val="462F8675"/>
    <w:rsid w:val="462FB688"/>
    <w:rsid w:val="46346895"/>
    <w:rsid w:val="463A505B"/>
    <w:rsid w:val="46517EAE"/>
    <w:rsid w:val="46531D54"/>
    <w:rsid w:val="4669B72E"/>
    <w:rsid w:val="467D711B"/>
    <w:rsid w:val="4694D92D"/>
    <w:rsid w:val="46A9B56D"/>
    <w:rsid w:val="46B206F7"/>
    <w:rsid w:val="46C79C2D"/>
    <w:rsid w:val="4701D2DD"/>
    <w:rsid w:val="473E4BA0"/>
    <w:rsid w:val="478CB4CD"/>
    <w:rsid w:val="4797407D"/>
    <w:rsid w:val="47BC45C0"/>
    <w:rsid w:val="47C9E395"/>
    <w:rsid w:val="4800C39F"/>
    <w:rsid w:val="4833BF7A"/>
    <w:rsid w:val="483D2D35"/>
    <w:rsid w:val="48A0ECF9"/>
    <w:rsid w:val="48A2C1DF"/>
    <w:rsid w:val="48B8C553"/>
    <w:rsid w:val="48C990D6"/>
    <w:rsid w:val="48D2E3D5"/>
    <w:rsid w:val="48E62654"/>
    <w:rsid w:val="4923638A"/>
    <w:rsid w:val="4933BF0A"/>
    <w:rsid w:val="493CC1E8"/>
    <w:rsid w:val="498B27FB"/>
    <w:rsid w:val="499A9176"/>
    <w:rsid w:val="499BAD28"/>
    <w:rsid w:val="49B36DE5"/>
    <w:rsid w:val="4A0678F2"/>
    <w:rsid w:val="4A31EB9F"/>
    <w:rsid w:val="4A341701"/>
    <w:rsid w:val="4A4CB586"/>
    <w:rsid w:val="4A4DBFA5"/>
    <w:rsid w:val="4A67F0EE"/>
    <w:rsid w:val="4A70AA6B"/>
    <w:rsid w:val="4A748518"/>
    <w:rsid w:val="4A76D12A"/>
    <w:rsid w:val="4A82888A"/>
    <w:rsid w:val="4A953946"/>
    <w:rsid w:val="4A99B217"/>
    <w:rsid w:val="4AAF5A2B"/>
    <w:rsid w:val="4AB37544"/>
    <w:rsid w:val="4ACD43C7"/>
    <w:rsid w:val="4ACEB8ED"/>
    <w:rsid w:val="4AE48661"/>
    <w:rsid w:val="4AE7724E"/>
    <w:rsid w:val="4AF01921"/>
    <w:rsid w:val="4AF5FC5E"/>
    <w:rsid w:val="4AF97F8F"/>
    <w:rsid w:val="4AFDD3BE"/>
    <w:rsid w:val="4B10B9CC"/>
    <w:rsid w:val="4B1BE167"/>
    <w:rsid w:val="4B3BD8A7"/>
    <w:rsid w:val="4B48A711"/>
    <w:rsid w:val="4B5E3BE6"/>
    <w:rsid w:val="4B8A3AD5"/>
    <w:rsid w:val="4B8A51D5"/>
    <w:rsid w:val="4B95C323"/>
    <w:rsid w:val="4BAFFB86"/>
    <w:rsid w:val="4BB9A3B9"/>
    <w:rsid w:val="4BEC7644"/>
    <w:rsid w:val="4C405187"/>
    <w:rsid w:val="4C50B8FA"/>
    <w:rsid w:val="4C59BEB0"/>
    <w:rsid w:val="4CBD83B7"/>
    <w:rsid w:val="4CF7A18C"/>
    <w:rsid w:val="4D01FBDD"/>
    <w:rsid w:val="4D1610B4"/>
    <w:rsid w:val="4D1D5C6E"/>
    <w:rsid w:val="4D528504"/>
    <w:rsid w:val="4D566E93"/>
    <w:rsid w:val="4D5AB248"/>
    <w:rsid w:val="4D754E95"/>
    <w:rsid w:val="4E126FEF"/>
    <w:rsid w:val="4E1287A3"/>
    <w:rsid w:val="4E4CBFE9"/>
    <w:rsid w:val="4E4D4742"/>
    <w:rsid w:val="4E64EA0C"/>
    <w:rsid w:val="4E96E9E0"/>
    <w:rsid w:val="4EA3FDA2"/>
    <w:rsid w:val="4EB5DD29"/>
    <w:rsid w:val="4EB77ADD"/>
    <w:rsid w:val="4EBEC7AA"/>
    <w:rsid w:val="4EDD01DE"/>
    <w:rsid w:val="4EF0E9F6"/>
    <w:rsid w:val="4F1E140A"/>
    <w:rsid w:val="4F2010F7"/>
    <w:rsid w:val="4F3724E4"/>
    <w:rsid w:val="4F980F5E"/>
    <w:rsid w:val="4FCEF51E"/>
    <w:rsid w:val="4FE3E3EC"/>
    <w:rsid w:val="501C7044"/>
    <w:rsid w:val="5034871F"/>
    <w:rsid w:val="50480FB3"/>
    <w:rsid w:val="509609C2"/>
    <w:rsid w:val="5098CF38"/>
    <w:rsid w:val="50AD9CBE"/>
    <w:rsid w:val="512024D3"/>
    <w:rsid w:val="51729EF8"/>
    <w:rsid w:val="517CE0A6"/>
    <w:rsid w:val="5180D33A"/>
    <w:rsid w:val="51884348"/>
    <w:rsid w:val="51FBE321"/>
    <w:rsid w:val="5201CD1F"/>
    <w:rsid w:val="5209839F"/>
    <w:rsid w:val="520C0B01"/>
    <w:rsid w:val="522F4571"/>
    <w:rsid w:val="523E33D5"/>
    <w:rsid w:val="523F28BE"/>
    <w:rsid w:val="5243435F"/>
    <w:rsid w:val="524EEB86"/>
    <w:rsid w:val="52619304"/>
    <w:rsid w:val="5278F580"/>
    <w:rsid w:val="5291EBE7"/>
    <w:rsid w:val="52A7EFA4"/>
    <w:rsid w:val="52F282CD"/>
    <w:rsid w:val="53170EA2"/>
    <w:rsid w:val="53416D17"/>
    <w:rsid w:val="53763E58"/>
    <w:rsid w:val="539B1271"/>
    <w:rsid w:val="53B8B751"/>
    <w:rsid w:val="53C127EB"/>
    <w:rsid w:val="53F92570"/>
    <w:rsid w:val="540CC311"/>
    <w:rsid w:val="54370F5E"/>
    <w:rsid w:val="54C8EE08"/>
    <w:rsid w:val="54D7214F"/>
    <w:rsid w:val="54DD850F"/>
    <w:rsid w:val="54DF3906"/>
    <w:rsid w:val="54F4936F"/>
    <w:rsid w:val="54F8F2DA"/>
    <w:rsid w:val="54FDF230"/>
    <w:rsid w:val="553772F0"/>
    <w:rsid w:val="554117A0"/>
    <w:rsid w:val="5554076F"/>
    <w:rsid w:val="557EB455"/>
    <w:rsid w:val="55ADBDAF"/>
    <w:rsid w:val="55C39F2E"/>
    <w:rsid w:val="55F7BC58"/>
    <w:rsid w:val="560A941D"/>
    <w:rsid w:val="563C888E"/>
    <w:rsid w:val="5656E451"/>
    <w:rsid w:val="5660641F"/>
    <w:rsid w:val="56750F45"/>
    <w:rsid w:val="568290DF"/>
    <w:rsid w:val="56ADCAFE"/>
    <w:rsid w:val="56B94FA5"/>
    <w:rsid w:val="56BA62FB"/>
    <w:rsid w:val="56C388E2"/>
    <w:rsid w:val="56D2DD06"/>
    <w:rsid w:val="56D6DCC0"/>
    <w:rsid w:val="56FDB781"/>
    <w:rsid w:val="570B2258"/>
    <w:rsid w:val="57414BA5"/>
    <w:rsid w:val="575D7E1C"/>
    <w:rsid w:val="57942651"/>
    <w:rsid w:val="579DEB22"/>
    <w:rsid w:val="57A69531"/>
    <w:rsid w:val="57AC931C"/>
    <w:rsid w:val="57BDC408"/>
    <w:rsid w:val="57DB3636"/>
    <w:rsid w:val="57F0226F"/>
    <w:rsid w:val="57F3F5D6"/>
    <w:rsid w:val="5806A04C"/>
    <w:rsid w:val="5809EF5C"/>
    <w:rsid w:val="580E10BC"/>
    <w:rsid w:val="582ED042"/>
    <w:rsid w:val="584FCCE1"/>
    <w:rsid w:val="588BC7E7"/>
    <w:rsid w:val="58EEC259"/>
    <w:rsid w:val="590C2CA7"/>
    <w:rsid w:val="59147F63"/>
    <w:rsid w:val="59199F58"/>
    <w:rsid w:val="59813B24"/>
    <w:rsid w:val="59845009"/>
    <w:rsid w:val="598FD41D"/>
    <w:rsid w:val="599924B4"/>
    <w:rsid w:val="599BDAE6"/>
    <w:rsid w:val="59C1E50E"/>
    <w:rsid w:val="59F299BD"/>
    <w:rsid w:val="59F79D36"/>
    <w:rsid w:val="59FF6EB1"/>
    <w:rsid w:val="5A00F58D"/>
    <w:rsid w:val="5A0F358F"/>
    <w:rsid w:val="5A1C6676"/>
    <w:rsid w:val="5A9A4B17"/>
    <w:rsid w:val="5A9A567D"/>
    <w:rsid w:val="5A9B297A"/>
    <w:rsid w:val="5A9EDB95"/>
    <w:rsid w:val="5AA88847"/>
    <w:rsid w:val="5AC8FF91"/>
    <w:rsid w:val="5ADEA26D"/>
    <w:rsid w:val="5B02FCF1"/>
    <w:rsid w:val="5B04854D"/>
    <w:rsid w:val="5B17A330"/>
    <w:rsid w:val="5B2B3FF7"/>
    <w:rsid w:val="5B3042E8"/>
    <w:rsid w:val="5B31E514"/>
    <w:rsid w:val="5B51447C"/>
    <w:rsid w:val="5B572940"/>
    <w:rsid w:val="5BABD938"/>
    <w:rsid w:val="5BAE2F61"/>
    <w:rsid w:val="5BC7E33B"/>
    <w:rsid w:val="5BDE65A9"/>
    <w:rsid w:val="5BF6213B"/>
    <w:rsid w:val="5BFA32C3"/>
    <w:rsid w:val="5C59B793"/>
    <w:rsid w:val="5C671279"/>
    <w:rsid w:val="5C6959DC"/>
    <w:rsid w:val="5C7CA4CC"/>
    <w:rsid w:val="5C82D1BD"/>
    <w:rsid w:val="5C86C45E"/>
    <w:rsid w:val="5CB8E6DD"/>
    <w:rsid w:val="5CBFD36E"/>
    <w:rsid w:val="5CC9A2E8"/>
    <w:rsid w:val="5CD5EDC2"/>
    <w:rsid w:val="5CE5225C"/>
    <w:rsid w:val="5CE89DB1"/>
    <w:rsid w:val="5CF87079"/>
    <w:rsid w:val="5D01CECC"/>
    <w:rsid w:val="5D128EE0"/>
    <w:rsid w:val="5D6C3B51"/>
    <w:rsid w:val="5D83086A"/>
    <w:rsid w:val="5D98E96E"/>
    <w:rsid w:val="5D9BD26A"/>
    <w:rsid w:val="5DA1999E"/>
    <w:rsid w:val="5DB1B707"/>
    <w:rsid w:val="5DB46B69"/>
    <w:rsid w:val="5DCC2E23"/>
    <w:rsid w:val="5DD40353"/>
    <w:rsid w:val="5DE82525"/>
    <w:rsid w:val="5DF05CCE"/>
    <w:rsid w:val="5E29C27D"/>
    <w:rsid w:val="5E2CEB4E"/>
    <w:rsid w:val="5E4F58F4"/>
    <w:rsid w:val="5E60FA9E"/>
    <w:rsid w:val="5E8D76A0"/>
    <w:rsid w:val="5EB4F266"/>
    <w:rsid w:val="5EBF923C"/>
    <w:rsid w:val="5ECF2392"/>
    <w:rsid w:val="5ED0DD98"/>
    <w:rsid w:val="5EFFE227"/>
    <w:rsid w:val="5F4F930A"/>
    <w:rsid w:val="5FAB4A9C"/>
    <w:rsid w:val="5FAEFAFC"/>
    <w:rsid w:val="5FE32519"/>
    <w:rsid w:val="5FF4A9A4"/>
    <w:rsid w:val="5FF515C1"/>
    <w:rsid w:val="601C5ED2"/>
    <w:rsid w:val="6028F8E8"/>
    <w:rsid w:val="602C5D59"/>
    <w:rsid w:val="6049288D"/>
    <w:rsid w:val="6068537C"/>
    <w:rsid w:val="606B65BF"/>
    <w:rsid w:val="607F7232"/>
    <w:rsid w:val="6090AB5A"/>
    <w:rsid w:val="60ABB0FC"/>
    <w:rsid w:val="60B76DCF"/>
    <w:rsid w:val="60B88574"/>
    <w:rsid w:val="60C95159"/>
    <w:rsid w:val="60FCCC98"/>
    <w:rsid w:val="610E7022"/>
    <w:rsid w:val="61414F91"/>
    <w:rsid w:val="61651FC1"/>
    <w:rsid w:val="6185503A"/>
    <w:rsid w:val="61AAADDE"/>
    <w:rsid w:val="61DA02A4"/>
    <w:rsid w:val="61F29AEE"/>
    <w:rsid w:val="61F88AD1"/>
    <w:rsid w:val="6211F4B4"/>
    <w:rsid w:val="621C3646"/>
    <w:rsid w:val="625AFF18"/>
    <w:rsid w:val="625CD5D8"/>
    <w:rsid w:val="62626A96"/>
    <w:rsid w:val="6281268C"/>
    <w:rsid w:val="6281E6F5"/>
    <w:rsid w:val="6285345D"/>
    <w:rsid w:val="6289029E"/>
    <w:rsid w:val="62931200"/>
    <w:rsid w:val="62B1163D"/>
    <w:rsid w:val="62BEB6B5"/>
    <w:rsid w:val="62BF621A"/>
    <w:rsid w:val="62E857B0"/>
    <w:rsid w:val="62FCC3CB"/>
    <w:rsid w:val="6324CAED"/>
    <w:rsid w:val="6329C17E"/>
    <w:rsid w:val="6336FFD9"/>
    <w:rsid w:val="63787645"/>
    <w:rsid w:val="638CBB92"/>
    <w:rsid w:val="639A6428"/>
    <w:rsid w:val="63C40165"/>
    <w:rsid w:val="63D0CE6D"/>
    <w:rsid w:val="63D4441D"/>
    <w:rsid w:val="63E2DD2F"/>
    <w:rsid w:val="63E85FBD"/>
    <w:rsid w:val="63F919E5"/>
    <w:rsid w:val="6409C10C"/>
    <w:rsid w:val="6409E0FD"/>
    <w:rsid w:val="641C93DB"/>
    <w:rsid w:val="64505E0E"/>
    <w:rsid w:val="645C402E"/>
    <w:rsid w:val="647460B3"/>
    <w:rsid w:val="648A5E95"/>
    <w:rsid w:val="64C647F3"/>
    <w:rsid w:val="64FE2C69"/>
    <w:rsid w:val="6520977C"/>
    <w:rsid w:val="65251EC6"/>
    <w:rsid w:val="652A967C"/>
    <w:rsid w:val="6560222F"/>
    <w:rsid w:val="6588984A"/>
    <w:rsid w:val="65946B31"/>
    <w:rsid w:val="65A27E6A"/>
    <w:rsid w:val="65E7FF91"/>
    <w:rsid w:val="65F7F6D3"/>
    <w:rsid w:val="65F8B9F8"/>
    <w:rsid w:val="6617C9DC"/>
    <w:rsid w:val="6625C01C"/>
    <w:rsid w:val="66457C09"/>
    <w:rsid w:val="6652888C"/>
    <w:rsid w:val="6655107F"/>
    <w:rsid w:val="669FA5C6"/>
    <w:rsid w:val="66CF93B8"/>
    <w:rsid w:val="66D80D57"/>
    <w:rsid w:val="66DE55C3"/>
    <w:rsid w:val="66E6625A"/>
    <w:rsid w:val="67165219"/>
    <w:rsid w:val="673C9FF7"/>
    <w:rsid w:val="674B2097"/>
    <w:rsid w:val="6755ACA0"/>
    <w:rsid w:val="6763F1A6"/>
    <w:rsid w:val="677BA492"/>
    <w:rsid w:val="67AB4B29"/>
    <w:rsid w:val="67B506EF"/>
    <w:rsid w:val="67B8B0EF"/>
    <w:rsid w:val="67DC5D93"/>
    <w:rsid w:val="67FB06AA"/>
    <w:rsid w:val="6814E5D9"/>
    <w:rsid w:val="6830626B"/>
    <w:rsid w:val="68415355"/>
    <w:rsid w:val="68563ECF"/>
    <w:rsid w:val="688B54F9"/>
    <w:rsid w:val="68B5AA6F"/>
    <w:rsid w:val="68BC5DC7"/>
    <w:rsid w:val="68D6C906"/>
    <w:rsid w:val="68F94933"/>
    <w:rsid w:val="69344243"/>
    <w:rsid w:val="696E3F39"/>
    <w:rsid w:val="696F8E15"/>
    <w:rsid w:val="69812C4A"/>
    <w:rsid w:val="69867674"/>
    <w:rsid w:val="698C74A2"/>
    <w:rsid w:val="699C88E0"/>
    <w:rsid w:val="69A8CAD2"/>
    <w:rsid w:val="69AC3999"/>
    <w:rsid w:val="69D4B543"/>
    <w:rsid w:val="69FF367C"/>
    <w:rsid w:val="6A331745"/>
    <w:rsid w:val="6A48B8EC"/>
    <w:rsid w:val="6A4E2F94"/>
    <w:rsid w:val="6A52024B"/>
    <w:rsid w:val="6A53F777"/>
    <w:rsid w:val="6A5DBF6D"/>
    <w:rsid w:val="6A65E780"/>
    <w:rsid w:val="6A8589E3"/>
    <w:rsid w:val="6AA68B62"/>
    <w:rsid w:val="6AC49DC3"/>
    <w:rsid w:val="6AC8617D"/>
    <w:rsid w:val="6AED3DA7"/>
    <w:rsid w:val="6B08F275"/>
    <w:rsid w:val="6B1E6085"/>
    <w:rsid w:val="6B28CCD3"/>
    <w:rsid w:val="6B376971"/>
    <w:rsid w:val="6B77E0D1"/>
    <w:rsid w:val="6B9E4B16"/>
    <w:rsid w:val="6BA80A33"/>
    <w:rsid w:val="6BD4B5AF"/>
    <w:rsid w:val="6BE27AEB"/>
    <w:rsid w:val="6BE81F31"/>
    <w:rsid w:val="6C2AFBB9"/>
    <w:rsid w:val="6C373DBB"/>
    <w:rsid w:val="6C4A8E90"/>
    <w:rsid w:val="6C628E25"/>
    <w:rsid w:val="6C6604A2"/>
    <w:rsid w:val="6C6C825A"/>
    <w:rsid w:val="6C9B4AE8"/>
    <w:rsid w:val="6C9D89EE"/>
    <w:rsid w:val="6CA73E59"/>
    <w:rsid w:val="6D0FF5FC"/>
    <w:rsid w:val="6D1070FD"/>
    <w:rsid w:val="6D45E13F"/>
    <w:rsid w:val="6D5796F6"/>
    <w:rsid w:val="6D59E0B9"/>
    <w:rsid w:val="6D64BFBA"/>
    <w:rsid w:val="6D6C08BE"/>
    <w:rsid w:val="6D88D374"/>
    <w:rsid w:val="6DB515B0"/>
    <w:rsid w:val="6DE63A8E"/>
    <w:rsid w:val="6E0902D3"/>
    <w:rsid w:val="6E138008"/>
    <w:rsid w:val="6E364832"/>
    <w:rsid w:val="6E3DCE09"/>
    <w:rsid w:val="6E47D36B"/>
    <w:rsid w:val="6E53A4E9"/>
    <w:rsid w:val="6E9057C3"/>
    <w:rsid w:val="6EB7D7F4"/>
    <w:rsid w:val="6EC81182"/>
    <w:rsid w:val="6F411CD3"/>
    <w:rsid w:val="6F4B5EAC"/>
    <w:rsid w:val="6F5643A2"/>
    <w:rsid w:val="6F59194D"/>
    <w:rsid w:val="6F6757D6"/>
    <w:rsid w:val="6FB10087"/>
    <w:rsid w:val="70411D24"/>
    <w:rsid w:val="7048672B"/>
    <w:rsid w:val="70597579"/>
    <w:rsid w:val="7080C3F3"/>
    <w:rsid w:val="70A11A43"/>
    <w:rsid w:val="70AB753B"/>
    <w:rsid w:val="70FAE2D2"/>
    <w:rsid w:val="711B5B7E"/>
    <w:rsid w:val="713609CF"/>
    <w:rsid w:val="71408B24"/>
    <w:rsid w:val="714A558B"/>
    <w:rsid w:val="71554C2C"/>
    <w:rsid w:val="71733556"/>
    <w:rsid w:val="7179C12F"/>
    <w:rsid w:val="717A5FDD"/>
    <w:rsid w:val="71B055E6"/>
    <w:rsid w:val="71B8E0B1"/>
    <w:rsid w:val="71C04137"/>
    <w:rsid w:val="71C2C2C3"/>
    <w:rsid w:val="71DCBEAE"/>
    <w:rsid w:val="71F08D98"/>
    <w:rsid w:val="7201F719"/>
    <w:rsid w:val="72110FF1"/>
    <w:rsid w:val="7231770F"/>
    <w:rsid w:val="72331FF3"/>
    <w:rsid w:val="72614F7A"/>
    <w:rsid w:val="72622D8D"/>
    <w:rsid w:val="72839436"/>
    <w:rsid w:val="72989D3D"/>
    <w:rsid w:val="72B679E7"/>
    <w:rsid w:val="72C540AF"/>
    <w:rsid w:val="72EC15FC"/>
    <w:rsid w:val="73061D4B"/>
    <w:rsid w:val="730E48F9"/>
    <w:rsid w:val="731659E6"/>
    <w:rsid w:val="73194CE3"/>
    <w:rsid w:val="734F1D05"/>
    <w:rsid w:val="735A036B"/>
    <w:rsid w:val="735B1348"/>
    <w:rsid w:val="736352C2"/>
    <w:rsid w:val="739A507C"/>
    <w:rsid w:val="73A98822"/>
    <w:rsid w:val="73CB5A29"/>
    <w:rsid w:val="73CEFD5A"/>
    <w:rsid w:val="73D24743"/>
    <w:rsid w:val="7412FC65"/>
    <w:rsid w:val="74291B6C"/>
    <w:rsid w:val="7452DEE3"/>
    <w:rsid w:val="74A4D127"/>
    <w:rsid w:val="74BC7E48"/>
    <w:rsid w:val="74C89868"/>
    <w:rsid w:val="74CB72D7"/>
    <w:rsid w:val="74EBC682"/>
    <w:rsid w:val="75203182"/>
    <w:rsid w:val="75A01428"/>
    <w:rsid w:val="75B721C8"/>
    <w:rsid w:val="75B94CC0"/>
    <w:rsid w:val="7615920E"/>
    <w:rsid w:val="76222113"/>
    <w:rsid w:val="7676B5EA"/>
    <w:rsid w:val="76B6B6EB"/>
    <w:rsid w:val="76D415E5"/>
    <w:rsid w:val="76F45F7F"/>
    <w:rsid w:val="770DCE99"/>
    <w:rsid w:val="7724968C"/>
    <w:rsid w:val="7737C480"/>
    <w:rsid w:val="77410F57"/>
    <w:rsid w:val="7747D692"/>
    <w:rsid w:val="775B01AC"/>
    <w:rsid w:val="776039AF"/>
    <w:rsid w:val="77766A56"/>
    <w:rsid w:val="777A8B3E"/>
    <w:rsid w:val="7782DEBF"/>
    <w:rsid w:val="77B39F23"/>
    <w:rsid w:val="781E5B79"/>
    <w:rsid w:val="7832E94E"/>
    <w:rsid w:val="7835022D"/>
    <w:rsid w:val="787B1BBA"/>
    <w:rsid w:val="78A0C462"/>
    <w:rsid w:val="78B64BCC"/>
    <w:rsid w:val="78C53465"/>
    <w:rsid w:val="78CF0F2C"/>
    <w:rsid w:val="78CF57F6"/>
    <w:rsid w:val="78E13E68"/>
    <w:rsid w:val="78F1E2D7"/>
    <w:rsid w:val="792CDF85"/>
    <w:rsid w:val="794849C9"/>
    <w:rsid w:val="794EB488"/>
    <w:rsid w:val="7966FE30"/>
    <w:rsid w:val="797A9124"/>
    <w:rsid w:val="79907A1D"/>
    <w:rsid w:val="799DB967"/>
    <w:rsid w:val="79C43258"/>
    <w:rsid w:val="79C8A3D4"/>
    <w:rsid w:val="79D2BC37"/>
    <w:rsid w:val="79DE92B2"/>
    <w:rsid w:val="79F7EE91"/>
    <w:rsid w:val="7A55C4E0"/>
    <w:rsid w:val="7A6289BE"/>
    <w:rsid w:val="7A65AF4F"/>
    <w:rsid w:val="7A69784D"/>
    <w:rsid w:val="7A69D34C"/>
    <w:rsid w:val="7A721A5E"/>
    <w:rsid w:val="7A736968"/>
    <w:rsid w:val="7B13DA89"/>
    <w:rsid w:val="7B21FB40"/>
    <w:rsid w:val="7B26FB78"/>
    <w:rsid w:val="7B6097BA"/>
    <w:rsid w:val="7B65AAED"/>
    <w:rsid w:val="7B7F2EAC"/>
    <w:rsid w:val="7B900A11"/>
    <w:rsid w:val="7BC517C9"/>
    <w:rsid w:val="7BCE6B69"/>
    <w:rsid w:val="7BD1CA7E"/>
    <w:rsid w:val="7BF86EA1"/>
    <w:rsid w:val="7C39E6BD"/>
    <w:rsid w:val="7CA11D56"/>
    <w:rsid w:val="7CA8EA78"/>
    <w:rsid w:val="7D14C775"/>
    <w:rsid w:val="7D75B256"/>
    <w:rsid w:val="7DE5D3F0"/>
    <w:rsid w:val="7DE79040"/>
    <w:rsid w:val="7E16ECA1"/>
    <w:rsid w:val="7E2CC330"/>
    <w:rsid w:val="7E3446E9"/>
    <w:rsid w:val="7E4C9894"/>
    <w:rsid w:val="7E6BF3FA"/>
    <w:rsid w:val="7E7D685A"/>
    <w:rsid w:val="7E863501"/>
    <w:rsid w:val="7EA7E009"/>
    <w:rsid w:val="7ECA8E60"/>
    <w:rsid w:val="7ECF45D5"/>
    <w:rsid w:val="7EF23292"/>
    <w:rsid w:val="7EF97118"/>
    <w:rsid w:val="7EFACF86"/>
    <w:rsid w:val="7EFB87F8"/>
    <w:rsid w:val="7F1E8A43"/>
    <w:rsid w:val="7F1F5D42"/>
    <w:rsid w:val="7F56ED10"/>
    <w:rsid w:val="7F6A0C62"/>
    <w:rsid w:val="7F98C90D"/>
    <w:rsid w:val="7FAA4ACA"/>
    <w:rsid w:val="7FB8C297"/>
    <w:rsid w:val="7FDF91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2355B7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AB54BB"/>
    <w:pPr>
      <w:suppressAutoHyphens/>
      <w:spacing w:before="120" w:line="280" w:lineRule="atLeast"/>
      <w:jc w:val="both"/>
    </w:pPr>
    <w:rPr>
      <w:rFonts w:ascii="Arial" w:hAnsi="Arial"/>
      <w:color w:val="2C2624"/>
      <w:sz w:val="20"/>
      <w:lang w:val="en-AU" w:eastAsia="en-US"/>
    </w:rPr>
  </w:style>
  <w:style w:type="paragraph" w:styleId="Heading1">
    <w:name w:val="heading 1"/>
    <w:next w:val="BodyText"/>
    <w:link w:val="Heading1Char"/>
    <w:qFormat/>
    <w:rsid w:val="00187E5C"/>
    <w:pPr>
      <w:keepNext/>
      <w:keepLines/>
      <w:suppressAutoHyphens/>
      <w:spacing w:before="360" w:after="120"/>
      <w:outlineLvl w:val="0"/>
    </w:pPr>
    <w:rPr>
      <w:rFonts w:ascii="Arial" w:hAnsi="Arial" w:cs="Arial"/>
      <w:color w:val="B1004D"/>
      <w:kern w:val="32"/>
      <w:sz w:val="44"/>
      <w:lang w:val="en-AU" w:eastAsia="en-US"/>
    </w:rPr>
  </w:style>
  <w:style w:type="paragraph" w:styleId="Heading2">
    <w:name w:val="heading 2"/>
    <w:basedOn w:val="Heading1"/>
    <w:next w:val="BodyText"/>
    <w:link w:val="Heading2Char"/>
    <w:qFormat/>
    <w:rsid w:val="00187E5C"/>
    <w:pPr>
      <w:spacing w:before="240"/>
      <w:outlineLvl w:val="1"/>
    </w:pPr>
    <w:rPr>
      <w:color w:val="671565"/>
      <w:sz w:val="38"/>
      <w:szCs w:val="38"/>
    </w:rPr>
  </w:style>
  <w:style w:type="paragraph" w:styleId="Heading3">
    <w:name w:val="heading 3"/>
    <w:basedOn w:val="Heading2"/>
    <w:next w:val="BodyText"/>
    <w:link w:val="Heading3Char"/>
    <w:qFormat/>
    <w:rsid w:val="00187E5C"/>
    <w:pPr>
      <w:outlineLvl w:val="2"/>
    </w:pPr>
    <w:rPr>
      <w:color w:val="DF8200"/>
      <w:sz w:val="32"/>
      <w:szCs w:val="32"/>
    </w:rPr>
  </w:style>
  <w:style w:type="paragraph" w:styleId="Heading4">
    <w:name w:val="heading 4"/>
    <w:basedOn w:val="Heading3"/>
    <w:next w:val="BodyText"/>
    <w:link w:val="Heading4Char"/>
    <w:qFormat/>
    <w:rsid w:val="00187E5C"/>
    <w:pPr>
      <w:outlineLvl w:val="3"/>
    </w:pPr>
    <w:rPr>
      <w:color w:val="1572A2"/>
      <w:sz w:val="26"/>
      <w:szCs w:val="26"/>
    </w:rPr>
  </w:style>
  <w:style w:type="paragraph" w:styleId="Heading5">
    <w:name w:val="heading 5"/>
    <w:basedOn w:val="Normal"/>
    <w:next w:val="Normal"/>
    <w:uiPriority w:val="9"/>
    <w:unhideWhenUsed/>
    <w:qFormat/>
    <w:rsid w:val="16AE4373"/>
    <w:pPr>
      <w:keepNext/>
      <w:keepLines/>
      <w:spacing w:before="80" w:after="40"/>
      <w:outlineLvl w:val="4"/>
    </w:pPr>
    <w:rPr>
      <w:rFonts w:eastAsiaTheme="majorEastAsia" w:cstheme="majorBidi"/>
      <w:color w:val="B10952" w:themeColor="accent1" w:themeShade="BF"/>
    </w:rPr>
  </w:style>
  <w:style w:type="paragraph" w:styleId="Heading6">
    <w:name w:val="heading 6"/>
    <w:basedOn w:val="Normal"/>
    <w:next w:val="Normal"/>
    <w:link w:val="Heading6Char"/>
    <w:uiPriority w:val="9"/>
    <w:unhideWhenUsed/>
    <w:rsid w:val="009A43E1"/>
    <w:pPr>
      <w:keepNext/>
      <w:keepLines/>
      <w:spacing w:before="40"/>
      <w:outlineLvl w:val="5"/>
    </w:pPr>
    <w:rPr>
      <w:rFonts w:asciiTheme="majorHAnsi" w:eastAsiaTheme="majorEastAsia" w:hAnsiTheme="majorHAnsi" w:cstheme="majorBidi"/>
      <w:color w:val="76063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B74C57"/>
    <w:pPr>
      <w:jc w:val="left"/>
    </w:pPr>
    <w:rPr>
      <w:rFonts w:eastAsia="Times New Roman"/>
      <w:lang w:bidi="en-US"/>
    </w:rPr>
  </w:style>
  <w:style w:type="character" w:customStyle="1" w:styleId="BodyTextChar">
    <w:name w:val="Body Text Char"/>
    <w:basedOn w:val="DefaultParagraphFont"/>
    <w:link w:val="BodyText"/>
    <w:rsid w:val="006318E1"/>
    <w:rPr>
      <w:rFonts w:ascii="Arial" w:eastAsia="Times New Roman" w:hAnsi="Arial"/>
      <w:color w:val="2C2624"/>
      <w:sz w:val="20"/>
      <w:lang w:val="en-AU" w:eastAsia="en-US" w:bidi="en-US"/>
    </w:rPr>
  </w:style>
  <w:style w:type="character" w:customStyle="1" w:styleId="Heading3Char">
    <w:name w:val="Heading 3 Char"/>
    <w:basedOn w:val="DefaultParagraphFont"/>
    <w:link w:val="Heading3"/>
    <w:rsid w:val="00187E5C"/>
    <w:rPr>
      <w:rFonts w:ascii="Arial" w:hAnsi="Arial" w:cs="Arial"/>
      <w:color w:val="DF8200"/>
      <w:kern w:val="32"/>
      <w:sz w:val="32"/>
      <w:szCs w:val="32"/>
      <w:lang w:val="en-AU" w:eastAsia="en-US"/>
    </w:rPr>
  </w:style>
  <w:style w:type="character" w:customStyle="1" w:styleId="Heading4Char">
    <w:name w:val="Heading 4 Char"/>
    <w:basedOn w:val="DefaultParagraphFont"/>
    <w:link w:val="Heading4"/>
    <w:rsid w:val="00187E5C"/>
    <w:rPr>
      <w:rFonts w:ascii="Arial" w:hAnsi="Arial" w:cs="Arial"/>
      <w:color w:val="1572A2"/>
      <w:kern w:val="32"/>
      <w:sz w:val="26"/>
      <w:szCs w:val="26"/>
      <w:lang w:val="en-AU" w:eastAsia="en-US"/>
    </w:rPr>
  </w:style>
  <w:style w:type="table" w:styleId="TableGrid">
    <w:name w:val="Table Grid"/>
    <w:aliases w:val="DPS Table Grid"/>
    <w:basedOn w:val="TableNormal"/>
    <w:uiPriority w:val="39"/>
    <w:rsid w:val="00774D3B"/>
    <w:pPr>
      <w:spacing w:before="120"/>
    </w:pPr>
    <w:rPr>
      <w:rFonts w:ascii="Arial" w:hAnsi="Arial"/>
      <w:color w:val="2C2624"/>
      <w:sz w:val="18"/>
      <w:szCs w:val="18"/>
    </w:rPr>
    <w:tblPr/>
    <w:tcPr>
      <w:shd w:val="clear" w:color="auto" w:fill="62136D"/>
    </w:tcPr>
    <w:tblStylePr w:type="firstRow">
      <w:rPr>
        <w:rFonts w:ascii="Arial" w:hAnsi="Arial"/>
        <w:b w:val="0"/>
        <w:bCs w:val="0"/>
        <w:i w:val="0"/>
        <w:iCs w:val="0"/>
        <w:color w:val="2C2624"/>
        <w:sz w:val="18"/>
        <w:szCs w:val="18"/>
      </w:rPr>
    </w:tblStylePr>
  </w:style>
  <w:style w:type="paragraph" w:styleId="ListBullet">
    <w:name w:val="List Bullet"/>
    <w:basedOn w:val="BodyText"/>
    <w:qFormat/>
    <w:rsid w:val="00CC4D0F"/>
    <w:pPr>
      <w:numPr>
        <w:numId w:val="2"/>
      </w:numPr>
      <w:spacing w:before="60"/>
    </w:pPr>
  </w:style>
  <w:style w:type="paragraph" w:styleId="ListNumber">
    <w:name w:val="List Number"/>
    <w:basedOn w:val="BodyText"/>
    <w:rsid w:val="002805D2"/>
    <w:pPr>
      <w:numPr>
        <w:numId w:val="16"/>
      </w:numPr>
      <w:spacing w:before="60"/>
    </w:pPr>
  </w:style>
  <w:style w:type="paragraph" w:styleId="ListBullet2">
    <w:name w:val="List Bullet 2"/>
    <w:basedOn w:val="ListBullet"/>
    <w:qFormat/>
    <w:rsid w:val="00CC4D0F"/>
    <w:pPr>
      <w:numPr>
        <w:numId w:val="3"/>
      </w:numPr>
    </w:pPr>
  </w:style>
  <w:style w:type="paragraph" w:styleId="ListNumber2">
    <w:name w:val="List Number 2"/>
    <w:basedOn w:val="ListNumber"/>
    <w:rsid w:val="002805D2"/>
    <w:pPr>
      <w:numPr>
        <w:numId w:val="4"/>
      </w:numPr>
    </w:pPr>
  </w:style>
  <w:style w:type="paragraph" w:styleId="Footer">
    <w:name w:val="footer"/>
    <w:basedOn w:val="Normal"/>
    <w:link w:val="FooterChar"/>
    <w:rsid w:val="00526EC6"/>
    <w:pPr>
      <w:tabs>
        <w:tab w:val="right" w:pos="8505"/>
      </w:tabs>
    </w:pPr>
    <w:rPr>
      <w:color w:val="241C44"/>
      <w:sz w:val="16"/>
      <w:szCs w:val="16"/>
    </w:rPr>
  </w:style>
  <w:style w:type="paragraph" w:styleId="Header">
    <w:name w:val="header"/>
    <w:basedOn w:val="Normal"/>
    <w:link w:val="HeaderChar"/>
    <w:rsid w:val="000243F8"/>
    <w:pPr>
      <w:spacing w:before="0" w:after="360" w:line="240" w:lineRule="auto"/>
    </w:pPr>
    <w:rPr>
      <w:noProof/>
      <w:color w:val="241C44"/>
      <w:sz w:val="16"/>
      <w:szCs w:val="16"/>
      <w:lang w:val="en-US"/>
    </w:rPr>
  </w:style>
  <w:style w:type="paragraph" w:styleId="BalloonText">
    <w:name w:val="Balloon Text"/>
    <w:basedOn w:val="Normal"/>
    <w:semiHidden/>
    <w:rsid w:val="000B343E"/>
    <w:rPr>
      <w:rFonts w:ascii="Lucida Grande" w:hAnsi="Lucida Grande"/>
      <w:sz w:val="18"/>
      <w:szCs w:val="18"/>
    </w:rPr>
  </w:style>
  <w:style w:type="paragraph" w:customStyle="1" w:styleId="FigureCaption">
    <w:name w:val="Figure Caption"/>
    <w:basedOn w:val="BodyText"/>
    <w:next w:val="BodyText"/>
    <w:qFormat/>
    <w:rsid w:val="002010C1"/>
    <w:pPr>
      <w:keepNext/>
      <w:keepLines/>
      <w:spacing w:before="320"/>
    </w:pPr>
    <w:rPr>
      <w:rFonts w:cs="Arial"/>
      <w:b/>
      <w:color w:val="2C2341"/>
      <w:lang w:val="en-US" w:eastAsia="ja-JP"/>
    </w:rPr>
  </w:style>
  <w:style w:type="paragraph" w:customStyle="1" w:styleId="HeaderCover">
    <w:name w:val="Header Cover"/>
    <w:basedOn w:val="Header"/>
    <w:rsid w:val="008C3543"/>
    <w:pPr>
      <w:ind w:left="-1701" w:right="-1701"/>
      <w:jc w:val="center"/>
    </w:pPr>
  </w:style>
  <w:style w:type="paragraph" w:customStyle="1" w:styleId="ReportTitle">
    <w:name w:val="Report Title"/>
    <w:rsid w:val="00267F4B"/>
    <w:pPr>
      <w:keepLines/>
      <w:suppressAutoHyphens/>
      <w:spacing w:before="1680" w:after="240"/>
    </w:pPr>
    <w:rPr>
      <w:rFonts w:ascii="Arial" w:eastAsia="Times New Roman" w:hAnsi="Arial"/>
      <w:color w:val="241C44" w:themeColor="text2"/>
      <w:sz w:val="56"/>
      <w:szCs w:val="56"/>
      <w:lang w:val="en-AU" w:eastAsia="en-US" w:bidi="en-US"/>
    </w:rPr>
  </w:style>
  <w:style w:type="paragraph" w:customStyle="1" w:styleId="ReportSubtitle">
    <w:name w:val="Report Subtitle"/>
    <w:rsid w:val="005D0819"/>
    <w:pPr>
      <w:spacing w:before="240"/>
      <w:jc w:val="center"/>
    </w:pPr>
    <w:rPr>
      <w:rFonts w:ascii="Arial" w:eastAsia="Times New Roman" w:hAnsi="Arial"/>
      <w:color w:val="241C44"/>
      <w:sz w:val="36"/>
      <w:szCs w:val="28"/>
      <w:lang w:val="en-AU" w:eastAsia="en-US" w:bidi="en-US"/>
    </w:rPr>
  </w:style>
  <w:style w:type="paragraph" w:customStyle="1" w:styleId="PlaceholderImage">
    <w:name w:val="Placeholder Image"/>
    <w:basedOn w:val="BodyText"/>
    <w:rsid w:val="00D718FB"/>
    <w:pPr>
      <w:spacing w:before="360" w:after="360"/>
      <w:jc w:val="center"/>
    </w:pPr>
  </w:style>
  <w:style w:type="paragraph" w:customStyle="1" w:styleId="CoverDetails">
    <w:name w:val="Cover Details"/>
    <w:basedOn w:val="BodyText"/>
    <w:rsid w:val="00B05718"/>
    <w:pPr>
      <w:spacing w:before="240"/>
      <w:jc w:val="center"/>
    </w:pPr>
    <w:rPr>
      <w:color w:val="241C44"/>
      <w:sz w:val="22"/>
      <w:szCs w:val="22"/>
    </w:rPr>
  </w:style>
  <w:style w:type="character" w:styleId="PageNumber">
    <w:name w:val="page number"/>
    <w:basedOn w:val="DefaultParagraphFont"/>
    <w:uiPriority w:val="99"/>
    <w:semiHidden/>
    <w:unhideWhenUsed/>
    <w:rsid w:val="00034106"/>
  </w:style>
  <w:style w:type="paragraph" w:customStyle="1" w:styleId="Heading1Outline">
    <w:name w:val="Heading 1 Outline"/>
    <w:basedOn w:val="Heading1"/>
    <w:next w:val="BodyText"/>
    <w:rsid w:val="00CC4D0F"/>
    <w:pPr>
      <w:numPr>
        <w:numId w:val="5"/>
      </w:numPr>
    </w:pPr>
  </w:style>
  <w:style w:type="paragraph" w:customStyle="1" w:styleId="Heading2Outline">
    <w:name w:val="Heading 2 Outline"/>
    <w:basedOn w:val="Heading1Outline"/>
    <w:next w:val="BodyText"/>
    <w:rsid w:val="00CC4D0F"/>
    <w:pPr>
      <w:numPr>
        <w:ilvl w:val="1"/>
      </w:numPr>
      <w:spacing w:before="240"/>
      <w:outlineLvl w:val="1"/>
    </w:pPr>
    <w:rPr>
      <w:color w:val="62136D"/>
      <w:sz w:val="38"/>
      <w:szCs w:val="38"/>
    </w:rPr>
  </w:style>
  <w:style w:type="paragraph" w:styleId="ListParagraph">
    <w:name w:val="List Paragraph"/>
    <w:aliases w:val="Recommendation,List Paragraph1,List Paragraph11,List Paragraph2,AR bullet 1,Bullet Point,L,Bullet points,Content descriptions,Bullet Points,bullet point list,1 heading,Bullet point,Dot point 1.5 line spacing,List Paragraph - bullets"/>
    <w:basedOn w:val="BodyText"/>
    <w:link w:val="ListParagraphChar"/>
    <w:uiPriority w:val="34"/>
    <w:qFormat/>
    <w:rsid w:val="004B18FF"/>
    <w:pPr>
      <w:numPr>
        <w:numId w:val="14"/>
      </w:numPr>
      <w:spacing w:before="60"/>
      <w:contextualSpacing/>
    </w:pPr>
  </w:style>
  <w:style w:type="paragraph" w:customStyle="1" w:styleId="TableCaption">
    <w:name w:val="Table Caption"/>
    <w:basedOn w:val="BodyText"/>
    <w:rsid w:val="00584C80"/>
    <w:pPr>
      <w:keepNext/>
      <w:spacing w:before="240" w:after="120"/>
    </w:pPr>
    <w:rPr>
      <w:b/>
      <w:color w:val="241C44" w:themeColor="text2"/>
    </w:rPr>
  </w:style>
  <w:style w:type="paragraph" w:customStyle="1" w:styleId="FigureNotes">
    <w:name w:val="Figure Notes"/>
    <w:basedOn w:val="BodyText"/>
    <w:qFormat/>
    <w:rsid w:val="00205569"/>
    <w:pPr>
      <w:spacing w:before="240" w:line="240" w:lineRule="auto"/>
      <w:contextualSpacing/>
    </w:pPr>
    <w:rPr>
      <w:rFonts w:cs="Arial"/>
      <w:sz w:val="16"/>
      <w:szCs w:val="16"/>
      <w:lang w:val="en-US" w:eastAsia="ja-JP"/>
    </w:rPr>
  </w:style>
  <w:style w:type="paragraph" w:customStyle="1" w:styleId="FigurePlaceholder">
    <w:name w:val="Figure Placeholder"/>
    <w:basedOn w:val="BodyText"/>
    <w:qFormat/>
    <w:rsid w:val="00BC3528"/>
    <w:pPr>
      <w:keepNext/>
      <w:spacing w:before="240" w:after="240" w:line="240" w:lineRule="auto"/>
      <w:jc w:val="center"/>
    </w:pPr>
    <w:rPr>
      <w:lang w:val="en-US" w:eastAsia="ja-JP"/>
    </w:rPr>
  </w:style>
  <w:style w:type="character" w:styleId="CommentReference">
    <w:name w:val="annotation reference"/>
    <w:basedOn w:val="DefaultParagraphFont"/>
    <w:uiPriority w:val="99"/>
    <w:semiHidden/>
    <w:unhideWhenUsed/>
    <w:rsid w:val="00BF1C95"/>
    <w:rPr>
      <w:sz w:val="18"/>
      <w:szCs w:val="18"/>
    </w:rPr>
  </w:style>
  <w:style w:type="paragraph" w:styleId="CommentText">
    <w:name w:val="annotation text"/>
    <w:link w:val="CommentTextChar"/>
    <w:uiPriority w:val="99"/>
    <w:unhideWhenUsed/>
    <w:rsid w:val="001A2A21"/>
    <w:rPr>
      <w:rFonts w:ascii="Arial Narrow" w:hAnsi="Arial Narrow"/>
      <w:color w:val="FF0000"/>
      <w:sz w:val="16"/>
      <w:lang w:val="en-AU" w:eastAsia="en-US"/>
    </w:rPr>
  </w:style>
  <w:style w:type="character" w:customStyle="1" w:styleId="CommentTextChar">
    <w:name w:val="Comment Text Char"/>
    <w:basedOn w:val="DefaultParagraphFont"/>
    <w:link w:val="CommentText"/>
    <w:uiPriority w:val="99"/>
    <w:rsid w:val="001A2A21"/>
    <w:rPr>
      <w:rFonts w:ascii="Arial Narrow" w:hAnsi="Arial Narrow"/>
      <w:color w:val="FF0000"/>
      <w:sz w:val="16"/>
      <w:lang w:val="en-AU" w:eastAsia="en-US"/>
    </w:rPr>
  </w:style>
  <w:style w:type="paragraph" w:styleId="CommentSubject">
    <w:name w:val="annotation subject"/>
    <w:basedOn w:val="CommentText"/>
    <w:next w:val="CommentText"/>
    <w:link w:val="CommentSubjectChar"/>
    <w:uiPriority w:val="99"/>
    <w:semiHidden/>
    <w:unhideWhenUsed/>
    <w:rsid w:val="00BF1C95"/>
    <w:rPr>
      <w:b/>
      <w:bCs/>
      <w:sz w:val="20"/>
      <w:szCs w:val="20"/>
    </w:rPr>
  </w:style>
  <w:style w:type="character" w:customStyle="1" w:styleId="CommentSubjectChar">
    <w:name w:val="Comment Subject Char"/>
    <w:basedOn w:val="CommentTextChar"/>
    <w:link w:val="CommentSubject"/>
    <w:uiPriority w:val="99"/>
    <w:semiHidden/>
    <w:rsid w:val="00BF1C95"/>
    <w:rPr>
      <w:rFonts w:ascii="Arial Narrow" w:hAnsi="Arial Narrow"/>
      <w:b/>
      <w:bCs/>
      <w:color w:val="FF0000"/>
      <w:sz w:val="20"/>
      <w:szCs w:val="20"/>
      <w:lang w:val="en-AU" w:eastAsia="en-US"/>
    </w:rPr>
  </w:style>
  <w:style w:type="paragraph" w:customStyle="1" w:styleId="CommentTextBullet">
    <w:name w:val="Comment Text Bullet"/>
    <w:basedOn w:val="CommentText"/>
    <w:rsid w:val="0014636E"/>
    <w:pPr>
      <w:numPr>
        <w:numId w:val="6"/>
      </w:numPr>
    </w:pPr>
  </w:style>
  <w:style w:type="paragraph" w:customStyle="1" w:styleId="ListParagraph2">
    <w:name w:val="List Paragraph 2"/>
    <w:basedOn w:val="ListParagraph"/>
    <w:rsid w:val="00D45CE1"/>
    <w:pPr>
      <w:numPr>
        <w:numId w:val="0"/>
      </w:numPr>
      <w:ind w:left="851"/>
    </w:pPr>
  </w:style>
  <w:style w:type="table" w:customStyle="1" w:styleId="TableBox">
    <w:name w:val="Table Box"/>
    <w:basedOn w:val="TableNormal"/>
    <w:uiPriority w:val="99"/>
    <w:rsid w:val="00DD374B"/>
    <w:rPr>
      <w:rFonts w:ascii="Arial" w:hAnsi="Arial"/>
      <w:sz w:val="20"/>
    </w:rPr>
    <w:tblPr/>
  </w:style>
  <w:style w:type="paragraph" w:customStyle="1" w:styleId="PrelimHeading1">
    <w:name w:val="Prelim Heading 1"/>
    <w:basedOn w:val="Heading1"/>
    <w:next w:val="BodyText"/>
    <w:rsid w:val="00C00AD8"/>
    <w:pPr>
      <w:pageBreakBefore/>
    </w:pPr>
  </w:style>
  <w:style w:type="paragraph" w:styleId="TOC1">
    <w:name w:val="toc 1"/>
    <w:basedOn w:val="Normal"/>
    <w:next w:val="Normal"/>
    <w:autoRedefine/>
    <w:uiPriority w:val="39"/>
    <w:unhideWhenUsed/>
    <w:rsid w:val="00D45CE1"/>
    <w:pPr>
      <w:tabs>
        <w:tab w:val="right" w:leader="dot" w:pos="8489"/>
      </w:tabs>
      <w:jc w:val="left"/>
    </w:pPr>
    <w:rPr>
      <w:bCs/>
      <w:szCs w:val="22"/>
    </w:rPr>
  </w:style>
  <w:style w:type="paragraph" w:styleId="TOC2">
    <w:name w:val="toc 2"/>
    <w:basedOn w:val="Normal"/>
    <w:next w:val="Normal"/>
    <w:autoRedefine/>
    <w:uiPriority w:val="39"/>
    <w:unhideWhenUsed/>
    <w:rsid w:val="00545404"/>
    <w:pPr>
      <w:spacing w:before="0"/>
      <w:ind w:left="200"/>
      <w:jc w:val="left"/>
    </w:pPr>
    <w:rPr>
      <w:iCs/>
      <w:szCs w:val="22"/>
    </w:rPr>
  </w:style>
  <w:style w:type="paragraph" w:styleId="TOC3">
    <w:name w:val="toc 3"/>
    <w:basedOn w:val="Normal"/>
    <w:next w:val="Normal"/>
    <w:autoRedefine/>
    <w:uiPriority w:val="39"/>
    <w:unhideWhenUsed/>
    <w:rsid w:val="00545404"/>
    <w:pPr>
      <w:spacing w:before="0"/>
      <w:ind w:left="400"/>
      <w:jc w:val="left"/>
    </w:pPr>
    <w:rPr>
      <w:szCs w:val="22"/>
    </w:rPr>
  </w:style>
  <w:style w:type="paragraph" w:styleId="TOC4">
    <w:name w:val="toc 4"/>
    <w:basedOn w:val="Normal"/>
    <w:next w:val="Normal"/>
    <w:autoRedefine/>
    <w:uiPriority w:val="39"/>
    <w:unhideWhenUsed/>
    <w:rsid w:val="00B44E9B"/>
    <w:pPr>
      <w:ind w:left="600"/>
    </w:pPr>
  </w:style>
  <w:style w:type="paragraph" w:styleId="TOC5">
    <w:name w:val="toc 5"/>
    <w:basedOn w:val="Normal"/>
    <w:next w:val="Normal"/>
    <w:autoRedefine/>
    <w:uiPriority w:val="39"/>
    <w:unhideWhenUsed/>
    <w:rsid w:val="00B44E9B"/>
    <w:pPr>
      <w:ind w:left="800"/>
    </w:pPr>
  </w:style>
  <w:style w:type="paragraph" w:styleId="TOC6">
    <w:name w:val="toc 6"/>
    <w:basedOn w:val="Normal"/>
    <w:next w:val="Normal"/>
    <w:autoRedefine/>
    <w:uiPriority w:val="39"/>
    <w:unhideWhenUsed/>
    <w:rsid w:val="00B44E9B"/>
    <w:pPr>
      <w:ind w:left="1000"/>
    </w:pPr>
  </w:style>
  <w:style w:type="paragraph" w:styleId="TOC7">
    <w:name w:val="toc 7"/>
    <w:basedOn w:val="Normal"/>
    <w:next w:val="Normal"/>
    <w:autoRedefine/>
    <w:uiPriority w:val="39"/>
    <w:unhideWhenUsed/>
    <w:rsid w:val="00B44E9B"/>
    <w:pPr>
      <w:ind w:left="1200"/>
    </w:pPr>
  </w:style>
  <w:style w:type="paragraph" w:styleId="TOC8">
    <w:name w:val="toc 8"/>
    <w:basedOn w:val="Normal"/>
    <w:next w:val="Normal"/>
    <w:autoRedefine/>
    <w:uiPriority w:val="39"/>
    <w:unhideWhenUsed/>
    <w:rsid w:val="00B44E9B"/>
    <w:pPr>
      <w:ind w:left="1400"/>
    </w:pPr>
  </w:style>
  <w:style w:type="paragraph" w:styleId="TOC9">
    <w:name w:val="toc 9"/>
    <w:basedOn w:val="Normal"/>
    <w:next w:val="Normal"/>
    <w:autoRedefine/>
    <w:uiPriority w:val="39"/>
    <w:unhideWhenUsed/>
    <w:rsid w:val="00B44E9B"/>
    <w:pPr>
      <w:ind w:left="1600"/>
    </w:pPr>
  </w:style>
  <w:style w:type="paragraph" w:styleId="FootnoteText">
    <w:name w:val="footnote text"/>
    <w:basedOn w:val="Normal"/>
    <w:link w:val="FootnoteTextChar"/>
    <w:uiPriority w:val="99"/>
    <w:unhideWhenUsed/>
    <w:rsid w:val="00CC4D0F"/>
    <w:pPr>
      <w:spacing w:before="0" w:line="240" w:lineRule="auto"/>
      <w:ind w:left="284" w:hanging="284"/>
      <w:jc w:val="left"/>
    </w:pPr>
    <w:rPr>
      <w:sz w:val="16"/>
      <w:szCs w:val="16"/>
    </w:rPr>
  </w:style>
  <w:style w:type="character" w:customStyle="1" w:styleId="FootnoteTextChar">
    <w:name w:val="Footnote Text Char"/>
    <w:basedOn w:val="DefaultParagraphFont"/>
    <w:link w:val="FootnoteText"/>
    <w:uiPriority w:val="99"/>
    <w:rsid w:val="00CC4D0F"/>
    <w:rPr>
      <w:rFonts w:ascii="Arial" w:hAnsi="Arial"/>
      <w:color w:val="2C2624"/>
      <w:sz w:val="16"/>
      <w:szCs w:val="16"/>
      <w:lang w:val="en-AU" w:eastAsia="en-US"/>
    </w:rPr>
  </w:style>
  <w:style w:type="character" w:styleId="FootnoteReference">
    <w:name w:val="footnote reference"/>
    <w:basedOn w:val="DefaultParagraphFont"/>
    <w:uiPriority w:val="99"/>
    <w:unhideWhenUsed/>
    <w:rsid w:val="006C1D0B"/>
    <w:rPr>
      <w:vertAlign w:val="superscript"/>
    </w:rPr>
  </w:style>
  <w:style w:type="paragraph" w:customStyle="1" w:styleId="AppendixHeading1">
    <w:name w:val="Appendix Heading 1"/>
    <w:basedOn w:val="Heading1"/>
    <w:next w:val="BodyText"/>
    <w:qFormat/>
    <w:rsid w:val="00CC4D0F"/>
    <w:pPr>
      <w:pageBreakBefore/>
      <w:spacing w:before="0"/>
    </w:pPr>
  </w:style>
  <w:style w:type="paragraph" w:customStyle="1" w:styleId="AppendixHeading2">
    <w:name w:val="Appendix Heading 2"/>
    <w:basedOn w:val="Heading2"/>
    <w:next w:val="BodyText"/>
    <w:qFormat/>
    <w:rsid w:val="00CC4D0F"/>
  </w:style>
  <w:style w:type="paragraph" w:customStyle="1" w:styleId="AppendixHeading3">
    <w:name w:val="Appendix Heading 3"/>
    <w:basedOn w:val="Heading3"/>
    <w:next w:val="BodyText"/>
    <w:rsid w:val="00DF6249"/>
  </w:style>
  <w:style w:type="paragraph" w:customStyle="1" w:styleId="Reportauthors">
    <w:name w:val="Report authors"/>
    <w:basedOn w:val="AppendixHeading2"/>
    <w:next w:val="Normal"/>
    <w:rsid w:val="00D616EB"/>
    <w:pPr>
      <w:outlineLvl w:val="9"/>
    </w:pPr>
    <w:rPr>
      <w:color w:val="005BA3" w:themeColor="accent4"/>
      <w:sz w:val="28"/>
    </w:rPr>
  </w:style>
  <w:style w:type="paragraph" w:customStyle="1" w:styleId="StaffInfoHeading">
    <w:name w:val="Staff Info Heading"/>
    <w:basedOn w:val="Normal"/>
    <w:next w:val="BodyText"/>
    <w:rsid w:val="003C15F9"/>
    <w:pPr>
      <w:keepNext/>
      <w:keepLines/>
      <w:spacing w:before="240" w:after="120"/>
      <w:jc w:val="center"/>
    </w:pPr>
    <w:rPr>
      <w:rFonts w:eastAsia="Times New Roman"/>
      <w:color w:val="241C44"/>
      <w:sz w:val="32"/>
      <w:szCs w:val="26"/>
      <w:lang w:bidi="en-US"/>
    </w:rPr>
  </w:style>
  <w:style w:type="paragraph" w:customStyle="1" w:styleId="ContentsHeading">
    <w:name w:val="Contents Heading"/>
    <w:basedOn w:val="PrelimHeading1"/>
    <w:next w:val="TOC1"/>
    <w:rsid w:val="009A278B"/>
    <w:pPr>
      <w:outlineLvl w:val="9"/>
    </w:pPr>
  </w:style>
  <w:style w:type="paragraph" w:customStyle="1" w:styleId="References">
    <w:name w:val="References"/>
    <w:basedOn w:val="BodyText"/>
    <w:qFormat/>
    <w:rsid w:val="00C16130"/>
    <w:pPr>
      <w:spacing w:before="60" w:line="240" w:lineRule="auto"/>
      <w:ind w:left="284" w:hanging="284"/>
    </w:pPr>
    <w:rPr>
      <w:sz w:val="18"/>
      <w:szCs w:val="18"/>
    </w:rPr>
  </w:style>
  <w:style w:type="paragraph" w:customStyle="1" w:styleId="Heading1Part">
    <w:name w:val="Heading 1 Part"/>
    <w:basedOn w:val="Heading1"/>
    <w:rsid w:val="00252337"/>
    <w:pPr>
      <w:numPr>
        <w:numId w:val="7"/>
      </w:numPr>
      <w:ind w:left="1560" w:hanging="1560"/>
    </w:pPr>
  </w:style>
  <w:style w:type="paragraph" w:styleId="NoSpacing">
    <w:name w:val="No Spacing"/>
    <w:uiPriority w:val="1"/>
    <w:rsid w:val="00C51FBB"/>
    <w:pPr>
      <w:suppressAutoHyphens/>
      <w:jc w:val="both"/>
    </w:pPr>
    <w:rPr>
      <w:rFonts w:ascii="Arial" w:hAnsi="Arial"/>
      <w:color w:val="2C2624"/>
      <w:sz w:val="20"/>
      <w:lang w:val="en-AU" w:eastAsia="en-US"/>
    </w:rPr>
  </w:style>
  <w:style w:type="paragraph" w:styleId="Title">
    <w:name w:val="Title"/>
    <w:basedOn w:val="Normal"/>
    <w:next w:val="Normal"/>
    <w:link w:val="TitleChar"/>
    <w:uiPriority w:val="10"/>
    <w:rsid w:val="00C51FBB"/>
    <w:pPr>
      <w:pBdr>
        <w:bottom w:val="single" w:sz="8" w:space="4" w:color="ED0C6E" w:themeColor="accent1"/>
      </w:pBdr>
      <w:spacing w:before="0" w:after="300" w:line="240" w:lineRule="auto"/>
      <w:contextualSpacing/>
    </w:pPr>
    <w:rPr>
      <w:rFonts w:asciiTheme="majorHAnsi" w:eastAsiaTheme="majorEastAsia" w:hAnsiTheme="majorHAnsi" w:cstheme="majorBidi"/>
      <w:color w:val="1A1532" w:themeColor="text2" w:themeShade="BF"/>
      <w:spacing w:val="5"/>
      <w:kern w:val="28"/>
      <w:sz w:val="52"/>
      <w:szCs w:val="52"/>
    </w:rPr>
  </w:style>
  <w:style w:type="character" w:customStyle="1" w:styleId="TitleChar">
    <w:name w:val="Title Char"/>
    <w:basedOn w:val="DefaultParagraphFont"/>
    <w:link w:val="Title"/>
    <w:uiPriority w:val="10"/>
    <w:rsid w:val="00C51FBB"/>
    <w:rPr>
      <w:rFonts w:asciiTheme="majorHAnsi" w:eastAsiaTheme="majorEastAsia" w:hAnsiTheme="majorHAnsi" w:cstheme="majorBidi"/>
      <w:color w:val="1A1532" w:themeColor="text2" w:themeShade="BF"/>
      <w:spacing w:val="5"/>
      <w:kern w:val="28"/>
      <w:sz w:val="52"/>
      <w:szCs w:val="52"/>
      <w:lang w:val="en-AU" w:eastAsia="en-US"/>
    </w:rPr>
  </w:style>
  <w:style w:type="paragraph" w:styleId="Subtitle">
    <w:name w:val="Subtitle"/>
    <w:basedOn w:val="Normal"/>
    <w:next w:val="Normal"/>
    <w:link w:val="SubtitleChar"/>
    <w:uiPriority w:val="11"/>
    <w:rsid w:val="00C51FBB"/>
    <w:pPr>
      <w:numPr>
        <w:ilvl w:val="1"/>
      </w:numPr>
    </w:pPr>
    <w:rPr>
      <w:rFonts w:asciiTheme="majorHAnsi" w:eastAsiaTheme="majorEastAsia" w:hAnsiTheme="majorHAnsi" w:cstheme="majorBidi"/>
      <w:i/>
      <w:iCs/>
      <w:color w:val="ED0C6E" w:themeColor="accent1"/>
      <w:spacing w:val="15"/>
      <w:sz w:val="24"/>
    </w:rPr>
  </w:style>
  <w:style w:type="character" w:customStyle="1" w:styleId="SubtitleChar">
    <w:name w:val="Subtitle Char"/>
    <w:basedOn w:val="DefaultParagraphFont"/>
    <w:link w:val="Subtitle"/>
    <w:uiPriority w:val="11"/>
    <w:rsid w:val="00C51FBB"/>
    <w:rPr>
      <w:rFonts w:asciiTheme="majorHAnsi" w:eastAsiaTheme="majorEastAsia" w:hAnsiTheme="majorHAnsi" w:cstheme="majorBidi"/>
      <w:i/>
      <w:iCs/>
      <w:color w:val="ED0C6E" w:themeColor="accent1"/>
      <w:spacing w:val="15"/>
      <w:lang w:val="en-AU" w:eastAsia="en-US"/>
    </w:rPr>
  </w:style>
  <w:style w:type="character" w:styleId="SubtleEmphasis">
    <w:name w:val="Subtle Emphasis"/>
    <w:basedOn w:val="DefaultParagraphFont"/>
    <w:uiPriority w:val="19"/>
    <w:rsid w:val="00C51FBB"/>
    <w:rPr>
      <w:i/>
      <w:iCs/>
      <w:color w:val="808080" w:themeColor="text1" w:themeTint="7F"/>
    </w:rPr>
  </w:style>
  <w:style w:type="character" w:styleId="Emphasis">
    <w:name w:val="Emphasis"/>
    <w:basedOn w:val="DefaultParagraphFont"/>
    <w:uiPriority w:val="20"/>
    <w:qFormat/>
    <w:rsid w:val="00C51FBB"/>
    <w:rPr>
      <w:i/>
      <w:iCs/>
    </w:rPr>
  </w:style>
  <w:style w:type="character" w:styleId="IntenseEmphasis">
    <w:name w:val="Intense Emphasis"/>
    <w:basedOn w:val="DefaultParagraphFont"/>
    <w:uiPriority w:val="21"/>
    <w:rsid w:val="00C51FBB"/>
    <w:rPr>
      <w:b/>
      <w:bCs/>
      <w:i/>
      <w:iCs/>
      <w:color w:val="ED0C6E" w:themeColor="accent1"/>
    </w:rPr>
  </w:style>
  <w:style w:type="character" w:styleId="Strong">
    <w:name w:val="Strong"/>
    <w:basedOn w:val="DefaultParagraphFont"/>
    <w:uiPriority w:val="22"/>
    <w:qFormat/>
    <w:rsid w:val="00C51FBB"/>
    <w:rPr>
      <w:b/>
      <w:bCs/>
    </w:rPr>
  </w:style>
  <w:style w:type="paragraph" w:styleId="Quote">
    <w:name w:val="Quote"/>
    <w:basedOn w:val="Normal"/>
    <w:next w:val="Normal"/>
    <w:link w:val="QuoteChar"/>
    <w:uiPriority w:val="29"/>
    <w:qFormat/>
    <w:rsid w:val="00032492"/>
    <w:pPr>
      <w:spacing w:before="240" w:after="240"/>
      <w:ind w:left="567" w:right="567"/>
      <w:jc w:val="left"/>
    </w:pPr>
    <w:rPr>
      <w:iCs/>
      <w:color w:val="B00051"/>
    </w:rPr>
  </w:style>
  <w:style w:type="character" w:customStyle="1" w:styleId="QuoteChar">
    <w:name w:val="Quote Char"/>
    <w:basedOn w:val="DefaultParagraphFont"/>
    <w:link w:val="Quote"/>
    <w:uiPriority w:val="29"/>
    <w:rsid w:val="00032492"/>
    <w:rPr>
      <w:rFonts w:ascii="Arial" w:hAnsi="Arial"/>
      <w:iCs/>
      <w:color w:val="B00051"/>
      <w:sz w:val="20"/>
      <w:lang w:val="en-AU" w:eastAsia="en-US"/>
    </w:rPr>
  </w:style>
  <w:style w:type="paragraph" w:styleId="IntenseQuote">
    <w:name w:val="Intense Quote"/>
    <w:basedOn w:val="Normal"/>
    <w:next w:val="Normal"/>
    <w:link w:val="IntenseQuoteChar"/>
    <w:uiPriority w:val="30"/>
    <w:rsid w:val="00C51FBB"/>
    <w:pPr>
      <w:pBdr>
        <w:bottom w:val="single" w:sz="4" w:space="4" w:color="ED0C6E" w:themeColor="accent1"/>
      </w:pBdr>
      <w:spacing w:before="200" w:after="280"/>
      <w:ind w:left="936" w:right="936"/>
    </w:pPr>
    <w:rPr>
      <w:b/>
      <w:bCs/>
      <w:i/>
      <w:iCs/>
      <w:color w:val="ED0C6E" w:themeColor="accent1"/>
    </w:rPr>
  </w:style>
  <w:style w:type="character" w:customStyle="1" w:styleId="IntenseQuoteChar">
    <w:name w:val="Intense Quote Char"/>
    <w:basedOn w:val="DefaultParagraphFont"/>
    <w:link w:val="IntenseQuote"/>
    <w:uiPriority w:val="30"/>
    <w:rsid w:val="00C51FBB"/>
    <w:rPr>
      <w:rFonts w:ascii="Arial" w:hAnsi="Arial"/>
      <w:b/>
      <w:bCs/>
      <w:i/>
      <w:iCs/>
      <w:color w:val="ED0C6E" w:themeColor="accent1"/>
      <w:sz w:val="20"/>
      <w:lang w:val="en-AU" w:eastAsia="en-US"/>
    </w:rPr>
  </w:style>
  <w:style w:type="character" w:styleId="SubtleReference">
    <w:name w:val="Subtle Reference"/>
    <w:basedOn w:val="DefaultParagraphFont"/>
    <w:uiPriority w:val="31"/>
    <w:rsid w:val="00C51FBB"/>
    <w:rPr>
      <w:smallCaps/>
      <w:color w:val="62136D" w:themeColor="accent2"/>
      <w:u w:val="single"/>
    </w:rPr>
  </w:style>
  <w:style w:type="character" w:styleId="IntenseReference">
    <w:name w:val="Intense Reference"/>
    <w:basedOn w:val="DefaultParagraphFont"/>
    <w:uiPriority w:val="32"/>
    <w:rsid w:val="00C51FBB"/>
    <w:rPr>
      <w:b/>
      <w:bCs/>
      <w:smallCaps/>
      <w:color w:val="62136D" w:themeColor="accent2"/>
      <w:spacing w:val="5"/>
      <w:u w:val="single"/>
    </w:rPr>
  </w:style>
  <w:style w:type="character" w:styleId="BookTitle">
    <w:name w:val="Book Title"/>
    <w:basedOn w:val="DefaultParagraphFont"/>
    <w:uiPriority w:val="33"/>
    <w:rsid w:val="00C51FBB"/>
    <w:rPr>
      <w:b/>
      <w:bCs/>
      <w:smallCaps/>
      <w:spacing w:val="5"/>
    </w:rPr>
  </w:style>
  <w:style w:type="paragraph" w:customStyle="1" w:styleId="Comment">
    <w:name w:val="Comment"/>
    <w:basedOn w:val="CommentTextBullet"/>
    <w:rsid w:val="00C51FBB"/>
  </w:style>
  <w:style w:type="paragraph" w:styleId="Revision">
    <w:name w:val="Revision"/>
    <w:hidden/>
    <w:uiPriority w:val="99"/>
    <w:semiHidden/>
    <w:rsid w:val="000D0E99"/>
    <w:rPr>
      <w:rFonts w:ascii="Arial" w:hAnsi="Arial"/>
      <w:color w:val="2C2624"/>
      <w:sz w:val="20"/>
      <w:lang w:val="en-AU" w:eastAsia="en-US"/>
    </w:rPr>
  </w:style>
  <w:style w:type="table" w:styleId="TableClassic1">
    <w:name w:val="Table Classic 1"/>
    <w:basedOn w:val="TableNormal"/>
    <w:uiPriority w:val="99"/>
    <w:semiHidden/>
    <w:unhideWhenUsed/>
    <w:rsid w:val="000D0E99"/>
    <w:pPr>
      <w:suppressAutoHyphens/>
      <w:spacing w:before="120" w:line="280" w:lineRule="atLeast"/>
      <w:jc w:val="both"/>
    </w:pPr>
    <w:tblPr/>
    <w:tcPr>
      <w:tcBorders>
        <w:right w:val="single" w:sz="6" w:space="0" w:color="000000"/>
      </w:tcBorders>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neCell">
      <w:rPr>
        <w:b/>
        <w:bCs/>
        <w:i w:val="0"/>
        <w:iCs w:val="0"/>
      </w:rPr>
    </w:tblStylePr>
    <w:tblStylePr w:type="swCell">
      <w:rPr>
        <w:b/>
        <w:bCs/>
      </w:rPr>
    </w:tblStylePr>
  </w:style>
  <w:style w:type="table" w:styleId="LightShading">
    <w:name w:val="Light Shading"/>
    <w:basedOn w:val="TableNormal"/>
    <w:uiPriority w:val="60"/>
    <w:rsid w:val="000D0E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OverviewText">
    <w:name w:val="Overview Text"/>
    <w:basedOn w:val="BodyText"/>
    <w:rsid w:val="00187E5C"/>
    <w:rPr>
      <w:color w:val="671565"/>
    </w:rPr>
  </w:style>
  <w:style w:type="paragraph" w:customStyle="1" w:styleId="KeyMessagesHeading">
    <w:name w:val="Key Messages Heading"/>
    <w:basedOn w:val="Heading1"/>
    <w:rsid w:val="00E7696C"/>
    <w:rPr>
      <w:sz w:val="38"/>
    </w:rPr>
  </w:style>
  <w:style w:type="paragraph" w:customStyle="1" w:styleId="KeyMessageslistbullet">
    <w:name w:val="Key Messages list bullet"/>
    <w:basedOn w:val="ListBullet"/>
    <w:rsid w:val="00187E5C"/>
    <w:rPr>
      <w:color w:val="671565"/>
    </w:rPr>
  </w:style>
  <w:style w:type="paragraph" w:customStyle="1" w:styleId="Overview">
    <w:name w:val="Overview"/>
    <w:basedOn w:val="KeyMessagesHeading"/>
    <w:qFormat/>
    <w:rsid w:val="00E7696C"/>
  </w:style>
  <w:style w:type="paragraph" w:customStyle="1" w:styleId="TableNotes">
    <w:name w:val="Table Notes"/>
    <w:basedOn w:val="FigureNotes"/>
    <w:autoRedefine/>
    <w:qFormat/>
    <w:rsid w:val="00A254FB"/>
    <w:pPr>
      <w:spacing w:before="0"/>
      <w:ind w:right="254"/>
      <w:jc w:val="both"/>
    </w:pPr>
  </w:style>
  <w:style w:type="paragraph" w:customStyle="1" w:styleId="ListParagraph1">
    <w:name w:val="List Paragraph 1"/>
    <w:basedOn w:val="ListBullet"/>
    <w:next w:val="ListBullet"/>
    <w:rsid w:val="00FA7AB4"/>
    <w:pPr>
      <w:numPr>
        <w:numId w:val="0"/>
      </w:numPr>
      <w:tabs>
        <w:tab w:val="left" w:pos="425"/>
      </w:tabs>
      <w:ind w:left="425"/>
    </w:pPr>
  </w:style>
  <w:style w:type="paragraph" w:customStyle="1" w:styleId="TableColHeadLeft">
    <w:name w:val="Table Col Head Left"/>
    <w:basedOn w:val="Normal"/>
    <w:rsid w:val="00B9573D"/>
    <w:pPr>
      <w:keepNext/>
      <w:spacing w:before="60" w:after="60" w:line="240" w:lineRule="auto"/>
      <w:jc w:val="left"/>
    </w:pPr>
    <w:rPr>
      <w:rFonts w:eastAsia="Times New Roman"/>
      <w:color w:val="FFFFFF" w:themeColor="background1"/>
      <w:sz w:val="16"/>
      <w:szCs w:val="18"/>
      <w:lang w:val="en-US" w:eastAsia="en-AU" w:bidi="en-US"/>
    </w:rPr>
  </w:style>
  <w:style w:type="paragraph" w:customStyle="1" w:styleId="TableColHeadCentre">
    <w:name w:val="Table Col Head Centre"/>
    <w:basedOn w:val="Normal"/>
    <w:rsid w:val="00B9573D"/>
    <w:pPr>
      <w:keepNext/>
      <w:spacing w:before="60" w:after="60" w:line="240" w:lineRule="auto"/>
      <w:jc w:val="center"/>
    </w:pPr>
    <w:rPr>
      <w:rFonts w:eastAsia="Times New Roman"/>
      <w:color w:val="FFFFFF" w:themeColor="background1"/>
      <w:sz w:val="16"/>
      <w:szCs w:val="18"/>
      <w:lang w:val="en-US" w:eastAsia="en-AU" w:bidi="en-US"/>
    </w:rPr>
  </w:style>
  <w:style w:type="paragraph" w:customStyle="1" w:styleId="TableHeading">
    <w:name w:val="Table Heading"/>
    <w:basedOn w:val="Normal"/>
    <w:rsid w:val="00B9573D"/>
    <w:pPr>
      <w:keepNext/>
      <w:spacing w:before="60" w:after="60" w:line="240" w:lineRule="auto"/>
      <w:jc w:val="left"/>
    </w:pPr>
    <w:rPr>
      <w:rFonts w:eastAsia="Times New Roman"/>
      <w:color w:val="62136D"/>
      <w:sz w:val="16"/>
      <w:szCs w:val="18"/>
      <w:lang w:val="en-US" w:eastAsia="en-AU" w:bidi="en-US"/>
    </w:rPr>
  </w:style>
  <w:style w:type="paragraph" w:customStyle="1" w:styleId="TableTextIndent">
    <w:name w:val="Table Text Indent"/>
    <w:basedOn w:val="Normal"/>
    <w:rsid w:val="00B9573D"/>
    <w:pPr>
      <w:keepNext/>
      <w:spacing w:before="60" w:after="60" w:line="240" w:lineRule="auto"/>
      <w:ind w:left="227"/>
      <w:jc w:val="left"/>
    </w:pPr>
    <w:rPr>
      <w:rFonts w:eastAsia="Times New Roman"/>
      <w:sz w:val="16"/>
      <w:szCs w:val="18"/>
      <w:lang w:val="en-US" w:eastAsia="en-AU" w:bidi="en-US"/>
    </w:rPr>
  </w:style>
  <w:style w:type="paragraph" w:customStyle="1" w:styleId="TableText">
    <w:name w:val="Table Text"/>
    <w:basedOn w:val="Normal"/>
    <w:rsid w:val="00EE090E"/>
    <w:pPr>
      <w:keepNext/>
      <w:spacing w:before="60" w:after="60" w:line="240" w:lineRule="auto"/>
      <w:jc w:val="left"/>
    </w:pPr>
    <w:rPr>
      <w:rFonts w:eastAsia="Times New Roman"/>
      <w:sz w:val="16"/>
      <w:szCs w:val="20"/>
      <w:lang w:eastAsia="en-AU" w:bidi="en-US"/>
    </w:rPr>
  </w:style>
  <w:style w:type="paragraph" w:customStyle="1" w:styleId="TableNumber1">
    <w:name w:val="Table Number 1"/>
    <w:basedOn w:val="Normal"/>
    <w:rsid w:val="00336A47"/>
    <w:pPr>
      <w:keepNext/>
      <w:numPr>
        <w:numId w:val="10"/>
      </w:numPr>
      <w:spacing w:before="60" w:after="60" w:line="240" w:lineRule="auto"/>
      <w:ind w:left="235" w:hanging="196"/>
      <w:jc w:val="left"/>
    </w:pPr>
    <w:rPr>
      <w:rFonts w:eastAsia="Times New Roman"/>
      <w:sz w:val="16"/>
      <w:szCs w:val="20"/>
      <w:lang w:val="en-US" w:eastAsia="en-AU" w:bidi="en-US"/>
    </w:rPr>
  </w:style>
  <w:style w:type="paragraph" w:customStyle="1" w:styleId="TableNumber2">
    <w:name w:val="Table Number 2"/>
    <w:basedOn w:val="Normal"/>
    <w:rsid w:val="00336A47"/>
    <w:pPr>
      <w:keepNext/>
      <w:numPr>
        <w:numId w:val="13"/>
      </w:numPr>
      <w:spacing w:before="60" w:after="60" w:line="240" w:lineRule="auto"/>
      <w:ind w:left="501" w:hanging="238"/>
      <w:jc w:val="left"/>
    </w:pPr>
    <w:rPr>
      <w:rFonts w:eastAsia="Times New Roman"/>
      <w:sz w:val="16"/>
      <w:szCs w:val="20"/>
      <w:lang w:val="en-US" w:eastAsia="en-AU" w:bidi="en-US"/>
    </w:rPr>
  </w:style>
  <w:style w:type="paragraph" w:customStyle="1" w:styleId="TableTextCentre">
    <w:name w:val="Table Text Centre"/>
    <w:basedOn w:val="Normal"/>
    <w:rsid w:val="00B9573D"/>
    <w:pPr>
      <w:keepNext/>
      <w:spacing w:before="60" w:after="60" w:line="240" w:lineRule="auto"/>
      <w:jc w:val="center"/>
    </w:pPr>
    <w:rPr>
      <w:rFonts w:eastAsia="Times New Roman"/>
      <w:sz w:val="16"/>
      <w:szCs w:val="20"/>
      <w:lang w:val="en-US" w:eastAsia="en-AU" w:bidi="en-US"/>
    </w:rPr>
  </w:style>
  <w:style w:type="paragraph" w:customStyle="1" w:styleId="TableTextAligned">
    <w:name w:val="Table Text Aligned"/>
    <w:basedOn w:val="Normal"/>
    <w:rsid w:val="00B9573D"/>
    <w:pPr>
      <w:keepNext/>
      <w:tabs>
        <w:tab w:val="decimal" w:pos="1038"/>
      </w:tabs>
      <w:spacing w:before="60" w:after="60" w:line="240" w:lineRule="auto"/>
      <w:jc w:val="left"/>
    </w:pPr>
    <w:rPr>
      <w:rFonts w:eastAsia="Times New Roman"/>
      <w:sz w:val="16"/>
      <w:szCs w:val="20"/>
      <w:lang w:val="en-US" w:eastAsia="en-AU" w:bidi="en-US"/>
    </w:rPr>
  </w:style>
  <w:style w:type="paragraph" w:customStyle="1" w:styleId="TableBullet1">
    <w:name w:val="Table Bullet 1"/>
    <w:basedOn w:val="Normal"/>
    <w:rsid w:val="00336A47"/>
    <w:pPr>
      <w:keepNext/>
      <w:numPr>
        <w:numId w:val="11"/>
      </w:numPr>
      <w:spacing w:before="60" w:after="60" w:line="240" w:lineRule="auto"/>
      <w:ind w:left="170" w:hanging="142"/>
      <w:jc w:val="left"/>
    </w:pPr>
    <w:rPr>
      <w:rFonts w:eastAsia="Times New Roman"/>
      <w:sz w:val="16"/>
      <w:szCs w:val="18"/>
      <w:lang w:val="en-US" w:eastAsia="en-AU" w:bidi="en-US"/>
    </w:rPr>
  </w:style>
  <w:style w:type="paragraph" w:customStyle="1" w:styleId="TableBullet2">
    <w:name w:val="Table Bullet 2"/>
    <w:basedOn w:val="Normal"/>
    <w:rsid w:val="00336A47"/>
    <w:pPr>
      <w:keepNext/>
      <w:numPr>
        <w:numId w:val="12"/>
      </w:numPr>
      <w:spacing w:before="60" w:after="60" w:line="240" w:lineRule="auto"/>
      <w:ind w:left="382" w:hanging="182"/>
      <w:jc w:val="left"/>
    </w:pPr>
    <w:rPr>
      <w:rFonts w:eastAsia="Times New Roman"/>
      <w:sz w:val="16"/>
      <w:szCs w:val="18"/>
      <w:lang w:val="en-US" w:eastAsia="en-AU" w:bidi="en-US"/>
    </w:rPr>
  </w:style>
  <w:style w:type="paragraph" w:customStyle="1" w:styleId="BoxHeading1">
    <w:name w:val="Box Heading 1"/>
    <w:basedOn w:val="Normal"/>
    <w:rsid w:val="00584C80"/>
    <w:pPr>
      <w:keepNext/>
      <w:keepLines/>
      <w:shd w:val="pct5" w:color="auto" w:fill="auto"/>
      <w:spacing w:before="360" w:after="360" w:line="240" w:lineRule="auto"/>
      <w:jc w:val="left"/>
      <w:textboxTightWrap w:val="allLines"/>
    </w:pPr>
    <w:rPr>
      <w:rFonts w:cs="Arial"/>
      <w:color w:val="241C44" w:themeColor="text2"/>
      <w:kern w:val="32"/>
      <w:sz w:val="32"/>
      <w:szCs w:val="32"/>
    </w:rPr>
  </w:style>
  <w:style w:type="paragraph" w:customStyle="1" w:styleId="BoxText">
    <w:name w:val="Box Text"/>
    <w:basedOn w:val="Normal"/>
    <w:rsid w:val="00F725CA"/>
    <w:pPr>
      <w:shd w:val="pct5" w:color="auto" w:fill="auto"/>
      <w:jc w:val="left"/>
    </w:pPr>
    <w:rPr>
      <w:rFonts w:eastAsia="Times New Roman"/>
      <w:lang w:bidi="en-US"/>
    </w:rPr>
  </w:style>
  <w:style w:type="paragraph" w:customStyle="1" w:styleId="BoxBulletList">
    <w:name w:val="Box Bullet List"/>
    <w:basedOn w:val="Normal"/>
    <w:rsid w:val="00254E89"/>
    <w:pPr>
      <w:numPr>
        <w:numId w:val="8"/>
      </w:numPr>
      <w:shd w:val="pct5" w:color="auto" w:fill="auto"/>
      <w:ind w:left="360"/>
      <w:jc w:val="left"/>
    </w:pPr>
    <w:rPr>
      <w:rFonts w:eastAsia="Times New Roman"/>
      <w:lang w:bidi="en-US"/>
    </w:rPr>
  </w:style>
  <w:style w:type="paragraph" w:customStyle="1" w:styleId="BoxHeading2">
    <w:name w:val="Box Heading 2"/>
    <w:basedOn w:val="Normal"/>
    <w:rsid w:val="0009537F"/>
    <w:pPr>
      <w:keepNext/>
      <w:keepLines/>
      <w:shd w:val="pct5" w:color="auto" w:fill="auto"/>
      <w:spacing w:before="240" w:after="120" w:line="240" w:lineRule="auto"/>
      <w:jc w:val="left"/>
    </w:pPr>
    <w:rPr>
      <w:rFonts w:cs="Arial"/>
      <w:color w:val="auto"/>
      <w:kern w:val="32"/>
      <w:sz w:val="26"/>
      <w:szCs w:val="26"/>
    </w:rPr>
  </w:style>
  <w:style w:type="paragraph" w:customStyle="1" w:styleId="BoxNumberedList">
    <w:name w:val="Box Numbered List"/>
    <w:basedOn w:val="Normal"/>
    <w:rsid w:val="00F725CA"/>
    <w:pPr>
      <w:numPr>
        <w:numId w:val="9"/>
      </w:numPr>
      <w:shd w:val="pct5" w:color="auto" w:fill="auto"/>
      <w:ind w:left="360"/>
      <w:jc w:val="left"/>
    </w:pPr>
    <w:rPr>
      <w:rFonts w:eastAsia="Times New Roman"/>
      <w:lang w:bidi="en-US"/>
    </w:rPr>
  </w:style>
  <w:style w:type="paragraph" w:customStyle="1" w:styleId="BoxNotesandSource">
    <w:name w:val="Box Notes and Source"/>
    <w:basedOn w:val="Normal"/>
    <w:rsid w:val="00CC4D0F"/>
    <w:pPr>
      <w:shd w:val="pct5" w:color="auto" w:fill="auto"/>
      <w:ind w:left="709" w:hanging="709"/>
      <w:jc w:val="left"/>
    </w:pPr>
    <w:rPr>
      <w:rFonts w:eastAsia="Times New Roman"/>
      <w:sz w:val="16"/>
      <w:szCs w:val="16"/>
      <w:lang w:bidi="en-US"/>
    </w:rPr>
  </w:style>
  <w:style w:type="character" w:customStyle="1" w:styleId="charItalic">
    <w:name w:val="char Italic"/>
    <w:basedOn w:val="DefaultParagraphFont"/>
    <w:uiPriority w:val="1"/>
    <w:rsid w:val="00594628"/>
    <w:rPr>
      <w:i/>
    </w:rPr>
  </w:style>
  <w:style w:type="character" w:customStyle="1" w:styleId="charBold">
    <w:name w:val="char Bold"/>
    <w:basedOn w:val="DefaultParagraphFont"/>
    <w:uiPriority w:val="1"/>
    <w:rsid w:val="00594628"/>
    <w:rPr>
      <w:b/>
    </w:rPr>
  </w:style>
  <w:style w:type="paragraph" w:customStyle="1" w:styleId="FigureSub-Caption">
    <w:name w:val="Figure Sub-Caption"/>
    <w:basedOn w:val="BodyText"/>
    <w:rsid w:val="00BC3528"/>
    <w:pPr>
      <w:spacing w:before="0" w:after="80"/>
    </w:pPr>
    <w:rPr>
      <w:b/>
      <w:color w:val="636667"/>
      <w:sz w:val="18"/>
      <w:szCs w:val="18"/>
      <w:lang w:val="en-US" w:eastAsia="ja-JP"/>
    </w:rPr>
  </w:style>
  <w:style w:type="character" w:customStyle="1" w:styleId="FooterChar">
    <w:name w:val="Footer Char"/>
    <w:basedOn w:val="DefaultParagraphFont"/>
    <w:link w:val="Footer"/>
    <w:rsid w:val="009607F3"/>
    <w:rPr>
      <w:rFonts w:ascii="Arial" w:hAnsi="Arial"/>
      <w:color w:val="241C44"/>
      <w:sz w:val="16"/>
      <w:szCs w:val="16"/>
      <w:lang w:val="en-AU" w:eastAsia="en-US"/>
    </w:rPr>
  </w:style>
  <w:style w:type="character" w:customStyle="1" w:styleId="HeaderChar">
    <w:name w:val="Header Char"/>
    <w:basedOn w:val="DefaultParagraphFont"/>
    <w:link w:val="Header"/>
    <w:rsid w:val="000243F8"/>
    <w:rPr>
      <w:rFonts w:ascii="Arial" w:hAnsi="Arial"/>
      <w:noProof/>
      <w:color w:val="241C44"/>
      <w:sz w:val="16"/>
      <w:szCs w:val="16"/>
      <w:lang w:eastAsia="en-US"/>
    </w:rPr>
  </w:style>
  <w:style w:type="paragraph" w:customStyle="1" w:styleId="Authoraffiliations">
    <w:name w:val="Author affiliations"/>
    <w:basedOn w:val="Reportauthors"/>
    <w:rsid w:val="00D616EB"/>
    <w:rPr>
      <w:i/>
      <w:iCs/>
      <w:color w:val="auto"/>
    </w:rPr>
  </w:style>
  <w:style w:type="character" w:styleId="Hyperlink">
    <w:name w:val="Hyperlink"/>
    <w:basedOn w:val="DefaultParagraphFont"/>
    <w:uiPriority w:val="99"/>
    <w:unhideWhenUsed/>
    <w:rsid w:val="007234FF"/>
    <w:rPr>
      <w:color w:val="0000FF" w:themeColor="hyperlink"/>
      <w:u w:val="single"/>
    </w:rPr>
  </w:style>
  <w:style w:type="character" w:styleId="UnresolvedMention">
    <w:name w:val="Unresolved Mention"/>
    <w:basedOn w:val="DefaultParagraphFont"/>
    <w:uiPriority w:val="99"/>
    <w:rsid w:val="00660334"/>
    <w:rPr>
      <w:color w:val="605E5C"/>
      <w:shd w:val="clear" w:color="auto" w:fill="E1DFDD"/>
    </w:rPr>
  </w:style>
  <w:style w:type="character" w:customStyle="1" w:styleId="ListParagraphChar">
    <w:name w:val="List Paragraph Char"/>
    <w:aliases w:val="Recommendation Char,List Paragraph1 Char,List Paragraph11 Char,List Paragraph2 Char,AR bullet 1 Char,Bullet Point Char,L Char,Bullet points Char,Content descriptions Char,Bullet Points Char,bullet point list Char,1 heading Char"/>
    <w:basedOn w:val="DefaultParagraphFont"/>
    <w:link w:val="ListParagraph"/>
    <w:uiPriority w:val="34"/>
    <w:locked/>
    <w:rsid w:val="00AC0067"/>
    <w:rPr>
      <w:rFonts w:ascii="Arial" w:eastAsia="Times New Roman" w:hAnsi="Arial"/>
      <w:color w:val="2C2624"/>
      <w:sz w:val="20"/>
      <w:lang w:val="en-AU" w:eastAsia="en-US" w:bidi="en-US"/>
    </w:rPr>
  </w:style>
  <w:style w:type="character" w:styleId="Mention">
    <w:name w:val="Mention"/>
    <w:basedOn w:val="DefaultParagraphFont"/>
    <w:uiPriority w:val="99"/>
    <w:unhideWhenUsed/>
    <w:rsid w:val="00AF6AC7"/>
    <w:rPr>
      <w:color w:val="2B579A"/>
      <w:shd w:val="clear" w:color="auto" w:fill="E1DFDD"/>
    </w:rPr>
  </w:style>
  <w:style w:type="paragraph" w:customStyle="1" w:styleId="EndNoteBibliography">
    <w:name w:val="EndNote Bibliography"/>
    <w:basedOn w:val="Normal"/>
    <w:link w:val="EndNoteBibliographyChar"/>
    <w:rsid w:val="004213A7"/>
    <w:pPr>
      <w:spacing w:line="240" w:lineRule="atLeast"/>
      <w:jc w:val="left"/>
    </w:pPr>
    <w:rPr>
      <w:rFonts w:cs="Arial"/>
      <w:noProof/>
      <w:lang w:val="en-US"/>
    </w:rPr>
  </w:style>
  <w:style w:type="character" w:customStyle="1" w:styleId="EndNoteBibliographyChar">
    <w:name w:val="EndNote Bibliography Char"/>
    <w:basedOn w:val="DefaultParagraphFont"/>
    <w:link w:val="EndNoteBibliography"/>
    <w:rsid w:val="004213A7"/>
    <w:rPr>
      <w:rFonts w:ascii="Arial" w:hAnsi="Arial" w:cs="Arial"/>
      <w:noProof/>
      <w:color w:val="2C2624"/>
      <w:sz w:val="20"/>
      <w:lang w:eastAsia="en-US"/>
    </w:rPr>
  </w:style>
  <w:style w:type="character" w:styleId="FollowedHyperlink">
    <w:name w:val="FollowedHyperlink"/>
    <w:basedOn w:val="DefaultParagraphFont"/>
    <w:uiPriority w:val="99"/>
    <w:semiHidden/>
    <w:unhideWhenUsed/>
    <w:rsid w:val="002239E5"/>
    <w:rPr>
      <w:color w:val="800080" w:themeColor="followedHyperlink"/>
      <w:u w:val="single"/>
    </w:rPr>
  </w:style>
  <w:style w:type="table" w:customStyle="1" w:styleId="TableGrid1">
    <w:name w:val="Table Grid1"/>
    <w:basedOn w:val="TableNormal"/>
    <w:next w:val="TableGrid"/>
    <w:rsid w:val="005A2CE8"/>
    <w:pPr>
      <w:spacing w:before="120"/>
    </w:pPr>
    <w:rPr>
      <w:rFonts w:ascii="Arial" w:eastAsia="MS Mincho" w:hAnsi="Arial"/>
      <w:color w:val="2C2624"/>
      <w:sz w:val="18"/>
      <w:szCs w:val="18"/>
    </w:rPr>
    <w:tblPr/>
    <w:tblStylePr w:type="firstRow">
      <w:rPr>
        <w:rFonts w:ascii="Arial" w:hAnsi="Arial"/>
        <w:b w:val="0"/>
        <w:bCs w:val="0"/>
        <w:i w:val="0"/>
        <w:iCs w:val="0"/>
        <w:color w:val="2C2624"/>
        <w:sz w:val="18"/>
        <w:szCs w:val="18"/>
      </w:rPr>
    </w:tblStylePr>
  </w:style>
  <w:style w:type="paragraph" w:styleId="Caption">
    <w:name w:val="caption"/>
    <w:basedOn w:val="Normal"/>
    <w:next w:val="Normal"/>
    <w:uiPriority w:val="35"/>
    <w:unhideWhenUsed/>
    <w:qFormat/>
    <w:rsid w:val="0084448F"/>
    <w:pPr>
      <w:spacing w:before="0" w:after="200" w:line="240" w:lineRule="auto"/>
    </w:pPr>
    <w:rPr>
      <w:i/>
      <w:iCs/>
      <w:color w:val="241C44" w:themeColor="text2"/>
      <w:sz w:val="18"/>
      <w:szCs w:val="18"/>
    </w:rPr>
  </w:style>
  <w:style w:type="table" w:customStyle="1" w:styleId="TableGrid2">
    <w:name w:val="Table Grid2"/>
    <w:basedOn w:val="TableNormal"/>
    <w:next w:val="TableGrid"/>
    <w:rsid w:val="00CD1DA8"/>
    <w:rPr>
      <w:lang w:val="en-AU" w:eastAsia="en-US"/>
    </w:rPr>
    <w:tblPr/>
    <w:tblStylePr w:type="firstRow">
      <w:tblPr/>
      <w:tcPr>
        <w:shd w:val="clear" w:color="auto" w:fill="62136D"/>
      </w:tcPr>
    </w:tblStylePr>
  </w:style>
  <w:style w:type="table" w:customStyle="1" w:styleId="TableGrid3">
    <w:name w:val="Table Grid3"/>
    <w:basedOn w:val="TableNormal"/>
    <w:next w:val="TableGrid"/>
    <w:rsid w:val="006121C4"/>
    <w:rPr>
      <w:lang w:val="en-AU" w:eastAsia="en-US"/>
    </w:rPr>
    <w:tblPr/>
    <w:tblStylePr w:type="firstRow">
      <w:tblPr/>
      <w:tcPr>
        <w:shd w:val="clear" w:color="auto" w:fill="62136D"/>
      </w:tcPr>
    </w:tblStylePr>
  </w:style>
  <w:style w:type="table" w:customStyle="1" w:styleId="TableGrid4">
    <w:name w:val="Table Grid4"/>
    <w:basedOn w:val="TableNormal"/>
    <w:next w:val="TableGrid"/>
    <w:rsid w:val="00BE45F0"/>
    <w:rPr>
      <w:lang w:val="en-AU" w:eastAsia="en-US"/>
    </w:rPr>
    <w:tblPr/>
    <w:tblStylePr w:type="firstRow">
      <w:tblPr/>
      <w:tcPr>
        <w:shd w:val="clear" w:color="auto" w:fill="62136D"/>
      </w:tcPr>
    </w:tblStylePr>
  </w:style>
  <w:style w:type="table" w:customStyle="1" w:styleId="TableGrid5">
    <w:name w:val="Table Grid5"/>
    <w:basedOn w:val="TableNormal"/>
    <w:next w:val="TableGrid"/>
    <w:rsid w:val="00A20006"/>
    <w:pPr>
      <w:spacing w:before="120"/>
    </w:pPr>
    <w:rPr>
      <w:rFonts w:ascii="Arial" w:hAnsi="Arial"/>
      <w:color w:val="2C2624"/>
      <w:sz w:val="18"/>
      <w:szCs w:val="18"/>
    </w:rPr>
    <w:tblPr/>
    <w:tcPr>
      <w:shd w:val="clear" w:color="auto" w:fill="auto"/>
    </w:tcPr>
    <w:tblStylePr w:type="firstRow">
      <w:rPr>
        <w:rFonts w:ascii="Arial" w:hAnsi="Arial"/>
        <w:b w:val="0"/>
        <w:bCs w:val="0"/>
        <w:i w:val="0"/>
        <w:iCs w:val="0"/>
        <w:color w:val="2C2624"/>
        <w:sz w:val="18"/>
        <w:szCs w:val="18"/>
      </w:rPr>
    </w:tblStylePr>
  </w:style>
  <w:style w:type="table" w:customStyle="1" w:styleId="TableGrid11">
    <w:name w:val="Table Grid11"/>
    <w:basedOn w:val="TableNormal"/>
    <w:next w:val="TableGrid"/>
    <w:rsid w:val="00C52486"/>
    <w:pPr>
      <w:spacing w:before="120"/>
    </w:pPr>
    <w:rPr>
      <w:rFonts w:ascii="Arial" w:hAnsi="Arial"/>
      <w:color w:val="2C2624"/>
      <w:sz w:val="18"/>
      <w:szCs w:val="18"/>
    </w:rPr>
    <w:tblPr/>
    <w:tcPr>
      <w:shd w:val="clear" w:color="auto" w:fill="62136D"/>
    </w:tcPr>
    <w:tblStylePr w:type="firstRow">
      <w:rPr>
        <w:rFonts w:ascii="Arial" w:hAnsi="Arial"/>
        <w:b w:val="0"/>
        <w:bCs w:val="0"/>
        <w:i w:val="0"/>
        <w:iCs w:val="0"/>
        <w:color w:val="2C2624"/>
        <w:sz w:val="18"/>
        <w:szCs w:val="18"/>
      </w:rPr>
    </w:tblStylePr>
  </w:style>
  <w:style w:type="table" w:customStyle="1" w:styleId="TableGrid31">
    <w:name w:val="Table Grid31"/>
    <w:basedOn w:val="TableNormal"/>
    <w:next w:val="TableGrid"/>
    <w:rsid w:val="00101813"/>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2">
    <w:name w:val="Table Grid12"/>
    <w:basedOn w:val="TableNormal"/>
    <w:next w:val="TableGrid"/>
    <w:rsid w:val="00DC6D6F"/>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6">
    <w:name w:val="Table Grid6"/>
    <w:basedOn w:val="TableNormal"/>
    <w:next w:val="TableGrid"/>
    <w:rsid w:val="00C40749"/>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7">
    <w:name w:val="Table Grid7"/>
    <w:basedOn w:val="TableNormal"/>
    <w:next w:val="TableGrid"/>
    <w:rsid w:val="006A684D"/>
    <w:rPr>
      <w:lang w:val="en-AU" w:eastAsia="en-US"/>
    </w:rPr>
    <w:tblPr/>
  </w:style>
  <w:style w:type="character" w:customStyle="1" w:styleId="eop">
    <w:name w:val="eop"/>
    <w:basedOn w:val="DefaultParagraphFont"/>
    <w:rsid w:val="003A076E"/>
  </w:style>
  <w:style w:type="table" w:customStyle="1" w:styleId="TableGrid13">
    <w:name w:val="Table Grid13"/>
    <w:basedOn w:val="TableNormal"/>
    <w:next w:val="TableGrid"/>
    <w:rsid w:val="004246DB"/>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4">
    <w:name w:val="Table Grid14"/>
    <w:basedOn w:val="TableNormal"/>
    <w:next w:val="TableGrid"/>
    <w:rsid w:val="000234A3"/>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5">
    <w:name w:val="Table Grid15"/>
    <w:basedOn w:val="TableNormal"/>
    <w:next w:val="TableGrid"/>
    <w:rsid w:val="0010282F"/>
    <w:pPr>
      <w:spacing w:before="120"/>
    </w:pPr>
    <w:rPr>
      <w:rFonts w:ascii="Arial" w:eastAsia="MS Mincho"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8">
    <w:name w:val="Table Grid8"/>
    <w:basedOn w:val="TableNormal"/>
    <w:next w:val="TableGrid"/>
    <w:rsid w:val="00AE6F03"/>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9">
    <w:name w:val="Table Grid9"/>
    <w:basedOn w:val="TableNormal"/>
    <w:next w:val="TableGrid"/>
    <w:rsid w:val="00181C46"/>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6">
    <w:name w:val="Table Grid16"/>
    <w:basedOn w:val="TableNormal"/>
    <w:next w:val="TableGrid"/>
    <w:rsid w:val="00952AA9"/>
    <w:pPr>
      <w:spacing w:before="120"/>
    </w:pPr>
    <w:rPr>
      <w:rFonts w:ascii="Arial" w:eastAsia="MS Mincho"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0">
    <w:name w:val="Table Grid10"/>
    <w:basedOn w:val="TableNormal"/>
    <w:next w:val="TableGrid"/>
    <w:rsid w:val="007E5869"/>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7">
    <w:name w:val="Table Grid17"/>
    <w:basedOn w:val="TableNormal"/>
    <w:next w:val="TableGrid"/>
    <w:rsid w:val="008E76CC"/>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8">
    <w:name w:val="Table Grid18"/>
    <w:basedOn w:val="TableNormal"/>
    <w:next w:val="TableGrid"/>
    <w:rsid w:val="008C70D8"/>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9">
    <w:name w:val="Table Grid19"/>
    <w:basedOn w:val="TableNormal"/>
    <w:next w:val="TableGrid"/>
    <w:rsid w:val="00EA3680"/>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styleId="ListTable3-Accent2">
    <w:name w:val="List Table 3 Accent 2"/>
    <w:basedOn w:val="TableNormal"/>
    <w:uiPriority w:val="48"/>
    <w:rsid w:val="009C7235"/>
    <w:tblPr>
      <w:tblStyleRowBandSize w:val="1"/>
      <w:tblStyleColBandSize w:val="1"/>
      <w:tblBorders>
        <w:top w:val="single" w:sz="4" w:space="0" w:color="62136D" w:themeColor="accent2"/>
        <w:left w:val="single" w:sz="4" w:space="0" w:color="62136D" w:themeColor="accent2"/>
        <w:bottom w:val="single" w:sz="4" w:space="0" w:color="62136D" w:themeColor="accent2"/>
        <w:right w:val="single" w:sz="4" w:space="0" w:color="62136D" w:themeColor="accent2"/>
      </w:tblBorders>
    </w:tblPr>
    <w:tblStylePr w:type="firstRow">
      <w:rPr>
        <w:b/>
        <w:bCs/>
        <w:color w:val="FFFFFF" w:themeColor="background1"/>
      </w:rPr>
      <w:tblPr/>
      <w:tcPr>
        <w:shd w:val="clear" w:color="auto" w:fill="62136D" w:themeFill="accent2"/>
      </w:tcPr>
    </w:tblStylePr>
    <w:tblStylePr w:type="lastRow">
      <w:rPr>
        <w:b/>
        <w:bCs/>
      </w:rPr>
      <w:tblPr/>
      <w:tcPr>
        <w:tcBorders>
          <w:top w:val="double" w:sz="4" w:space="0" w:color="62136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136D" w:themeColor="accent2"/>
          <w:right w:val="single" w:sz="4" w:space="0" w:color="62136D" w:themeColor="accent2"/>
        </w:tcBorders>
      </w:tcPr>
    </w:tblStylePr>
    <w:tblStylePr w:type="band1Horz">
      <w:tblPr/>
      <w:tcPr>
        <w:tcBorders>
          <w:top w:val="single" w:sz="4" w:space="0" w:color="62136D" w:themeColor="accent2"/>
          <w:bottom w:val="single" w:sz="4" w:space="0" w:color="62136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136D" w:themeColor="accent2"/>
          <w:left w:val="nil"/>
        </w:tcBorders>
      </w:tcPr>
    </w:tblStylePr>
    <w:tblStylePr w:type="swCell">
      <w:tblPr/>
      <w:tcPr>
        <w:tcBorders>
          <w:top w:val="double" w:sz="4" w:space="0" w:color="62136D" w:themeColor="accent2"/>
          <w:right w:val="nil"/>
        </w:tcBorders>
      </w:tcPr>
    </w:tblStylePr>
  </w:style>
  <w:style w:type="table" w:customStyle="1" w:styleId="TableGrid20">
    <w:name w:val="Table Grid20"/>
    <w:basedOn w:val="TableNormal"/>
    <w:next w:val="TableGrid"/>
    <w:rsid w:val="00504E8E"/>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1">
    <w:name w:val="Table Grid21"/>
    <w:basedOn w:val="TableNormal"/>
    <w:next w:val="TableGrid"/>
    <w:rsid w:val="00D65595"/>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2">
    <w:name w:val="Table Grid22"/>
    <w:basedOn w:val="TableNormal"/>
    <w:next w:val="TableGrid"/>
    <w:rsid w:val="00851007"/>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character" w:customStyle="1" w:styleId="Heading6Char">
    <w:name w:val="Heading 6 Char"/>
    <w:basedOn w:val="DefaultParagraphFont"/>
    <w:link w:val="Heading6"/>
    <w:uiPriority w:val="9"/>
    <w:rsid w:val="009A43E1"/>
    <w:rPr>
      <w:rFonts w:asciiTheme="majorHAnsi" w:eastAsiaTheme="majorEastAsia" w:hAnsiTheme="majorHAnsi" w:cstheme="majorBidi"/>
      <w:color w:val="760636" w:themeColor="accent1" w:themeShade="7F"/>
      <w:sz w:val="20"/>
      <w:lang w:val="en-AU" w:eastAsia="en-US"/>
    </w:rPr>
  </w:style>
  <w:style w:type="table" w:customStyle="1" w:styleId="TableGrid23">
    <w:name w:val="Table Grid23"/>
    <w:basedOn w:val="TableNormal"/>
    <w:next w:val="TableGrid"/>
    <w:rsid w:val="0022516B"/>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4">
    <w:name w:val="Table Grid24"/>
    <w:basedOn w:val="TableNormal"/>
    <w:next w:val="TableGrid"/>
    <w:rsid w:val="00B1719E"/>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5">
    <w:name w:val="Table Grid25"/>
    <w:basedOn w:val="TableNormal"/>
    <w:next w:val="TableGrid"/>
    <w:rsid w:val="002C3916"/>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6">
    <w:name w:val="Table Grid26"/>
    <w:basedOn w:val="TableNormal"/>
    <w:next w:val="TableGrid"/>
    <w:rsid w:val="00A0169F"/>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27">
    <w:name w:val="Table Grid27"/>
    <w:basedOn w:val="TableNormal"/>
    <w:next w:val="TableGrid"/>
    <w:rsid w:val="00082E25"/>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28">
    <w:name w:val="Table Grid28"/>
    <w:basedOn w:val="TableNormal"/>
    <w:next w:val="TableGrid"/>
    <w:rsid w:val="002105DF"/>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29">
    <w:name w:val="Table Grid29"/>
    <w:basedOn w:val="TableNormal"/>
    <w:next w:val="TableGrid"/>
    <w:rsid w:val="003E6BE5"/>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10">
    <w:name w:val="Table Grid110"/>
    <w:basedOn w:val="TableNormal"/>
    <w:next w:val="TableGrid"/>
    <w:rsid w:val="00007378"/>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30">
    <w:name w:val="Table Grid30"/>
    <w:basedOn w:val="TableNormal"/>
    <w:next w:val="TableGrid"/>
    <w:rsid w:val="00A738C1"/>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32">
    <w:name w:val="Table Grid32"/>
    <w:basedOn w:val="TableNormal"/>
    <w:next w:val="TableGrid"/>
    <w:rsid w:val="005A7254"/>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111">
    <w:name w:val="Table Grid111"/>
    <w:basedOn w:val="TableNormal"/>
    <w:next w:val="TableGrid"/>
    <w:rsid w:val="00FC5BF8"/>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210">
    <w:name w:val="Table Grid210"/>
    <w:basedOn w:val="TableNormal"/>
    <w:next w:val="TableGrid"/>
    <w:rsid w:val="00007F85"/>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41">
    <w:name w:val="Table Grid41"/>
    <w:basedOn w:val="TableNormal"/>
    <w:next w:val="TableGrid"/>
    <w:rsid w:val="009F16DF"/>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33">
    <w:name w:val="Table Grid33"/>
    <w:basedOn w:val="TableNormal"/>
    <w:next w:val="TableGrid"/>
    <w:rsid w:val="00FE13AA"/>
    <w:rPr>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E15A21"/>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character" w:customStyle="1" w:styleId="Heading2Char">
    <w:name w:val="Heading 2 Char"/>
    <w:basedOn w:val="DefaultParagraphFont"/>
    <w:link w:val="Heading2"/>
    <w:rsid w:val="00D63149"/>
    <w:rPr>
      <w:rFonts w:ascii="Arial" w:hAnsi="Arial" w:cs="Arial"/>
      <w:color w:val="671565"/>
      <w:kern w:val="32"/>
      <w:sz w:val="38"/>
      <w:szCs w:val="38"/>
      <w:lang w:val="en-AU" w:eastAsia="en-US"/>
    </w:rPr>
  </w:style>
  <w:style w:type="table" w:customStyle="1" w:styleId="TableGrid34">
    <w:name w:val="Table Grid34"/>
    <w:basedOn w:val="TableNormal"/>
    <w:next w:val="TableGrid"/>
    <w:rsid w:val="00706C77"/>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13">
    <w:name w:val="Table Grid113"/>
    <w:basedOn w:val="TableNormal"/>
    <w:next w:val="TableGrid"/>
    <w:rsid w:val="00487B55"/>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11">
    <w:name w:val="Table Grid211"/>
    <w:basedOn w:val="TableNormal"/>
    <w:next w:val="TableGrid"/>
    <w:rsid w:val="005325E1"/>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styleId="TableGridLight">
    <w:name w:val="Grid Table Light"/>
    <w:basedOn w:val="TableNormal"/>
    <w:uiPriority w:val="40"/>
    <w:rsid w:val="00A52A20"/>
    <w:tblPr/>
  </w:style>
  <w:style w:type="table" w:customStyle="1" w:styleId="TableGrid35">
    <w:name w:val="Table Grid35"/>
    <w:basedOn w:val="TableNormal"/>
    <w:next w:val="TableGrid"/>
    <w:rsid w:val="00A234B7"/>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36">
    <w:name w:val="Table Grid36"/>
    <w:basedOn w:val="TableNormal"/>
    <w:next w:val="TableGrid"/>
    <w:rsid w:val="00BE7A8A"/>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212">
    <w:name w:val="Table Grid212"/>
    <w:basedOn w:val="TableNormal"/>
    <w:next w:val="TableGrid"/>
    <w:rsid w:val="007C1ABB"/>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37">
    <w:name w:val="Table Grid37"/>
    <w:basedOn w:val="TableNormal"/>
    <w:next w:val="TableGrid"/>
    <w:rsid w:val="00D02FFD"/>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38">
    <w:name w:val="Table Grid38"/>
    <w:basedOn w:val="TableNormal"/>
    <w:next w:val="TableGrid"/>
    <w:rsid w:val="00274F3D"/>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39">
    <w:name w:val="Table Grid39"/>
    <w:basedOn w:val="TableNormal"/>
    <w:next w:val="TableGrid"/>
    <w:rsid w:val="00457488"/>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0">
    <w:name w:val="Table Grid40"/>
    <w:basedOn w:val="TableNormal"/>
    <w:next w:val="TableGrid"/>
    <w:rsid w:val="00856595"/>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2">
    <w:name w:val="Table Grid42"/>
    <w:basedOn w:val="TableNormal"/>
    <w:next w:val="TableGrid"/>
    <w:rsid w:val="00361D8C"/>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3">
    <w:name w:val="Table Grid43"/>
    <w:basedOn w:val="TableNormal"/>
    <w:next w:val="TableGrid"/>
    <w:rsid w:val="00FC4EE7"/>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4">
    <w:name w:val="Table Grid44"/>
    <w:basedOn w:val="TableNormal"/>
    <w:next w:val="TableGrid"/>
    <w:rsid w:val="006F46F1"/>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5">
    <w:name w:val="Table Grid45"/>
    <w:basedOn w:val="TableNormal"/>
    <w:next w:val="TableGrid"/>
    <w:rsid w:val="00054898"/>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46">
    <w:name w:val="Table Grid46"/>
    <w:basedOn w:val="TableNormal"/>
    <w:next w:val="TableGrid"/>
    <w:rsid w:val="002537A6"/>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47">
    <w:name w:val="Table Grid47"/>
    <w:basedOn w:val="TableNormal"/>
    <w:next w:val="TableGrid"/>
    <w:rsid w:val="00F368D1"/>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paragraph" w:styleId="TOCHeading">
    <w:name w:val="TOC Heading"/>
    <w:basedOn w:val="Heading1"/>
    <w:next w:val="Normal"/>
    <w:uiPriority w:val="39"/>
    <w:unhideWhenUsed/>
    <w:qFormat/>
    <w:rsid w:val="00D565DA"/>
    <w:pPr>
      <w:suppressAutoHyphens w:val="0"/>
      <w:spacing w:before="240" w:after="0" w:line="259" w:lineRule="auto"/>
      <w:outlineLvl w:val="9"/>
    </w:pPr>
    <w:rPr>
      <w:rFonts w:asciiTheme="majorHAnsi" w:eastAsiaTheme="majorEastAsia" w:hAnsiTheme="majorHAnsi" w:cstheme="majorBidi"/>
      <w:color w:val="B10952" w:themeColor="accent1" w:themeShade="BF"/>
      <w:kern w:val="0"/>
      <w:sz w:val="32"/>
      <w:szCs w:val="32"/>
      <w:lang w:val="en-US"/>
    </w:rPr>
  </w:style>
  <w:style w:type="table" w:customStyle="1" w:styleId="TableGrid114">
    <w:name w:val="Table Grid114"/>
    <w:basedOn w:val="TableNormal"/>
    <w:next w:val="TableGrid"/>
    <w:rsid w:val="00680851"/>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15">
    <w:name w:val="Table Grid115"/>
    <w:basedOn w:val="TableNormal"/>
    <w:next w:val="TableGrid"/>
    <w:rsid w:val="00221E7F"/>
    <w:pPr>
      <w:spacing w:before="120"/>
    </w:pPr>
    <w:rPr>
      <w:rFonts w:ascii="Arial" w:hAnsi="Arial"/>
      <w:color w:val="2C2624"/>
      <w:sz w:val="18"/>
      <w:szCs w:val="18"/>
    </w:rPr>
    <w:tblPr/>
    <w:tcPr>
      <w:shd w:val="clear" w:color="auto" w:fill="62136D"/>
    </w:tcPr>
    <w:tblStylePr w:type="firstRow">
      <w:rPr>
        <w:rFonts w:ascii="Arial" w:hAnsi="Arial"/>
        <w:b w:val="0"/>
        <w:bCs w:val="0"/>
        <w:i w:val="0"/>
        <w:iCs w:val="0"/>
        <w:color w:val="2C2624"/>
        <w:sz w:val="18"/>
        <w:szCs w:val="18"/>
      </w:rPr>
    </w:tblStylePr>
  </w:style>
  <w:style w:type="table" w:customStyle="1" w:styleId="TableGrid116">
    <w:name w:val="Table Grid116"/>
    <w:basedOn w:val="TableNormal"/>
    <w:next w:val="TableGrid"/>
    <w:rsid w:val="00747778"/>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table" w:customStyle="1" w:styleId="TableGrid117">
    <w:name w:val="Table Grid117"/>
    <w:basedOn w:val="TableNormal"/>
    <w:next w:val="TableGrid"/>
    <w:rsid w:val="00256172"/>
    <w:pPr>
      <w:spacing w:before="120"/>
    </w:pPr>
    <w:rPr>
      <w:rFonts w:ascii="Arial" w:hAnsi="Arial"/>
      <w:color w:val="2C2624"/>
      <w:sz w:val="18"/>
      <w:szCs w:val="18"/>
    </w:rPr>
    <w:tblPr/>
    <w:tblStylePr w:type="firstRow">
      <w:rPr>
        <w:rFonts w:ascii="Arial" w:hAnsi="Arial"/>
        <w:b w:val="0"/>
        <w:bCs w:val="0"/>
        <w:i w:val="0"/>
        <w:iCs w:val="0"/>
        <w:color w:val="2C2624"/>
        <w:sz w:val="18"/>
        <w:szCs w:val="18"/>
      </w:rPr>
    </w:tblStylePr>
  </w:style>
  <w:style w:type="character" w:customStyle="1" w:styleId="Heading1Char">
    <w:name w:val="Heading 1 Char"/>
    <w:basedOn w:val="DefaultParagraphFont"/>
    <w:link w:val="Heading1"/>
    <w:rsid w:val="004B44D7"/>
    <w:rPr>
      <w:rFonts w:ascii="Arial" w:hAnsi="Arial" w:cs="Arial"/>
      <w:color w:val="B1004D"/>
      <w:kern w:val="32"/>
      <w:sz w:val="44"/>
      <w:lang w:val="en-AU" w:eastAsia="en-US"/>
    </w:rPr>
  </w:style>
  <w:style w:type="paragraph" w:customStyle="1" w:styleId="Default">
    <w:name w:val="Default"/>
    <w:rsid w:val="00F20BDE"/>
    <w:pPr>
      <w:autoSpaceDE w:val="0"/>
      <w:autoSpaceDN w:val="0"/>
      <w:adjustRightInd w:val="0"/>
    </w:pPr>
    <w:rPr>
      <w:rFonts w:ascii="Arial" w:hAnsi="Arial" w:cs="Arial"/>
      <w:color w:val="000000"/>
      <w:lang w:val="en-AU"/>
    </w:rPr>
  </w:style>
  <w:style w:type="table" w:customStyle="1" w:styleId="DPSTableGrid1">
    <w:name w:val="DPS Table Grid1"/>
    <w:basedOn w:val="TableNormal"/>
    <w:next w:val="TableGrid"/>
    <w:rsid w:val="0054015F"/>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TableGrid48">
    <w:name w:val="Table Grid48"/>
    <w:basedOn w:val="TableNormal"/>
    <w:next w:val="TableGrid"/>
    <w:rsid w:val="008713AD"/>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TableGrid49">
    <w:name w:val="Table Grid49"/>
    <w:basedOn w:val="TableNormal"/>
    <w:next w:val="TableGrid"/>
    <w:rsid w:val="005174A0"/>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TableGrid50">
    <w:name w:val="Table Grid50"/>
    <w:basedOn w:val="TableNormal"/>
    <w:next w:val="TableGrid"/>
    <w:rsid w:val="00246C48"/>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TableGrid51">
    <w:name w:val="Table Grid51"/>
    <w:basedOn w:val="TableNormal"/>
    <w:next w:val="TableGrid"/>
    <w:rsid w:val="00EC0673"/>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TableGrid52">
    <w:name w:val="Table Grid52"/>
    <w:basedOn w:val="TableNormal"/>
    <w:next w:val="TableGrid"/>
    <w:rsid w:val="00880DEA"/>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table" w:customStyle="1" w:styleId="DPSTableGrid2">
    <w:name w:val="DPS Table Grid2"/>
    <w:basedOn w:val="TableNormal"/>
    <w:next w:val="TableGrid"/>
    <w:uiPriority w:val="39"/>
    <w:rsid w:val="00EF63F5"/>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53">
    <w:name w:val="Table Grid53"/>
    <w:basedOn w:val="TableNormal"/>
    <w:next w:val="TableGrid"/>
    <w:rsid w:val="007275C6"/>
    <w:pPr>
      <w:spacing w:before="120"/>
    </w:pPr>
    <w:rPr>
      <w:rFonts w:ascii="Arial" w:hAnsi="Arial"/>
      <w:color w:val="2C2624"/>
      <w:sz w:val="18"/>
      <w:szCs w:val="18"/>
    </w:rPr>
    <w:tblPr>
      <w:tblBorders>
        <w:top w:val="single" w:sz="2" w:space="0" w:color="auto"/>
        <w:bottom w:val="single" w:sz="2" w:space="0" w:color="auto"/>
        <w:insideH w:val="single" w:sz="2" w:space="0" w:color="auto"/>
      </w:tblBorders>
    </w:tblPr>
    <w:trPr>
      <w:cantSplit/>
    </w:trPr>
    <w:tblStylePr w:type="firstRow">
      <w:rPr>
        <w:rFonts w:ascii="Arial" w:hAnsi="Arial"/>
        <w:b w:val="0"/>
        <w:bCs w:val="0"/>
        <w:i w:val="0"/>
        <w:iCs w:val="0"/>
        <w:color w:val="2C2624"/>
        <w:sz w:val="18"/>
        <w:szCs w:val="18"/>
      </w:rPr>
      <w:tblPr/>
      <w:tcPr>
        <w:shd w:val="clear" w:color="auto" w:fill="62136D"/>
      </w:tcPr>
    </w:tblStylePr>
  </w:style>
  <w:style w:type="table" w:customStyle="1" w:styleId="TableGrid54">
    <w:name w:val="Table Grid54"/>
    <w:basedOn w:val="TableNormal"/>
    <w:next w:val="TableGrid"/>
    <w:rsid w:val="004820C0"/>
    <w:pPr>
      <w:spacing w:before="120"/>
    </w:pPr>
    <w:rPr>
      <w:rFonts w:ascii="Arial" w:hAnsi="Arial"/>
      <w:color w:val="2C2624"/>
      <w:sz w:val="18"/>
      <w:szCs w:val="18"/>
    </w:rPr>
    <w:tblPr>
      <w:tblBorders>
        <w:top w:val="single" w:sz="4" w:space="0" w:color="auto"/>
        <w:bottom w:val="single" w:sz="4" w:space="0" w:color="auto"/>
        <w:insideH w:val="single" w:sz="4" w:space="0" w:color="auto"/>
      </w:tblBorders>
    </w:tblPr>
    <w:trPr>
      <w:cantSplit/>
    </w:trPr>
    <w:tcPr>
      <w:shd w:val="clear" w:color="auto" w:fill="FFFFFF" w:themeFill="background1"/>
    </w:tcPr>
    <w:tblStylePr w:type="firstRow">
      <w:rPr>
        <w:rFonts w:ascii="Arial" w:hAnsi="Arial"/>
        <w:b w:val="0"/>
        <w:bCs w:val="0"/>
        <w:i w:val="0"/>
        <w:iCs w:val="0"/>
        <w:color w:val="2C2624"/>
        <w:sz w:val="18"/>
        <w:szCs w:val="18"/>
      </w:rPr>
      <w:tblPr/>
      <w:tcPr>
        <w:shd w:val="clear" w:color="auto" w:fill="62136D" w:themeFill="accent2"/>
      </w:tcPr>
    </w:tblStylePr>
  </w:style>
  <w:style w:type="paragraph" w:styleId="NormalWeb">
    <w:name w:val="Normal (Web)"/>
    <w:basedOn w:val="Normal"/>
    <w:uiPriority w:val="99"/>
    <w:semiHidden/>
    <w:unhideWhenUsed/>
    <w:rsid w:val="001459D0"/>
    <w:pPr>
      <w:suppressAutoHyphens w:val="0"/>
      <w:spacing w:before="100" w:beforeAutospacing="1" w:after="100" w:afterAutospacing="1" w:line="240" w:lineRule="auto"/>
      <w:jc w:val="left"/>
    </w:pPr>
    <w:rPr>
      <w:rFonts w:ascii="Times New Roman" w:eastAsia="Times New Roman" w:hAnsi="Times New Roman"/>
      <w:color w:val="auto"/>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ss.gov.au/sites/default/files/documents/11_2022/guidance-factsheet-consistent-gambling-messaging-implmentation-factsheet.pdf" TargetMode="External"/><Relationship Id="rId21" Type="http://schemas.openxmlformats.org/officeDocument/2006/relationships/chart" Target="charts/chart1.xml"/><Relationship Id="rId42" Type="http://schemas.openxmlformats.org/officeDocument/2006/relationships/hyperlink" Target="https://www.health.gov.au/topics/smoking-vaping-and-tobacco/tobacco-control/health-warnings" TargetMode="External"/><Relationship Id="rId47" Type="http://schemas.openxmlformats.org/officeDocument/2006/relationships/hyperlink" Target="https://www.financialcounsellingaustralia.org.au/fca-content/uploads/2023/07/Final-FCAsubmission_SPLCInquiryOnlineGambling_Final-22-March-2023.pdf" TargetMode="External"/><Relationship Id="rId63" Type="http://schemas.openxmlformats.org/officeDocument/2006/relationships/hyperlink" Target="https://aifs.gov.au/sites/default/files/2025-11/2511-AGRC-Understanding-Betstop-review.pdf" TargetMode="External"/><Relationship Id="rId68" Type="http://schemas.openxmlformats.org/officeDocument/2006/relationships/hyperlink" Target="http://www.gamblingcommission.gov.uk/guidance/regulatory-returns-guidance/rr-guidance-family-entertainment-centre-operational-information" TargetMode="External"/><Relationship Id="rId84" Type="http://schemas.openxmlformats.org/officeDocument/2006/relationships/hyperlink" Target="https://www.dss.gov.au/system/files/documents/2024-11/consistent-gambling-messaging-supplementary-fact-sheet-definitions.pdf" TargetMode="Externa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chart" Target="charts/chart3.xml"/><Relationship Id="rId37" Type="http://schemas.openxmlformats.org/officeDocument/2006/relationships/image" Target="media/image6.png"/><Relationship Id="rId53" Type="http://schemas.openxmlformats.org/officeDocument/2006/relationships/hyperlink" Target="http://www.nsw.gov.au/business-and-economy/liquor-and-gaming/news/government-warns-industry-about-going-quiet-on-gambling-harm-messaging-tv-ads" TargetMode="External"/><Relationship Id="rId58" Type="http://schemas.openxmlformats.org/officeDocument/2006/relationships/hyperlink" Target="https://www.publications.qld.gov.au/ckan-publications-attachments-prod/resources/50ba6699-7699-483b-bc27-ee737698a667/queensland-gambling-survey-2023-final-report.pdf?ETag=d597678c1f1a0d325a1a3b6dc6eca6d9" TargetMode="External"/><Relationship Id="rId74" Type="http://schemas.openxmlformats.org/officeDocument/2006/relationships/hyperlink" Target="https://www.gazette.vic.gov.au/gazette/Gazettes2022/GG2022S349.pdf" TargetMode="External"/><Relationship Id="rId79" Type="http://schemas.openxmlformats.org/officeDocument/2006/relationships/hyperlink" Target="https://www.gazette.vic.gov.au/gazette/Gazettes2023/GG2023S137.pdf" TargetMode="External"/><Relationship Id="rId5" Type="http://schemas.openxmlformats.org/officeDocument/2006/relationships/webSettings" Target="webSettings.xml"/><Relationship Id="rId19" Type="http://schemas.openxmlformats.org/officeDocument/2006/relationships/hyperlink" Target="https://www.qgso.qld.gov.au/issues/2646/australian-gambling-statistics-40th-edn-1998-99-2023-24-explanatory-notes.pdf" TargetMode="External"/><Relationship Id="rId14" Type="http://schemas.openxmlformats.org/officeDocument/2006/relationships/hyperlink" Target="https://www.gamblinghelponline.org.au/" TargetMode="External"/><Relationship Id="rId22" Type="http://schemas.openxmlformats.org/officeDocument/2006/relationships/hyperlink" Target="https://www.legislation.gov.au/Details/C2017A00085" TargetMode="External"/><Relationship Id="rId27" Type="http://schemas.openxmlformats.org/officeDocument/2006/relationships/hyperlink" Target="https://www.liquorandgaming.nsw.gov.au/__data/assets/pdf_file/0008/1128536/commonwealth-cgm-measure-faqs.pdf" TargetMode="External"/><Relationship Id="rId30" Type="http://schemas.openxmlformats.org/officeDocument/2006/relationships/hyperlink" Target="https://www.legislation.gov.au/Details/C2022C00063" TargetMode="External"/><Relationship Id="rId35" Type="http://schemas.openxmlformats.org/officeDocument/2006/relationships/image" Target="media/image5.png"/><Relationship Id="rId43" Type="http://schemas.openxmlformats.org/officeDocument/2006/relationships/hyperlink" Target="https://oia.pmc.gov.au/sites/default/files/posts/2018/11/3_coag_decision_ris.pdf" TargetMode="External"/><Relationship Id="rId48" Type="http://schemas.openxmlformats.org/officeDocument/2006/relationships/hyperlink" Target="http://www.dss.gov.au/system/files/resources/phase-i-dss-gambling-messaging-development-publishable-hall-and-partners-report-2021.pdf" TargetMode="External"/><Relationship Id="rId56" Type="http://schemas.openxmlformats.org/officeDocument/2006/relationships/hyperlink" Target="http://www.nicc.nsw.gov.au/news-and-media-releases/australian-casino-regulators-gather-for-first-forum" TargetMode="External"/><Relationship Id="rId64" Type="http://schemas.openxmlformats.org/officeDocument/2006/relationships/hyperlink" Target="http://www.cbs.sa.gov.au/documents/gambling_administration_guidelines.pdf" TargetMode="External"/><Relationship Id="rId69" Type="http://schemas.openxmlformats.org/officeDocument/2006/relationships/hyperlink" Target="https://aifsau.sharepoint.com/sites/agrc-team/Shared%20Documents/NCPF/NCPF_Evaluation/3.%20Phase%201_PIR%20&amp;%20process%20evaluation/6.%20Report/Slim/www.gazette.vic.gov.au/gazette/Gazettes2022/GG2022S349.pdf" TargetMode="External"/><Relationship Id="rId77" Type="http://schemas.openxmlformats.org/officeDocument/2006/relationships/hyperlink" Target="https://www.gazette.vic.gov.au/gazette/Gazettes2023/GG2023S137.pdf" TargetMode="External"/><Relationship Id="rId8" Type="http://schemas.openxmlformats.org/officeDocument/2006/relationships/image" Target="media/image1.png"/><Relationship Id="rId51" Type="http://schemas.openxmlformats.org/officeDocument/2006/relationships/hyperlink" Target="http://www.aph.gov.au/Parliamentary_Business/Committees/House/Social_Policy_and_Legal_Affairs/Onlinegamblingimpacts/Report" TargetMode="External"/><Relationship Id="rId72" Type="http://schemas.openxmlformats.org/officeDocument/2006/relationships/image" Target="media/image7.png"/><Relationship Id="rId80" Type="http://schemas.openxmlformats.org/officeDocument/2006/relationships/hyperlink" Target="https://www.gazette.vic.gov.au/gazette/Gazettes2022/GG2022S349.pdf"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yperlink" Target="https://www.dss.gov.au/communities-and-vulnerable-people-programs-services-gambling-information-for-online-wagering-providers/activity-statements" TargetMode="External"/><Relationship Id="rId33" Type="http://schemas.openxmlformats.org/officeDocument/2006/relationships/chart" Target="charts/chart4.xml"/><Relationship Id="rId38" Type="http://schemas.openxmlformats.org/officeDocument/2006/relationships/hyperlink" Target="https://aifsau.sharepoint.com/sites/agrc-team/Shared%20Documents/NCPF/NCPF_Evaluation/3.%20Phase%201_PIR%20&amp;%20process%20evaluation/6.%20Report/www.aph.gov.au/-/media/Estimates/ec/bud2627/27526__Proof_Hansard__EC_BE20267.pdf" TargetMode="External"/><Relationship Id="rId46" Type="http://schemas.openxmlformats.org/officeDocument/2006/relationships/hyperlink" Target="http://www.dss.gov.au/system/files/documents/2024-11/consistent-gambling-messaging-factsheet-frequently-asked-questions_0.pdf" TargetMode="External"/><Relationship Id="rId59" Type="http://schemas.openxmlformats.org/officeDocument/2006/relationships/hyperlink" Target="http://www.qgso.qld.gov.au/statistics/theme/society/gambling/australian-gambling-statistics" TargetMode="External"/><Relationship Id="rId67" Type="http://schemas.openxmlformats.org/officeDocument/2006/relationships/hyperlink" Target="http://www.gamblingcommission.gov.uk/report/illegal-online-gambling-challenges-of-estimating-the-size-of-the-illegal" TargetMode="External"/><Relationship Id="rId20" Type="http://schemas.openxmlformats.org/officeDocument/2006/relationships/hyperlink" Target="https://www.qgso.qld.gov.au/issues/2646/australian-gambling-statistics-40th-edn-1998-99-2023-24.pdf" TargetMode="External"/><Relationship Id="rId41" Type="http://schemas.openxmlformats.org/officeDocument/2006/relationships/hyperlink" Target="https://www.gambleaware.nsw.gov.au/resources-and-education/check-out-our-research/published-research/nsw-gambling-survey-2024" TargetMode="External"/><Relationship Id="rId54" Type="http://schemas.openxmlformats.org/officeDocument/2006/relationships/hyperlink" Target="http://www.nsw.gov.au/business-and-economy/liquor-and-gaming/gaming/wagering-regulation/gambling-advertising" TargetMode="External"/><Relationship Id="rId62" Type="http://schemas.openxmlformats.org/officeDocument/2006/relationships/hyperlink" Target="http://www.gamblingandracing.act.gov.au/__data/assets/pdf_file/0012/2861796/2024-ACT-Gambling-Survey.pdf" TargetMode="External"/><Relationship Id="rId70" Type="http://schemas.openxmlformats.org/officeDocument/2006/relationships/hyperlink" Target="https://aifsau.sharepoint.com/sites/agrc-team/Shared%20Documents/NCPF/NCPF_Evaluation/3.%20Phase%201_PIR%20&amp;%20process%20evaluation/6.%20Report/Slim/www.vgccc.vic.gov.au/sites/default/files/2024-12/NCPF-VGCCC-Expectations.pdf" TargetMode="External"/><Relationship Id="rId75" Type="http://schemas.openxmlformats.org/officeDocument/2006/relationships/hyperlink" Target="https://www.gazette.vic.gov.au/gazette/Gazettes2023/GG2023S137.pdf" TargetMode="External"/><Relationship Id="rId83" Type="http://schemas.openxmlformats.org/officeDocument/2006/relationships/hyperlink" Target="https://www.dss.gov.au/system/files/documents/2024-11/consistent-gambling-messaging-factsheet-frequently-asked-questions_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legislation.gov.au/Details/C2017A00085" TargetMode="External"/><Relationship Id="rId28" Type="http://schemas.openxmlformats.org/officeDocument/2006/relationships/hyperlink" Target="https://www.dss.gov.au/communities-and-vulnerable-people-programs-services-gambling-information-for-online-wagering-providers/staff-training" TargetMode="External"/><Relationship Id="rId36" Type="http://schemas.openxmlformats.org/officeDocument/2006/relationships/header" Target="header5.xml"/><Relationship Id="rId49" Type="http://schemas.openxmlformats.org/officeDocument/2006/relationships/hyperlink" Target="http://www.dss.gov.au/system/files/resources/phase-ii-dss-gambling-tagline-testing-and-implementation-publishable-hall-and-partners-report-2022.pdf" TargetMode="External"/><Relationship Id="rId57" Type="http://schemas.openxmlformats.org/officeDocument/2006/relationships/hyperlink" Target="https://aifsau.sharepoint.com/sites/agrc-team/Shared%20Documents/NCPF/NCPF_Evaluation/3.%20Phase%201_PIR%20&amp;%20process%20evaluation/6.%20Report/oia.pmc.gov.au/resources/guidance-impact-analysis/australian-government-guide-policy-impact-analysis" TargetMode="External"/><Relationship Id="rId10" Type="http://schemas.openxmlformats.org/officeDocument/2006/relationships/header" Target="header2.xml"/><Relationship Id="rId31" Type="http://schemas.openxmlformats.org/officeDocument/2006/relationships/chart" Target="charts/chart2.xml"/><Relationship Id="rId44" Type="http://schemas.openxmlformats.org/officeDocument/2006/relationships/hyperlink" Target="http://www.dss.gov.au/system/files/resources/consistent-gambling-messaging-implementation-factsheet_0.pdf" TargetMode="External"/><Relationship Id="rId52" Type="http://schemas.openxmlformats.org/officeDocument/2006/relationships/hyperlink" Target="https://aifsau.sharepoint.com/sites/agrc-team/Shared%20Documents/NCPF/NCPF_Evaluation/3.%20Phase%201_PIR%20&amp;%20process%20evaluation/6.%20Report/act.ipaa.org.au/spirit-of-service-award-winners-2023" TargetMode="External"/><Relationship Id="rId60" Type="http://schemas.openxmlformats.org/officeDocument/2006/relationships/hyperlink" Target="https://responsiblewagering.com.au/wp-content/uploads/2025/11/H2-report-final-2.pdf" TargetMode="External"/><Relationship Id="rId65" Type="http://schemas.openxmlformats.org/officeDocument/2006/relationships/hyperlink" Target="https://dth.nt.gov.au/media/docs/publications/racing-gaming-and-licensing/gambling-research/2023-gambling-prevalance-and-wellbeing-report.pdf" TargetMode="External"/><Relationship Id="rId73" Type="http://schemas.openxmlformats.org/officeDocument/2006/relationships/image" Target="media/image8.png"/><Relationship Id="rId78" Type="http://schemas.openxmlformats.org/officeDocument/2006/relationships/hyperlink" Target="https://www.gazette.vic.gov.au/gazette/Gazettes2022/GG2022S349.pdf" TargetMode="External"/><Relationship Id="rId81" Type="http://schemas.openxmlformats.org/officeDocument/2006/relationships/hyperlink" Target="https://www.gazette.vic.gov.au/gazette/Gazettes2023/GG2023S137.pdf"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hyperlink" Target="https://www.acma.gov.au/sites/default/files/2025-03/Cost%20recovery%20implementation%20statement%20-%20National%20Self-Exclusion%20Register%202024-25.pdf" TargetMode="External"/><Relationship Id="rId34" Type="http://schemas.openxmlformats.org/officeDocument/2006/relationships/chart" Target="charts/chart5.xml"/><Relationship Id="rId50" Type="http://schemas.openxmlformats.org/officeDocument/2006/relationships/hyperlink" Target="http://www.gamblingresearch.org.au/publications/second-national-study-interactive-gambling-australia-2019-20" TargetMode="External"/><Relationship Id="rId55" Type="http://schemas.openxmlformats.org/officeDocument/2006/relationships/hyperlink" Target="https://aifsau.sharepoint.com/sites/agrc-team/Shared%20Documents/NCPF/NCPF_Evaluation/3.%20Phase%201_PIR%20&amp;%20process%20evaluation/6.%20Report/dth.nt.gov.au/boards-and-committees/racing-commission/hearings-and-decisions" TargetMode="External"/><Relationship Id="rId76" Type="http://schemas.openxmlformats.org/officeDocument/2006/relationships/hyperlink" Target="https://www.gazette.vic.gov.au/gazette/Gazettes2022/GG2022S349.pdf" TargetMode="External"/><Relationship Id="rId7" Type="http://schemas.openxmlformats.org/officeDocument/2006/relationships/endnotes" Target="endnotes.xml"/><Relationship Id="rId71" Type="http://schemas.openxmlformats.org/officeDocument/2006/relationships/hyperlink" Target="https://aifsau.sharepoint.com/sites/agrc-team/Shared%20Documents/NCPF/NCPF_Evaluation/3.%20Phase%201_PIR%20&amp;%20process%20evaluation/6.%20Report/Slim/www.dlgsc.wa.gov.au/department/publications/publication/gambling-advertising-and-inducements" TargetMode="External"/><Relationship Id="rId2" Type="http://schemas.openxmlformats.org/officeDocument/2006/relationships/numbering" Target="numbering.xml"/><Relationship Id="rId29" Type="http://schemas.openxmlformats.org/officeDocument/2006/relationships/hyperlink" Target="https://www.betstop.gov.au/about/" TargetMode="External"/><Relationship Id="rId24" Type="http://schemas.openxmlformats.org/officeDocument/2006/relationships/hyperlink" Target="https://www.legislation.gov.au/Details/F2022C00716" TargetMode="External"/><Relationship Id="rId40" Type="http://schemas.openxmlformats.org/officeDocument/2006/relationships/hyperlink" Target="http://www.austrac.gov.au/business/core-guidance/reporting" TargetMode="External"/><Relationship Id="rId45" Type="http://schemas.openxmlformats.org/officeDocument/2006/relationships/hyperlink" Target="http://www.dss.gov.au/system/files/documents/2024-11/consistent-gambling-messaging-supplementary-fact-sheet-definitions.pdf" TargetMode="External"/><Relationship Id="rId66" Type="http://schemas.openxmlformats.org/officeDocument/2006/relationships/hyperlink" Target="https://www.spelinspektionen.se/globalassets/dokument/engelska/lifs-2018_2-regulations-and-general-advice-on-responsible-gambling.pdf?_t_id=GYlHvTr3Xnn3izV04S3hIQ%3d%3d&amp;_t_uuid=UOPva65oQ_ykx4icaT8S2A&amp;_t_q=regulations+and+general+advice+on+responsible+gambling&amp;_t_tags=siteid%3ab048d476-1ab0-40fd-8e7e-60c7d80ce638%2clanguage%3asv%2candquerymatch&amp;_t_hit.id=Spelinspektionen_Features_Media_DocumentFile/_3bbc5ee5-6126-467d-834e-adfcafe4bf85&amp;_t_hit.pos=1" TargetMode="External"/><Relationship Id="rId61" Type="http://schemas.openxmlformats.org/officeDocument/2006/relationships/hyperlink" Target="https://aifsau.sharepoint.com/sites/agrc-team/Shared%20Documents/NCPF/NCPF_Evaluation/3.%20Phase%201_PIR%20&amp;%20process%20evaluation/6.%20Report/Slim/webarchive.nla.gov.au/awa/20251028223839/https:/www.gamblingresearch.org.au/publications/behavioural-trial-consistent-gambling-messaging-under-national-consumer-protection-framework" TargetMode="External"/><Relationship Id="rId82" Type="http://schemas.openxmlformats.org/officeDocument/2006/relationships/hyperlink" Target="https://www.dss.gov.au/system/files/resources/consistent-gambling-messaging-implementation-factsheet_0.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dss.gov.au/system/files/resources/activity-statement-prototype_0.pdf" TargetMode="External"/><Relationship Id="rId1" Type="http://schemas.openxmlformats.org/officeDocument/2006/relationships/hyperlink" Target="https://www.dss.gov.au/system/files/resources/activity-statement-prototype_0.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99041904287752"/>
          <c:y val="1.8326345570440061E-2"/>
          <c:w val="0.58166591488875874"/>
          <c:h val="0.8383162735447659"/>
        </c:manualLayout>
      </c:layout>
      <c:barChart>
        <c:barDir val="bar"/>
        <c:grouping val="clustered"/>
        <c:varyColors val="0"/>
        <c:ser>
          <c:idx val="0"/>
          <c:order val="0"/>
          <c:tx>
            <c:strRef>
              <c:f>Sheet1!$B$1</c:f>
              <c:strCache>
                <c:ptCount val="1"/>
                <c:pt idx="0">
                  <c:v>National Gambling Prevalence Study (2024)</c:v>
                </c:pt>
              </c:strCache>
            </c:strRef>
          </c:tx>
          <c:spPr>
            <a:solidFill>
              <a:schemeClr val="accent1"/>
            </a:solidFill>
            <a:ln>
              <a:noFill/>
            </a:ln>
            <a:effectLst/>
          </c:spPr>
          <c:invertIfNegative val="0"/>
          <c:dLbls>
            <c:dLbl>
              <c:idx val="8"/>
              <c:layout>
                <c:manualLayout>
                  <c:x val="-7.1309721892084624E-3"/>
                  <c:y val="-4.411116012351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5EF-4241-B74D-C6CA0C6C7E30}"/>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Any online gambling</c:v>
                </c:pt>
                <c:pt idx="1">
                  <c:v>Poker (IL)</c:v>
                </c:pt>
                <c:pt idx="2">
                  <c:v>Bingo (IL)</c:v>
                </c:pt>
                <c:pt idx="3">
                  <c:v>Casino games (IL)</c:v>
                </c:pt>
                <c:pt idx="4">
                  <c:v>Fantasy sports betting (L)</c:v>
                </c:pt>
                <c:pt idx="5">
                  <c:v>Esports betting (L)</c:v>
                </c:pt>
                <c:pt idx="6">
                  <c:v>Novelty betting (L)</c:v>
                </c:pt>
                <c:pt idx="7">
                  <c:v>Keno (L)</c:v>
                </c:pt>
                <c:pt idx="8">
                  <c:v>Virtual sports betting (L)</c:v>
                </c:pt>
                <c:pt idx="9">
                  <c:v>Pokies (IL)</c:v>
                </c:pt>
                <c:pt idx="10">
                  <c:v>Scratch tickets (IL)</c:v>
                </c:pt>
                <c:pt idx="11">
                  <c:v>Sports betting (L)</c:v>
                </c:pt>
                <c:pt idx="12">
                  <c:v>Race betting (L)</c:v>
                </c:pt>
                <c:pt idx="13">
                  <c:v>Lotteries (L)</c:v>
                </c:pt>
              </c:strCache>
            </c:strRef>
          </c:cat>
          <c:val>
            <c:numRef>
              <c:f>Sheet1!$B$2:$B$15</c:f>
              <c:numCache>
                <c:formatCode>0.0%</c:formatCode>
                <c:ptCount val="14"/>
                <c:pt idx="0">
                  <c:v>0.3700386</c:v>
                </c:pt>
                <c:pt idx="1">
                  <c:v>1.0161999999999999E-2</c:v>
                </c:pt>
                <c:pt idx="2">
                  <c:v>1.17512E-2</c:v>
                </c:pt>
                <c:pt idx="3">
                  <c:v>1.26117E-2</c:v>
                </c:pt>
                <c:pt idx="4">
                  <c:v>1.7392700000000001E-2</c:v>
                </c:pt>
                <c:pt idx="5">
                  <c:v>1.7561299999999998E-2</c:v>
                </c:pt>
                <c:pt idx="6">
                  <c:v>1.7871499999999998E-2</c:v>
                </c:pt>
                <c:pt idx="7">
                  <c:v>1.9185799999999999E-2</c:v>
                </c:pt>
                <c:pt idx="8">
                  <c:v>2.1718000000000001E-2</c:v>
                </c:pt>
                <c:pt idx="9">
                  <c:v>2.6501E-2</c:v>
                </c:pt>
                <c:pt idx="10">
                  <c:v>2.6839700000000001E-2</c:v>
                </c:pt>
                <c:pt idx="11">
                  <c:v>0.1039702</c:v>
                </c:pt>
                <c:pt idx="12">
                  <c:v>0.1178579</c:v>
                </c:pt>
                <c:pt idx="13">
                  <c:v>0.27596749999999998</c:v>
                </c:pt>
              </c:numCache>
            </c:numRef>
          </c:val>
          <c:extLst>
            <c:ext xmlns:c16="http://schemas.microsoft.com/office/drawing/2014/chart" uri="{C3380CC4-5D6E-409C-BE32-E72D297353CC}">
              <c16:uniqueId val="{00000001-F5EF-4241-B74D-C6CA0C6C7E30}"/>
            </c:ext>
          </c:extLst>
        </c:ser>
        <c:ser>
          <c:idx val="1"/>
          <c:order val="1"/>
          <c:tx>
            <c:strRef>
              <c:f>Sheet1!$C$1</c:f>
              <c:strCache>
                <c:ptCount val="1"/>
                <c:pt idx="0">
                  <c:v>Interactive Gambling Study (2019)</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F5EF-4241-B74D-C6CA0C6C7E30}"/>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Any online gambling</c:v>
                </c:pt>
                <c:pt idx="1">
                  <c:v>Poker (IL)</c:v>
                </c:pt>
                <c:pt idx="2">
                  <c:v>Bingo (IL)</c:v>
                </c:pt>
                <c:pt idx="3">
                  <c:v>Casino games (IL)</c:v>
                </c:pt>
                <c:pt idx="4">
                  <c:v>Fantasy sports betting (L)</c:v>
                </c:pt>
                <c:pt idx="5">
                  <c:v>Esports betting (L)</c:v>
                </c:pt>
                <c:pt idx="6">
                  <c:v>Novelty betting (L)</c:v>
                </c:pt>
                <c:pt idx="7">
                  <c:v>Keno (L)</c:v>
                </c:pt>
                <c:pt idx="8">
                  <c:v>Virtual sports betting (L)</c:v>
                </c:pt>
                <c:pt idx="9">
                  <c:v>Pokies (IL)</c:v>
                </c:pt>
                <c:pt idx="10">
                  <c:v>Scratch tickets (IL)</c:v>
                </c:pt>
                <c:pt idx="11">
                  <c:v>Sports betting (L)</c:v>
                </c:pt>
                <c:pt idx="12">
                  <c:v>Race betting (L)</c:v>
                </c:pt>
                <c:pt idx="13">
                  <c:v>Lotteries (L)</c:v>
                </c:pt>
              </c:strCache>
            </c:strRef>
          </c:cat>
          <c:val>
            <c:numRef>
              <c:f>Sheet1!$C$2:$C$15</c:f>
              <c:numCache>
                <c:formatCode>0.0%</c:formatCode>
                <c:ptCount val="14"/>
                <c:pt idx="0">
                  <c:v>0.17499999999999999</c:v>
                </c:pt>
                <c:pt idx="1">
                  <c:v>3.0000000000000001E-3</c:v>
                </c:pt>
                <c:pt idx="2">
                  <c:v>1E-4</c:v>
                </c:pt>
                <c:pt idx="3">
                  <c:v>1E-3</c:v>
                </c:pt>
                <c:pt idx="4">
                  <c:v>3.0000000000000001E-3</c:v>
                </c:pt>
                <c:pt idx="5">
                  <c:v>5.0000000000000001E-3</c:v>
                </c:pt>
                <c:pt idx="6">
                  <c:v>0.01</c:v>
                </c:pt>
                <c:pt idx="7">
                  <c:v>2E-3</c:v>
                </c:pt>
                <c:pt idx="9">
                  <c:v>3.0000000000000001E-3</c:v>
                </c:pt>
                <c:pt idx="10">
                  <c:v>3.0000000000000001E-3</c:v>
                </c:pt>
                <c:pt idx="11">
                  <c:v>5.8000000000000003E-2</c:v>
                </c:pt>
                <c:pt idx="12">
                  <c:v>5.8999999999999997E-2</c:v>
                </c:pt>
                <c:pt idx="13">
                  <c:v>0.10100000000000001</c:v>
                </c:pt>
              </c:numCache>
            </c:numRef>
          </c:val>
          <c:extLst>
            <c:ext xmlns:c16="http://schemas.microsoft.com/office/drawing/2014/chart" uri="{C3380CC4-5D6E-409C-BE32-E72D297353CC}">
              <c16:uniqueId val="{00000003-F5EF-4241-B74D-C6CA0C6C7E30}"/>
            </c:ext>
          </c:extLst>
        </c:ser>
        <c:dLbls>
          <c:dLblPos val="outEnd"/>
          <c:showLegendKey val="0"/>
          <c:showVal val="1"/>
          <c:showCatName val="0"/>
          <c:showSerName val="0"/>
          <c:showPercent val="0"/>
          <c:showBubbleSize val="0"/>
        </c:dLbls>
        <c:gapWidth val="36"/>
        <c:axId val="1044902687"/>
        <c:axId val="1044903167"/>
      </c:barChart>
      <c:catAx>
        <c:axId val="1044902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3167"/>
        <c:crosses val="autoZero"/>
        <c:auto val="1"/>
        <c:lblAlgn val="ctr"/>
        <c:lblOffset val="100"/>
        <c:noMultiLvlLbl val="0"/>
      </c:catAx>
      <c:valAx>
        <c:axId val="1044903167"/>
        <c:scaling>
          <c:orientation val="minMax"/>
          <c:max val="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sz="900">
                    <a:latin typeface="Arial" panose="020B0604020202020204" pitchFamily="34" charset="0"/>
                    <a:cs typeface="Arial" panose="020B0604020202020204" pitchFamily="34" charset="0"/>
                  </a:rPr>
                  <a:t>Percentage of adult Australian adults (weighted)</a:t>
                </a:r>
              </a:p>
            </c:rich>
          </c:tx>
          <c:layout>
            <c:manualLayout>
              <c:xMode val="edge"/>
              <c:yMode val="edge"/>
              <c:x val="0.33922128286376846"/>
              <c:y val="0.9374416916456241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2687"/>
        <c:crosses val="autoZero"/>
        <c:crossBetween val="between"/>
        <c:majorUnit val="0.1"/>
        <c:minorUnit val="2.0000000000000004E-2"/>
      </c:valAx>
      <c:spPr>
        <a:noFill/>
        <a:ln>
          <a:noFill/>
        </a:ln>
        <a:effectLst/>
      </c:spPr>
    </c:plotArea>
    <c:legend>
      <c:legendPos val="b"/>
      <c:layout>
        <c:manualLayout>
          <c:xMode val="edge"/>
          <c:yMode val="edge"/>
          <c:x val="0.8569431524886344"/>
          <c:y val="0.11394815723023598"/>
          <c:w val="0.13583266733921154"/>
          <c:h val="0.57239370773404097"/>
        </c:manualLayout>
      </c:layout>
      <c:overlay val="0"/>
      <c:spPr>
        <a:no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152280457328621"/>
          <c:y val="1.8326345570440061E-2"/>
          <c:w val="0.68224930005576712"/>
          <c:h val="0.78146246211977122"/>
        </c:manualLayout>
      </c:layout>
      <c:barChart>
        <c:barDir val="bar"/>
        <c:grouping val="clustered"/>
        <c:varyColors val="0"/>
        <c:ser>
          <c:idx val="0"/>
          <c:order val="0"/>
          <c:tx>
            <c:strRef>
              <c:f>Sheet1!$B$1</c:f>
              <c:strCache>
                <c:ptCount val="1"/>
                <c:pt idx="0">
                  <c:v>Weighted %s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Not sure/prefer not to say</c:v>
                </c:pt>
                <c:pt idx="1">
                  <c:v>Strongly agree</c:v>
                </c:pt>
                <c:pt idx="2">
                  <c:v>Agree</c:v>
                </c:pt>
                <c:pt idx="3">
                  <c:v>Neither disagree or agree</c:v>
                </c:pt>
                <c:pt idx="4">
                  <c:v>Disagree</c:v>
                </c:pt>
                <c:pt idx="5">
                  <c:v>Strongly disagree</c:v>
                </c:pt>
              </c:strCache>
            </c:strRef>
          </c:cat>
          <c:val>
            <c:numRef>
              <c:f>Sheet1!$B$2:$B$7</c:f>
              <c:numCache>
                <c:formatCode>0.0%</c:formatCode>
                <c:ptCount val="6"/>
                <c:pt idx="0">
                  <c:v>8.0000000000000002E-3</c:v>
                </c:pt>
                <c:pt idx="1">
                  <c:v>0.10299999999999999</c:v>
                </c:pt>
                <c:pt idx="2">
                  <c:v>0.36199999999999999</c:v>
                </c:pt>
                <c:pt idx="3">
                  <c:v>0.39700000000000002</c:v>
                </c:pt>
                <c:pt idx="4">
                  <c:v>0.105</c:v>
                </c:pt>
                <c:pt idx="5">
                  <c:v>2.5000000000000001E-2</c:v>
                </c:pt>
              </c:numCache>
            </c:numRef>
          </c:val>
          <c:extLst>
            <c:ext xmlns:c16="http://schemas.microsoft.com/office/drawing/2014/chart" uri="{C3380CC4-5D6E-409C-BE32-E72D297353CC}">
              <c16:uniqueId val="{00000000-BAD6-482F-85D1-A4A3368C86BD}"/>
            </c:ext>
          </c:extLst>
        </c:ser>
        <c:dLbls>
          <c:dLblPos val="outEnd"/>
          <c:showLegendKey val="0"/>
          <c:showVal val="1"/>
          <c:showCatName val="0"/>
          <c:showSerName val="0"/>
          <c:showPercent val="0"/>
          <c:showBubbleSize val="0"/>
        </c:dLbls>
        <c:gapWidth val="100"/>
        <c:axId val="1044902687"/>
        <c:axId val="1044903167"/>
      </c:barChart>
      <c:catAx>
        <c:axId val="1044902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3167"/>
        <c:crosses val="autoZero"/>
        <c:auto val="1"/>
        <c:lblAlgn val="ctr"/>
        <c:lblOffset val="100"/>
        <c:noMultiLvlLbl val="0"/>
      </c:catAx>
      <c:valAx>
        <c:axId val="1044903167"/>
        <c:scaling>
          <c:orientation val="minMax"/>
          <c:max val="0.4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sz="900">
                    <a:latin typeface="Arial" panose="020B0604020202020204" pitchFamily="34" charset="0"/>
                    <a:cs typeface="Arial" panose="020B0604020202020204" pitchFamily="34" charset="0"/>
                  </a:rPr>
                  <a:t>Percentage of last 12-month online wagerers</a:t>
                </a:r>
              </a:p>
            </c:rich>
          </c:tx>
          <c:layout>
            <c:manualLayout>
              <c:xMode val="edge"/>
              <c:yMode val="edge"/>
              <c:x val="0.42616430560393148"/>
              <c:y val="0.9286194436116327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2687"/>
        <c:crosses val="autoZero"/>
        <c:crossBetween val="between"/>
        <c:majorUnit val="5.000000000000001E-2"/>
        <c:minorUnit val="1.0000000000000002E-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22421493748553"/>
          <c:y val="1.8326345570440061E-2"/>
          <c:w val="0.52628365169175617"/>
          <c:h val="0.82949415413982341"/>
        </c:manualLayout>
      </c:layout>
      <c:barChart>
        <c:barDir val="bar"/>
        <c:grouping val="clustered"/>
        <c:varyColors val="0"/>
        <c:ser>
          <c:idx val="0"/>
          <c:order val="0"/>
          <c:tx>
            <c:strRef>
              <c:f>Sheet1!$B$1</c:f>
              <c:strCache>
                <c:ptCount val="1"/>
                <c:pt idx="0">
                  <c:v>Last 12-month adult online wagerers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Aware of any of the above taglines</c:v>
                </c:pt>
                <c:pt idx="1">
                  <c:v>Think. Is this a bet you really want to place?</c:v>
                </c:pt>
                <c:pt idx="2">
                  <c:v>What are you prepared to lose today? Set a deposit limit. </c:v>
                </c:pt>
                <c:pt idx="3">
                  <c:v>Imagine what you could be buying instead.</c:v>
                </c:pt>
                <c:pt idx="4">
                  <c:v>What are you really gambling with?</c:v>
                </c:pt>
                <c:pt idx="5">
                  <c:v>You win some. You lose more.</c:v>
                </c:pt>
                <c:pt idx="6">
                  <c:v>Chances are you’re about to lose.</c:v>
                </c:pt>
                <c:pt idx="7">
                  <c:v>What’s gambling really costing you?</c:v>
                </c:pt>
              </c:strCache>
            </c:strRef>
          </c:cat>
          <c:val>
            <c:numRef>
              <c:f>Sheet1!$B$2:$B$9</c:f>
              <c:numCache>
                <c:formatCode>0.0%</c:formatCode>
                <c:ptCount val="8"/>
                <c:pt idx="0">
                  <c:v>0.95140000000000002</c:v>
                </c:pt>
                <c:pt idx="1">
                  <c:v>0.14219999999999999</c:v>
                </c:pt>
                <c:pt idx="2">
                  <c:v>0.36859999999999998</c:v>
                </c:pt>
                <c:pt idx="3">
                  <c:v>0.68779999999999997</c:v>
                </c:pt>
                <c:pt idx="4">
                  <c:v>0.72470000000000001</c:v>
                </c:pt>
                <c:pt idx="5">
                  <c:v>0.75490000000000002</c:v>
                </c:pt>
                <c:pt idx="6">
                  <c:v>0.82350000000000001</c:v>
                </c:pt>
                <c:pt idx="7">
                  <c:v>0.81979999999999997</c:v>
                </c:pt>
              </c:numCache>
            </c:numRef>
          </c:val>
          <c:extLst>
            <c:ext xmlns:c16="http://schemas.microsoft.com/office/drawing/2014/chart" uri="{C3380CC4-5D6E-409C-BE32-E72D297353CC}">
              <c16:uniqueId val="{00000000-1D20-4368-AD57-618F7FEDA1C8}"/>
            </c:ext>
          </c:extLst>
        </c:ser>
        <c:ser>
          <c:idx val="1"/>
          <c:order val="1"/>
          <c:tx>
            <c:strRef>
              <c:f>Sheet1!$C$1</c:f>
              <c:strCache>
                <c:ptCount val="1"/>
                <c:pt idx="0">
                  <c:v>At least monthly adult online wagerers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Aware of any of the above taglines</c:v>
                </c:pt>
                <c:pt idx="1">
                  <c:v>Think. Is this a bet you really want to place?</c:v>
                </c:pt>
                <c:pt idx="2">
                  <c:v>What are you prepared to lose today? Set a deposit limit. </c:v>
                </c:pt>
                <c:pt idx="3">
                  <c:v>Imagine what you could be buying instead.</c:v>
                </c:pt>
                <c:pt idx="4">
                  <c:v>What are you really gambling with?</c:v>
                </c:pt>
                <c:pt idx="5">
                  <c:v>You win some. You lose more.</c:v>
                </c:pt>
                <c:pt idx="6">
                  <c:v>Chances are you’re about to lose.</c:v>
                </c:pt>
                <c:pt idx="7">
                  <c:v>What’s gambling really costing you?</c:v>
                </c:pt>
              </c:strCache>
            </c:strRef>
          </c:cat>
          <c:val>
            <c:numRef>
              <c:f>Sheet1!$C$2:$C$9</c:f>
              <c:numCache>
                <c:formatCode>0.0%</c:formatCode>
                <c:ptCount val="8"/>
                <c:pt idx="0">
                  <c:v>0.96</c:v>
                </c:pt>
                <c:pt idx="1">
                  <c:v>0.1419</c:v>
                </c:pt>
                <c:pt idx="2">
                  <c:v>0.4773</c:v>
                </c:pt>
                <c:pt idx="3">
                  <c:v>0.75019999999999998</c:v>
                </c:pt>
                <c:pt idx="4">
                  <c:v>0.79690000000000005</c:v>
                </c:pt>
                <c:pt idx="5">
                  <c:v>0.82299999999999995</c:v>
                </c:pt>
                <c:pt idx="6">
                  <c:v>0.84219999999999995</c:v>
                </c:pt>
                <c:pt idx="7">
                  <c:v>0.86329999999999996</c:v>
                </c:pt>
              </c:numCache>
            </c:numRef>
          </c:val>
          <c:extLst>
            <c:ext xmlns:c16="http://schemas.microsoft.com/office/drawing/2014/chart" uri="{C3380CC4-5D6E-409C-BE32-E72D297353CC}">
              <c16:uniqueId val="{00000001-1D20-4368-AD57-618F7FEDA1C8}"/>
            </c:ext>
          </c:extLst>
        </c:ser>
        <c:dLbls>
          <c:dLblPos val="inEnd"/>
          <c:showLegendKey val="0"/>
          <c:showVal val="1"/>
          <c:showCatName val="0"/>
          <c:showSerName val="0"/>
          <c:showPercent val="0"/>
          <c:showBubbleSize val="0"/>
        </c:dLbls>
        <c:gapWidth val="100"/>
        <c:axId val="1044902687"/>
        <c:axId val="1044903167"/>
      </c:barChart>
      <c:catAx>
        <c:axId val="1044902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3167"/>
        <c:crosses val="autoZero"/>
        <c:auto val="1"/>
        <c:lblAlgn val="ctr"/>
        <c:lblOffset val="100"/>
        <c:noMultiLvlLbl val="0"/>
      </c:catAx>
      <c:valAx>
        <c:axId val="1044903167"/>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sz="900">
                    <a:latin typeface="Arial" panose="020B0604020202020204" pitchFamily="34" charset="0"/>
                    <a:cs typeface="Arial" panose="020B0604020202020204" pitchFamily="34" charset="0"/>
                  </a:rPr>
                  <a:t>Percentage of last 12-months online wagerers</a:t>
                </a:r>
              </a:p>
            </c:rich>
          </c:tx>
          <c:layout>
            <c:manualLayout>
              <c:xMode val="edge"/>
              <c:yMode val="edge"/>
              <c:x val="0.4865946337953283"/>
              <c:y val="0.9286194907454750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2687"/>
        <c:crosses val="autoZero"/>
        <c:crossBetween val="between"/>
        <c:majorUnit val="0.2"/>
        <c:minorUnit val="2.0000000000000004E-2"/>
      </c:valAx>
      <c:spPr>
        <a:noFill/>
        <a:ln>
          <a:noFill/>
        </a:ln>
        <a:effectLst/>
      </c:spPr>
    </c:plotArea>
    <c:legend>
      <c:legendPos val="b"/>
      <c:layout>
        <c:manualLayout>
          <c:xMode val="edge"/>
          <c:yMode val="edge"/>
          <c:x val="5.6999444412514123E-3"/>
          <c:y val="0.8411325042179012"/>
          <c:w val="0.39995919305707223"/>
          <c:h val="0.15398715453273579"/>
        </c:manualLayout>
      </c:layout>
      <c:overlay val="0"/>
      <c:spPr>
        <a:no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22421493748553"/>
          <c:y val="1.8326345570440061E-2"/>
          <c:w val="0.52628365169175617"/>
          <c:h val="0.81851107161851888"/>
        </c:manualLayout>
      </c:layout>
      <c:barChart>
        <c:barDir val="bar"/>
        <c:grouping val="clustered"/>
        <c:varyColors val="0"/>
        <c:ser>
          <c:idx val="0"/>
          <c:order val="0"/>
          <c:tx>
            <c:strRef>
              <c:f>Sheet1!$B$1</c:f>
              <c:strCache>
                <c:ptCount val="1"/>
                <c:pt idx="0">
                  <c:v>NCPF Consumer Survey 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Sheet1!$B$2:$B$6</c:f>
              <c:numCache>
                <c:formatCode>0.0%</c:formatCode>
                <c:ptCount val="5"/>
                <c:pt idx="0">
                  <c:v>0.5544</c:v>
                </c:pt>
                <c:pt idx="1">
                  <c:v>6.3399999999999998E-2</c:v>
                </c:pt>
                <c:pt idx="2">
                  <c:v>0.19900000000000001</c:v>
                </c:pt>
                <c:pt idx="3">
                  <c:v>0.2339</c:v>
                </c:pt>
                <c:pt idx="4">
                  <c:v>0.27079999999999999</c:v>
                </c:pt>
              </c:numCache>
            </c:numRef>
          </c:val>
          <c:extLst>
            <c:ext xmlns:c16="http://schemas.microsoft.com/office/drawing/2014/chart" uri="{C3380CC4-5D6E-409C-BE32-E72D297353CC}">
              <c16:uniqueId val="{00000000-D4F3-46DF-8247-9780470C527A}"/>
            </c:ext>
          </c:extLst>
        </c:ser>
        <c:ser>
          <c:idx val="1"/>
          <c:order val="1"/>
          <c:tx>
            <c:strRef>
              <c:f>Sheet1!$C$1</c:f>
              <c:strCache>
                <c:ptCount val="1"/>
                <c:pt idx="0">
                  <c:v>NCPF Baseline Study 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Sheet1!$C$2:$C$6</c:f>
              <c:numCache>
                <c:formatCode>0.0%</c:formatCode>
                <c:ptCount val="5"/>
                <c:pt idx="0">
                  <c:v>0.2959</c:v>
                </c:pt>
                <c:pt idx="1">
                  <c:v>5.4199999999999998E-2</c:v>
                </c:pt>
                <c:pt idx="2">
                  <c:v>0.15570000000000001</c:v>
                </c:pt>
                <c:pt idx="3">
                  <c:v>0.1181</c:v>
                </c:pt>
                <c:pt idx="4">
                  <c:v>9.1200000000000003E-2</c:v>
                </c:pt>
              </c:numCache>
            </c:numRef>
          </c:val>
          <c:extLst>
            <c:ext xmlns:c16="http://schemas.microsoft.com/office/drawing/2014/chart" uri="{C3380CC4-5D6E-409C-BE32-E72D297353CC}">
              <c16:uniqueId val="{00000001-D4F3-46DF-8247-9780470C527A}"/>
            </c:ext>
          </c:extLst>
        </c:ser>
        <c:dLbls>
          <c:dLblPos val="outEnd"/>
          <c:showLegendKey val="0"/>
          <c:showVal val="1"/>
          <c:showCatName val="0"/>
          <c:showSerName val="0"/>
          <c:showPercent val="0"/>
          <c:showBubbleSize val="0"/>
        </c:dLbls>
        <c:gapWidth val="100"/>
        <c:axId val="1044902687"/>
        <c:axId val="1044903167"/>
      </c:barChart>
      <c:catAx>
        <c:axId val="1044902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3167"/>
        <c:crosses val="autoZero"/>
        <c:auto val="1"/>
        <c:lblAlgn val="ctr"/>
        <c:lblOffset val="100"/>
        <c:noMultiLvlLbl val="0"/>
      </c:catAx>
      <c:valAx>
        <c:axId val="1044903167"/>
        <c:scaling>
          <c:orientation val="minMax"/>
          <c:max val="0.60000000000000009"/>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sz="900">
                    <a:latin typeface="Arial" panose="020B0604020202020204" pitchFamily="34" charset="0"/>
                    <a:cs typeface="Arial" panose="020B0604020202020204" pitchFamily="34" charset="0"/>
                  </a:rPr>
                  <a:t>Percentage of last 12-months online wagerers</a:t>
                </a:r>
              </a:p>
            </c:rich>
          </c:tx>
          <c:layout>
            <c:manualLayout>
              <c:xMode val="edge"/>
              <c:yMode val="edge"/>
              <c:x val="0.4865946337953283"/>
              <c:y val="0.9286194907454750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2687"/>
        <c:crosses val="autoZero"/>
        <c:crossBetween val="between"/>
        <c:majorUnit val="0.1"/>
        <c:minorUnit val="2.0000000000000004E-2"/>
      </c:valAx>
      <c:spPr>
        <a:noFill/>
        <a:ln>
          <a:noFill/>
        </a:ln>
        <a:effectLst/>
      </c:spPr>
    </c:plotArea>
    <c:legend>
      <c:legendPos val="b"/>
      <c:layout>
        <c:manualLayout>
          <c:xMode val="edge"/>
          <c:yMode val="edge"/>
          <c:x val="4.6093350006376113E-2"/>
          <c:y val="0.8204656236152299"/>
          <c:w val="0.32854687580296116"/>
          <c:h val="0.17465419095340357"/>
        </c:manualLayout>
      </c:layout>
      <c:overlay val="0"/>
      <c:spPr>
        <a:no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22421493748553"/>
          <c:y val="1.8326345570440061E-2"/>
          <c:w val="0.52628365169175617"/>
          <c:h val="0.82467254876650542"/>
        </c:manualLayout>
      </c:layout>
      <c:barChart>
        <c:barDir val="bar"/>
        <c:grouping val="clustered"/>
        <c:varyColors val="0"/>
        <c:ser>
          <c:idx val="0"/>
          <c:order val="0"/>
          <c:tx>
            <c:strRef>
              <c:f>Sheet1!$B$1</c:f>
              <c:strCache>
                <c:ptCount val="1"/>
                <c:pt idx="0">
                  <c:v>High-risk gambling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Sheet1!$B$2:$B$6</c:f>
              <c:numCache>
                <c:formatCode>0.0%</c:formatCode>
                <c:ptCount val="5"/>
                <c:pt idx="0">
                  <c:v>0.70499999999999996</c:v>
                </c:pt>
                <c:pt idx="1">
                  <c:v>0.26119999999999999</c:v>
                </c:pt>
                <c:pt idx="2">
                  <c:v>0.46279999999999999</c:v>
                </c:pt>
                <c:pt idx="3">
                  <c:v>0.3609</c:v>
                </c:pt>
                <c:pt idx="4">
                  <c:v>0.29389999999999999</c:v>
                </c:pt>
              </c:numCache>
            </c:numRef>
          </c:val>
          <c:extLst>
            <c:ext xmlns:c16="http://schemas.microsoft.com/office/drawing/2014/chart" uri="{C3380CC4-5D6E-409C-BE32-E72D297353CC}">
              <c16:uniqueId val="{00000000-2F7C-488E-B78F-5EFF7DD44FFB}"/>
            </c:ext>
          </c:extLst>
        </c:ser>
        <c:ser>
          <c:idx val="1"/>
          <c:order val="1"/>
          <c:tx>
            <c:strRef>
              <c:f>Sheet1!$C$1</c:f>
              <c:strCache>
                <c:ptCount val="1"/>
                <c:pt idx="0">
                  <c:v>Moderate-risk gambling</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Sheet1!$C$2:$C$6</c:f>
              <c:numCache>
                <c:formatCode>0.0%</c:formatCode>
                <c:ptCount val="5"/>
                <c:pt idx="0">
                  <c:v>0.76519999999999999</c:v>
                </c:pt>
                <c:pt idx="1">
                  <c:v>9.8500000000000004E-2</c:v>
                </c:pt>
                <c:pt idx="2">
                  <c:v>0.25600000000000001</c:v>
                </c:pt>
                <c:pt idx="3">
                  <c:v>0.3453</c:v>
                </c:pt>
                <c:pt idx="4">
                  <c:v>0.45369999999999999</c:v>
                </c:pt>
              </c:numCache>
            </c:numRef>
          </c:val>
          <c:extLst>
            <c:ext xmlns:c16="http://schemas.microsoft.com/office/drawing/2014/chart" uri="{C3380CC4-5D6E-409C-BE32-E72D297353CC}">
              <c16:uniqueId val="{00000001-2F7C-488E-B78F-5EFF7DD44FFB}"/>
            </c:ext>
          </c:extLst>
        </c:ser>
        <c:ser>
          <c:idx val="2"/>
          <c:order val="2"/>
          <c:tx>
            <c:strRef>
              <c:f>Sheet1!$D$1</c:f>
              <c:strCache>
                <c:ptCount val="1"/>
                <c:pt idx="0">
                  <c:v>Low-risk gambling</c:v>
                </c:pt>
              </c:strCache>
            </c:strRef>
          </c:tx>
          <c:spPr>
            <a:solidFill>
              <a:schemeClr val="accent3"/>
            </a:solidFill>
            <a:ln>
              <a:noFill/>
            </a:ln>
            <a:effectLst/>
          </c:spPr>
          <c:invertIfNegative val="0"/>
          <c:dLbls>
            <c:dLbl>
              <c:idx val="1"/>
              <c:layout>
                <c:manualLayout>
                  <c:x val="-6.3776521492437798E-3"/>
                  <c:y val="-2.468526289805077E-3"/>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5.9985683607730843E-2"/>
                      <c:h val="5.6159167465212247E-2"/>
                    </c:manualLayout>
                  </c15:layout>
                </c:ext>
                <c:ext xmlns:c16="http://schemas.microsoft.com/office/drawing/2014/chart" uri="{C3380CC4-5D6E-409C-BE32-E72D297353CC}">
                  <c16:uniqueId val="{00000004-2F7C-488E-B78F-5EFF7DD44FF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Sheet1!$D$2:$D$6</c:f>
              <c:numCache>
                <c:formatCode>0.0%</c:formatCode>
                <c:ptCount val="5"/>
                <c:pt idx="0">
                  <c:v>0.59630000000000005</c:v>
                </c:pt>
                <c:pt idx="1">
                  <c:v>6.4100000000000004E-2</c:v>
                </c:pt>
                <c:pt idx="2">
                  <c:v>0.14030000000000001</c:v>
                </c:pt>
                <c:pt idx="3">
                  <c:v>0.2349</c:v>
                </c:pt>
                <c:pt idx="4">
                  <c:v>0.33610000000000001</c:v>
                </c:pt>
              </c:numCache>
            </c:numRef>
          </c:val>
          <c:extLst>
            <c:ext xmlns:c16="http://schemas.microsoft.com/office/drawing/2014/chart" uri="{C3380CC4-5D6E-409C-BE32-E72D297353CC}">
              <c16:uniqueId val="{00000002-2F7C-488E-B78F-5EFF7DD44FFB}"/>
            </c:ext>
          </c:extLst>
        </c:ser>
        <c:ser>
          <c:idx val="3"/>
          <c:order val="3"/>
          <c:tx>
            <c:strRef>
              <c:f>Sheet1!$E$1</c:f>
              <c:strCache>
                <c:ptCount val="1"/>
                <c:pt idx="0">
                  <c:v>Non-risk gambling</c:v>
                </c:pt>
              </c:strCache>
            </c:strRef>
          </c:tx>
          <c:spPr>
            <a:solidFill>
              <a:schemeClr val="accent4"/>
            </a:solidFill>
            <a:ln>
              <a:noFill/>
            </a:ln>
            <a:effectLst/>
          </c:spPr>
          <c:invertIfNegative val="0"/>
          <c:dLbls>
            <c:dLbl>
              <c:idx val="1"/>
              <c:layout>
                <c:manualLayout>
                  <c:x val="-3.9364442365248369E-3"/>
                  <c:y val="-4.9370525796099728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F7C-488E-B78F-5EFF7DD44FF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Any of the above NCPF measures</c:v>
                </c:pt>
                <c:pt idx="1">
                  <c:v>Closed online betting account/s</c:v>
                </c:pt>
                <c:pt idx="2">
                  <c:v>Set a deposit limit</c:v>
                </c:pt>
                <c:pt idx="3">
                  <c:v>Unsubscribed from direct marketing (e.g., emails, text messages)</c:v>
                </c:pt>
                <c:pt idx="4">
                  <c:v>Used activity statements</c:v>
                </c:pt>
              </c:strCache>
            </c:strRef>
          </c:cat>
          <c:val>
            <c:numRef>
              <c:f>Sheet1!$E$2:$E$6</c:f>
              <c:numCache>
                <c:formatCode>0.0%</c:formatCode>
                <c:ptCount val="5"/>
                <c:pt idx="0">
                  <c:v>0.48249999999999998</c:v>
                </c:pt>
                <c:pt idx="1">
                  <c:v>3.5000000000000003E-2</c:v>
                </c:pt>
                <c:pt idx="2">
                  <c:v>0.17519999999999999</c:v>
                </c:pt>
                <c:pt idx="3">
                  <c:v>0.1966</c:v>
                </c:pt>
                <c:pt idx="4">
                  <c:v>0.21179999999999999</c:v>
                </c:pt>
              </c:numCache>
            </c:numRef>
          </c:val>
          <c:extLst>
            <c:ext xmlns:c16="http://schemas.microsoft.com/office/drawing/2014/chart" uri="{C3380CC4-5D6E-409C-BE32-E72D297353CC}">
              <c16:uniqueId val="{00000003-2F7C-488E-B78F-5EFF7DD44FFB}"/>
            </c:ext>
          </c:extLst>
        </c:ser>
        <c:dLbls>
          <c:dLblPos val="inEnd"/>
          <c:showLegendKey val="0"/>
          <c:showVal val="1"/>
          <c:showCatName val="0"/>
          <c:showSerName val="0"/>
          <c:showPercent val="0"/>
          <c:showBubbleSize val="0"/>
        </c:dLbls>
        <c:gapWidth val="100"/>
        <c:axId val="1044902687"/>
        <c:axId val="1044903167"/>
      </c:barChart>
      <c:catAx>
        <c:axId val="1044902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3167"/>
        <c:crosses val="autoZero"/>
        <c:auto val="1"/>
        <c:lblAlgn val="ctr"/>
        <c:lblOffset val="100"/>
        <c:noMultiLvlLbl val="0"/>
      </c:catAx>
      <c:valAx>
        <c:axId val="1044903167"/>
        <c:scaling>
          <c:orientation val="minMax"/>
          <c:max val="0.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sz="900">
                    <a:latin typeface="Arial" panose="020B0604020202020204" pitchFamily="34" charset="0"/>
                    <a:cs typeface="Arial" panose="020B0604020202020204" pitchFamily="34" charset="0"/>
                  </a:rPr>
                  <a:t>Percentage of last 12-month online wagerers</a:t>
                </a:r>
              </a:p>
            </c:rich>
          </c:tx>
          <c:layout>
            <c:manualLayout>
              <c:xMode val="edge"/>
              <c:yMode val="edge"/>
              <c:x val="0.4865946337953283"/>
              <c:y val="0.9286194907454750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44902687"/>
        <c:crosses val="autoZero"/>
        <c:crossBetween val="between"/>
        <c:minorUnit val="2.0000000000000004E-2"/>
      </c:valAx>
      <c:spPr>
        <a:noFill/>
        <a:ln>
          <a:noFill/>
        </a:ln>
        <a:effectLst/>
      </c:spPr>
    </c:plotArea>
    <c:legend>
      <c:legendPos val="b"/>
      <c:layout>
        <c:manualLayout>
          <c:xMode val="edge"/>
          <c:yMode val="edge"/>
          <c:x val="1.547936429206192E-2"/>
          <c:y val="0.79635760332272831"/>
          <c:w val="0.29712310351449972"/>
          <c:h val="0.19876232925079157"/>
        </c:manualLayout>
      </c:layout>
      <c:overlay val="0"/>
      <c:spPr>
        <a:no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AIFS2022">
      <a:dk1>
        <a:srgbClr val="000000"/>
      </a:dk1>
      <a:lt1>
        <a:srgbClr val="FFFFFF"/>
      </a:lt1>
      <a:dk2>
        <a:srgbClr val="241C44"/>
      </a:dk2>
      <a:lt2>
        <a:srgbClr val="EEECE1"/>
      </a:lt2>
      <a:accent1>
        <a:srgbClr val="ED0C6E"/>
      </a:accent1>
      <a:accent2>
        <a:srgbClr val="62136D"/>
      </a:accent2>
      <a:accent3>
        <a:srgbClr val="F26522"/>
      </a:accent3>
      <a:accent4>
        <a:srgbClr val="005BA3"/>
      </a:accent4>
      <a:accent5>
        <a:srgbClr val="048C45"/>
      </a:accent5>
      <a:accent6>
        <a:srgbClr val="0A93D2"/>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7B319E4-E179-2E4B-BA13-E795B47CD83E}">
  <ds:schemaRefs>
    <ds:schemaRef ds:uri="http://schemas.openxmlformats.org/officeDocument/2006/bibliography"/>
  </ds:schemaRefs>
</ds:datastoreItem>
</file>

<file path=docMetadata/LabelInfo.xml><?xml version="1.0" encoding="utf-8"?>
<clbl:labelList xmlns:clbl="http://schemas.microsoft.com/office/2020/mipLabelMetadata">
  <clbl:label id="{7e4647b9-61bf-4599-8b05-e1bb72778f97}" enabled="1" method="Privileged" siteId="{02f5d965-790b-4b52-9f49-2cd447eb85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82</Pages>
  <Words>33346</Words>
  <Characters>193410</Characters>
  <Application>Microsoft Office Word</Application>
  <DocSecurity>0</DocSecurity>
  <Lines>3947</Lines>
  <Paragraphs>2006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224750</CharactersWithSpaces>
  <SharedDoc>false</SharedDoc>
  <HLinks>
    <vt:vector size="996" baseType="variant">
      <vt:variant>
        <vt:i4>5505025</vt:i4>
      </vt:variant>
      <vt:variant>
        <vt:i4>723</vt:i4>
      </vt:variant>
      <vt:variant>
        <vt:i4>0</vt:i4>
      </vt:variant>
      <vt:variant>
        <vt:i4>5</vt:i4>
      </vt:variant>
      <vt:variant>
        <vt:lpwstr>https://www.dss.gov.au/system/files/documents/2024-11/consistent-gambling-messaging-supplementary-fact-sheet-definitions.pdf</vt:lpwstr>
      </vt:variant>
      <vt:variant>
        <vt:lpwstr/>
      </vt:variant>
      <vt:variant>
        <vt:i4>7667780</vt:i4>
      </vt:variant>
      <vt:variant>
        <vt:i4>720</vt:i4>
      </vt:variant>
      <vt:variant>
        <vt:i4>0</vt:i4>
      </vt:variant>
      <vt:variant>
        <vt:i4>5</vt:i4>
      </vt:variant>
      <vt:variant>
        <vt:lpwstr>https://www.dss.gov.au/system/files/documents/2024-11/consistent-gambling-messaging-factsheet-frequently-asked-questions_0.pdf</vt:lpwstr>
      </vt:variant>
      <vt:variant>
        <vt:lpwstr/>
      </vt:variant>
      <vt:variant>
        <vt:i4>3538956</vt:i4>
      </vt:variant>
      <vt:variant>
        <vt:i4>717</vt:i4>
      </vt:variant>
      <vt:variant>
        <vt:i4>0</vt:i4>
      </vt:variant>
      <vt:variant>
        <vt:i4>5</vt:i4>
      </vt:variant>
      <vt:variant>
        <vt:lpwstr>https://www.dss.gov.au/system/files/resources/consistent-gambling-messaging-implementation-factsheet_0.pdf</vt:lpwstr>
      </vt:variant>
      <vt:variant>
        <vt:lpwstr/>
      </vt:variant>
      <vt:variant>
        <vt:i4>4063284</vt:i4>
      </vt:variant>
      <vt:variant>
        <vt:i4>714</vt:i4>
      </vt:variant>
      <vt:variant>
        <vt:i4>0</vt:i4>
      </vt:variant>
      <vt:variant>
        <vt:i4>5</vt:i4>
      </vt:variant>
      <vt:variant>
        <vt:lpwstr>https://www.gazette.vic.gov.au/gazette/Gazettes2023/GG2023S137.pdf</vt:lpwstr>
      </vt:variant>
      <vt:variant>
        <vt:lpwstr/>
      </vt:variant>
      <vt:variant>
        <vt:i4>3342386</vt:i4>
      </vt:variant>
      <vt:variant>
        <vt:i4>711</vt:i4>
      </vt:variant>
      <vt:variant>
        <vt:i4>0</vt:i4>
      </vt:variant>
      <vt:variant>
        <vt:i4>5</vt:i4>
      </vt:variant>
      <vt:variant>
        <vt:lpwstr>https://www.gazette.vic.gov.au/gazette/Gazettes2022/GG2022S349.pdf</vt:lpwstr>
      </vt:variant>
      <vt:variant>
        <vt:lpwstr/>
      </vt:variant>
      <vt:variant>
        <vt:i4>4063284</vt:i4>
      </vt:variant>
      <vt:variant>
        <vt:i4>708</vt:i4>
      </vt:variant>
      <vt:variant>
        <vt:i4>0</vt:i4>
      </vt:variant>
      <vt:variant>
        <vt:i4>5</vt:i4>
      </vt:variant>
      <vt:variant>
        <vt:lpwstr>https://www.gazette.vic.gov.au/gazette/Gazettes2023/GG2023S137.pdf</vt:lpwstr>
      </vt:variant>
      <vt:variant>
        <vt:lpwstr/>
      </vt:variant>
      <vt:variant>
        <vt:i4>3342386</vt:i4>
      </vt:variant>
      <vt:variant>
        <vt:i4>705</vt:i4>
      </vt:variant>
      <vt:variant>
        <vt:i4>0</vt:i4>
      </vt:variant>
      <vt:variant>
        <vt:i4>5</vt:i4>
      </vt:variant>
      <vt:variant>
        <vt:lpwstr>https://www.gazette.vic.gov.au/gazette/Gazettes2022/GG2022S349.pdf</vt:lpwstr>
      </vt:variant>
      <vt:variant>
        <vt:lpwstr/>
      </vt:variant>
      <vt:variant>
        <vt:i4>4063284</vt:i4>
      </vt:variant>
      <vt:variant>
        <vt:i4>702</vt:i4>
      </vt:variant>
      <vt:variant>
        <vt:i4>0</vt:i4>
      </vt:variant>
      <vt:variant>
        <vt:i4>5</vt:i4>
      </vt:variant>
      <vt:variant>
        <vt:lpwstr>https://www.gazette.vic.gov.au/gazette/Gazettes2023/GG2023S137.pdf</vt:lpwstr>
      </vt:variant>
      <vt:variant>
        <vt:lpwstr/>
      </vt:variant>
      <vt:variant>
        <vt:i4>3342386</vt:i4>
      </vt:variant>
      <vt:variant>
        <vt:i4>699</vt:i4>
      </vt:variant>
      <vt:variant>
        <vt:i4>0</vt:i4>
      </vt:variant>
      <vt:variant>
        <vt:i4>5</vt:i4>
      </vt:variant>
      <vt:variant>
        <vt:lpwstr>https://www.gazette.vic.gov.au/gazette/Gazettes2022/GG2022S349.pdf</vt:lpwstr>
      </vt:variant>
      <vt:variant>
        <vt:lpwstr/>
      </vt:variant>
      <vt:variant>
        <vt:i4>4063284</vt:i4>
      </vt:variant>
      <vt:variant>
        <vt:i4>696</vt:i4>
      </vt:variant>
      <vt:variant>
        <vt:i4>0</vt:i4>
      </vt:variant>
      <vt:variant>
        <vt:i4>5</vt:i4>
      </vt:variant>
      <vt:variant>
        <vt:lpwstr>https://www.gazette.vic.gov.au/gazette/Gazettes2023/GG2023S137.pdf</vt:lpwstr>
      </vt:variant>
      <vt:variant>
        <vt:lpwstr/>
      </vt:variant>
      <vt:variant>
        <vt:i4>3342386</vt:i4>
      </vt:variant>
      <vt:variant>
        <vt:i4>693</vt:i4>
      </vt:variant>
      <vt:variant>
        <vt:i4>0</vt:i4>
      </vt:variant>
      <vt:variant>
        <vt:i4>5</vt:i4>
      </vt:variant>
      <vt:variant>
        <vt:lpwstr>https://www.gazette.vic.gov.au/gazette/Gazettes2022/GG2022S349.pdf</vt:lpwstr>
      </vt:variant>
      <vt:variant>
        <vt:lpwstr/>
      </vt:variant>
      <vt:variant>
        <vt:i4>7602217</vt:i4>
      </vt:variant>
      <vt:variant>
        <vt:i4>687</vt:i4>
      </vt:variant>
      <vt:variant>
        <vt:i4>0</vt:i4>
      </vt:variant>
      <vt:variant>
        <vt:i4>5</vt:i4>
      </vt:variant>
      <vt:variant>
        <vt:lpwstr>https://aifsau.sharepoint.com/sites/agrc-team/Shared Documents/NCPF/NCPF_Evaluation/3. Phase 1_PIR &amp; process evaluation/6. Report/Slim/www.dlgsc.wa.gov.au/department/publications/publication/gambling-advertising-and-inducements</vt:lpwstr>
      </vt:variant>
      <vt:variant>
        <vt:lpwstr/>
      </vt:variant>
      <vt:variant>
        <vt:i4>3670143</vt:i4>
      </vt:variant>
      <vt:variant>
        <vt:i4>684</vt:i4>
      </vt:variant>
      <vt:variant>
        <vt:i4>0</vt:i4>
      </vt:variant>
      <vt:variant>
        <vt:i4>5</vt:i4>
      </vt:variant>
      <vt:variant>
        <vt:lpwstr>https://aifsau.sharepoint.com/sites/agrc-team/Shared Documents/NCPF/NCPF_Evaluation/3. Phase 1_PIR &amp; process evaluation/6. Report/Slim/www.vgccc.vic.gov.au/sites/default/files/2024-12/NCPF-VGCCC-Expectations.pdf</vt:lpwstr>
      </vt:variant>
      <vt:variant>
        <vt:lpwstr/>
      </vt:variant>
      <vt:variant>
        <vt:i4>131137</vt:i4>
      </vt:variant>
      <vt:variant>
        <vt:i4>681</vt:i4>
      </vt:variant>
      <vt:variant>
        <vt:i4>0</vt:i4>
      </vt:variant>
      <vt:variant>
        <vt:i4>5</vt:i4>
      </vt:variant>
      <vt:variant>
        <vt:lpwstr>https://aifsau.sharepoint.com/sites/agrc-team/Shared Documents/NCPF/NCPF_Evaluation/3. Phase 1_PIR &amp; process evaluation/6. Report/Slim/www.gazette.vic.gov.au/gazette/Gazettes2022/GG2022S349.pdf</vt:lpwstr>
      </vt:variant>
      <vt:variant>
        <vt:lpwstr/>
      </vt:variant>
      <vt:variant>
        <vt:i4>1245271</vt:i4>
      </vt:variant>
      <vt:variant>
        <vt:i4>678</vt:i4>
      </vt:variant>
      <vt:variant>
        <vt:i4>0</vt:i4>
      </vt:variant>
      <vt:variant>
        <vt:i4>5</vt:i4>
      </vt:variant>
      <vt:variant>
        <vt:lpwstr>http://www.gamblingcommission.gov.uk/guidance/regulatory-returns-guidance/rr-guidance-family-entertainment-centre-operational-information</vt:lpwstr>
      </vt:variant>
      <vt:variant>
        <vt:lpwstr/>
      </vt:variant>
      <vt:variant>
        <vt:i4>983070</vt:i4>
      </vt:variant>
      <vt:variant>
        <vt:i4>675</vt:i4>
      </vt:variant>
      <vt:variant>
        <vt:i4>0</vt:i4>
      </vt:variant>
      <vt:variant>
        <vt:i4>5</vt:i4>
      </vt:variant>
      <vt:variant>
        <vt:lpwstr>http://www.gamblingcommission.gov.uk/report/illegal-online-gambling-challenges-of-estimating-the-size-of-the-illegal</vt:lpwstr>
      </vt:variant>
      <vt:variant>
        <vt:lpwstr/>
      </vt:variant>
      <vt:variant>
        <vt:i4>2949247</vt:i4>
      </vt:variant>
      <vt:variant>
        <vt:i4>672</vt:i4>
      </vt:variant>
      <vt:variant>
        <vt:i4>0</vt:i4>
      </vt:variant>
      <vt:variant>
        <vt:i4>5</vt:i4>
      </vt:variant>
      <vt:variant>
        <vt:lpwstr>https://www.spelinspektionen.se/globalassets/dokument/engelska/lifs-2018_2-regulations-and-general-advice-on-responsible-gambling.pdf?_t_id=GYlHvTr3Xnn3izV04S3hIQ%3d%3d&amp;_t_uuid=UOPva65oQ_ykx4icaT8S2A&amp;_t_q=regulations+and+general+advice+on+responsible+gambling&amp;_t_tags=siteid%3ab048d476-1ab0-40fd-8e7e-60c7d80ce638%2clanguage%3asv%2candquerymatch&amp;_t_hit.id=Spelinspektionen_Features_Media_DocumentFile/_3bbc5ee5-6126-467d-834e-adfcafe4bf85&amp;_t_hit.pos=1</vt:lpwstr>
      </vt:variant>
      <vt:variant>
        <vt:lpwstr/>
      </vt:variant>
      <vt:variant>
        <vt:i4>1703963</vt:i4>
      </vt:variant>
      <vt:variant>
        <vt:i4>669</vt:i4>
      </vt:variant>
      <vt:variant>
        <vt:i4>0</vt:i4>
      </vt:variant>
      <vt:variant>
        <vt:i4>5</vt:i4>
      </vt:variant>
      <vt:variant>
        <vt:lpwstr>https://dth.nt.gov.au/media/docs/publications/racing-gaming-and-licensing/gambling-research/2023-gambling-prevalance-and-wellbeing-report.pdf</vt:lpwstr>
      </vt:variant>
      <vt:variant>
        <vt:lpwstr/>
      </vt:variant>
      <vt:variant>
        <vt:i4>2687036</vt:i4>
      </vt:variant>
      <vt:variant>
        <vt:i4>666</vt:i4>
      </vt:variant>
      <vt:variant>
        <vt:i4>0</vt:i4>
      </vt:variant>
      <vt:variant>
        <vt:i4>5</vt:i4>
      </vt:variant>
      <vt:variant>
        <vt:lpwstr>http://www.cbs.sa.gov.au/documents/gambling_administration_guidelines.pdf</vt:lpwstr>
      </vt:variant>
      <vt:variant>
        <vt:lpwstr/>
      </vt:variant>
      <vt:variant>
        <vt:i4>3473451</vt:i4>
      </vt:variant>
      <vt:variant>
        <vt:i4>663</vt:i4>
      </vt:variant>
      <vt:variant>
        <vt:i4>0</vt:i4>
      </vt:variant>
      <vt:variant>
        <vt:i4>5</vt:i4>
      </vt:variant>
      <vt:variant>
        <vt:lpwstr>https://aifs.gov.au/sites/default/files/2025-11/2511-AGRC-Understanding-Betstop-review.pdf</vt:lpwstr>
      </vt:variant>
      <vt:variant>
        <vt:lpwstr/>
      </vt:variant>
      <vt:variant>
        <vt:i4>4915306</vt:i4>
      </vt:variant>
      <vt:variant>
        <vt:i4>660</vt:i4>
      </vt:variant>
      <vt:variant>
        <vt:i4>0</vt:i4>
      </vt:variant>
      <vt:variant>
        <vt:i4>5</vt:i4>
      </vt:variant>
      <vt:variant>
        <vt:lpwstr>http://www.gamblingandracing.act.gov.au/__data/assets/pdf_file/0012/2861796/2024-ACT-Gambling-Survey.pdf</vt:lpwstr>
      </vt:variant>
      <vt:variant>
        <vt:lpwstr/>
      </vt:variant>
      <vt:variant>
        <vt:i4>3932205</vt:i4>
      </vt:variant>
      <vt:variant>
        <vt:i4>657</vt:i4>
      </vt:variant>
      <vt:variant>
        <vt:i4>0</vt:i4>
      </vt:variant>
      <vt:variant>
        <vt:i4>5</vt:i4>
      </vt:variant>
      <vt:variant>
        <vt:lpwstr>https://aifsau.sharepoint.com/sites/agrc-team/Shared Documents/NCPF/NCPF_Evaluation/3. Phase 1_PIR &amp; process evaluation/6. Report/Slim/webarchive.nla.gov.au/awa/20251028223839/https:/www.gamblingresearch.org.au/publications/behavioural-trial-consistent-gambling-messaging-under-national-consumer-protection-framework</vt:lpwstr>
      </vt:variant>
      <vt:variant>
        <vt:lpwstr/>
      </vt:variant>
      <vt:variant>
        <vt:i4>3539060</vt:i4>
      </vt:variant>
      <vt:variant>
        <vt:i4>654</vt:i4>
      </vt:variant>
      <vt:variant>
        <vt:i4>0</vt:i4>
      </vt:variant>
      <vt:variant>
        <vt:i4>5</vt:i4>
      </vt:variant>
      <vt:variant>
        <vt:lpwstr>https://responsiblewagering.com.au/wp-content/uploads/2025/11/H2-report-final-2.pdf</vt:lpwstr>
      </vt:variant>
      <vt:variant>
        <vt:lpwstr/>
      </vt:variant>
      <vt:variant>
        <vt:i4>6881404</vt:i4>
      </vt:variant>
      <vt:variant>
        <vt:i4>651</vt:i4>
      </vt:variant>
      <vt:variant>
        <vt:i4>0</vt:i4>
      </vt:variant>
      <vt:variant>
        <vt:i4>5</vt:i4>
      </vt:variant>
      <vt:variant>
        <vt:lpwstr>http://www.qgso.qld.gov.au/statistics/theme/society/gambling/australian-gambling-statistics</vt:lpwstr>
      </vt:variant>
      <vt:variant>
        <vt:lpwstr/>
      </vt:variant>
      <vt:variant>
        <vt:i4>851981</vt:i4>
      </vt:variant>
      <vt:variant>
        <vt:i4>648</vt:i4>
      </vt:variant>
      <vt:variant>
        <vt:i4>0</vt:i4>
      </vt:variant>
      <vt:variant>
        <vt:i4>5</vt:i4>
      </vt:variant>
      <vt:variant>
        <vt:lpwstr>https://www.publications.qld.gov.au/ckan-publications-attachments-prod/resources/50ba6699-7699-483b-bc27-ee737698a667/queensland-gambling-survey-2023-final-report.pdf?ETag=d597678c1f1a0d325a1a3b6dc6eca6d9</vt:lpwstr>
      </vt:variant>
      <vt:variant>
        <vt:lpwstr/>
      </vt:variant>
      <vt:variant>
        <vt:i4>8323179</vt:i4>
      </vt:variant>
      <vt:variant>
        <vt:i4>645</vt:i4>
      </vt:variant>
      <vt:variant>
        <vt:i4>0</vt:i4>
      </vt:variant>
      <vt:variant>
        <vt:i4>5</vt:i4>
      </vt:variant>
      <vt:variant>
        <vt:lpwstr>https://aifsau.sharepoint.com/sites/agrc-team/Shared Documents/NCPF/NCPF_Evaluation/3. Phase 1_PIR &amp; process evaluation/6. Report/oia.pmc.gov.au/resources/guidance-impact-analysis/australian-government-guide-policy-impact-analysis</vt:lpwstr>
      </vt:variant>
      <vt:variant>
        <vt:lpwstr/>
      </vt:variant>
      <vt:variant>
        <vt:i4>3407935</vt:i4>
      </vt:variant>
      <vt:variant>
        <vt:i4>642</vt:i4>
      </vt:variant>
      <vt:variant>
        <vt:i4>0</vt:i4>
      </vt:variant>
      <vt:variant>
        <vt:i4>5</vt:i4>
      </vt:variant>
      <vt:variant>
        <vt:lpwstr>http://www.nicc.nsw.gov.au/news-and-media-releases/australian-casino-regulators-gather-for-first-forum</vt:lpwstr>
      </vt:variant>
      <vt:variant>
        <vt:lpwstr/>
      </vt:variant>
      <vt:variant>
        <vt:i4>7209063</vt:i4>
      </vt:variant>
      <vt:variant>
        <vt:i4>639</vt:i4>
      </vt:variant>
      <vt:variant>
        <vt:i4>0</vt:i4>
      </vt:variant>
      <vt:variant>
        <vt:i4>5</vt:i4>
      </vt:variant>
      <vt:variant>
        <vt:lpwstr>https://aifsau.sharepoint.com/sites/agrc-team/Shared Documents/NCPF/NCPF_Evaluation/3. Phase 1_PIR &amp; process evaluation/6. Report/dth.nt.gov.au/boards-and-committees/racing-commission/hearings-and-decisions</vt:lpwstr>
      </vt:variant>
      <vt:variant>
        <vt:lpwstr/>
      </vt:variant>
      <vt:variant>
        <vt:i4>917569</vt:i4>
      </vt:variant>
      <vt:variant>
        <vt:i4>636</vt:i4>
      </vt:variant>
      <vt:variant>
        <vt:i4>0</vt:i4>
      </vt:variant>
      <vt:variant>
        <vt:i4>5</vt:i4>
      </vt:variant>
      <vt:variant>
        <vt:lpwstr>http://www.nsw.gov.au/business-and-economy/liquor-and-gaming/gaming/wagering-regulation/gambling-advertising</vt:lpwstr>
      </vt:variant>
      <vt:variant>
        <vt:lpwstr/>
      </vt:variant>
      <vt:variant>
        <vt:i4>3735673</vt:i4>
      </vt:variant>
      <vt:variant>
        <vt:i4>633</vt:i4>
      </vt:variant>
      <vt:variant>
        <vt:i4>0</vt:i4>
      </vt:variant>
      <vt:variant>
        <vt:i4>5</vt:i4>
      </vt:variant>
      <vt:variant>
        <vt:lpwstr>http://www.nsw.gov.au/business-and-economy/liquor-and-gaming/news/government-warns-industry-about-going-quiet-on-gambling-harm-messaging-tv-ads</vt:lpwstr>
      </vt:variant>
      <vt:variant>
        <vt:lpwstr/>
      </vt:variant>
      <vt:variant>
        <vt:i4>7405684</vt:i4>
      </vt:variant>
      <vt:variant>
        <vt:i4>630</vt:i4>
      </vt:variant>
      <vt:variant>
        <vt:i4>0</vt:i4>
      </vt:variant>
      <vt:variant>
        <vt:i4>5</vt:i4>
      </vt:variant>
      <vt:variant>
        <vt:lpwstr>https://aifsau.sharepoint.com/sites/agrc-team/Shared Documents/NCPF/NCPF_Evaluation/3. Phase 1_PIR &amp; process evaluation/6. Report/act.ipaa.org.au/spirit-of-service-award-winners-2023</vt:lpwstr>
      </vt:variant>
      <vt:variant>
        <vt:lpwstr/>
      </vt:variant>
      <vt:variant>
        <vt:i4>7405635</vt:i4>
      </vt:variant>
      <vt:variant>
        <vt:i4>627</vt:i4>
      </vt:variant>
      <vt:variant>
        <vt:i4>0</vt:i4>
      </vt:variant>
      <vt:variant>
        <vt:i4>5</vt:i4>
      </vt:variant>
      <vt:variant>
        <vt:lpwstr>http://www.aph.gov.au/Parliamentary_Business/Committees/House/Social_Policy_and_Legal_Affairs/Onlinegamblingimpacts/Report</vt:lpwstr>
      </vt:variant>
      <vt:variant>
        <vt:lpwstr/>
      </vt:variant>
      <vt:variant>
        <vt:i4>4456463</vt:i4>
      </vt:variant>
      <vt:variant>
        <vt:i4>624</vt:i4>
      </vt:variant>
      <vt:variant>
        <vt:i4>0</vt:i4>
      </vt:variant>
      <vt:variant>
        <vt:i4>5</vt:i4>
      </vt:variant>
      <vt:variant>
        <vt:lpwstr>http://www.gamblingresearch.org.au/publications/second-national-study-interactive-gambling-australia-2019-20</vt:lpwstr>
      </vt:variant>
      <vt:variant>
        <vt:lpwstr/>
      </vt:variant>
      <vt:variant>
        <vt:i4>7340134</vt:i4>
      </vt:variant>
      <vt:variant>
        <vt:i4>621</vt:i4>
      </vt:variant>
      <vt:variant>
        <vt:i4>0</vt:i4>
      </vt:variant>
      <vt:variant>
        <vt:i4>5</vt:i4>
      </vt:variant>
      <vt:variant>
        <vt:lpwstr>http://www.dss.gov.au/system/files/resources/phase-ii-dss-gambling-tagline-testing-and-implementation-publishable-hall-and-partners-report-2022.pdf</vt:lpwstr>
      </vt:variant>
      <vt:variant>
        <vt:lpwstr/>
      </vt:variant>
      <vt:variant>
        <vt:i4>458773</vt:i4>
      </vt:variant>
      <vt:variant>
        <vt:i4>618</vt:i4>
      </vt:variant>
      <vt:variant>
        <vt:i4>0</vt:i4>
      </vt:variant>
      <vt:variant>
        <vt:i4>5</vt:i4>
      </vt:variant>
      <vt:variant>
        <vt:lpwstr>http://www.dss.gov.au/system/files/resources/phase-i-dss-gambling-messaging-development-publishable-hall-and-partners-report-2021.pdf</vt:lpwstr>
      </vt:variant>
      <vt:variant>
        <vt:lpwstr/>
      </vt:variant>
      <vt:variant>
        <vt:i4>7667749</vt:i4>
      </vt:variant>
      <vt:variant>
        <vt:i4>615</vt:i4>
      </vt:variant>
      <vt:variant>
        <vt:i4>0</vt:i4>
      </vt:variant>
      <vt:variant>
        <vt:i4>5</vt:i4>
      </vt:variant>
      <vt:variant>
        <vt:lpwstr>https://www.financialcounsellingaustralia.org.au/fca-content/uploads/2023/07/Final-FCAsubmission_SPLCInquiryOnlineGambling_Final-22-March-2023.pdf</vt:lpwstr>
      </vt:variant>
      <vt:variant>
        <vt:lpwstr/>
      </vt:variant>
      <vt:variant>
        <vt:i4>3080203</vt:i4>
      </vt:variant>
      <vt:variant>
        <vt:i4>612</vt:i4>
      </vt:variant>
      <vt:variant>
        <vt:i4>0</vt:i4>
      </vt:variant>
      <vt:variant>
        <vt:i4>5</vt:i4>
      </vt:variant>
      <vt:variant>
        <vt:lpwstr>http://www.dss.gov.au/system/files/documents/2024-11/consistent-gambling-messaging-factsheet-frequently-asked-questions_0.pdf</vt:lpwstr>
      </vt:variant>
      <vt:variant>
        <vt:lpwstr/>
      </vt:variant>
      <vt:variant>
        <vt:i4>6946858</vt:i4>
      </vt:variant>
      <vt:variant>
        <vt:i4>609</vt:i4>
      </vt:variant>
      <vt:variant>
        <vt:i4>0</vt:i4>
      </vt:variant>
      <vt:variant>
        <vt:i4>5</vt:i4>
      </vt:variant>
      <vt:variant>
        <vt:lpwstr>http://www.dss.gov.au/system/files/documents/2024-11/consistent-gambling-messaging-supplementary-fact-sheet-definitions.pdf</vt:lpwstr>
      </vt:variant>
      <vt:variant>
        <vt:lpwstr/>
      </vt:variant>
      <vt:variant>
        <vt:i4>6750280</vt:i4>
      </vt:variant>
      <vt:variant>
        <vt:i4>606</vt:i4>
      </vt:variant>
      <vt:variant>
        <vt:i4>0</vt:i4>
      </vt:variant>
      <vt:variant>
        <vt:i4>5</vt:i4>
      </vt:variant>
      <vt:variant>
        <vt:lpwstr>http://www.dss.gov.au/system/files/resources/consistent-gambling-messaging-implementation-factsheet_0.pdf</vt:lpwstr>
      </vt:variant>
      <vt:variant>
        <vt:lpwstr/>
      </vt:variant>
      <vt:variant>
        <vt:i4>3145815</vt:i4>
      </vt:variant>
      <vt:variant>
        <vt:i4>603</vt:i4>
      </vt:variant>
      <vt:variant>
        <vt:i4>0</vt:i4>
      </vt:variant>
      <vt:variant>
        <vt:i4>5</vt:i4>
      </vt:variant>
      <vt:variant>
        <vt:lpwstr>https://oia.pmc.gov.au/sites/default/files/posts/2018/11/3_coag_decision_ris.pdf</vt:lpwstr>
      </vt:variant>
      <vt:variant>
        <vt:lpwstr/>
      </vt:variant>
      <vt:variant>
        <vt:i4>2359394</vt:i4>
      </vt:variant>
      <vt:variant>
        <vt:i4>600</vt:i4>
      </vt:variant>
      <vt:variant>
        <vt:i4>0</vt:i4>
      </vt:variant>
      <vt:variant>
        <vt:i4>5</vt:i4>
      </vt:variant>
      <vt:variant>
        <vt:lpwstr>https://www.health.gov.au/topics/smoking-vaping-and-tobacco/tobacco-control/health-warnings</vt:lpwstr>
      </vt:variant>
      <vt:variant>
        <vt:lpwstr/>
      </vt:variant>
      <vt:variant>
        <vt:i4>4325384</vt:i4>
      </vt:variant>
      <vt:variant>
        <vt:i4>597</vt:i4>
      </vt:variant>
      <vt:variant>
        <vt:i4>0</vt:i4>
      </vt:variant>
      <vt:variant>
        <vt:i4>5</vt:i4>
      </vt:variant>
      <vt:variant>
        <vt:lpwstr>https://www.gambleaware.nsw.gov.au/resources-and-education/check-out-our-research/published-research/nsw-gambling-survey-2024</vt:lpwstr>
      </vt:variant>
      <vt:variant>
        <vt:lpwstr/>
      </vt:variant>
      <vt:variant>
        <vt:i4>2424880</vt:i4>
      </vt:variant>
      <vt:variant>
        <vt:i4>594</vt:i4>
      </vt:variant>
      <vt:variant>
        <vt:i4>0</vt:i4>
      </vt:variant>
      <vt:variant>
        <vt:i4>5</vt:i4>
      </vt:variant>
      <vt:variant>
        <vt:lpwstr>http://www.austrac.gov.au/business/core-guidance/reporting</vt:lpwstr>
      </vt:variant>
      <vt:variant>
        <vt:lpwstr/>
      </vt:variant>
      <vt:variant>
        <vt:i4>5570631</vt:i4>
      </vt:variant>
      <vt:variant>
        <vt:i4>591</vt:i4>
      </vt:variant>
      <vt:variant>
        <vt:i4>0</vt:i4>
      </vt:variant>
      <vt:variant>
        <vt:i4>5</vt:i4>
      </vt:variant>
      <vt:variant>
        <vt:lpwstr>https://www.acma.gov.au/sites/default/files/2025-03/Cost recovery implementation statement - National Self-Exclusion Register 2024-25.pdf</vt:lpwstr>
      </vt:variant>
      <vt:variant>
        <vt:lpwstr/>
      </vt:variant>
      <vt:variant>
        <vt:i4>3342399</vt:i4>
      </vt:variant>
      <vt:variant>
        <vt:i4>588</vt:i4>
      </vt:variant>
      <vt:variant>
        <vt:i4>0</vt:i4>
      </vt:variant>
      <vt:variant>
        <vt:i4>5</vt:i4>
      </vt:variant>
      <vt:variant>
        <vt:lpwstr>https://aifsau.sharepoint.com/sites/agrc-team/Shared Documents/NCPF/NCPF_Evaluation/3. Phase 1_PIR &amp; process evaluation/6. Report/www.aph.gov.au/-/media/Estimates/ec/bud2627/27526__Proof_Hansard__EC_BE20267.pdf</vt:lpwstr>
      </vt:variant>
      <vt:variant>
        <vt:lpwstr/>
      </vt:variant>
      <vt:variant>
        <vt:i4>1572939</vt:i4>
      </vt:variant>
      <vt:variant>
        <vt:i4>585</vt:i4>
      </vt:variant>
      <vt:variant>
        <vt:i4>0</vt:i4>
      </vt:variant>
      <vt:variant>
        <vt:i4>5</vt:i4>
      </vt:variant>
      <vt:variant>
        <vt:lpwstr/>
      </vt:variant>
      <vt:variant>
        <vt:lpwstr>Figure8a</vt:lpwstr>
      </vt:variant>
      <vt:variant>
        <vt:i4>3473523</vt:i4>
      </vt:variant>
      <vt:variant>
        <vt:i4>582</vt:i4>
      </vt:variant>
      <vt:variant>
        <vt:i4>0</vt:i4>
      </vt:variant>
      <vt:variant>
        <vt:i4>5</vt:i4>
      </vt:variant>
      <vt:variant>
        <vt:lpwstr/>
      </vt:variant>
      <vt:variant>
        <vt:lpwstr>Table8</vt:lpwstr>
      </vt:variant>
      <vt:variant>
        <vt:i4>589846</vt:i4>
      </vt:variant>
      <vt:variant>
        <vt:i4>579</vt:i4>
      </vt:variant>
      <vt:variant>
        <vt:i4>0</vt:i4>
      </vt:variant>
      <vt:variant>
        <vt:i4>5</vt:i4>
      </vt:variant>
      <vt:variant>
        <vt:lpwstr/>
      </vt:variant>
      <vt:variant>
        <vt:lpwstr>AppendixG</vt:lpwstr>
      </vt:variant>
      <vt:variant>
        <vt:i4>7929971</vt:i4>
      </vt:variant>
      <vt:variant>
        <vt:i4>576</vt:i4>
      </vt:variant>
      <vt:variant>
        <vt:i4>0</vt:i4>
      </vt:variant>
      <vt:variant>
        <vt:i4>5</vt:i4>
      </vt:variant>
      <vt:variant>
        <vt:lpwstr/>
      </vt:variant>
      <vt:variant>
        <vt:lpwstr>Figure7</vt:lpwstr>
      </vt:variant>
      <vt:variant>
        <vt:i4>5111887</vt:i4>
      </vt:variant>
      <vt:variant>
        <vt:i4>573</vt:i4>
      </vt:variant>
      <vt:variant>
        <vt:i4>0</vt:i4>
      </vt:variant>
      <vt:variant>
        <vt:i4>5</vt:i4>
      </vt:variant>
      <vt:variant>
        <vt:lpwstr/>
      </vt:variant>
      <vt:variant>
        <vt:lpwstr>AppendixETable14</vt:lpwstr>
      </vt:variant>
      <vt:variant>
        <vt:i4>4784207</vt:i4>
      </vt:variant>
      <vt:variant>
        <vt:i4>570</vt:i4>
      </vt:variant>
      <vt:variant>
        <vt:i4>0</vt:i4>
      </vt:variant>
      <vt:variant>
        <vt:i4>5</vt:i4>
      </vt:variant>
      <vt:variant>
        <vt:lpwstr/>
      </vt:variant>
      <vt:variant>
        <vt:lpwstr>AppendixETable13</vt:lpwstr>
      </vt:variant>
      <vt:variant>
        <vt:i4>3932275</vt:i4>
      </vt:variant>
      <vt:variant>
        <vt:i4>567</vt:i4>
      </vt:variant>
      <vt:variant>
        <vt:i4>0</vt:i4>
      </vt:variant>
      <vt:variant>
        <vt:i4>5</vt:i4>
      </vt:variant>
      <vt:variant>
        <vt:lpwstr/>
      </vt:variant>
      <vt:variant>
        <vt:lpwstr>Table1</vt:lpwstr>
      </vt:variant>
      <vt:variant>
        <vt:i4>4718671</vt:i4>
      </vt:variant>
      <vt:variant>
        <vt:i4>564</vt:i4>
      </vt:variant>
      <vt:variant>
        <vt:i4>0</vt:i4>
      </vt:variant>
      <vt:variant>
        <vt:i4>5</vt:i4>
      </vt:variant>
      <vt:variant>
        <vt:lpwstr/>
      </vt:variant>
      <vt:variant>
        <vt:lpwstr>AppendixETable12</vt:lpwstr>
      </vt:variant>
      <vt:variant>
        <vt:i4>3932275</vt:i4>
      </vt:variant>
      <vt:variant>
        <vt:i4>561</vt:i4>
      </vt:variant>
      <vt:variant>
        <vt:i4>0</vt:i4>
      </vt:variant>
      <vt:variant>
        <vt:i4>5</vt:i4>
      </vt:variant>
      <vt:variant>
        <vt:lpwstr/>
      </vt:variant>
      <vt:variant>
        <vt:lpwstr>Table1</vt:lpwstr>
      </vt:variant>
      <vt:variant>
        <vt:i4>3932275</vt:i4>
      </vt:variant>
      <vt:variant>
        <vt:i4>558</vt:i4>
      </vt:variant>
      <vt:variant>
        <vt:i4>0</vt:i4>
      </vt:variant>
      <vt:variant>
        <vt:i4>5</vt:i4>
      </vt:variant>
      <vt:variant>
        <vt:lpwstr/>
      </vt:variant>
      <vt:variant>
        <vt:lpwstr>Table1</vt:lpwstr>
      </vt:variant>
      <vt:variant>
        <vt:i4>4915279</vt:i4>
      </vt:variant>
      <vt:variant>
        <vt:i4>555</vt:i4>
      </vt:variant>
      <vt:variant>
        <vt:i4>0</vt:i4>
      </vt:variant>
      <vt:variant>
        <vt:i4>5</vt:i4>
      </vt:variant>
      <vt:variant>
        <vt:lpwstr/>
      </vt:variant>
      <vt:variant>
        <vt:lpwstr>AppendixETable11</vt:lpwstr>
      </vt:variant>
      <vt:variant>
        <vt:i4>7995519</vt:i4>
      </vt:variant>
      <vt:variant>
        <vt:i4>552</vt:i4>
      </vt:variant>
      <vt:variant>
        <vt:i4>0</vt:i4>
      </vt:variant>
      <vt:variant>
        <vt:i4>5</vt:i4>
      </vt:variant>
      <vt:variant>
        <vt:lpwstr/>
      </vt:variant>
      <vt:variant>
        <vt:lpwstr>AppendixDTable9</vt:lpwstr>
      </vt:variant>
      <vt:variant>
        <vt:i4>3801203</vt:i4>
      </vt:variant>
      <vt:variant>
        <vt:i4>549</vt:i4>
      </vt:variant>
      <vt:variant>
        <vt:i4>0</vt:i4>
      </vt:variant>
      <vt:variant>
        <vt:i4>5</vt:i4>
      </vt:variant>
      <vt:variant>
        <vt:lpwstr/>
      </vt:variant>
      <vt:variant>
        <vt:lpwstr>Table7</vt:lpwstr>
      </vt:variant>
      <vt:variant>
        <vt:i4>3801203</vt:i4>
      </vt:variant>
      <vt:variant>
        <vt:i4>546</vt:i4>
      </vt:variant>
      <vt:variant>
        <vt:i4>0</vt:i4>
      </vt:variant>
      <vt:variant>
        <vt:i4>5</vt:i4>
      </vt:variant>
      <vt:variant>
        <vt:lpwstr/>
      </vt:variant>
      <vt:variant>
        <vt:lpwstr>Table7</vt:lpwstr>
      </vt:variant>
      <vt:variant>
        <vt:i4>3932275</vt:i4>
      </vt:variant>
      <vt:variant>
        <vt:i4>543</vt:i4>
      </vt:variant>
      <vt:variant>
        <vt:i4>0</vt:i4>
      </vt:variant>
      <vt:variant>
        <vt:i4>5</vt:i4>
      </vt:variant>
      <vt:variant>
        <vt:lpwstr/>
      </vt:variant>
      <vt:variant>
        <vt:lpwstr>Table1</vt:lpwstr>
      </vt:variant>
      <vt:variant>
        <vt:i4>7995519</vt:i4>
      </vt:variant>
      <vt:variant>
        <vt:i4>540</vt:i4>
      </vt:variant>
      <vt:variant>
        <vt:i4>0</vt:i4>
      </vt:variant>
      <vt:variant>
        <vt:i4>5</vt:i4>
      </vt:variant>
      <vt:variant>
        <vt:lpwstr/>
      </vt:variant>
      <vt:variant>
        <vt:lpwstr>AppendixDTable9</vt:lpwstr>
      </vt:variant>
      <vt:variant>
        <vt:i4>589846</vt:i4>
      </vt:variant>
      <vt:variant>
        <vt:i4>537</vt:i4>
      </vt:variant>
      <vt:variant>
        <vt:i4>0</vt:i4>
      </vt:variant>
      <vt:variant>
        <vt:i4>5</vt:i4>
      </vt:variant>
      <vt:variant>
        <vt:lpwstr/>
      </vt:variant>
      <vt:variant>
        <vt:lpwstr>AppendixD</vt:lpwstr>
      </vt:variant>
      <vt:variant>
        <vt:i4>3866739</vt:i4>
      </vt:variant>
      <vt:variant>
        <vt:i4>534</vt:i4>
      </vt:variant>
      <vt:variant>
        <vt:i4>0</vt:i4>
      </vt:variant>
      <vt:variant>
        <vt:i4>5</vt:i4>
      </vt:variant>
      <vt:variant>
        <vt:lpwstr/>
      </vt:variant>
      <vt:variant>
        <vt:lpwstr>Table6a</vt:lpwstr>
      </vt:variant>
      <vt:variant>
        <vt:i4>3932275</vt:i4>
      </vt:variant>
      <vt:variant>
        <vt:i4>531</vt:i4>
      </vt:variant>
      <vt:variant>
        <vt:i4>0</vt:i4>
      </vt:variant>
      <vt:variant>
        <vt:i4>5</vt:i4>
      </vt:variant>
      <vt:variant>
        <vt:lpwstr/>
      </vt:variant>
      <vt:variant>
        <vt:lpwstr>Table1</vt:lpwstr>
      </vt:variant>
      <vt:variant>
        <vt:i4>7929971</vt:i4>
      </vt:variant>
      <vt:variant>
        <vt:i4>528</vt:i4>
      </vt:variant>
      <vt:variant>
        <vt:i4>0</vt:i4>
      </vt:variant>
      <vt:variant>
        <vt:i4>5</vt:i4>
      </vt:variant>
      <vt:variant>
        <vt:lpwstr/>
      </vt:variant>
      <vt:variant>
        <vt:lpwstr>Figure6</vt:lpwstr>
      </vt:variant>
      <vt:variant>
        <vt:i4>7929971</vt:i4>
      </vt:variant>
      <vt:variant>
        <vt:i4>525</vt:i4>
      </vt:variant>
      <vt:variant>
        <vt:i4>0</vt:i4>
      </vt:variant>
      <vt:variant>
        <vt:i4>5</vt:i4>
      </vt:variant>
      <vt:variant>
        <vt:lpwstr/>
      </vt:variant>
      <vt:variant>
        <vt:lpwstr>Figure5</vt:lpwstr>
      </vt:variant>
      <vt:variant>
        <vt:i4>3670131</vt:i4>
      </vt:variant>
      <vt:variant>
        <vt:i4>522</vt:i4>
      </vt:variant>
      <vt:variant>
        <vt:i4>0</vt:i4>
      </vt:variant>
      <vt:variant>
        <vt:i4>5</vt:i4>
      </vt:variant>
      <vt:variant>
        <vt:lpwstr/>
      </vt:variant>
      <vt:variant>
        <vt:lpwstr>Table5</vt:lpwstr>
      </vt:variant>
      <vt:variant>
        <vt:i4>7929971</vt:i4>
      </vt:variant>
      <vt:variant>
        <vt:i4>519</vt:i4>
      </vt:variant>
      <vt:variant>
        <vt:i4>0</vt:i4>
      </vt:variant>
      <vt:variant>
        <vt:i4>5</vt:i4>
      </vt:variant>
      <vt:variant>
        <vt:lpwstr/>
      </vt:variant>
      <vt:variant>
        <vt:lpwstr>Figure4</vt:lpwstr>
      </vt:variant>
      <vt:variant>
        <vt:i4>7929971</vt:i4>
      </vt:variant>
      <vt:variant>
        <vt:i4>516</vt:i4>
      </vt:variant>
      <vt:variant>
        <vt:i4>0</vt:i4>
      </vt:variant>
      <vt:variant>
        <vt:i4>5</vt:i4>
      </vt:variant>
      <vt:variant>
        <vt:lpwstr/>
      </vt:variant>
      <vt:variant>
        <vt:lpwstr>Figure3</vt:lpwstr>
      </vt:variant>
      <vt:variant>
        <vt:i4>7536671</vt:i4>
      </vt:variant>
      <vt:variant>
        <vt:i4>513</vt:i4>
      </vt:variant>
      <vt:variant>
        <vt:i4>0</vt:i4>
      </vt:variant>
      <vt:variant>
        <vt:i4>5</vt:i4>
      </vt:variant>
      <vt:variant>
        <vt:lpwstr/>
      </vt:variant>
      <vt:variant>
        <vt:lpwstr>_Appendix_B:_Program</vt:lpwstr>
      </vt:variant>
      <vt:variant>
        <vt:i4>589846</vt:i4>
      </vt:variant>
      <vt:variant>
        <vt:i4>510</vt:i4>
      </vt:variant>
      <vt:variant>
        <vt:i4>0</vt:i4>
      </vt:variant>
      <vt:variant>
        <vt:i4>5</vt:i4>
      </vt:variant>
      <vt:variant>
        <vt:lpwstr/>
      </vt:variant>
      <vt:variant>
        <vt:lpwstr>AppendixA</vt:lpwstr>
      </vt:variant>
      <vt:variant>
        <vt:i4>4063347</vt:i4>
      </vt:variant>
      <vt:variant>
        <vt:i4>507</vt:i4>
      </vt:variant>
      <vt:variant>
        <vt:i4>0</vt:i4>
      </vt:variant>
      <vt:variant>
        <vt:i4>5</vt:i4>
      </vt:variant>
      <vt:variant>
        <vt:lpwstr/>
      </vt:variant>
      <vt:variant>
        <vt:lpwstr>Table3</vt:lpwstr>
      </vt:variant>
      <vt:variant>
        <vt:i4>7995474</vt:i4>
      </vt:variant>
      <vt:variant>
        <vt:i4>504</vt:i4>
      </vt:variant>
      <vt:variant>
        <vt:i4>0</vt:i4>
      </vt:variant>
      <vt:variant>
        <vt:i4>5</vt:i4>
      </vt:variant>
      <vt:variant>
        <vt:lpwstr/>
      </vt:variant>
      <vt:variant>
        <vt:lpwstr>_Were_the_measures</vt:lpwstr>
      </vt:variant>
      <vt:variant>
        <vt:i4>589846</vt:i4>
      </vt:variant>
      <vt:variant>
        <vt:i4>501</vt:i4>
      </vt:variant>
      <vt:variant>
        <vt:i4>0</vt:i4>
      </vt:variant>
      <vt:variant>
        <vt:i4>5</vt:i4>
      </vt:variant>
      <vt:variant>
        <vt:lpwstr/>
      </vt:variant>
      <vt:variant>
        <vt:lpwstr>AppendixB</vt:lpwstr>
      </vt:variant>
      <vt:variant>
        <vt:i4>4128883</vt:i4>
      </vt:variant>
      <vt:variant>
        <vt:i4>498</vt:i4>
      </vt:variant>
      <vt:variant>
        <vt:i4>0</vt:i4>
      </vt:variant>
      <vt:variant>
        <vt:i4>5</vt:i4>
      </vt:variant>
      <vt:variant>
        <vt:lpwstr/>
      </vt:variant>
      <vt:variant>
        <vt:lpwstr>Table2</vt:lpwstr>
      </vt:variant>
      <vt:variant>
        <vt:i4>7536671</vt:i4>
      </vt:variant>
      <vt:variant>
        <vt:i4>495</vt:i4>
      </vt:variant>
      <vt:variant>
        <vt:i4>0</vt:i4>
      </vt:variant>
      <vt:variant>
        <vt:i4>5</vt:i4>
      </vt:variant>
      <vt:variant>
        <vt:lpwstr/>
      </vt:variant>
      <vt:variant>
        <vt:lpwstr>_Appendix_B:_Program</vt:lpwstr>
      </vt:variant>
      <vt:variant>
        <vt:i4>7405603</vt:i4>
      </vt:variant>
      <vt:variant>
        <vt:i4>492</vt:i4>
      </vt:variant>
      <vt:variant>
        <vt:i4>0</vt:i4>
      </vt:variant>
      <vt:variant>
        <vt:i4>5</vt:i4>
      </vt:variant>
      <vt:variant>
        <vt:lpwstr>https://www.legislation.gov.au/Details/C2022C00063</vt:lpwstr>
      </vt:variant>
      <vt:variant>
        <vt:lpwstr/>
      </vt:variant>
      <vt:variant>
        <vt:i4>5308442</vt:i4>
      </vt:variant>
      <vt:variant>
        <vt:i4>489</vt:i4>
      </vt:variant>
      <vt:variant>
        <vt:i4>0</vt:i4>
      </vt:variant>
      <vt:variant>
        <vt:i4>5</vt:i4>
      </vt:variant>
      <vt:variant>
        <vt:lpwstr>https://www.betstop.gov.au/about/</vt:lpwstr>
      </vt:variant>
      <vt:variant>
        <vt:lpwstr/>
      </vt:variant>
      <vt:variant>
        <vt:i4>4456517</vt:i4>
      </vt:variant>
      <vt:variant>
        <vt:i4>486</vt:i4>
      </vt:variant>
      <vt:variant>
        <vt:i4>0</vt:i4>
      </vt:variant>
      <vt:variant>
        <vt:i4>5</vt:i4>
      </vt:variant>
      <vt:variant>
        <vt:lpwstr>https://www.dss.gov.au/communities-and-vulnerable-people-programs-services-gambling-information-for-online-wagering-providers/staff-training</vt:lpwstr>
      </vt:variant>
      <vt:variant>
        <vt:lpwstr/>
      </vt:variant>
      <vt:variant>
        <vt:i4>8126535</vt:i4>
      </vt:variant>
      <vt:variant>
        <vt:i4>483</vt:i4>
      </vt:variant>
      <vt:variant>
        <vt:i4>0</vt:i4>
      </vt:variant>
      <vt:variant>
        <vt:i4>5</vt:i4>
      </vt:variant>
      <vt:variant>
        <vt:lpwstr>https://www.liquorandgaming.nsw.gov.au/__data/assets/pdf_file/0008/1128536/commonwealth-cgm-measure-faqs.pdf</vt:lpwstr>
      </vt:variant>
      <vt:variant>
        <vt:lpwstr/>
      </vt:variant>
      <vt:variant>
        <vt:i4>3997772</vt:i4>
      </vt:variant>
      <vt:variant>
        <vt:i4>480</vt:i4>
      </vt:variant>
      <vt:variant>
        <vt:i4>0</vt:i4>
      </vt:variant>
      <vt:variant>
        <vt:i4>5</vt:i4>
      </vt:variant>
      <vt:variant>
        <vt:lpwstr>https://www.dss.gov.au/sites/default/files/documents/11_2022/guidance-factsheet-consistent-gambling-messaging-implmentation-factsheet.pdf</vt:lpwstr>
      </vt:variant>
      <vt:variant>
        <vt:lpwstr/>
      </vt:variant>
      <vt:variant>
        <vt:i4>1179677</vt:i4>
      </vt:variant>
      <vt:variant>
        <vt:i4>477</vt:i4>
      </vt:variant>
      <vt:variant>
        <vt:i4>0</vt:i4>
      </vt:variant>
      <vt:variant>
        <vt:i4>5</vt:i4>
      </vt:variant>
      <vt:variant>
        <vt:lpwstr>https://www.dss.gov.au/communities-and-vulnerable-people-programs-services-gambling-information-for-online-wagering-providers/activity-statements</vt:lpwstr>
      </vt:variant>
      <vt:variant>
        <vt:lpwstr/>
      </vt:variant>
      <vt:variant>
        <vt:i4>7733284</vt:i4>
      </vt:variant>
      <vt:variant>
        <vt:i4>474</vt:i4>
      </vt:variant>
      <vt:variant>
        <vt:i4>0</vt:i4>
      </vt:variant>
      <vt:variant>
        <vt:i4>5</vt:i4>
      </vt:variant>
      <vt:variant>
        <vt:lpwstr>https://www.legislation.gov.au/Details/F2022C00716</vt:lpwstr>
      </vt:variant>
      <vt:variant>
        <vt:lpwstr/>
      </vt:variant>
      <vt:variant>
        <vt:i4>7471148</vt:i4>
      </vt:variant>
      <vt:variant>
        <vt:i4>471</vt:i4>
      </vt:variant>
      <vt:variant>
        <vt:i4>0</vt:i4>
      </vt:variant>
      <vt:variant>
        <vt:i4>5</vt:i4>
      </vt:variant>
      <vt:variant>
        <vt:lpwstr>https://www.legislation.gov.au/Details/C2017A00085</vt:lpwstr>
      </vt:variant>
      <vt:variant>
        <vt:lpwstr/>
      </vt:variant>
      <vt:variant>
        <vt:i4>7471148</vt:i4>
      </vt:variant>
      <vt:variant>
        <vt:i4>468</vt:i4>
      </vt:variant>
      <vt:variant>
        <vt:i4>0</vt:i4>
      </vt:variant>
      <vt:variant>
        <vt:i4>5</vt:i4>
      </vt:variant>
      <vt:variant>
        <vt:lpwstr>https://www.legislation.gov.au/Details/C2017A00085</vt:lpwstr>
      </vt:variant>
      <vt:variant>
        <vt:lpwstr/>
      </vt:variant>
      <vt:variant>
        <vt:i4>589846</vt:i4>
      </vt:variant>
      <vt:variant>
        <vt:i4>465</vt:i4>
      </vt:variant>
      <vt:variant>
        <vt:i4>0</vt:i4>
      </vt:variant>
      <vt:variant>
        <vt:i4>5</vt:i4>
      </vt:variant>
      <vt:variant>
        <vt:lpwstr/>
      </vt:variant>
      <vt:variant>
        <vt:lpwstr>AppendixA</vt:lpwstr>
      </vt:variant>
      <vt:variant>
        <vt:i4>3932275</vt:i4>
      </vt:variant>
      <vt:variant>
        <vt:i4>462</vt:i4>
      </vt:variant>
      <vt:variant>
        <vt:i4>0</vt:i4>
      </vt:variant>
      <vt:variant>
        <vt:i4>5</vt:i4>
      </vt:variant>
      <vt:variant>
        <vt:lpwstr/>
      </vt:variant>
      <vt:variant>
        <vt:lpwstr>Table1</vt:lpwstr>
      </vt:variant>
      <vt:variant>
        <vt:i4>3604576</vt:i4>
      </vt:variant>
      <vt:variant>
        <vt:i4>453</vt:i4>
      </vt:variant>
      <vt:variant>
        <vt:i4>0</vt:i4>
      </vt:variant>
      <vt:variant>
        <vt:i4>5</vt:i4>
      </vt:variant>
      <vt:variant>
        <vt:lpwstr>https://www.qgso.qld.gov.au/issues/2646/australian-gambling-statistics-40th-edn-1998-99-2023-24.pdf</vt:lpwstr>
      </vt:variant>
      <vt:variant>
        <vt:lpwstr/>
      </vt:variant>
      <vt:variant>
        <vt:i4>4259850</vt:i4>
      </vt:variant>
      <vt:variant>
        <vt:i4>450</vt:i4>
      </vt:variant>
      <vt:variant>
        <vt:i4>0</vt:i4>
      </vt:variant>
      <vt:variant>
        <vt:i4>5</vt:i4>
      </vt:variant>
      <vt:variant>
        <vt:lpwstr>https://www.qgso.qld.gov.au/issues/2646/australian-gambling-statistics-40th-edn-1998-99-2023-24-explanatory-notes.pdf</vt:lpwstr>
      </vt:variant>
      <vt:variant>
        <vt:lpwstr/>
      </vt:variant>
      <vt:variant>
        <vt:i4>7929971</vt:i4>
      </vt:variant>
      <vt:variant>
        <vt:i4>444</vt:i4>
      </vt:variant>
      <vt:variant>
        <vt:i4>0</vt:i4>
      </vt:variant>
      <vt:variant>
        <vt:i4>5</vt:i4>
      </vt:variant>
      <vt:variant>
        <vt:lpwstr/>
      </vt:variant>
      <vt:variant>
        <vt:lpwstr>Figure1</vt:lpwstr>
      </vt:variant>
      <vt:variant>
        <vt:i4>1179702</vt:i4>
      </vt:variant>
      <vt:variant>
        <vt:i4>437</vt:i4>
      </vt:variant>
      <vt:variant>
        <vt:i4>0</vt:i4>
      </vt:variant>
      <vt:variant>
        <vt:i4>5</vt:i4>
      </vt:variant>
      <vt:variant>
        <vt:lpwstr/>
      </vt:variant>
      <vt:variant>
        <vt:lpwstr>_Toc233643337</vt:lpwstr>
      </vt:variant>
      <vt:variant>
        <vt:i4>1179702</vt:i4>
      </vt:variant>
      <vt:variant>
        <vt:i4>431</vt:i4>
      </vt:variant>
      <vt:variant>
        <vt:i4>0</vt:i4>
      </vt:variant>
      <vt:variant>
        <vt:i4>5</vt:i4>
      </vt:variant>
      <vt:variant>
        <vt:lpwstr/>
      </vt:variant>
      <vt:variant>
        <vt:lpwstr>_Toc233643336</vt:lpwstr>
      </vt:variant>
      <vt:variant>
        <vt:i4>1179702</vt:i4>
      </vt:variant>
      <vt:variant>
        <vt:i4>425</vt:i4>
      </vt:variant>
      <vt:variant>
        <vt:i4>0</vt:i4>
      </vt:variant>
      <vt:variant>
        <vt:i4>5</vt:i4>
      </vt:variant>
      <vt:variant>
        <vt:lpwstr/>
      </vt:variant>
      <vt:variant>
        <vt:lpwstr>_Toc233643335</vt:lpwstr>
      </vt:variant>
      <vt:variant>
        <vt:i4>1179702</vt:i4>
      </vt:variant>
      <vt:variant>
        <vt:i4>419</vt:i4>
      </vt:variant>
      <vt:variant>
        <vt:i4>0</vt:i4>
      </vt:variant>
      <vt:variant>
        <vt:i4>5</vt:i4>
      </vt:variant>
      <vt:variant>
        <vt:lpwstr/>
      </vt:variant>
      <vt:variant>
        <vt:lpwstr>_Toc233643334</vt:lpwstr>
      </vt:variant>
      <vt:variant>
        <vt:i4>1179702</vt:i4>
      </vt:variant>
      <vt:variant>
        <vt:i4>413</vt:i4>
      </vt:variant>
      <vt:variant>
        <vt:i4>0</vt:i4>
      </vt:variant>
      <vt:variant>
        <vt:i4>5</vt:i4>
      </vt:variant>
      <vt:variant>
        <vt:lpwstr/>
      </vt:variant>
      <vt:variant>
        <vt:lpwstr>_Toc233643333</vt:lpwstr>
      </vt:variant>
      <vt:variant>
        <vt:i4>1179702</vt:i4>
      </vt:variant>
      <vt:variant>
        <vt:i4>407</vt:i4>
      </vt:variant>
      <vt:variant>
        <vt:i4>0</vt:i4>
      </vt:variant>
      <vt:variant>
        <vt:i4>5</vt:i4>
      </vt:variant>
      <vt:variant>
        <vt:lpwstr/>
      </vt:variant>
      <vt:variant>
        <vt:lpwstr>_Toc233643332</vt:lpwstr>
      </vt:variant>
      <vt:variant>
        <vt:i4>1179702</vt:i4>
      </vt:variant>
      <vt:variant>
        <vt:i4>401</vt:i4>
      </vt:variant>
      <vt:variant>
        <vt:i4>0</vt:i4>
      </vt:variant>
      <vt:variant>
        <vt:i4>5</vt:i4>
      </vt:variant>
      <vt:variant>
        <vt:lpwstr/>
      </vt:variant>
      <vt:variant>
        <vt:lpwstr>_Toc233643331</vt:lpwstr>
      </vt:variant>
      <vt:variant>
        <vt:i4>1179702</vt:i4>
      </vt:variant>
      <vt:variant>
        <vt:i4>395</vt:i4>
      </vt:variant>
      <vt:variant>
        <vt:i4>0</vt:i4>
      </vt:variant>
      <vt:variant>
        <vt:i4>5</vt:i4>
      </vt:variant>
      <vt:variant>
        <vt:lpwstr/>
      </vt:variant>
      <vt:variant>
        <vt:lpwstr>_Toc233643330</vt:lpwstr>
      </vt:variant>
      <vt:variant>
        <vt:i4>1245238</vt:i4>
      </vt:variant>
      <vt:variant>
        <vt:i4>389</vt:i4>
      </vt:variant>
      <vt:variant>
        <vt:i4>0</vt:i4>
      </vt:variant>
      <vt:variant>
        <vt:i4>5</vt:i4>
      </vt:variant>
      <vt:variant>
        <vt:lpwstr/>
      </vt:variant>
      <vt:variant>
        <vt:lpwstr>_Toc233643329</vt:lpwstr>
      </vt:variant>
      <vt:variant>
        <vt:i4>1245238</vt:i4>
      </vt:variant>
      <vt:variant>
        <vt:i4>383</vt:i4>
      </vt:variant>
      <vt:variant>
        <vt:i4>0</vt:i4>
      </vt:variant>
      <vt:variant>
        <vt:i4>5</vt:i4>
      </vt:variant>
      <vt:variant>
        <vt:lpwstr/>
      </vt:variant>
      <vt:variant>
        <vt:lpwstr>_Toc233643328</vt:lpwstr>
      </vt:variant>
      <vt:variant>
        <vt:i4>1245238</vt:i4>
      </vt:variant>
      <vt:variant>
        <vt:i4>377</vt:i4>
      </vt:variant>
      <vt:variant>
        <vt:i4>0</vt:i4>
      </vt:variant>
      <vt:variant>
        <vt:i4>5</vt:i4>
      </vt:variant>
      <vt:variant>
        <vt:lpwstr/>
      </vt:variant>
      <vt:variant>
        <vt:lpwstr>_Toc233643327</vt:lpwstr>
      </vt:variant>
      <vt:variant>
        <vt:i4>1245238</vt:i4>
      </vt:variant>
      <vt:variant>
        <vt:i4>371</vt:i4>
      </vt:variant>
      <vt:variant>
        <vt:i4>0</vt:i4>
      </vt:variant>
      <vt:variant>
        <vt:i4>5</vt:i4>
      </vt:variant>
      <vt:variant>
        <vt:lpwstr/>
      </vt:variant>
      <vt:variant>
        <vt:lpwstr>_Toc233643326</vt:lpwstr>
      </vt:variant>
      <vt:variant>
        <vt:i4>1245238</vt:i4>
      </vt:variant>
      <vt:variant>
        <vt:i4>365</vt:i4>
      </vt:variant>
      <vt:variant>
        <vt:i4>0</vt:i4>
      </vt:variant>
      <vt:variant>
        <vt:i4>5</vt:i4>
      </vt:variant>
      <vt:variant>
        <vt:lpwstr/>
      </vt:variant>
      <vt:variant>
        <vt:lpwstr>_Toc233643325</vt:lpwstr>
      </vt:variant>
      <vt:variant>
        <vt:i4>1245238</vt:i4>
      </vt:variant>
      <vt:variant>
        <vt:i4>359</vt:i4>
      </vt:variant>
      <vt:variant>
        <vt:i4>0</vt:i4>
      </vt:variant>
      <vt:variant>
        <vt:i4>5</vt:i4>
      </vt:variant>
      <vt:variant>
        <vt:lpwstr/>
      </vt:variant>
      <vt:variant>
        <vt:lpwstr>_Toc233643324</vt:lpwstr>
      </vt:variant>
      <vt:variant>
        <vt:i4>1245238</vt:i4>
      </vt:variant>
      <vt:variant>
        <vt:i4>353</vt:i4>
      </vt:variant>
      <vt:variant>
        <vt:i4>0</vt:i4>
      </vt:variant>
      <vt:variant>
        <vt:i4>5</vt:i4>
      </vt:variant>
      <vt:variant>
        <vt:lpwstr/>
      </vt:variant>
      <vt:variant>
        <vt:lpwstr>_Toc233643323</vt:lpwstr>
      </vt:variant>
      <vt:variant>
        <vt:i4>1245238</vt:i4>
      </vt:variant>
      <vt:variant>
        <vt:i4>347</vt:i4>
      </vt:variant>
      <vt:variant>
        <vt:i4>0</vt:i4>
      </vt:variant>
      <vt:variant>
        <vt:i4>5</vt:i4>
      </vt:variant>
      <vt:variant>
        <vt:lpwstr/>
      </vt:variant>
      <vt:variant>
        <vt:lpwstr>_Toc233643322</vt:lpwstr>
      </vt:variant>
      <vt:variant>
        <vt:i4>1245238</vt:i4>
      </vt:variant>
      <vt:variant>
        <vt:i4>341</vt:i4>
      </vt:variant>
      <vt:variant>
        <vt:i4>0</vt:i4>
      </vt:variant>
      <vt:variant>
        <vt:i4>5</vt:i4>
      </vt:variant>
      <vt:variant>
        <vt:lpwstr/>
      </vt:variant>
      <vt:variant>
        <vt:lpwstr>_Toc233643321</vt:lpwstr>
      </vt:variant>
      <vt:variant>
        <vt:i4>1245238</vt:i4>
      </vt:variant>
      <vt:variant>
        <vt:i4>335</vt:i4>
      </vt:variant>
      <vt:variant>
        <vt:i4>0</vt:i4>
      </vt:variant>
      <vt:variant>
        <vt:i4>5</vt:i4>
      </vt:variant>
      <vt:variant>
        <vt:lpwstr/>
      </vt:variant>
      <vt:variant>
        <vt:lpwstr>_Toc233643320</vt:lpwstr>
      </vt:variant>
      <vt:variant>
        <vt:i4>1048630</vt:i4>
      </vt:variant>
      <vt:variant>
        <vt:i4>329</vt:i4>
      </vt:variant>
      <vt:variant>
        <vt:i4>0</vt:i4>
      </vt:variant>
      <vt:variant>
        <vt:i4>5</vt:i4>
      </vt:variant>
      <vt:variant>
        <vt:lpwstr/>
      </vt:variant>
      <vt:variant>
        <vt:lpwstr>_Toc233643319</vt:lpwstr>
      </vt:variant>
      <vt:variant>
        <vt:i4>1048630</vt:i4>
      </vt:variant>
      <vt:variant>
        <vt:i4>323</vt:i4>
      </vt:variant>
      <vt:variant>
        <vt:i4>0</vt:i4>
      </vt:variant>
      <vt:variant>
        <vt:i4>5</vt:i4>
      </vt:variant>
      <vt:variant>
        <vt:lpwstr/>
      </vt:variant>
      <vt:variant>
        <vt:lpwstr>_Toc233643318</vt:lpwstr>
      </vt:variant>
      <vt:variant>
        <vt:i4>1048630</vt:i4>
      </vt:variant>
      <vt:variant>
        <vt:i4>317</vt:i4>
      </vt:variant>
      <vt:variant>
        <vt:i4>0</vt:i4>
      </vt:variant>
      <vt:variant>
        <vt:i4>5</vt:i4>
      </vt:variant>
      <vt:variant>
        <vt:lpwstr/>
      </vt:variant>
      <vt:variant>
        <vt:lpwstr>_Toc233643317</vt:lpwstr>
      </vt:variant>
      <vt:variant>
        <vt:i4>1048630</vt:i4>
      </vt:variant>
      <vt:variant>
        <vt:i4>311</vt:i4>
      </vt:variant>
      <vt:variant>
        <vt:i4>0</vt:i4>
      </vt:variant>
      <vt:variant>
        <vt:i4>5</vt:i4>
      </vt:variant>
      <vt:variant>
        <vt:lpwstr/>
      </vt:variant>
      <vt:variant>
        <vt:lpwstr>_Toc233643316</vt:lpwstr>
      </vt:variant>
      <vt:variant>
        <vt:i4>1048630</vt:i4>
      </vt:variant>
      <vt:variant>
        <vt:i4>305</vt:i4>
      </vt:variant>
      <vt:variant>
        <vt:i4>0</vt:i4>
      </vt:variant>
      <vt:variant>
        <vt:i4>5</vt:i4>
      </vt:variant>
      <vt:variant>
        <vt:lpwstr/>
      </vt:variant>
      <vt:variant>
        <vt:lpwstr>_Toc233643315</vt:lpwstr>
      </vt:variant>
      <vt:variant>
        <vt:i4>1048630</vt:i4>
      </vt:variant>
      <vt:variant>
        <vt:i4>299</vt:i4>
      </vt:variant>
      <vt:variant>
        <vt:i4>0</vt:i4>
      </vt:variant>
      <vt:variant>
        <vt:i4>5</vt:i4>
      </vt:variant>
      <vt:variant>
        <vt:lpwstr/>
      </vt:variant>
      <vt:variant>
        <vt:lpwstr>_Toc233643314</vt:lpwstr>
      </vt:variant>
      <vt:variant>
        <vt:i4>1048630</vt:i4>
      </vt:variant>
      <vt:variant>
        <vt:i4>293</vt:i4>
      </vt:variant>
      <vt:variant>
        <vt:i4>0</vt:i4>
      </vt:variant>
      <vt:variant>
        <vt:i4>5</vt:i4>
      </vt:variant>
      <vt:variant>
        <vt:lpwstr/>
      </vt:variant>
      <vt:variant>
        <vt:lpwstr>_Toc233643313</vt:lpwstr>
      </vt:variant>
      <vt:variant>
        <vt:i4>1048630</vt:i4>
      </vt:variant>
      <vt:variant>
        <vt:i4>287</vt:i4>
      </vt:variant>
      <vt:variant>
        <vt:i4>0</vt:i4>
      </vt:variant>
      <vt:variant>
        <vt:i4>5</vt:i4>
      </vt:variant>
      <vt:variant>
        <vt:lpwstr/>
      </vt:variant>
      <vt:variant>
        <vt:lpwstr>_Toc233643312</vt:lpwstr>
      </vt:variant>
      <vt:variant>
        <vt:i4>1048630</vt:i4>
      </vt:variant>
      <vt:variant>
        <vt:i4>281</vt:i4>
      </vt:variant>
      <vt:variant>
        <vt:i4>0</vt:i4>
      </vt:variant>
      <vt:variant>
        <vt:i4>5</vt:i4>
      </vt:variant>
      <vt:variant>
        <vt:lpwstr/>
      </vt:variant>
      <vt:variant>
        <vt:lpwstr>_Toc233643311</vt:lpwstr>
      </vt:variant>
      <vt:variant>
        <vt:i4>1048630</vt:i4>
      </vt:variant>
      <vt:variant>
        <vt:i4>275</vt:i4>
      </vt:variant>
      <vt:variant>
        <vt:i4>0</vt:i4>
      </vt:variant>
      <vt:variant>
        <vt:i4>5</vt:i4>
      </vt:variant>
      <vt:variant>
        <vt:lpwstr/>
      </vt:variant>
      <vt:variant>
        <vt:lpwstr>_Toc233643310</vt:lpwstr>
      </vt:variant>
      <vt:variant>
        <vt:i4>1114166</vt:i4>
      </vt:variant>
      <vt:variant>
        <vt:i4>269</vt:i4>
      </vt:variant>
      <vt:variant>
        <vt:i4>0</vt:i4>
      </vt:variant>
      <vt:variant>
        <vt:i4>5</vt:i4>
      </vt:variant>
      <vt:variant>
        <vt:lpwstr/>
      </vt:variant>
      <vt:variant>
        <vt:lpwstr>_Toc233643309</vt:lpwstr>
      </vt:variant>
      <vt:variant>
        <vt:i4>1114166</vt:i4>
      </vt:variant>
      <vt:variant>
        <vt:i4>263</vt:i4>
      </vt:variant>
      <vt:variant>
        <vt:i4>0</vt:i4>
      </vt:variant>
      <vt:variant>
        <vt:i4>5</vt:i4>
      </vt:variant>
      <vt:variant>
        <vt:lpwstr/>
      </vt:variant>
      <vt:variant>
        <vt:lpwstr>_Toc233643308</vt:lpwstr>
      </vt:variant>
      <vt:variant>
        <vt:i4>1114166</vt:i4>
      </vt:variant>
      <vt:variant>
        <vt:i4>257</vt:i4>
      </vt:variant>
      <vt:variant>
        <vt:i4>0</vt:i4>
      </vt:variant>
      <vt:variant>
        <vt:i4>5</vt:i4>
      </vt:variant>
      <vt:variant>
        <vt:lpwstr/>
      </vt:variant>
      <vt:variant>
        <vt:lpwstr>_Toc233643307</vt:lpwstr>
      </vt:variant>
      <vt:variant>
        <vt:i4>1114166</vt:i4>
      </vt:variant>
      <vt:variant>
        <vt:i4>251</vt:i4>
      </vt:variant>
      <vt:variant>
        <vt:i4>0</vt:i4>
      </vt:variant>
      <vt:variant>
        <vt:i4>5</vt:i4>
      </vt:variant>
      <vt:variant>
        <vt:lpwstr/>
      </vt:variant>
      <vt:variant>
        <vt:lpwstr>_Toc233643306</vt:lpwstr>
      </vt:variant>
      <vt:variant>
        <vt:i4>1114166</vt:i4>
      </vt:variant>
      <vt:variant>
        <vt:i4>245</vt:i4>
      </vt:variant>
      <vt:variant>
        <vt:i4>0</vt:i4>
      </vt:variant>
      <vt:variant>
        <vt:i4>5</vt:i4>
      </vt:variant>
      <vt:variant>
        <vt:lpwstr/>
      </vt:variant>
      <vt:variant>
        <vt:lpwstr>_Toc233643305</vt:lpwstr>
      </vt:variant>
      <vt:variant>
        <vt:i4>1114166</vt:i4>
      </vt:variant>
      <vt:variant>
        <vt:i4>239</vt:i4>
      </vt:variant>
      <vt:variant>
        <vt:i4>0</vt:i4>
      </vt:variant>
      <vt:variant>
        <vt:i4>5</vt:i4>
      </vt:variant>
      <vt:variant>
        <vt:lpwstr/>
      </vt:variant>
      <vt:variant>
        <vt:lpwstr>_Toc233643304</vt:lpwstr>
      </vt:variant>
      <vt:variant>
        <vt:i4>1114166</vt:i4>
      </vt:variant>
      <vt:variant>
        <vt:i4>233</vt:i4>
      </vt:variant>
      <vt:variant>
        <vt:i4>0</vt:i4>
      </vt:variant>
      <vt:variant>
        <vt:i4>5</vt:i4>
      </vt:variant>
      <vt:variant>
        <vt:lpwstr/>
      </vt:variant>
      <vt:variant>
        <vt:lpwstr>_Toc233643303</vt:lpwstr>
      </vt:variant>
      <vt:variant>
        <vt:i4>1114166</vt:i4>
      </vt:variant>
      <vt:variant>
        <vt:i4>227</vt:i4>
      </vt:variant>
      <vt:variant>
        <vt:i4>0</vt:i4>
      </vt:variant>
      <vt:variant>
        <vt:i4>5</vt:i4>
      </vt:variant>
      <vt:variant>
        <vt:lpwstr/>
      </vt:variant>
      <vt:variant>
        <vt:lpwstr>_Toc233643302</vt:lpwstr>
      </vt:variant>
      <vt:variant>
        <vt:i4>1114166</vt:i4>
      </vt:variant>
      <vt:variant>
        <vt:i4>221</vt:i4>
      </vt:variant>
      <vt:variant>
        <vt:i4>0</vt:i4>
      </vt:variant>
      <vt:variant>
        <vt:i4>5</vt:i4>
      </vt:variant>
      <vt:variant>
        <vt:lpwstr/>
      </vt:variant>
      <vt:variant>
        <vt:lpwstr>_Toc233643301</vt:lpwstr>
      </vt:variant>
      <vt:variant>
        <vt:i4>1114166</vt:i4>
      </vt:variant>
      <vt:variant>
        <vt:i4>215</vt:i4>
      </vt:variant>
      <vt:variant>
        <vt:i4>0</vt:i4>
      </vt:variant>
      <vt:variant>
        <vt:i4>5</vt:i4>
      </vt:variant>
      <vt:variant>
        <vt:lpwstr/>
      </vt:variant>
      <vt:variant>
        <vt:lpwstr>_Toc233643300</vt:lpwstr>
      </vt:variant>
      <vt:variant>
        <vt:i4>1572919</vt:i4>
      </vt:variant>
      <vt:variant>
        <vt:i4>209</vt:i4>
      </vt:variant>
      <vt:variant>
        <vt:i4>0</vt:i4>
      </vt:variant>
      <vt:variant>
        <vt:i4>5</vt:i4>
      </vt:variant>
      <vt:variant>
        <vt:lpwstr/>
      </vt:variant>
      <vt:variant>
        <vt:lpwstr>_Toc233643299</vt:lpwstr>
      </vt:variant>
      <vt:variant>
        <vt:i4>1572919</vt:i4>
      </vt:variant>
      <vt:variant>
        <vt:i4>203</vt:i4>
      </vt:variant>
      <vt:variant>
        <vt:i4>0</vt:i4>
      </vt:variant>
      <vt:variant>
        <vt:i4>5</vt:i4>
      </vt:variant>
      <vt:variant>
        <vt:lpwstr/>
      </vt:variant>
      <vt:variant>
        <vt:lpwstr>_Toc233643298</vt:lpwstr>
      </vt:variant>
      <vt:variant>
        <vt:i4>1572919</vt:i4>
      </vt:variant>
      <vt:variant>
        <vt:i4>197</vt:i4>
      </vt:variant>
      <vt:variant>
        <vt:i4>0</vt:i4>
      </vt:variant>
      <vt:variant>
        <vt:i4>5</vt:i4>
      </vt:variant>
      <vt:variant>
        <vt:lpwstr/>
      </vt:variant>
      <vt:variant>
        <vt:lpwstr>_Toc233643297</vt:lpwstr>
      </vt:variant>
      <vt:variant>
        <vt:i4>1572919</vt:i4>
      </vt:variant>
      <vt:variant>
        <vt:i4>191</vt:i4>
      </vt:variant>
      <vt:variant>
        <vt:i4>0</vt:i4>
      </vt:variant>
      <vt:variant>
        <vt:i4>5</vt:i4>
      </vt:variant>
      <vt:variant>
        <vt:lpwstr/>
      </vt:variant>
      <vt:variant>
        <vt:lpwstr>_Toc233643296</vt:lpwstr>
      </vt:variant>
      <vt:variant>
        <vt:i4>1572919</vt:i4>
      </vt:variant>
      <vt:variant>
        <vt:i4>185</vt:i4>
      </vt:variant>
      <vt:variant>
        <vt:i4>0</vt:i4>
      </vt:variant>
      <vt:variant>
        <vt:i4>5</vt:i4>
      </vt:variant>
      <vt:variant>
        <vt:lpwstr/>
      </vt:variant>
      <vt:variant>
        <vt:lpwstr>_Toc233643295</vt:lpwstr>
      </vt:variant>
      <vt:variant>
        <vt:i4>1572919</vt:i4>
      </vt:variant>
      <vt:variant>
        <vt:i4>179</vt:i4>
      </vt:variant>
      <vt:variant>
        <vt:i4>0</vt:i4>
      </vt:variant>
      <vt:variant>
        <vt:i4>5</vt:i4>
      </vt:variant>
      <vt:variant>
        <vt:lpwstr/>
      </vt:variant>
      <vt:variant>
        <vt:lpwstr>_Toc233643294</vt:lpwstr>
      </vt:variant>
      <vt:variant>
        <vt:i4>1572919</vt:i4>
      </vt:variant>
      <vt:variant>
        <vt:i4>173</vt:i4>
      </vt:variant>
      <vt:variant>
        <vt:i4>0</vt:i4>
      </vt:variant>
      <vt:variant>
        <vt:i4>5</vt:i4>
      </vt:variant>
      <vt:variant>
        <vt:lpwstr/>
      </vt:variant>
      <vt:variant>
        <vt:lpwstr>_Toc233643293</vt:lpwstr>
      </vt:variant>
      <vt:variant>
        <vt:i4>1572919</vt:i4>
      </vt:variant>
      <vt:variant>
        <vt:i4>167</vt:i4>
      </vt:variant>
      <vt:variant>
        <vt:i4>0</vt:i4>
      </vt:variant>
      <vt:variant>
        <vt:i4>5</vt:i4>
      </vt:variant>
      <vt:variant>
        <vt:lpwstr/>
      </vt:variant>
      <vt:variant>
        <vt:lpwstr>_Toc233643292</vt:lpwstr>
      </vt:variant>
      <vt:variant>
        <vt:i4>1572919</vt:i4>
      </vt:variant>
      <vt:variant>
        <vt:i4>161</vt:i4>
      </vt:variant>
      <vt:variant>
        <vt:i4>0</vt:i4>
      </vt:variant>
      <vt:variant>
        <vt:i4>5</vt:i4>
      </vt:variant>
      <vt:variant>
        <vt:lpwstr/>
      </vt:variant>
      <vt:variant>
        <vt:lpwstr>_Toc233643291</vt:lpwstr>
      </vt:variant>
      <vt:variant>
        <vt:i4>1572919</vt:i4>
      </vt:variant>
      <vt:variant>
        <vt:i4>155</vt:i4>
      </vt:variant>
      <vt:variant>
        <vt:i4>0</vt:i4>
      </vt:variant>
      <vt:variant>
        <vt:i4>5</vt:i4>
      </vt:variant>
      <vt:variant>
        <vt:lpwstr/>
      </vt:variant>
      <vt:variant>
        <vt:lpwstr>_Toc233643290</vt:lpwstr>
      </vt:variant>
      <vt:variant>
        <vt:i4>1638455</vt:i4>
      </vt:variant>
      <vt:variant>
        <vt:i4>149</vt:i4>
      </vt:variant>
      <vt:variant>
        <vt:i4>0</vt:i4>
      </vt:variant>
      <vt:variant>
        <vt:i4>5</vt:i4>
      </vt:variant>
      <vt:variant>
        <vt:lpwstr/>
      </vt:variant>
      <vt:variant>
        <vt:lpwstr>_Toc233643289</vt:lpwstr>
      </vt:variant>
      <vt:variant>
        <vt:i4>1638455</vt:i4>
      </vt:variant>
      <vt:variant>
        <vt:i4>143</vt:i4>
      </vt:variant>
      <vt:variant>
        <vt:i4>0</vt:i4>
      </vt:variant>
      <vt:variant>
        <vt:i4>5</vt:i4>
      </vt:variant>
      <vt:variant>
        <vt:lpwstr/>
      </vt:variant>
      <vt:variant>
        <vt:lpwstr>_Toc233643288</vt:lpwstr>
      </vt:variant>
      <vt:variant>
        <vt:i4>1638455</vt:i4>
      </vt:variant>
      <vt:variant>
        <vt:i4>137</vt:i4>
      </vt:variant>
      <vt:variant>
        <vt:i4>0</vt:i4>
      </vt:variant>
      <vt:variant>
        <vt:i4>5</vt:i4>
      </vt:variant>
      <vt:variant>
        <vt:lpwstr/>
      </vt:variant>
      <vt:variant>
        <vt:lpwstr>_Toc233643287</vt:lpwstr>
      </vt:variant>
      <vt:variant>
        <vt:i4>1638455</vt:i4>
      </vt:variant>
      <vt:variant>
        <vt:i4>131</vt:i4>
      </vt:variant>
      <vt:variant>
        <vt:i4>0</vt:i4>
      </vt:variant>
      <vt:variant>
        <vt:i4>5</vt:i4>
      </vt:variant>
      <vt:variant>
        <vt:lpwstr/>
      </vt:variant>
      <vt:variant>
        <vt:lpwstr>_Toc233643286</vt:lpwstr>
      </vt:variant>
      <vt:variant>
        <vt:i4>1638455</vt:i4>
      </vt:variant>
      <vt:variant>
        <vt:i4>125</vt:i4>
      </vt:variant>
      <vt:variant>
        <vt:i4>0</vt:i4>
      </vt:variant>
      <vt:variant>
        <vt:i4>5</vt:i4>
      </vt:variant>
      <vt:variant>
        <vt:lpwstr/>
      </vt:variant>
      <vt:variant>
        <vt:lpwstr>_Toc233643285</vt:lpwstr>
      </vt:variant>
      <vt:variant>
        <vt:i4>1638455</vt:i4>
      </vt:variant>
      <vt:variant>
        <vt:i4>119</vt:i4>
      </vt:variant>
      <vt:variant>
        <vt:i4>0</vt:i4>
      </vt:variant>
      <vt:variant>
        <vt:i4>5</vt:i4>
      </vt:variant>
      <vt:variant>
        <vt:lpwstr/>
      </vt:variant>
      <vt:variant>
        <vt:lpwstr>_Toc233643284</vt:lpwstr>
      </vt:variant>
      <vt:variant>
        <vt:i4>1638455</vt:i4>
      </vt:variant>
      <vt:variant>
        <vt:i4>113</vt:i4>
      </vt:variant>
      <vt:variant>
        <vt:i4>0</vt:i4>
      </vt:variant>
      <vt:variant>
        <vt:i4>5</vt:i4>
      </vt:variant>
      <vt:variant>
        <vt:lpwstr/>
      </vt:variant>
      <vt:variant>
        <vt:lpwstr>_Toc233643283</vt:lpwstr>
      </vt:variant>
      <vt:variant>
        <vt:i4>1638455</vt:i4>
      </vt:variant>
      <vt:variant>
        <vt:i4>107</vt:i4>
      </vt:variant>
      <vt:variant>
        <vt:i4>0</vt:i4>
      </vt:variant>
      <vt:variant>
        <vt:i4>5</vt:i4>
      </vt:variant>
      <vt:variant>
        <vt:lpwstr/>
      </vt:variant>
      <vt:variant>
        <vt:lpwstr>_Toc233643282</vt:lpwstr>
      </vt:variant>
      <vt:variant>
        <vt:i4>1638455</vt:i4>
      </vt:variant>
      <vt:variant>
        <vt:i4>101</vt:i4>
      </vt:variant>
      <vt:variant>
        <vt:i4>0</vt:i4>
      </vt:variant>
      <vt:variant>
        <vt:i4>5</vt:i4>
      </vt:variant>
      <vt:variant>
        <vt:lpwstr/>
      </vt:variant>
      <vt:variant>
        <vt:lpwstr>_Toc233643281</vt:lpwstr>
      </vt:variant>
      <vt:variant>
        <vt:i4>1638455</vt:i4>
      </vt:variant>
      <vt:variant>
        <vt:i4>95</vt:i4>
      </vt:variant>
      <vt:variant>
        <vt:i4>0</vt:i4>
      </vt:variant>
      <vt:variant>
        <vt:i4>5</vt:i4>
      </vt:variant>
      <vt:variant>
        <vt:lpwstr/>
      </vt:variant>
      <vt:variant>
        <vt:lpwstr>_Toc233643280</vt:lpwstr>
      </vt:variant>
      <vt:variant>
        <vt:i4>1441847</vt:i4>
      </vt:variant>
      <vt:variant>
        <vt:i4>89</vt:i4>
      </vt:variant>
      <vt:variant>
        <vt:i4>0</vt:i4>
      </vt:variant>
      <vt:variant>
        <vt:i4>5</vt:i4>
      </vt:variant>
      <vt:variant>
        <vt:lpwstr/>
      </vt:variant>
      <vt:variant>
        <vt:lpwstr>_Toc233643279</vt:lpwstr>
      </vt:variant>
      <vt:variant>
        <vt:i4>1441847</vt:i4>
      </vt:variant>
      <vt:variant>
        <vt:i4>83</vt:i4>
      </vt:variant>
      <vt:variant>
        <vt:i4>0</vt:i4>
      </vt:variant>
      <vt:variant>
        <vt:i4>5</vt:i4>
      </vt:variant>
      <vt:variant>
        <vt:lpwstr/>
      </vt:variant>
      <vt:variant>
        <vt:lpwstr>_Toc233643278</vt:lpwstr>
      </vt:variant>
      <vt:variant>
        <vt:i4>1441847</vt:i4>
      </vt:variant>
      <vt:variant>
        <vt:i4>77</vt:i4>
      </vt:variant>
      <vt:variant>
        <vt:i4>0</vt:i4>
      </vt:variant>
      <vt:variant>
        <vt:i4>5</vt:i4>
      </vt:variant>
      <vt:variant>
        <vt:lpwstr/>
      </vt:variant>
      <vt:variant>
        <vt:lpwstr>_Toc233643277</vt:lpwstr>
      </vt:variant>
      <vt:variant>
        <vt:i4>1441847</vt:i4>
      </vt:variant>
      <vt:variant>
        <vt:i4>71</vt:i4>
      </vt:variant>
      <vt:variant>
        <vt:i4>0</vt:i4>
      </vt:variant>
      <vt:variant>
        <vt:i4>5</vt:i4>
      </vt:variant>
      <vt:variant>
        <vt:lpwstr/>
      </vt:variant>
      <vt:variant>
        <vt:lpwstr>_Toc233643276</vt:lpwstr>
      </vt:variant>
      <vt:variant>
        <vt:i4>1441847</vt:i4>
      </vt:variant>
      <vt:variant>
        <vt:i4>65</vt:i4>
      </vt:variant>
      <vt:variant>
        <vt:i4>0</vt:i4>
      </vt:variant>
      <vt:variant>
        <vt:i4>5</vt:i4>
      </vt:variant>
      <vt:variant>
        <vt:lpwstr/>
      </vt:variant>
      <vt:variant>
        <vt:lpwstr>_Toc233643275</vt:lpwstr>
      </vt:variant>
      <vt:variant>
        <vt:i4>1441847</vt:i4>
      </vt:variant>
      <vt:variant>
        <vt:i4>59</vt:i4>
      </vt:variant>
      <vt:variant>
        <vt:i4>0</vt:i4>
      </vt:variant>
      <vt:variant>
        <vt:i4>5</vt:i4>
      </vt:variant>
      <vt:variant>
        <vt:lpwstr/>
      </vt:variant>
      <vt:variant>
        <vt:lpwstr>_Toc233643274</vt:lpwstr>
      </vt:variant>
      <vt:variant>
        <vt:i4>1441847</vt:i4>
      </vt:variant>
      <vt:variant>
        <vt:i4>53</vt:i4>
      </vt:variant>
      <vt:variant>
        <vt:i4>0</vt:i4>
      </vt:variant>
      <vt:variant>
        <vt:i4>5</vt:i4>
      </vt:variant>
      <vt:variant>
        <vt:lpwstr/>
      </vt:variant>
      <vt:variant>
        <vt:lpwstr>_Toc233643273</vt:lpwstr>
      </vt:variant>
      <vt:variant>
        <vt:i4>1441847</vt:i4>
      </vt:variant>
      <vt:variant>
        <vt:i4>47</vt:i4>
      </vt:variant>
      <vt:variant>
        <vt:i4>0</vt:i4>
      </vt:variant>
      <vt:variant>
        <vt:i4>5</vt:i4>
      </vt:variant>
      <vt:variant>
        <vt:lpwstr/>
      </vt:variant>
      <vt:variant>
        <vt:lpwstr>_Toc233643272</vt:lpwstr>
      </vt:variant>
      <vt:variant>
        <vt:i4>1441847</vt:i4>
      </vt:variant>
      <vt:variant>
        <vt:i4>41</vt:i4>
      </vt:variant>
      <vt:variant>
        <vt:i4>0</vt:i4>
      </vt:variant>
      <vt:variant>
        <vt:i4>5</vt:i4>
      </vt:variant>
      <vt:variant>
        <vt:lpwstr/>
      </vt:variant>
      <vt:variant>
        <vt:lpwstr>_Toc233643271</vt:lpwstr>
      </vt:variant>
      <vt:variant>
        <vt:i4>1441847</vt:i4>
      </vt:variant>
      <vt:variant>
        <vt:i4>35</vt:i4>
      </vt:variant>
      <vt:variant>
        <vt:i4>0</vt:i4>
      </vt:variant>
      <vt:variant>
        <vt:i4>5</vt:i4>
      </vt:variant>
      <vt:variant>
        <vt:lpwstr/>
      </vt:variant>
      <vt:variant>
        <vt:lpwstr>_Toc233643270</vt:lpwstr>
      </vt:variant>
      <vt:variant>
        <vt:i4>1507383</vt:i4>
      </vt:variant>
      <vt:variant>
        <vt:i4>29</vt:i4>
      </vt:variant>
      <vt:variant>
        <vt:i4>0</vt:i4>
      </vt:variant>
      <vt:variant>
        <vt:i4>5</vt:i4>
      </vt:variant>
      <vt:variant>
        <vt:lpwstr/>
      </vt:variant>
      <vt:variant>
        <vt:lpwstr>_Toc233643269</vt:lpwstr>
      </vt:variant>
      <vt:variant>
        <vt:i4>1507383</vt:i4>
      </vt:variant>
      <vt:variant>
        <vt:i4>23</vt:i4>
      </vt:variant>
      <vt:variant>
        <vt:i4>0</vt:i4>
      </vt:variant>
      <vt:variant>
        <vt:i4>5</vt:i4>
      </vt:variant>
      <vt:variant>
        <vt:lpwstr/>
      </vt:variant>
      <vt:variant>
        <vt:lpwstr>_Toc233643268</vt:lpwstr>
      </vt:variant>
      <vt:variant>
        <vt:i4>1507383</vt:i4>
      </vt:variant>
      <vt:variant>
        <vt:i4>17</vt:i4>
      </vt:variant>
      <vt:variant>
        <vt:i4>0</vt:i4>
      </vt:variant>
      <vt:variant>
        <vt:i4>5</vt:i4>
      </vt:variant>
      <vt:variant>
        <vt:lpwstr/>
      </vt:variant>
      <vt:variant>
        <vt:lpwstr>_Toc233643267</vt:lpwstr>
      </vt:variant>
      <vt:variant>
        <vt:i4>1507383</vt:i4>
      </vt:variant>
      <vt:variant>
        <vt:i4>11</vt:i4>
      </vt:variant>
      <vt:variant>
        <vt:i4>0</vt:i4>
      </vt:variant>
      <vt:variant>
        <vt:i4>5</vt:i4>
      </vt:variant>
      <vt:variant>
        <vt:lpwstr/>
      </vt:variant>
      <vt:variant>
        <vt:lpwstr>_Toc233643266</vt:lpwstr>
      </vt:variant>
      <vt:variant>
        <vt:i4>1507383</vt:i4>
      </vt:variant>
      <vt:variant>
        <vt:i4>5</vt:i4>
      </vt:variant>
      <vt:variant>
        <vt:i4>0</vt:i4>
      </vt:variant>
      <vt:variant>
        <vt:i4>5</vt:i4>
      </vt:variant>
      <vt:variant>
        <vt:lpwstr/>
      </vt:variant>
      <vt:variant>
        <vt:lpwstr>_Toc233643265</vt:lpwstr>
      </vt:variant>
      <vt:variant>
        <vt:i4>7602214</vt:i4>
      </vt:variant>
      <vt:variant>
        <vt:i4>0</vt:i4>
      </vt:variant>
      <vt:variant>
        <vt:i4>0</vt:i4>
      </vt:variant>
      <vt:variant>
        <vt:i4>5</vt:i4>
      </vt:variant>
      <vt:variant>
        <vt:lpwstr>https://www.gamblinghelponline.org.au/</vt:lpwstr>
      </vt:variant>
      <vt:variant>
        <vt:lpwstr/>
      </vt:variant>
      <vt:variant>
        <vt:i4>4980854</vt:i4>
      </vt:variant>
      <vt:variant>
        <vt:i4>3</vt:i4>
      </vt:variant>
      <vt:variant>
        <vt:i4>0</vt:i4>
      </vt:variant>
      <vt:variant>
        <vt:i4>5</vt:i4>
      </vt:variant>
      <vt:variant>
        <vt:lpwstr>https://www.dss.gov.au/system/files/resources/activity-statement-prototype_0.pdf</vt:lpwstr>
      </vt:variant>
      <vt:variant>
        <vt:lpwstr/>
      </vt:variant>
      <vt:variant>
        <vt:i4>4980854</vt:i4>
      </vt:variant>
      <vt:variant>
        <vt:i4>0</vt:i4>
      </vt:variant>
      <vt:variant>
        <vt:i4>0</vt:i4>
      </vt:variant>
      <vt:variant>
        <vt:i4>5</vt:i4>
      </vt:variant>
      <vt:variant>
        <vt:lpwstr>https://www.dss.gov.au/system/files/resources/activity-statement-prototype_0.pdf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Consumer Protection Framework Evaluation Phase 1 Report</dc:title>
  <dc:subject/>
  <dc:creator/>
  <cp:keywords>[SEC=OFFICIAL:Sensitive]</cp:keywords>
  <dc:description/>
  <cp:lastModifiedBy/>
  <cp:revision>1</cp:revision>
  <dcterms:created xsi:type="dcterms:W3CDTF">2026-11-04T05:38:00Z</dcterms:created>
  <dcterms:modified xsi:type="dcterms:W3CDTF">2026-11-04T05:39:00Z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a0bb3f-afec-4815-b70d-2a788d74835f_ContentBits">
    <vt:lpwstr>3</vt:lpwstr>
  </property>
  <property fmtid="{D5CDD505-2E9C-101B-9397-08002B2CF9AE}" pid="3" name="PM_Originating_FileId">
    <vt:lpwstr>200E44C89C194EE59B5F1333280F7E3C</vt:lpwstr>
  </property>
  <property fmtid="{D5CDD505-2E9C-101B-9397-08002B2CF9AE}" pid="4" name="PM_ProtectiveMarkingValue_Footer">
    <vt:lpwstr>OFFICIAL: Sensitive</vt:lpwstr>
  </property>
  <property fmtid="{D5CDD505-2E9C-101B-9397-08002B2CF9AE}" pid="5" name="MSIP_Label_d7a0bb3f-afec-4815-b70d-2a788d74835f_Enabled">
    <vt:lpwstr>true</vt:lpwstr>
  </property>
  <property fmtid="{D5CDD505-2E9C-101B-9397-08002B2CF9AE}" pid="6" name="PM_Qualifier_Prev">
    <vt:lpwstr/>
  </property>
  <property fmtid="{D5CDD505-2E9C-101B-9397-08002B2CF9AE}" pid="7" name="MSIP_Label_d7a0bb3f-afec-4815-b70d-2a788d74835f_SiteId">
    <vt:lpwstr>61e36dd1-ca6e-4d61-aa0a-2b4eb88317a3</vt:lpwstr>
  </property>
  <property fmtid="{D5CDD505-2E9C-101B-9397-08002B2CF9AE}" pid="8" name="MSIP_Label_d7a0bb3f-afec-4815-b70d-2a788d74835f_SetDate">
    <vt:lpwstr>2026-01-23T04:43:26Z</vt:lpwstr>
  </property>
  <property fmtid="{D5CDD505-2E9C-101B-9397-08002B2CF9AE}" pid="9" name="PM_OriginationTimeStamp">
    <vt:lpwstr>2026-01-23T04:43:26Z</vt:lpwstr>
  </property>
  <property fmtid="{D5CDD505-2E9C-101B-9397-08002B2CF9AE}" pid="10" name="PM_ProtectiveMarkingValue_Header">
    <vt:lpwstr>OFFICIAL: Sensitive</vt:lpwstr>
  </property>
  <property fmtid="{D5CDD505-2E9C-101B-9397-08002B2CF9AE}" pid="11" name="MSIP_Label_d7a0bb3f-afec-4815-b70d-2a788d74835f_Name">
    <vt:lpwstr>OFFICIAL:Sensitive</vt:lpwstr>
  </property>
  <property fmtid="{D5CDD505-2E9C-101B-9397-08002B2CF9AE}" pid="12" name="PM_OriginatorUserAccountName_SHA256">
    <vt:lpwstr>73AC4EAD9CE44ABE0D3975CCC32C94FA28991B0DAEA075717C6B657D5C5BAB9F</vt:lpwstr>
  </property>
  <property fmtid="{D5CDD505-2E9C-101B-9397-08002B2CF9AE}" pid="13" name="MSIP_Label_d7a0bb3f-afec-4815-b70d-2a788d74835f_Method">
    <vt:lpwstr>Privileged</vt:lpwstr>
  </property>
  <property fmtid="{D5CDD505-2E9C-101B-9397-08002B2CF9AE}" pid="14" name="MSIP_Label_d7a0bb3f-afec-4815-b70d-2a788d74835f_ActionId">
    <vt:lpwstr>6496dbb5c00f4b0ea720b5f116595098</vt:lpwstr>
  </property>
  <property fmtid="{D5CDD505-2E9C-101B-9397-08002B2CF9AE}" pid="15" name="PM_Version">
    <vt:lpwstr>2018.4</vt:lpwstr>
  </property>
  <property fmtid="{D5CDD505-2E9C-101B-9397-08002B2CF9AE}" pid="16" name="MSIP_Label_d7a0bb3f-afec-4815-b70d-2a788d74835f_Tag">
    <vt:lpwstr>10, 0, 1, 2</vt:lpwstr>
  </property>
  <property fmtid="{D5CDD505-2E9C-101B-9397-08002B2CF9AE}" pid="17" name="PM_Expires">
    <vt:lpwstr/>
  </property>
  <property fmtid="{D5CDD505-2E9C-101B-9397-08002B2CF9AE}" pid="18" name="PM_DisplayValueSecClassificationWithQualifier">
    <vt:lpwstr>OFFICIAL: Sensitive</vt:lpwstr>
  </property>
  <property fmtid="{D5CDD505-2E9C-101B-9397-08002B2CF9AE}" pid="19" name="PM_DowngradeTo">
    <vt:lpwstr/>
  </property>
  <property fmtid="{D5CDD505-2E9C-101B-9397-08002B2CF9AE}" pid="20" name="PM_InsertionValue">
    <vt:lpwstr>OFFICIAL: Sensitive</vt:lpwstr>
  </property>
  <property fmtid="{D5CDD505-2E9C-101B-9397-08002B2CF9AE}" pid="21" name="PM_Display">
    <vt:lpwstr>OFFICIAL: Sensitive</vt:lpwstr>
  </property>
  <property fmtid="{D5CDD505-2E9C-101B-9397-08002B2CF9AE}" pid="22" name="PM_SecurityClassification_Prev">
    <vt:lpwstr>OFFICIAL:Sensitive</vt:lpwstr>
  </property>
  <property fmtid="{D5CDD505-2E9C-101B-9397-08002B2CF9AE}" pid="23" name="PM_Originator_Hash_SHA1">
    <vt:lpwstr>F3EEFC68690FF55C9AAB5A2A00DF8223F7DCA409</vt:lpwstr>
  </property>
  <property fmtid="{D5CDD505-2E9C-101B-9397-08002B2CF9AE}" pid="24" name="PM_OriginatorDomainName_SHA256">
    <vt:lpwstr>73AC4EAD9CE44ABE0D3975CCC32C94FA28991B0DAEA075717C6B657D5C5BAB9F</vt:lpwstr>
  </property>
  <property fmtid="{D5CDD505-2E9C-101B-9397-08002B2CF9AE}" pid="25" name="PMUuid">
    <vt:lpwstr>v=2022.2;d=gov.au;g=ABA70C08-925C-5FA3-8765-3178156983AC</vt:lpwstr>
  </property>
  <property fmtid="{D5CDD505-2E9C-101B-9397-08002B2CF9AE}" pid="26" name="PM_Hash_Version">
    <vt:lpwstr>2024.1</vt:lpwstr>
  </property>
  <property fmtid="{D5CDD505-2E9C-101B-9397-08002B2CF9AE}" pid="27" name="PM_Hash_Salt_Prev">
    <vt:lpwstr>05D3BF58341988FF648C1261D11765AC</vt:lpwstr>
  </property>
  <property fmtid="{D5CDD505-2E9C-101B-9397-08002B2CF9AE}" pid="28" name="PM_Hash_Salt">
    <vt:lpwstr>33BA7C10B9E006327B52BF791295B61B</vt:lpwstr>
  </property>
  <property fmtid="{D5CDD505-2E9C-101B-9397-08002B2CF9AE}" pid="29" name="PM_Hash_SHA1">
    <vt:lpwstr>B25CDD0B15DAAA4AABD38FCDF09D16886B74347D</vt:lpwstr>
  </property>
  <property fmtid="{D5CDD505-2E9C-101B-9397-08002B2CF9AE}" pid="30" name="PM_Namespace">
    <vt:lpwstr>gov.au</vt:lpwstr>
  </property>
  <property fmtid="{D5CDD505-2E9C-101B-9397-08002B2CF9AE}" pid="31" name="PM_SecurityClassification">
    <vt:lpwstr>OFFICIAL:Sensitive</vt:lpwstr>
  </property>
  <property fmtid="{D5CDD505-2E9C-101B-9397-08002B2CF9AE}" pid="32" name="PMHMAC">
    <vt:lpwstr>v=2024.1;a=SHA256;h=7D630F9A95C2B802167C0C2BCF44D076C95F3F6CB5AC10042991849F4ADC3791</vt:lpwstr>
  </property>
  <property fmtid="{D5CDD505-2E9C-101B-9397-08002B2CF9AE}" pid="33" name="PM_Qualifier">
    <vt:lpwstr/>
  </property>
  <property fmtid="{D5CDD505-2E9C-101B-9397-08002B2CF9AE}" pid="34" name="PM_Note">
    <vt:lpwstr/>
  </property>
  <property fmtid="{D5CDD505-2E9C-101B-9397-08002B2CF9AE}" pid="35" name="PM_Markers">
    <vt:lpwstr/>
  </property>
  <property fmtid="{D5CDD505-2E9C-101B-9397-08002B2CF9AE}" pid="36" name="PM_Caveats_Count">
    <vt:lpwstr>0</vt:lpwstr>
  </property>
  <property fmtid="{D5CDD505-2E9C-101B-9397-08002B2CF9AE}" pid="37" name="PM_DownTo">
    <vt:lpwstr/>
  </property>
  <property fmtid="{D5CDD505-2E9C-101B-9397-08002B2CF9AE}" pid="38" name="PM_Provider">
    <vt:lpwstr>0</vt:lpwstr>
  </property>
</Properties>
</file>